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20133D" w14:textId="60675D1D" w:rsidR="001E4A23" w:rsidRDefault="001E4A23" w:rsidP="009E3D62">
      <w:pPr>
        <w:spacing w:line="360" w:lineRule="auto"/>
        <w:ind w:firstLine="720"/>
        <w:rPr>
          <w:rFonts w:ascii="Arial" w:hAnsi="Arial" w:cs="Arial"/>
          <w:sz w:val="22"/>
          <w:szCs w:val="22"/>
        </w:rPr>
      </w:pPr>
      <w:r w:rsidRPr="001E4A23">
        <w:rPr>
          <w:rFonts w:ascii="Arial" w:hAnsi="Arial" w:cs="Arial"/>
          <w:sz w:val="22"/>
          <w:szCs w:val="22"/>
        </w:rPr>
        <w:t>Este documento integra una propuesta técnica y social para la gestión del riesgo agrícola en el cultivo de calabaza de temporal en Milpa Alta, uniendo la lógica de programación, el pensamiento sistémico, el análisis matemático, la ciencia de datos y la administración empresarial, junto con la perspectiva de género, en un solo marco de acción resiliente.</w:t>
      </w:r>
    </w:p>
    <w:p w14:paraId="1265EC49" w14:textId="0A32DB9F" w:rsidR="00186291" w:rsidRPr="00186291" w:rsidRDefault="00186291" w:rsidP="009E3D62">
      <w:pPr>
        <w:spacing w:line="360" w:lineRule="auto"/>
        <w:ind w:firstLine="720"/>
        <w:rPr>
          <w:rFonts w:ascii="Arial" w:hAnsi="Arial" w:cs="Arial"/>
          <w:b/>
          <w:bCs/>
          <w:sz w:val="22"/>
          <w:szCs w:val="22"/>
        </w:rPr>
      </w:pPr>
      <w:r w:rsidRPr="00186291">
        <w:rPr>
          <w:rFonts w:ascii="Arial" w:hAnsi="Arial" w:cs="Arial"/>
          <w:b/>
          <w:bCs/>
          <w:sz w:val="22"/>
          <w:szCs w:val="22"/>
        </w:rPr>
        <w:t>Gestión Sistémica y Resiliencia Agrícola en Milpa Alta</w:t>
      </w:r>
    </w:p>
    <w:p w14:paraId="439BB939" w14:textId="77777777" w:rsidR="00AE7ADD" w:rsidRPr="00AE7ADD" w:rsidRDefault="00AE7ADD" w:rsidP="005F74A5">
      <w:pPr>
        <w:spacing w:line="360" w:lineRule="auto"/>
        <w:ind w:firstLine="720"/>
        <w:rPr>
          <w:rFonts w:ascii="Arial" w:hAnsi="Arial" w:cs="Arial"/>
          <w:sz w:val="22"/>
          <w:szCs w:val="22"/>
        </w:rPr>
      </w:pPr>
      <w:r w:rsidRPr="00AE7ADD">
        <w:rPr>
          <w:rFonts w:ascii="Arial" w:hAnsi="Arial" w:cs="Arial"/>
          <w:sz w:val="22"/>
          <w:szCs w:val="22"/>
        </w:rPr>
        <w:t>El sistema agrícola de temporal en Milpa Alta representa un escenario complejo donde convergen variables biológicas y climatológicas que exigen un enfoque de pensamiento sistémico para su preservación. El núcleo del problema no radica exclusivamente en la variabilidad de las lluvias, sino en la incertidumbre de los datos de entrada que enfrentan los productores; según el modelo de Cairó (2005), la toma de decisiones basada en eventos aislados refleja una falla en la fase de análisis de algoritmos, lo que limita la capacidad de respuesta ante el cambio climático. Para transformar esta realidad y dotar al campo de una herramienta de alto valor operativo, es fundamental implementar una estructura lógica que procese la información técnica de manera efectiva, fundamentada en el uso de operadores lógicos y estructuras condicionales que permitan validar el estado del suelo y el pronóstico meteorológico antes de comprometer recursos económicos.</w:t>
      </w:r>
    </w:p>
    <w:p w14:paraId="481D9832" w14:textId="77777777" w:rsidR="00AE7ADD" w:rsidRPr="00AE7ADD" w:rsidRDefault="00AE7ADD" w:rsidP="005F74A5">
      <w:pPr>
        <w:spacing w:line="360" w:lineRule="auto"/>
        <w:ind w:firstLine="720"/>
        <w:rPr>
          <w:rFonts w:ascii="Arial" w:hAnsi="Arial" w:cs="Arial"/>
          <w:sz w:val="22"/>
          <w:szCs w:val="22"/>
        </w:rPr>
      </w:pPr>
      <w:r w:rsidRPr="00AE7ADD">
        <w:rPr>
          <w:rFonts w:ascii="Arial" w:hAnsi="Arial" w:cs="Arial"/>
          <w:sz w:val="22"/>
          <w:szCs w:val="22"/>
        </w:rPr>
        <w:t>Mediante la integración de arreglos de datos para almacenar el historial de precipitación de los últimos siete días, es posible calcular promedios móviles que otorgan certeza científica a la siembra, evitando interpretaciones erróneas de lluvias ligeras e intermitentes. Un ejemplo de esta lógica se observa en el siguiente algoritmo de prevención, diseñado para automatizar el diagnóstico hídrico y la toma de decisiones en tiempo real:</w:t>
      </w:r>
    </w:p>
    <w:p w14:paraId="6E27A098" w14:textId="77777777" w:rsidR="00AE7ADD" w:rsidRPr="00AE7ADD" w:rsidRDefault="00AE7ADD" w:rsidP="00AE7ADD">
      <w:pPr>
        <w:spacing w:line="360" w:lineRule="auto"/>
        <w:rPr>
          <w:rFonts w:ascii="Arial" w:hAnsi="Arial" w:cs="Arial"/>
          <w:sz w:val="22"/>
          <w:szCs w:val="22"/>
        </w:rPr>
      </w:pPr>
      <w:r w:rsidRPr="00AE7ADD">
        <w:rPr>
          <w:rFonts w:ascii="Arial" w:hAnsi="Arial" w:cs="Arial"/>
          <w:sz w:val="22"/>
          <w:szCs w:val="22"/>
        </w:rPr>
        <w:t>ALGORITMO Prevencion_Agricola_Calabaza</w:t>
      </w:r>
    </w:p>
    <w:p w14:paraId="64A3AED3" w14:textId="669FF1DB" w:rsidR="00AE7ADD" w:rsidRPr="00AE7ADD" w:rsidRDefault="00AE7ADD" w:rsidP="00AE7ADD">
      <w:pPr>
        <w:spacing w:line="360" w:lineRule="auto"/>
        <w:rPr>
          <w:rFonts w:ascii="Arial" w:hAnsi="Arial" w:cs="Arial"/>
          <w:sz w:val="22"/>
          <w:szCs w:val="22"/>
        </w:rPr>
      </w:pPr>
      <w:r w:rsidRPr="00AE7ADD">
        <w:rPr>
          <w:rFonts w:ascii="Arial" w:hAnsi="Arial" w:cs="Arial"/>
          <w:sz w:val="22"/>
          <w:szCs w:val="22"/>
        </w:rPr>
        <w:t xml:space="preserve">    DEFINIR humedad_suelo, prob_lluvia COMO REA</w:t>
      </w:r>
      <w:r w:rsidR="00A75B98">
        <w:rPr>
          <w:rFonts w:ascii="Arial" w:hAnsi="Arial" w:cs="Arial"/>
          <w:sz w:val="22"/>
          <w:szCs w:val="22"/>
        </w:rPr>
        <w:t>L</w:t>
      </w:r>
    </w:p>
    <w:p w14:paraId="7676C2F2" w14:textId="77777777" w:rsidR="00AE7ADD" w:rsidRPr="00AE7ADD" w:rsidRDefault="00AE7ADD" w:rsidP="00AE7ADD">
      <w:pPr>
        <w:spacing w:line="360" w:lineRule="auto"/>
        <w:rPr>
          <w:rFonts w:ascii="Arial" w:hAnsi="Arial" w:cs="Arial"/>
          <w:sz w:val="22"/>
          <w:szCs w:val="22"/>
        </w:rPr>
      </w:pPr>
      <w:r w:rsidRPr="00AE7ADD">
        <w:rPr>
          <w:rFonts w:ascii="Arial" w:hAnsi="Arial" w:cs="Arial"/>
          <w:sz w:val="22"/>
          <w:szCs w:val="22"/>
        </w:rPr>
        <w:t xml:space="preserve">    ESCRIBIR "Ingrese el porcentaje de saturación hídrica del suelo:"</w:t>
      </w:r>
    </w:p>
    <w:p w14:paraId="4521B19A" w14:textId="77777777" w:rsidR="00AE7ADD" w:rsidRPr="00AE7ADD" w:rsidRDefault="00AE7ADD" w:rsidP="00AE7ADD">
      <w:pPr>
        <w:spacing w:line="360" w:lineRule="auto"/>
        <w:rPr>
          <w:rFonts w:ascii="Arial" w:hAnsi="Arial" w:cs="Arial"/>
          <w:sz w:val="22"/>
          <w:szCs w:val="22"/>
        </w:rPr>
      </w:pPr>
      <w:r w:rsidRPr="00AE7ADD">
        <w:rPr>
          <w:rFonts w:ascii="Arial" w:hAnsi="Arial" w:cs="Arial"/>
          <w:sz w:val="22"/>
          <w:szCs w:val="22"/>
        </w:rPr>
        <w:t xml:space="preserve">    LEER humedad_suelo</w:t>
      </w:r>
    </w:p>
    <w:p w14:paraId="38A74C2B" w14:textId="77777777" w:rsidR="00AE7ADD" w:rsidRPr="00AE7ADD" w:rsidRDefault="00AE7ADD" w:rsidP="00AE7ADD">
      <w:pPr>
        <w:spacing w:line="360" w:lineRule="auto"/>
        <w:rPr>
          <w:rFonts w:ascii="Arial" w:hAnsi="Arial" w:cs="Arial"/>
          <w:sz w:val="22"/>
          <w:szCs w:val="22"/>
        </w:rPr>
      </w:pPr>
      <w:r w:rsidRPr="00AE7ADD">
        <w:rPr>
          <w:rFonts w:ascii="Arial" w:hAnsi="Arial" w:cs="Arial"/>
          <w:sz w:val="22"/>
          <w:szCs w:val="22"/>
        </w:rPr>
        <w:t xml:space="preserve">    ESCRIBIR "Ingrese la probabilidad de lluvia (%) para mañana:"</w:t>
      </w:r>
    </w:p>
    <w:p w14:paraId="004F1054" w14:textId="63D45230" w:rsidR="00AE7ADD" w:rsidRPr="00AE7ADD" w:rsidRDefault="00AE7ADD" w:rsidP="00AE7ADD">
      <w:pPr>
        <w:spacing w:line="360" w:lineRule="auto"/>
        <w:rPr>
          <w:rFonts w:ascii="Arial" w:hAnsi="Arial" w:cs="Arial"/>
          <w:sz w:val="22"/>
          <w:szCs w:val="22"/>
        </w:rPr>
      </w:pPr>
      <w:r w:rsidRPr="00AE7ADD">
        <w:rPr>
          <w:rFonts w:ascii="Arial" w:hAnsi="Arial" w:cs="Arial"/>
          <w:sz w:val="22"/>
          <w:szCs w:val="22"/>
        </w:rPr>
        <w:t xml:space="preserve">    LEER prob_lluvia</w:t>
      </w:r>
    </w:p>
    <w:p w14:paraId="74321891" w14:textId="77777777" w:rsidR="00AE7ADD" w:rsidRPr="00AE7ADD" w:rsidRDefault="00AE7ADD" w:rsidP="00AE7ADD">
      <w:pPr>
        <w:spacing w:line="360" w:lineRule="auto"/>
        <w:rPr>
          <w:rFonts w:ascii="Arial" w:hAnsi="Arial" w:cs="Arial"/>
          <w:sz w:val="22"/>
          <w:szCs w:val="22"/>
        </w:rPr>
      </w:pPr>
      <w:r w:rsidRPr="00AE7ADD">
        <w:rPr>
          <w:rFonts w:ascii="Arial" w:hAnsi="Arial" w:cs="Arial"/>
          <w:sz w:val="22"/>
          <w:szCs w:val="22"/>
        </w:rPr>
        <w:t xml:space="preserve">    SI (humedad_suelo &gt; 80) ENTONCES</w:t>
      </w:r>
    </w:p>
    <w:p w14:paraId="40E55967" w14:textId="77777777" w:rsidR="00AE7ADD" w:rsidRPr="00AE7ADD" w:rsidRDefault="00AE7ADD" w:rsidP="00AE7ADD">
      <w:pPr>
        <w:spacing w:line="360" w:lineRule="auto"/>
        <w:rPr>
          <w:rFonts w:ascii="Arial" w:hAnsi="Arial" w:cs="Arial"/>
          <w:sz w:val="22"/>
          <w:szCs w:val="22"/>
        </w:rPr>
      </w:pPr>
      <w:r w:rsidRPr="00AE7ADD">
        <w:rPr>
          <w:rFonts w:ascii="Arial" w:hAnsi="Arial" w:cs="Arial"/>
          <w:sz w:val="22"/>
          <w:szCs w:val="22"/>
        </w:rPr>
        <w:t xml:space="preserve">        ESCRIBIR "ALERTA: Riesgo de lavado de semilla. No sembrar."</w:t>
      </w:r>
    </w:p>
    <w:p w14:paraId="39A3ADD8" w14:textId="77777777" w:rsidR="00AE7ADD" w:rsidRPr="00AE7ADD" w:rsidRDefault="00AE7ADD" w:rsidP="00AE7ADD">
      <w:pPr>
        <w:spacing w:line="360" w:lineRule="auto"/>
        <w:rPr>
          <w:rFonts w:ascii="Arial" w:hAnsi="Arial" w:cs="Arial"/>
          <w:sz w:val="22"/>
          <w:szCs w:val="22"/>
        </w:rPr>
      </w:pPr>
      <w:r w:rsidRPr="00AE7ADD">
        <w:rPr>
          <w:rFonts w:ascii="Arial" w:hAnsi="Arial" w:cs="Arial"/>
          <w:sz w:val="22"/>
          <w:szCs w:val="22"/>
        </w:rPr>
        <w:lastRenderedPageBreak/>
        <w:t xml:space="preserve">    SINO SI (humedad_suelo &lt; 20 Y prob_lluvia &lt; 10) ENTONCES</w:t>
      </w:r>
    </w:p>
    <w:p w14:paraId="575100BF" w14:textId="77777777" w:rsidR="00AE7ADD" w:rsidRPr="00AE7ADD" w:rsidRDefault="00AE7ADD" w:rsidP="00AE7ADD">
      <w:pPr>
        <w:spacing w:line="360" w:lineRule="auto"/>
        <w:rPr>
          <w:rFonts w:ascii="Arial" w:hAnsi="Arial" w:cs="Arial"/>
          <w:sz w:val="22"/>
          <w:szCs w:val="22"/>
        </w:rPr>
      </w:pPr>
      <w:r w:rsidRPr="00AE7ADD">
        <w:rPr>
          <w:rFonts w:ascii="Arial" w:hAnsi="Arial" w:cs="Arial"/>
          <w:sz w:val="22"/>
          <w:szCs w:val="22"/>
        </w:rPr>
        <w:t xml:space="preserve">        ESCRIBIR "AVISO: Estrés hídrico detectado. Aplicar acolchado o materia orgánica."</w:t>
      </w:r>
    </w:p>
    <w:p w14:paraId="599691F3" w14:textId="77777777" w:rsidR="00AE7ADD" w:rsidRPr="00AE7ADD" w:rsidRDefault="00AE7ADD" w:rsidP="00AE7ADD">
      <w:pPr>
        <w:spacing w:line="360" w:lineRule="auto"/>
        <w:rPr>
          <w:rFonts w:ascii="Arial" w:hAnsi="Arial" w:cs="Arial"/>
          <w:sz w:val="22"/>
          <w:szCs w:val="22"/>
        </w:rPr>
      </w:pPr>
      <w:r w:rsidRPr="00AE7ADD">
        <w:rPr>
          <w:rFonts w:ascii="Arial" w:hAnsi="Arial" w:cs="Arial"/>
          <w:sz w:val="22"/>
          <w:szCs w:val="22"/>
        </w:rPr>
        <w:t xml:space="preserve">    SINO SI (humedad_suelo &gt;= 40 Y humedad_suelo &lt;= 60 Y prob_lluvia &gt; 50) ENTONCES</w:t>
      </w:r>
    </w:p>
    <w:p w14:paraId="006A0D12" w14:textId="77777777" w:rsidR="00AE7ADD" w:rsidRPr="00AE7ADD" w:rsidRDefault="00AE7ADD" w:rsidP="00AE7ADD">
      <w:pPr>
        <w:spacing w:line="360" w:lineRule="auto"/>
        <w:rPr>
          <w:rFonts w:ascii="Arial" w:hAnsi="Arial" w:cs="Arial"/>
          <w:sz w:val="22"/>
          <w:szCs w:val="22"/>
        </w:rPr>
      </w:pPr>
      <w:r w:rsidRPr="00AE7ADD">
        <w:rPr>
          <w:rFonts w:ascii="Arial" w:hAnsi="Arial" w:cs="Arial"/>
          <w:sz w:val="22"/>
          <w:szCs w:val="22"/>
        </w:rPr>
        <w:t xml:space="preserve">        ESCRIBIR "CONDICIÓN ÓPTIMA: Proceder con la siembra/fertilización."</w:t>
      </w:r>
    </w:p>
    <w:p w14:paraId="7F840D54" w14:textId="77777777" w:rsidR="00AE7ADD" w:rsidRPr="00AE7ADD" w:rsidRDefault="00AE7ADD" w:rsidP="00AE7ADD">
      <w:pPr>
        <w:spacing w:line="360" w:lineRule="auto"/>
        <w:rPr>
          <w:rFonts w:ascii="Arial" w:hAnsi="Arial" w:cs="Arial"/>
          <w:sz w:val="22"/>
          <w:szCs w:val="22"/>
        </w:rPr>
      </w:pPr>
      <w:r w:rsidRPr="00AE7ADD">
        <w:rPr>
          <w:rFonts w:ascii="Arial" w:hAnsi="Arial" w:cs="Arial"/>
          <w:sz w:val="22"/>
          <w:szCs w:val="22"/>
        </w:rPr>
        <w:t xml:space="preserve">    SINO</w:t>
      </w:r>
    </w:p>
    <w:p w14:paraId="08004CA7" w14:textId="77777777" w:rsidR="00AE7ADD" w:rsidRPr="00AE7ADD" w:rsidRDefault="00AE7ADD" w:rsidP="00AE7ADD">
      <w:pPr>
        <w:spacing w:line="360" w:lineRule="auto"/>
        <w:rPr>
          <w:rFonts w:ascii="Arial" w:hAnsi="Arial" w:cs="Arial"/>
          <w:sz w:val="22"/>
          <w:szCs w:val="22"/>
        </w:rPr>
      </w:pPr>
      <w:r w:rsidRPr="00AE7ADD">
        <w:rPr>
          <w:rFonts w:ascii="Arial" w:hAnsi="Arial" w:cs="Arial"/>
          <w:sz w:val="22"/>
          <w:szCs w:val="22"/>
        </w:rPr>
        <w:t xml:space="preserve">        ESCRIBIR "ESTADO: Monitorear historial de 7 días antes de actuar."</w:t>
      </w:r>
    </w:p>
    <w:p w14:paraId="0E894B35" w14:textId="77777777" w:rsidR="00AE7ADD" w:rsidRPr="00AE7ADD" w:rsidRDefault="00AE7ADD" w:rsidP="00AE7ADD">
      <w:pPr>
        <w:spacing w:line="360" w:lineRule="auto"/>
        <w:rPr>
          <w:rFonts w:ascii="Arial" w:hAnsi="Arial" w:cs="Arial"/>
          <w:sz w:val="22"/>
          <w:szCs w:val="22"/>
        </w:rPr>
      </w:pPr>
      <w:r w:rsidRPr="00AE7ADD">
        <w:rPr>
          <w:rFonts w:ascii="Arial" w:hAnsi="Arial" w:cs="Arial"/>
          <w:sz w:val="22"/>
          <w:szCs w:val="22"/>
        </w:rPr>
        <w:t xml:space="preserve">    FIN SI</w:t>
      </w:r>
    </w:p>
    <w:p w14:paraId="110B8C48" w14:textId="4416EDFF" w:rsidR="00186291" w:rsidRDefault="00AE7ADD" w:rsidP="00AE7ADD">
      <w:pPr>
        <w:spacing w:line="360" w:lineRule="auto"/>
        <w:rPr>
          <w:rFonts w:ascii="Arial" w:hAnsi="Arial" w:cs="Arial"/>
          <w:sz w:val="22"/>
          <w:szCs w:val="22"/>
        </w:rPr>
      </w:pPr>
      <w:r w:rsidRPr="00AE7ADD">
        <w:rPr>
          <w:rFonts w:ascii="Arial" w:hAnsi="Arial" w:cs="Arial"/>
          <w:sz w:val="22"/>
          <w:szCs w:val="22"/>
        </w:rPr>
        <w:t>FIN ALGORITMO</w:t>
      </w:r>
    </w:p>
    <w:p w14:paraId="70B16629" w14:textId="45BDE4A3" w:rsidR="005F74A5" w:rsidRPr="005F74A5" w:rsidRDefault="005F74A5" w:rsidP="005F74A5">
      <w:pPr>
        <w:spacing w:line="360" w:lineRule="auto"/>
        <w:ind w:firstLine="720"/>
        <w:rPr>
          <w:rFonts w:ascii="Arial" w:hAnsi="Arial" w:cs="Arial"/>
          <w:sz w:val="22"/>
          <w:szCs w:val="22"/>
        </w:rPr>
      </w:pPr>
      <w:r w:rsidRPr="005F74A5">
        <w:rPr>
          <w:rFonts w:ascii="Arial" w:hAnsi="Arial" w:cs="Arial"/>
          <w:sz w:val="22"/>
          <w:szCs w:val="22"/>
        </w:rPr>
        <w:t>Complementando esta estructura lógica, la geometría analítica proporciona el rigor necesario para proyectar el rendimiento del cultivo, considerando que la calabaza requiere entre 500 y 800 mm de agua para un ciclo óptimo. Al establecer una relación lineal entre la lluvia recibida y el éxito de la cosecha, y calculando la pendiente con datos de referencia donde 500 mm equivalen al 60% de rendimiento y 700 mm al 85%, se obtiene la ecuación y = 0.125x - 2.5. Este cálculo permite a los productores prever resultados y ajustar sus estrategias según el comportamiento del temporal, mientras que la aplicación de la fórmula de distancia entre dos puntos facilita el análisis de la distribución espacial del clima dentro de las diversas zonas de Milpa Alta. La unión de estas herramientas de análisis numérico y lógico no solo optimiza la selección de fechas de siembra, sino que fortalece la resiliencia productiva frente a periodos críticos como la canícula, garantizando la estabilidad de la cosecha a través de la precisión de los datos.</w:t>
      </w:r>
    </w:p>
    <w:p w14:paraId="167CE055" w14:textId="77777777" w:rsidR="00AE7ADD" w:rsidRPr="009E3D62" w:rsidRDefault="00AE7ADD" w:rsidP="00AE7ADD">
      <w:pPr>
        <w:spacing w:line="360" w:lineRule="auto"/>
        <w:rPr>
          <w:rFonts w:ascii="Arial" w:hAnsi="Arial" w:cs="Arial"/>
          <w:sz w:val="22"/>
          <w:szCs w:val="22"/>
        </w:rPr>
      </w:pPr>
    </w:p>
    <w:p w14:paraId="4D93F768" w14:textId="77777777" w:rsidR="00186291" w:rsidRPr="009E3D62" w:rsidRDefault="00186291" w:rsidP="009E3D62">
      <w:pPr>
        <w:spacing w:line="360" w:lineRule="auto"/>
        <w:rPr>
          <w:rFonts w:ascii="Arial" w:hAnsi="Arial" w:cs="Arial"/>
          <w:sz w:val="22"/>
          <w:szCs w:val="22"/>
        </w:rPr>
      </w:pPr>
    </w:p>
    <w:p w14:paraId="200A3571" w14:textId="77777777" w:rsidR="00186291" w:rsidRPr="009E3D62" w:rsidRDefault="00186291" w:rsidP="009E3D62">
      <w:pPr>
        <w:spacing w:line="360" w:lineRule="auto"/>
        <w:rPr>
          <w:rFonts w:ascii="Arial" w:hAnsi="Arial" w:cs="Arial"/>
          <w:sz w:val="22"/>
          <w:szCs w:val="22"/>
        </w:rPr>
      </w:pPr>
    </w:p>
    <w:p w14:paraId="1B1A956B" w14:textId="77777777" w:rsidR="00186291" w:rsidRPr="009E3D62" w:rsidRDefault="00186291" w:rsidP="009E3D62">
      <w:pPr>
        <w:spacing w:line="360" w:lineRule="auto"/>
        <w:rPr>
          <w:rFonts w:ascii="Arial" w:hAnsi="Arial" w:cs="Arial"/>
          <w:sz w:val="22"/>
          <w:szCs w:val="22"/>
        </w:rPr>
      </w:pPr>
    </w:p>
    <w:p w14:paraId="2DF94D7E" w14:textId="77777777" w:rsidR="00186291" w:rsidRPr="00186291" w:rsidRDefault="00186291" w:rsidP="009E3D62">
      <w:pPr>
        <w:spacing w:line="360" w:lineRule="auto"/>
        <w:rPr>
          <w:rFonts w:ascii="Arial" w:hAnsi="Arial" w:cs="Arial"/>
          <w:sz w:val="22"/>
          <w:szCs w:val="22"/>
        </w:rPr>
      </w:pPr>
    </w:p>
    <w:p w14:paraId="3FDD4150" w14:textId="77777777" w:rsidR="00ED6CCE" w:rsidRDefault="00ED6CCE" w:rsidP="009E3D62">
      <w:pPr>
        <w:spacing w:line="360" w:lineRule="auto"/>
        <w:ind w:firstLine="720"/>
        <w:rPr>
          <w:rFonts w:ascii="Arial" w:hAnsi="Arial" w:cs="Arial"/>
          <w:b/>
          <w:bCs/>
          <w:sz w:val="22"/>
          <w:szCs w:val="22"/>
        </w:rPr>
      </w:pPr>
    </w:p>
    <w:p w14:paraId="1EBFA154" w14:textId="77777777" w:rsidR="00ED6CCE" w:rsidRDefault="00ED6CCE" w:rsidP="009E3D62">
      <w:pPr>
        <w:spacing w:line="360" w:lineRule="auto"/>
        <w:ind w:firstLine="720"/>
        <w:rPr>
          <w:rFonts w:ascii="Arial" w:hAnsi="Arial" w:cs="Arial"/>
          <w:b/>
          <w:bCs/>
          <w:sz w:val="22"/>
          <w:szCs w:val="22"/>
        </w:rPr>
      </w:pPr>
    </w:p>
    <w:p w14:paraId="79999865" w14:textId="261F6DAF" w:rsidR="00186291" w:rsidRPr="00186291" w:rsidRDefault="00186291" w:rsidP="009E3D62">
      <w:pPr>
        <w:spacing w:line="360" w:lineRule="auto"/>
        <w:ind w:firstLine="720"/>
        <w:rPr>
          <w:rFonts w:ascii="Arial" w:hAnsi="Arial" w:cs="Arial"/>
          <w:b/>
          <w:bCs/>
          <w:sz w:val="22"/>
          <w:szCs w:val="22"/>
        </w:rPr>
      </w:pPr>
      <w:r w:rsidRPr="00186291">
        <w:rPr>
          <w:rFonts w:ascii="Arial" w:hAnsi="Arial" w:cs="Arial"/>
          <w:b/>
          <w:bCs/>
          <w:sz w:val="22"/>
          <w:szCs w:val="22"/>
        </w:rPr>
        <w:lastRenderedPageBreak/>
        <w:t>Modelado Matemático y Dimensión Social</w:t>
      </w:r>
    </w:p>
    <w:p w14:paraId="14786097" w14:textId="71C53C3B" w:rsidR="00186291" w:rsidRPr="00186291" w:rsidRDefault="00186291" w:rsidP="009E3D62">
      <w:pPr>
        <w:spacing w:line="360" w:lineRule="auto"/>
        <w:ind w:firstLine="720"/>
        <w:rPr>
          <w:rFonts w:ascii="Arial" w:hAnsi="Arial" w:cs="Arial"/>
          <w:sz w:val="22"/>
          <w:szCs w:val="22"/>
        </w:rPr>
      </w:pPr>
      <w:r w:rsidRPr="00186291">
        <w:rPr>
          <w:rFonts w:ascii="Arial" w:hAnsi="Arial" w:cs="Arial"/>
          <w:sz w:val="22"/>
          <w:szCs w:val="22"/>
        </w:rPr>
        <w:t xml:space="preserve">La precisión de este algoritmo se sustenta en modelos de </w:t>
      </w:r>
      <w:r w:rsidRPr="00186291">
        <w:rPr>
          <w:rFonts w:ascii="Arial" w:hAnsi="Arial" w:cs="Arial"/>
          <w:b/>
          <w:bCs/>
          <w:sz w:val="22"/>
          <w:szCs w:val="22"/>
        </w:rPr>
        <w:t>geometría analítica</w:t>
      </w:r>
      <w:r w:rsidRPr="00186291">
        <w:rPr>
          <w:rFonts w:ascii="Arial" w:hAnsi="Arial" w:cs="Arial"/>
          <w:sz w:val="22"/>
          <w:szCs w:val="22"/>
        </w:rPr>
        <w:t xml:space="preserve"> y </w:t>
      </w:r>
      <w:r w:rsidRPr="00186291">
        <w:rPr>
          <w:rFonts w:ascii="Arial" w:hAnsi="Arial" w:cs="Arial"/>
          <w:b/>
          <w:bCs/>
          <w:sz w:val="22"/>
          <w:szCs w:val="22"/>
        </w:rPr>
        <w:t>matemáticas discretas</w:t>
      </w:r>
      <w:r w:rsidRPr="00186291">
        <w:rPr>
          <w:rFonts w:ascii="Arial" w:hAnsi="Arial" w:cs="Arial"/>
          <w:sz w:val="22"/>
          <w:szCs w:val="22"/>
        </w:rPr>
        <w:t>. El rendimiento del cultivo de calabaza, que requiere entre 500 y 800 mm de agua, se modela mediante la ecuación lineal y = 0.125x - 2.5. En este modelo, si tenemos una precipitación (x) de 700 mm, el rendimiento esperado (y) es del 85%. Asimismo, la probabilidad combinada de éxito, definida como</w:t>
      </w:r>
      <w:r w:rsidR="00276369" w:rsidRPr="009E3D62">
        <w:rPr>
          <w:rFonts w:ascii="Arial" w:hAnsi="Arial" w:cs="Arial"/>
          <w:sz w:val="22"/>
          <w:szCs w:val="22"/>
        </w:rPr>
        <w:t xml:space="preserve"> </w:t>
      </w:r>
      <w:proofErr w:type="gramStart"/>
      <w:r w:rsidRPr="00186291">
        <w:rPr>
          <w:rFonts w:ascii="Arial" w:hAnsi="Arial" w:cs="Arial"/>
          <w:sz w:val="22"/>
          <w:szCs w:val="22"/>
        </w:rPr>
        <w:t>P(</w:t>
      </w:r>
      <w:proofErr w:type="gramEnd"/>
      <w:r w:rsidRPr="00186291">
        <w:rPr>
          <w:rFonts w:ascii="Arial" w:hAnsi="Arial" w:cs="Arial"/>
          <w:sz w:val="22"/>
          <w:szCs w:val="22"/>
        </w:rPr>
        <w:t>A</w:t>
      </w:r>
      <w:r w:rsidR="00276369" w:rsidRPr="009E3D62">
        <w:rPr>
          <w:rFonts w:ascii="Arial" w:hAnsi="Arial" w:cs="Arial"/>
          <w:sz w:val="22"/>
          <w:szCs w:val="22"/>
        </w:rPr>
        <w:t xml:space="preserve"> </w:t>
      </w:r>
      <w:r w:rsidR="009E3D62" w:rsidRPr="009E3D62">
        <w:rPr>
          <w:rFonts w:ascii="Arial" w:hAnsi="Arial" w:cs="Arial"/>
          <w:sz w:val="22"/>
          <w:szCs w:val="22"/>
        </w:rPr>
        <w:t>∩</w:t>
      </w:r>
      <w:r w:rsidR="00276369" w:rsidRPr="009E3D62">
        <w:rPr>
          <w:rFonts w:ascii="Arial" w:hAnsi="Arial" w:cs="Arial"/>
          <w:sz w:val="22"/>
          <w:szCs w:val="22"/>
        </w:rPr>
        <w:t xml:space="preserve"> </w:t>
      </w:r>
      <w:r w:rsidRPr="00186291">
        <w:rPr>
          <w:rFonts w:ascii="Arial" w:hAnsi="Arial" w:cs="Arial"/>
          <w:sz w:val="22"/>
          <w:szCs w:val="22"/>
        </w:rPr>
        <w:t>B), permite determinar que, con un 70% de probabilidad de lluvia y 80% de condiciones óptimas, existe un 56% de certeza para el éxito de la cosecha.</w:t>
      </w:r>
    </w:p>
    <w:p w14:paraId="691E4B1B" w14:textId="5E1A4EC5" w:rsidR="00186291" w:rsidRPr="00186291" w:rsidRDefault="00186291" w:rsidP="009E3D62">
      <w:pPr>
        <w:spacing w:line="360" w:lineRule="auto"/>
        <w:ind w:firstLine="720"/>
        <w:rPr>
          <w:rFonts w:ascii="Arial" w:hAnsi="Arial" w:cs="Arial"/>
          <w:sz w:val="22"/>
          <w:szCs w:val="22"/>
        </w:rPr>
      </w:pPr>
      <w:r w:rsidRPr="00186291">
        <w:rPr>
          <w:rFonts w:ascii="Arial" w:hAnsi="Arial" w:cs="Arial"/>
          <w:sz w:val="22"/>
          <w:szCs w:val="22"/>
        </w:rPr>
        <w:t xml:space="preserve">Este respaldo científico se implementa con una </w:t>
      </w:r>
      <w:r w:rsidRPr="00186291">
        <w:rPr>
          <w:rFonts w:ascii="Arial" w:hAnsi="Arial" w:cs="Arial"/>
          <w:b/>
          <w:bCs/>
          <w:sz w:val="22"/>
          <w:szCs w:val="22"/>
        </w:rPr>
        <w:t>perspectiva de género</w:t>
      </w:r>
      <w:r w:rsidRPr="00186291">
        <w:rPr>
          <w:rFonts w:ascii="Arial" w:hAnsi="Arial" w:cs="Arial"/>
          <w:sz w:val="22"/>
          <w:szCs w:val="22"/>
        </w:rPr>
        <w:t xml:space="preserve"> crítica. En Milpa Alta, solo el 27% de las mujeres en unidades productivas poseen titularidad de derechos agrarios, a pesar de enfrentar dobles o triples jornadas laborales. Por ello, la herramienta tecnológica actúa como un mecanismo de empoderamiento social. No se trata solo de datos, sino de democratizar el acceso a la información para que las mujeres, a menudo las principales cuidadoras de la tierra, optimicen su tiempo y protejan su sustento económico ante fenómenos como la canícula o </w:t>
      </w:r>
      <w:r w:rsidRPr="009E3D62">
        <w:rPr>
          <w:rFonts w:ascii="Arial" w:hAnsi="Arial" w:cs="Arial"/>
          <w:sz w:val="22"/>
          <w:szCs w:val="22"/>
        </w:rPr>
        <w:t xml:space="preserve">las </w:t>
      </w:r>
      <w:r w:rsidRPr="00186291">
        <w:rPr>
          <w:rFonts w:ascii="Arial" w:hAnsi="Arial" w:cs="Arial"/>
          <w:sz w:val="22"/>
          <w:szCs w:val="22"/>
        </w:rPr>
        <w:t>sequías tempranas.</w:t>
      </w:r>
    </w:p>
    <w:p w14:paraId="02BECE2A" w14:textId="40AAE1D5" w:rsidR="00186291" w:rsidRDefault="00186291" w:rsidP="009E3D62">
      <w:pPr>
        <w:spacing w:line="360" w:lineRule="auto"/>
        <w:ind w:firstLine="720"/>
        <w:rPr>
          <w:rFonts w:ascii="Arial" w:hAnsi="Arial" w:cs="Arial"/>
          <w:sz w:val="22"/>
          <w:szCs w:val="22"/>
        </w:rPr>
      </w:pPr>
      <w:r w:rsidRPr="00186291">
        <w:rPr>
          <w:rFonts w:ascii="Arial" w:hAnsi="Arial" w:cs="Arial"/>
          <w:sz w:val="22"/>
          <w:szCs w:val="22"/>
        </w:rPr>
        <w:t xml:space="preserve">Al unir el rigor matemático (logística proposicional p </w:t>
      </w:r>
      <w:r w:rsidRPr="009E3D62">
        <w:rPr>
          <w:rFonts w:ascii="Arial" w:hAnsi="Arial" w:cs="Arial"/>
          <w:b/>
          <w:bCs/>
          <w:sz w:val="22"/>
          <w:szCs w:val="22"/>
        </w:rPr>
        <w:t>→</w:t>
      </w:r>
      <w:r w:rsidRPr="00186291">
        <w:rPr>
          <w:rFonts w:ascii="Arial" w:hAnsi="Arial" w:cs="Arial"/>
          <w:sz w:val="22"/>
          <w:szCs w:val="22"/>
        </w:rPr>
        <w:t xml:space="preserve"> q) con un enfoque participativo que valide los saberes tradicionales, la tecnología permite que las productoras de Milpa Alta pasen de ser espectadoras de la crisis climática a gestoras resilientes de su territorio, reduciendo las brechas de desigualdad mediante el uso estratégico de la información agrometeorológica.</w:t>
      </w:r>
    </w:p>
    <w:p w14:paraId="70FDF648" w14:textId="77777777" w:rsidR="00ED6CCE" w:rsidRDefault="00ED6CCE" w:rsidP="006B0343">
      <w:pPr>
        <w:spacing w:line="360" w:lineRule="auto"/>
        <w:ind w:firstLine="720"/>
      </w:pPr>
    </w:p>
    <w:p w14:paraId="367234A0" w14:textId="77777777" w:rsidR="00ED6CCE" w:rsidRDefault="00ED6CCE" w:rsidP="006B0343">
      <w:pPr>
        <w:spacing w:line="360" w:lineRule="auto"/>
        <w:ind w:firstLine="720"/>
      </w:pPr>
    </w:p>
    <w:p w14:paraId="4BB3E7BD" w14:textId="77777777" w:rsidR="00ED6CCE" w:rsidRDefault="00ED6CCE" w:rsidP="006B0343">
      <w:pPr>
        <w:spacing w:line="360" w:lineRule="auto"/>
        <w:ind w:firstLine="720"/>
      </w:pPr>
    </w:p>
    <w:p w14:paraId="2F34C903" w14:textId="77777777" w:rsidR="00ED6CCE" w:rsidRDefault="00ED6CCE" w:rsidP="006B0343">
      <w:pPr>
        <w:spacing w:line="360" w:lineRule="auto"/>
        <w:ind w:firstLine="720"/>
      </w:pPr>
    </w:p>
    <w:p w14:paraId="652A2B67" w14:textId="77777777" w:rsidR="00ED6CCE" w:rsidRDefault="00ED6CCE" w:rsidP="006B0343">
      <w:pPr>
        <w:spacing w:line="360" w:lineRule="auto"/>
        <w:ind w:firstLine="720"/>
      </w:pPr>
    </w:p>
    <w:p w14:paraId="4EABBF84" w14:textId="77777777" w:rsidR="00ED6CCE" w:rsidRDefault="00ED6CCE" w:rsidP="006B0343">
      <w:pPr>
        <w:spacing w:line="360" w:lineRule="auto"/>
        <w:ind w:firstLine="720"/>
      </w:pPr>
    </w:p>
    <w:p w14:paraId="5F8B5422" w14:textId="77777777" w:rsidR="00ED6CCE" w:rsidRDefault="00ED6CCE" w:rsidP="006B0343">
      <w:pPr>
        <w:spacing w:line="360" w:lineRule="auto"/>
        <w:ind w:firstLine="720"/>
      </w:pPr>
    </w:p>
    <w:p w14:paraId="2955574F" w14:textId="77777777" w:rsidR="00ED6CCE" w:rsidRDefault="00ED6CCE" w:rsidP="006B0343">
      <w:pPr>
        <w:spacing w:line="360" w:lineRule="auto"/>
        <w:ind w:firstLine="720"/>
      </w:pPr>
    </w:p>
    <w:p w14:paraId="754673CD" w14:textId="77777777" w:rsidR="003A76EC" w:rsidRPr="003A76EC" w:rsidRDefault="003A76EC" w:rsidP="003A76EC">
      <w:pPr>
        <w:spacing w:line="360" w:lineRule="auto"/>
        <w:ind w:firstLine="720"/>
        <w:rPr>
          <w:rFonts w:ascii="Arial" w:hAnsi="Arial" w:cs="Arial"/>
          <w:b/>
          <w:bCs/>
          <w:sz w:val="22"/>
          <w:szCs w:val="22"/>
        </w:rPr>
      </w:pPr>
      <w:r w:rsidRPr="003A76EC">
        <w:rPr>
          <w:rFonts w:ascii="Arial" w:hAnsi="Arial" w:cs="Arial"/>
          <w:b/>
          <w:bCs/>
          <w:sz w:val="22"/>
          <w:szCs w:val="22"/>
        </w:rPr>
        <w:lastRenderedPageBreak/>
        <w:t>Aplicación de administración empresarial y ciencias de datos en el proyecto</w:t>
      </w:r>
    </w:p>
    <w:p w14:paraId="2AD574AA" w14:textId="6E3C9039" w:rsidR="003A76EC" w:rsidRPr="003A76EC" w:rsidRDefault="003A76EC" w:rsidP="003A76EC">
      <w:pPr>
        <w:spacing w:line="360" w:lineRule="auto"/>
        <w:ind w:firstLine="720"/>
        <w:rPr>
          <w:rFonts w:ascii="Arial" w:hAnsi="Arial" w:cs="Arial"/>
          <w:sz w:val="22"/>
          <w:szCs w:val="22"/>
        </w:rPr>
      </w:pPr>
      <w:r w:rsidRPr="003A76EC">
        <w:rPr>
          <w:rFonts w:ascii="Arial" w:hAnsi="Arial" w:cs="Arial"/>
          <w:sz w:val="22"/>
          <w:szCs w:val="22"/>
        </w:rPr>
        <w:t xml:space="preserve">Para que el sistema de gestión del riesgo agrícola sea operable, escalable y sostenible en Milpa Alta, es indispensable </w:t>
      </w:r>
      <w:r w:rsidR="00312FD5">
        <w:rPr>
          <w:rFonts w:ascii="Arial" w:hAnsi="Arial" w:cs="Arial"/>
          <w:sz w:val="22"/>
          <w:szCs w:val="22"/>
        </w:rPr>
        <w:t xml:space="preserve">contar con </w:t>
      </w:r>
      <w:r w:rsidRPr="003A76EC">
        <w:rPr>
          <w:rFonts w:ascii="Arial" w:hAnsi="Arial" w:cs="Arial"/>
          <w:sz w:val="22"/>
          <w:szCs w:val="22"/>
        </w:rPr>
        <w:t>una estructura administrativa sólida que articule recursos humanos, financieros, tecnológicos y organizativos. Desde la administración empresarial y el enfoque de ciencia de datos, se proponen diversas herramientas adaptadas al contexto comunitario y de agricultura local.</w:t>
      </w:r>
    </w:p>
    <w:p w14:paraId="59E95487" w14:textId="2EFBB298" w:rsidR="003A76EC" w:rsidRPr="003A76EC" w:rsidRDefault="003A76EC" w:rsidP="003A76EC">
      <w:pPr>
        <w:spacing w:line="360" w:lineRule="auto"/>
        <w:ind w:firstLine="720"/>
        <w:rPr>
          <w:rFonts w:ascii="Arial" w:hAnsi="Arial" w:cs="Arial"/>
          <w:sz w:val="22"/>
          <w:szCs w:val="22"/>
        </w:rPr>
      </w:pPr>
      <w:r w:rsidRPr="003A76EC">
        <w:rPr>
          <w:rFonts w:ascii="Arial" w:hAnsi="Arial" w:cs="Arial"/>
          <w:sz w:val="22"/>
          <w:szCs w:val="22"/>
        </w:rPr>
        <w:t>En primer lugar, se emplea el análisis FODA (Fortalezas, Oportunidades, Debilidades y Amenazas), el cual permite realizar un diagnóstico integral de las condiciones internas y externas del proyecto. Esta herramienta facilita la identificación de capacidades locales (como el conocimiento tradicional de las productoras), así como riesgos externos (variabilidad climática, acceso limitado a financiamiento o tecnología), permitiendo definir estrategias adaptativas</w:t>
      </w:r>
      <w:r w:rsidR="00154FE2">
        <w:rPr>
          <w:rFonts w:ascii="Arial" w:hAnsi="Arial" w:cs="Arial"/>
          <w:sz w:val="22"/>
          <w:szCs w:val="22"/>
        </w:rPr>
        <w:t>.</w:t>
      </w:r>
    </w:p>
    <w:p w14:paraId="675CB6C7" w14:textId="42CFBBE3" w:rsidR="003A76EC" w:rsidRPr="003A76EC" w:rsidRDefault="003A76EC" w:rsidP="003A76EC">
      <w:pPr>
        <w:spacing w:line="360" w:lineRule="auto"/>
        <w:ind w:firstLine="720"/>
        <w:rPr>
          <w:rFonts w:ascii="Arial" w:hAnsi="Arial" w:cs="Arial"/>
          <w:sz w:val="22"/>
          <w:szCs w:val="22"/>
        </w:rPr>
      </w:pPr>
      <w:r w:rsidRPr="003A76EC">
        <w:rPr>
          <w:rFonts w:ascii="Arial" w:hAnsi="Arial" w:cs="Arial"/>
          <w:sz w:val="22"/>
          <w:szCs w:val="22"/>
        </w:rPr>
        <w:t>En segundo lugar, se diseña un cronograma de actividades mediante un diagrama de Gantt, que organiza temporalmente las etapas del proyecto. Se establecen hitos clave como: la calibración de sensores en la primera semana, la capacitación en pseudocódigo durante la segunda y tercera semana, la siembra en la cuarta semana condicionada mediante operadores lógicos AND y OR, el monitoreo semanal utilizando arreglos de datos de siete días, y la cosecha en la semana doce. Este enfoque permite visualizar la secuencia de tareas, optimizar tiempos y mejorar la coordinación</w:t>
      </w:r>
      <w:r w:rsidR="00154FE2">
        <w:rPr>
          <w:rFonts w:ascii="Arial" w:hAnsi="Arial" w:cs="Arial"/>
          <w:sz w:val="22"/>
          <w:szCs w:val="22"/>
        </w:rPr>
        <w:t>.</w:t>
      </w:r>
    </w:p>
    <w:p w14:paraId="6ADCD42C" w14:textId="7D317E24" w:rsidR="003A76EC" w:rsidRPr="003A76EC" w:rsidRDefault="003A76EC" w:rsidP="003A76EC">
      <w:pPr>
        <w:spacing w:line="360" w:lineRule="auto"/>
        <w:ind w:firstLine="720"/>
        <w:rPr>
          <w:rFonts w:ascii="Arial" w:hAnsi="Arial" w:cs="Arial"/>
          <w:sz w:val="22"/>
          <w:szCs w:val="22"/>
        </w:rPr>
      </w:pPr>
      <w:r w:rsidRPr="003A76EC">
        <w:rPr>
          <w:rFonts w:ascii="Arial" w:hAnsi="Arial" w:cs="Arial"/>
          <w:sz w:val="22"/>
          <w:szCs w:val="22"/>
        </w:rPr>
        <w:t>Adicionalmente, se incorpora la metodología de gestión ágil (Agile), particularmente mediante ciclos iterativos cortos que permiten ajustar el sistema según los datos recolectados y la retroalimentación de las productoras. Esto resulta clave en contextos rurales donde las condiciones cambian rápidamente</w:t>
      </w:r>
      <w:r w:rsidR="00154FE2">
        <w:rPr>
          <w:rFonts w:ascii="Arial" w:hAnsi="Arial" w:cs="Arial"/>
          <w:sz w:val="22"/>
          <w:szCs w:val="22"/>
        </w:rPr>
        <w:t>.</w:t>
      </w:r>
    </w:p>
    <w:p w14:paraId="34C47AB2" w14:textId="5840CD06" w:rsidR="003A76EC" w:rsidRPr="003A76EC" w:rsidRDefault="003A76EC" w:rsidP="003A76EC">
      <w:pPr>
        <w:spacing w:line="360" w:lineRule="auto"/>
        <w:ind w:firstLine="720"/>
        <w:rPr>
          <w:rFonts w:ascii="Arial" w:hAnsi="Arial" w:cs="Arial"/>
          <w:sz w:val="22"/>
          <w:szCs w:val="22"/>
        </w:rPr>
      </w:pPr>
      <w:r w:rsidRPr="003A76EC">
        <w:rPr>
          <w:rFonts w:ascii="Arial" w:hAnsi="Arial" w:cs="Arial"/>
          <w:sz w:val="22"/>
          <w:szCs w:val="22"/>
        </w:rPr>
        <w:t>En el ámbito de las ciencias de datos, el sistema integra sensores para medir variables como humedad del suelo, temperatura y probabilidad de lluvia. Estos datos son procesados mediante algoritmos básicos de decisión que emplean estructuras condicionales (AND, OR) para recomendar acciones como sembrar, regar o esperar. Este enfoque se alinea con los principios de la agricultura de precisión, que busca optimizar recursos mediante el uso de datos</w:t>
      </w:r>
      <w:r w:rsidR="00154FE2">
        <w:rPr>
          <w:rFonts w:ascii="Arial" w:hAnsi="Arial" w:cs="Arial"/>
          <w:sz w:val="22"/>
          <w:szCs w:val="22"/>
        </w:rPr>
        <w:t>.</w:t>
      </w:r>
    </w:p>
    <w:p w14:paraId="70A3C8EA" w14:textId="675CE2E7" w:rsidR="003A76EC" w:rsidRPr="003A76EC" w:rsidRDefault="003A76EC" w:rsidP="003A76EC">
      <w:pPr>
        <w:spacing w:line="360" w:lineRule="auto"/>
        <w:ind w:firstLine="720"/>
        <w:rPr>
          <w:rFonts w:ascii="Arial" w:hAnsi="Arial" w:cs="Arial"/>
          <w:sz w:val="22"/>
          <w:szCs w:val="22"/>
        </w:rPr>
      </w:pPr>
      <w:r w:rsidRPr="003A76EC">
        <w:rPr>
          <w:rFonts w:ascii="Arial" w:hAnsi="Arial" w:cs="Arial"/>
          <w:sz w:val="22"/>
          <w:szCs w:val="22"/>
        </w:rPr>
        <w:t xml:space="preserve">Asimismo, se propone el uso de análisis descriptivo y predictivo. El análisis descriptivo permite visualizar tendencias semanales mediante arreglos de datos, mientras que el análisis </w:t>
      </w:r>
      <w:r w:rsidRPr="003A76EC">
        <w:rPr>
          <w:rFonts w:ascii="Arial" w:hAnsi="Arial" w:cs="Arial"/>
          <w:sz w:val="22"/>
          <w:szCs w:val="22"/>
        </w:rPr>
        <w:lastRenderedPageBreak/>
        <w:t>predictivo, aunque básico, puede estimar probabilidades de lluvia o riesgo de sequía utilizando datos históricos.</w:t>
      </w:r>
    </w:p>
    <w:p w14:paraId="565FB96F" w14:textId="74CDE842" w:rsidR="003A76EC" w:rsidRPr="003A76EC" w:rsidRDefault="003A76EC" w:rsidP="003A76EC">
      <w:pPr>
        <w:spacing w:line="360" w:lineRule="auto"/>
        <w:ind w:firstLine="720"/>
        <w:rPr>
          <w:rFonts w:ascii="Arial" w:hAnsi="Arial" w:cs="Arial"/>
          <w:sz w:val="22"/>
          <w:szCs w:val="22"/>
        </w:rPr>
      </w:pPr>
      <w:r w:rsidRPr="003A76EC">
        <w:rPr>
          <w:rFonts w:ascii="Arial" w:hAnsi="Arial" w:cs="Arial"/>
          <w:sz w:val="22"/>
          <w:szCs w:val="22"/>
        </w:rPr>
        <w:t>Desde la perspectiva organizativa, cada actividad asigna responsables rotativos entre las productoras, promoviendo la equidad en la distribución del trabajo, el aprendizaje colectivo y el fortalecimiento del capital social comunitario. Este enfoque participativo es clave para la sostenibilidad del proyecto</w:t>
      </w:r>
      <w:r w:rsidR="00154FE2">
        <w:rPr>
          <w:rFonts w:ascii="Arial" w:hAnsi="Arial" w:cs="Arial"/>
          <w:sz w:val="22"/>
          <w:szCs w:val="22"/>
        </w:rPr>
        <w:t>.</w:t>
      </w:r>
    </w:p>
    <w:p w14:paraId="3159BE0D" w14:textId="77777777" w:rsidR="003A76EC" w:rsidRPr="003A76EC" w:rsidRDefault="003A76EC" w:rsidP="003A76EC">
      <w:pPr>
        <w:spacing w:line="360" w:lineRule="auto"/>
        <w:ind w:firstLine="720"/>
        <w:rPr>
          <w:rFonts w:ascii="Arial" w:hAnsi="Arial" w:cs="Arial"/>
          <w:sz w:val="22"/>
          <w:szCs w:val="22"/>
        </w:rPr>
      </w:pPr>
      <w:r w:rsidRPr="003A76EC">
        <w:rPr>
          <w:rFonts w:ascii="Arial" w:hAnsi="Arial" w:cs="Arial"/>
          <w:sz w:val="22"/>
          <w:szCs w:val="22"/>
        </w:rPr>
        <w:t>Finalmente, todas estas herramientas se integran en una única plataforma de gestión, donde se visualiza en tiempo real el estado de humedad del suelo, la probabilidad de lluvia y la decisión recomendada por el algoritmo. De manera complementaria, se muestran el cronograma vigente, el presupuesto ejecutado y los responsables asignados. Esta integración entre lógica computacional y administración empresarial permite democratizar el acceso a la información, mejorar la transparencia y fortalecer la resiliencia organizativa de las productoras de Milpa Alta.</w:t>
      </w:r>
    </w:p>
    <w:p w14:paraId="34D0814A" w14:textId="77777777" w:rsidR="00C7432A" w:rsidRDefault="00C7432A" w:rsidP="009E3D62">
      <w:pPr>
        <w:spacing w:line="360" w:lineRule="auto"/>
        <w:ind w:firstLine="720"/>
        <w:rPr>
          <w:rFonts w:ascii="Arial" w:hAnsi="Arial" w:cs="Arial"/>
          <w:sz w:val="22"/>
          <w:szCs w:val="22"/>
        </w:rPr>
      </w:pPr>
    </w:p>
    <w:p w14:paraId="237BF144" w14:textId="77777777" w:rsidR="00C7432A" w:rsidRDefault="00C7432A" w:rsidP="009E3D62">
      <w:pPr>
        <w:spacing w:line="360" w:lineRule="auto"/>
        <w:ind w:firstLine="720"/>
        <w:rPr>
          <w:rFonts w:ascii="Arial" w:hAnsi="Arial" w:cs="Arial"/>
          <w:sz w:val="22"/>
          <w:szCs w:val="22"/>
        </w:rPr>
      </w:pPr>
    </w:p>
    <w:p w14:paraId="076DC160" w14:textId="77777777" w:rsidR="00C7432A" w:rsidRDefault="00C7432A" w:rsidP="009E3D62">
      <w:pPr>
        <w:spacing w:line="360" w:lineRule="auto"/>
        <w:ind w:firstLine="720"/>
        <w:rPr>
          <w:rFonts w:ascii="Arial" w:hAnsi="Arial" w:cs="Arial"/>
          <w:sz w:val="22"/>
          <w:szCs w:val="22"/>
        </w:rPr>
      </w:pPr>
    </w:p>
    <w:p w14:paraId="535AC6D3" w14:textId="77777777" w:rsidR="00C7432A" w:rsidRDefault="00C7432A" w:rsidP="009E3D62">
      <w:pPr>
        <w:spacing w:line="360" w:lineRule="auto"/>
        <w:ind w:firstLine="720"/>
        <w:rPr>
          <w:rFonts w:ascii="Arial" w:hAnsi="Arial" w:cs="Arial"/>
          <w:sz w:val="22"/>
          <w:szCs w:val="22"/>
        </w:rPr>
      </w:pPr>
    </w:p>
    <w:p w14:paraId="475C40FC" w14:textId="77777777" w:rsidR="00C7432A" w:rsidRDefault="00C7432A" w:rsidP="009E3D62">
      <w:pPr>
        <w:spacing w:line="360" w:lineRule="auto"/>
        <w:ind w:firstLine="720"/>
        <w:rPr>
          <w:rFonts w:ascii="Arial" w:hAnsi="Arial" w:cs="Arial"/>
          <w:sz w:val="22"/>
          <w:szCs w:val="22"/>
        </w:rPr>
      </w:pPr>
    </w:p>
    <w:p w14:paraId="62A04EF4" w14:textId="77777777" w:rsidR="00C7432A" w:rsidRDefault="00C7432A" w:rsidP="009E3D62">
      <w:pPr>
        <w:spacing w:line="360" w:lineRule="auto"/>
        <w:ind w:firstLine="720"/>
        <w:rPr>
          <w:rFonts w:ascii="Arial" w:hAnsi="Arial" w:cs="Arial"/>
          <w:sz w:val="22"/>
          <w:szCs w:val="22"/>
        </w:rPr>
      </w:pPr>
    </w:p>
    <w:p w14:paraId="50A8F92B" w14:textId="77777777" w:rsidR="00C7432A" w:rsidRDefault="00C7432A" w:rsidP="009E3D62">
      <w:pPr>
        <w:spacing w:line="360" w:lineRule="auto"/>
        <w:ind w:firstLine="720"/>
        <w:rPr>
          <w:rFonts w:ascii="Arial" w:hAnsi="Arial" w:cs="Arial"/>
          <w:sz w:val="22"/>
          <w:szCs w:val="22"/>
        </w:rPr>
      </w:pPr>
    </w:p>
    <w:p w14:paraId="288D7379" w14:textId="77777777" w:rsidR="00ED6CCE" w:rsidRDefault="00ED6CCE" w:rsidP="009E3D62">
      <w:pPr>
        <w:spacing w:line="360" w:lineRule="auto"/>
        <w:ind w:firstLine="720"/>
        <w:rPr>
          <w:rFonts w:ascii="Arial" w:hAnsi="Arial" w:cs="Arial"/>
          <w:sz w:val="22"/>
          <w:szCs w:val="22"/>
        </w:rPr>
      </w:pPr>
    </w:p>
    <w:p w14:paraId="2697DBD8" w14:textId="77777777" w:rsidR="00154FE2" w:rsidRDefault="00154FE2" w:rsidP="009E3D62">
      <w:pPr>
        <w:spacing w:line="360" w:lineRule="auto"/>
        <w:ind w:firstLine="720"/>
        <w:rPr>
          <w:rFonts w:ascii="Arial" w:hAnsi="Arial" w:cs="Arial"/>
          <w:sz w:val="22"/>
          <w:szCs w:val="22"/>
        </w:rPr>
      </w:pPr>
    </w:p>
    <w:p w14:paraId="7D223180" w14:textId="77777777" w:rsidR="00154FE2" w:rsidRDefault="00154FE2" w:rsidP="009E3D62">
      <w:pPr>
        <w:spacing w:line="360" w:lineRule="auto"/>
        <w:ind w:firstLine="720"/>
        <w:rPr>
          <w:rFonts w:ascii="Arial" w:hAnsi="Arial" w:cs="Arial"/>
          <w:sz w:val="22"/>
          <w:szCs w:val="22"/>
        </w:rPr>
      </w:pPr>
    </w:p>
    <w:p w14:paraId="49CBD8E6" w14:textId="77777777" w:rsidR="00154FE2" w:rsidRDefault="00154FE2" w:rsidP="009E3D62">
      <w:pPr>
        <w:spacing w:line="360" w:lineRule="auto"/>
        <w:ind w:firstLine="720"/>
        <w:rPr>
          <w:rFonts w:ascii="Arial" w:hAnsi="Arial" w:cs="Arial"/>
          <w:sz w:val="22"/>
          <w:szCs w:val="22"/>
        </w:rPr>
      </w:pPr>
    </w:p>
    <w:p w14:paraId="18F697F2" w14:textId="77777777" w:rsidR="00154FE2" w:rsidRDefault="00154FE2" w:rsidP="009E3D62">
      <w:pPr>
        <w:spacing w:line="360" w:lineRule="auto"/>
        <w:ind w:firstLine="720"/>
        <w:rPr>
          <w:rFonts w:ascii="Arial" w:hAnsi="Arial" w:cs="Arial"/>
          <w:sz w:val="22"/>
          <w:szCs w:val="22"/>
        </w:rPr>
      </w:pPr>
    </w:p>
    <w:p w14:paraId="0F8A84CE" w14:textId="77777777" w:rsidR="00154FE2" w:rsidRDefault="00154FE2" w:rsidP="009E3D62">
      <w:pPr>
        <w:spacing w:line="360" w:lineRule="auto"/>
        <w:ind w:firstLine="720"/>
        <w:rPr>
          <w:rFonts w:ascii="Arial" w:hAnsi="Arial" w:cs="Arial"/>
          <w:sz w:val="22"/>
          <w:szCs w:val="22"/>
        </w:rPr>
      </w:pPr>
    </w:p>
    <w:p w14:paraId="6863737A" w14:textId="77777777" w:rsidR="00154FE2" w:rsidRDefault="00154FE2" w:rsidP="009E3D62">
      <w:pPr>
        <w:spacing w:line="360" w:lineRule="auto"/>
        <w:ind w:firstLine="720"/>
        <w:rPr>
          <w:rFonts w:ascii="Arial" w:hAnsi="Arial" w:cs="Arial"/>
          <w:sz w:val="22"/>
          <w:szCs w:val="22"/>
        </w:rPr>
      </w:pPr>
    </w:p>
    <w:p w14:paraId="499DC21F" w14:textId="50159E37" w:rsidR="00C7432A" w:rsidRPr="0023383A" w:rsidRDefault="00ED6CCE" w:rsidP="009E3D62">
      <w:pPr>
        <w:spacing w:line="360" w:lineRule="auto"/>
        <w:ind w:firstLine="720"/>
        <w:rPr>
          <w:rFonts w:ascii="Arial" w:hAnsi="Arial" w:cs="Arial"/>
          <w:b/>
          <w:bCs/>
          <w:sz w:val="22"/>
          <w:szCs w:val="22"/>
        </w:rPr>
      </w:pPr>
      <w:r w:rsidRPr="0023383A">
        <w:rPr>
          <w:rFonts w:ascii="Arial" w:hAnsi="Arial" w:cs="Arial"/>
          <w:b/>
          <w:bCs/>
          <w:sz w:val="22"/>
          <w:szCs w:val="22"/>
        </w:rPr>
        <w:lastRenderedPageBreak/>
        <w:t>R</w:t>
      </w:r>
      <w:r w:rsidR="005B0034" w:rsidRPr="0023383A">
        <w:rPr>
          <w:rFonts w:ascii="Arial" w:hAnsi="Arial" w:cs="Arial"/>
          <w:b/>
          <w:bCs/>
          <w:sz w:val="22"/>
          <w:szCs w:val="22"/>
        </w:rPr>
        <w:t>eferencias</w:t>
      </w:r>
    </w:p>
    <w:p w14:paraId="197FB1C5" w14:textId="77777777" w:rsidR="00023509" w:rsidRPr="00023509" w:rsidRDefault="00023509" w:rsidP="0023383A">
      <w:pPr>
        <w:spacing w:line="360" w:lineRule="auto"/>
        <w:ind w:left="709" w:hanging="709"/>
        <w:rPr>
          <w:rFonts w:ascii="Arial" w:hAnsi="Arial" w:cs="Arial"/>
          <w:sz w:val="22"/>
          <w:szCs w:val="22"/>
        </w:rPr>
      </w:pPr>
      <w:r w:rsidRPr="00023509">
        <w:rPr>
          <w:rFonts w:ascii="Arial" w:hAnsi="Arial" w:cs="Arial"/>
          <w:sz w:val="22"/>
          <w:szCs w:val="22"/>
        </w:rPr>
        <w:t xml:space="preserve">Cairó, O. (2005). </w:t>
      </w:r>
      <w:r w:rsidRPr="00023509">
        <w:rPr>
          <w:rFonts w:ascii="Arial" w:hAnsi="Arial" w:cs="Arial"/>
          <w:i/>
          <w:iCs/>
          <w:sz w:val="22"/>
          <w:szCs w:val="22"/>
        </w:rPr>
        <w:t>Metodología de la programación: Algoritmos, diagramas de flujo y programas</w:t>
      </w:r>
      <w:r w:rsidRPr="00023509">
        <w:rPr>
          <w:rFonts w:ascii="Arial" w:hAnsi="Arial" w:cs="Arial"/>
          <w:sz w:val="22"/>
          <w:szCs w:val="22"/>
        </w:rPr>
        <w:t>. Alfaomega.</w:t>
      </w:r>
      <w:r w:rsidRPr="00023509">
        <w:rPr>
          <w:rFonts w:ascii="Arial" w:hAnsi="Arial" w:cs="Arial"/>
          <w:sz w:val="22"/>
          <w:szCs w:val="22"/>
        </w:rPr>
        <w:br/>
      </w:r>
      <w:r w:rsidRPr="00023509">
        <w:rPr>
          <w:rFonts w:ascii="Arial" w:hAnsi="Arial" w:cs="Arial"/>
          <w:sz w:val="22"/>
          <w:szCs w:val="22"/>
        </w:rPr>
        <w:t> </w:t>
      </w:r>
      <w:r w:rsidRPr="00023509">
        <w:rPr>
          <w:rFonts w:ascii="Arial" w:hAnsi="Arial" w:cs="Arial"/>
          <w:sz w:val="22"/>
          <w:szCs w:val="22"/>
        </w:rPr>
        <w:t> </w:t>
      </w:r>
      <w:hyperlink r:id="rId8" w:tgtFrame="_new" w:history="1">
        <w:r w:rsidRPr="00023509">
          <w:rPr>
            <w:rStyle w:val="Hipervnculo"/>
            <w:rFonts w:ascii="Arial" w:hAnsi="Arial" w:cs="Arial"/>
            <w:sz w:val="22"/>
            <w:szCs w:val="22"/>
          </w:rPr>
          <w:t>https://www.alfaomega.com.mx/default/catalogo/metodologia-de-la-programacion-algoritmos-diagramas-de-flujo-y-programas-3ra-edicion.html</w:t>
        </w:r>
      </w:hyperlink>
    </w:p>
    <w:p w14:paraId="52D385BE" w14:textId="77777777" w:rsidR="00023509" w:rsidRPr="00023509" w:rsidRDefault="00023509" w:rsidP="0023383A">
      <w:pPr>
        <w:spacing w:line="360" w:lineRule="auto"/>
        <w:ind w:left="709" w:hanging="709"/>
        <w:rPr>
          <w:rFonts w:ascii="Arial" w:hAnsi="Arial" w:cs="Arial"/>
          <w:sz w:val="22"/>
          <w:szCs w:val="22"/>
        </w:rPr>
      </w:pPr>
      <w:r w:rsidRPr="00023509">
        <w:rPr>
          <w:rFonts w:ascii="Arial" w:hAnsi="Arial" w:cs="Arial"/>
          <w:sz w:val="22"/>
          <w:szCs w:val="22"/>
        </w:rPr>
        <w:t xml:space="preserve">Cardona Patiño, C. (2017). </w:t>
      </w:r>
      <w:r w:rsidRPr="00023509">
        <w:rPr>
          <w:rFonts w:ascii="Arial" w:hAnsi="Arial" w:cs="Arial"/>
          <w:i/>
          <w:iCs/>
          <w:sz w:val="22"/>
          <w:szCs w:val="22"/>
        </w:rPr>
        <w:t>Lógica de programación</w:t>
      </w:r>
      <w:r w:rsidRPr="00023509">
        <w:rPr>
          <w:rFonts w:ascii="Arial" w:hAnsi="Arial" w:cs="Arial"/>
          <w:sz w:val="22"/>
          <w:szCs w:val="22"/>
        </w:rPr>
        <w:t>. Fundación Universitaria del Área Andina.</w:t>
      </w:r>
      <w:r w:rsidRPr="00023509">
        <w:rPr>
          <w:rFonts w:ascii="Arial" w:hAnsi="Arial" w:cs="Arial"/>
          <w:sz w:val="22"/>
          <w:szCs w:val="22"/>
        </w:rPr>
        <w:br/>
      </w:r>
      <w:r w:rsidRPr="00023509">
        <w:rPr>
          <w:rFonts w:ascii="Arial" w:hAnsi="Arial" w:cs="Arial"/>
          <w:sz w:val="22"/>
          <w:szCs w:val="22"/>
        </w:rPr>
        <w:t> </w:t>
      </w:r>
      <w:r w:rsidRPr="00023509">
        <w:rPr>
          <w:rFonts w:ascii="Arial" w:hAnsi="Arial" w:cs="Arial"/>
          <w:sz w:val="22"/>
          <w:szCs w:val="22"/>
        </w:rPr>
        <w:t> </w:t>
      </w:r>
      <w:hyperlink r:id="rId9" w:tgtFrame="_new" w:history="1">
        <w:r w:rsidRPr="00023509">
          <w:rPr>
            <w:rStyle w:val="Hipervnculo"/>
            <w:rFonts w:ascii="Arial" w:hAnsi="Arial" w:cs="Arial"/>
            <w:sz w:val="22"/>
            <w:szCs w:val="22"/>
          </w:rPr>
          <w:t>https://digitk.areandina.edu.co/handle/areandina/1231</w:t>
        </w:r>
      </w:hyperlink>
    </w:p>
    <w:p w14:paraId="17BEA630" w14:textId="77777777" w:rsidR="00023509" w:rsidRPr="00023509" w:rsidRDefault="00023509" w:rsidP="0023383A">
      <w:pPr>
        <w:spacing w:line="360" w:lineRule="auto"/>
        <w:ind w:left="709" w:hanging="709"/>
        <w:rPr>
          <w:rFonts w:ascii="Arial" w:hAnsi="Arial" w:cs="Arial"/>
          <w:sz w:val="22"/>
          <w:szCs w:val="22"/>
        </w:rPr>
      </w:pPr>
      <w:r w:rsidRPr="00023509">
        <w:rPr>
          <w:rFonts w:ascii="Arial" w:hAnsi="Arial" w:cs="Arial"/>
          <w:sz w:val="22"/>
          <w:szCs w:val="22"/>
        </w:rPr>
        <w:t xml:space="preserve">Comisión Nacional del Agua [CONAGUA]. (2024). </w:t>
      </w:r>
      <w:r w:rsidRPr="00023509">
        <w:rPr>
          <w:rFonts w:ascii="Arial" w:hAnsi="Arial" w:cs="Arial"/>
          <w:i/>
          <w:iCs/>
          <w:sz w:val="22"/>
          <w:szCs w:val="22"/>
        </w:rPr>
        <w:t>Monitor de sequía en México</w:t>
      </w:r>
      <w:r w:rsidRPr="00023509">
        <w:rPr>
          <w:rFonts w:ascii="Arial" w:hAnsi="Arial" w:cs="Arial"/>
          <w:sz w:val="22"/>
          <w:szCs w:val="22"/>
        </w:rPr>
        <w:t>. Gobierno de México.</w:t>
      </w:r>
      <w:r w:rsidRPr="00023509">
        <w:rPr>
          <w:rFonts w:ascii="Arial" w:hAnsi="Arial" w:cs="Arial"/>
          <w:sz w:val="22"/>
          <w:szCs w:val="22"/>
        </w:rPr>
        <w:br/>
      </w:r>
      <w:r w:rsidRPr="00023509">
        <w:rPr>
          <w:rFonts w:ascii="Arial" w:hAnsi="Arial" w:cs="Arial"/>
          <w:sz w:val="22"/>
          <w:szCs w:val="22"/>
        </w:rPr>
        <w:t> </w:t>
      </w:r>
      <w:r w:rsidRPr="00023509">
        <w:rPr>
          <w:rFonts w:ascii="Arial" w:hAnsi="Arial" w:cs="Arial"/>
          <w:sz w:val="22"/>
          <w:szCs w:val="22"/>
        </w:rPr>
        <w:t> </w:t>
      </w:r>
      <w:hyperlink r:id="rId10" w:tgtFrame="_new" w:history="1">
        <w:r w:rsidRPr="00023509">
          <w:rPr>
            <w:rStyle w:val="Hipervnculo"/>
            <w:rFonts w:ascii="Arial" w:hAnsi="Arial" w:cs="Arial"/>
            <w:sz w:val="22"/>
            <w:szCs w:val="22"/>
          </w:rPr>
          <w:t>https://smn.conagua.gob.mx/es/climatologia/monitor-de-sequia/monitor-de-sequia-en-mexico</w:t>
        </w:r>
      </w:hyperlink>
    </w:p>
    <w:p w14:paraId="07FA42F4" w14:textId="77777777" w:rsidR="00023509" w:rsidRPr="00023509" w:rsidRDefault="00023509" w:rsidP="0023383A">
      <w:pPr>
        <w:spacing w:line="360" w:lineRule="auto"/>
        <w:ind w:left="709" w:hanging="709"/>
        <w:rPr>
          <w:rFonts w:ascii="Arial" w:hAnsi="Arial" w:cs="Arial"/>
          <w:sz w:val="22"/>
          <w:szCs w:val="22"/>
        </w:rPr>
      </w:pPr>
      <w:r w:rsidRPr="00023509">
        <w:rPr>
          <w:rFonts w:ascii="Arial" w:hAnsi="Arial" w:cs="Arial"/>
          <w:sz w:val="22"/>
          <w:szCs w:val="22"/>
        </w:rPr>
        <w:t xml:space="preserve">Epp, S. S. (2011). </w:t>
      </w:r>
      <w:r w:rsidRPr="00023509">
        <w:rPr>
          <w:rFonts w:ascii="Arial" w:hAnsi="Arial" w:cs="Arial"/>
          <w:i/>
          <w:iCs/>
          <w:sz w:val="22"/>
          <w:szCs w:val="22"/>
        </w:rPr>
        <w:t>Matemáticas discretas con aplicaciones</w:t>
      </w:r>
      <w:r w:rsidRPr="00023509">
        <w:rPr>
          <w:rFonts w:ascii="Arial" w:hAnsi="Arial" w:cs="Arial"/>
          <w:sz w:val="22"/>
          <w:szCs w:val="22"/>
        </w:rPr>
        <w:t xml:space="preserve"> (4.ª ed.). Cengage Learning.</w:t>
      </w:r>
    </w:p>
    <w:p w14:paraId="26E73101" w14:textId="77777777" w:rsidR="00023509" w:rsidRPr="00023509" w:rsidRDefault="00023509" w:rsidP="0023383A">
      <w:pPr>
        <w:spacing w:line="360" w:lineRule="auto"/>
        <w:ind w:left="709" w:hanging="709"/>
        <w:rPr>
          <w:rFonts w:ascii="Arial" w:hAnsi="Arial" w:cs="Arial"/>
          <w:sz w:val="22"/>
          <w:szCs w:val="22"/>
        </w:rPr>
      </w:pPr>
      <w:r w:rsidRPr="00023509">
        <w:rPr>
          <w:rFonts w:ascii="Arial" w:hAnsi="Arial" w:cs="Arial"/>
          <w:sz w:val="22"/>
          <w:szCs w:val="22"/>
        </w:rPr>
        <w:t xml:space="preserve">Esquivel, Y. (2022). </w:t>
      </w:r>
      <w:r w:rsidRPr="00023509">
        <w:rPr>
          <w:rFonts w:ascii="Arial" w:hAnsi="Arial" w:cs="Arial"/>
          <w:i/>
          <w:iCs/>
          <w:sz w:val="22"/>
          <w:szCs w:val="22"/>
        </w:rPr>
        <w:t>La mujer como persona con derechos agrarios. La mujer en los datos del campo mexicano</w:t>
      </w:r>
      <w:r w:rsidRPr="00023509">
        <w:rPr>
          <w:rFonts w:ascii="Arial" w:hAnsi="Arial" w:cs="Arial"/>
          <w:sz w:val="22"/>
          <w:szCs w:val="22"/>
        </w:rPr>
        <w:t>. Tribunales Agrarios.</w:t>
      </w:r>
      <w:r w:rsidRPr="00023509">
        <w:rPr>
          <w:rFonts w:ascii="Arial" w:hAnsi="Arial" w:cs="Arial"/>
          <w:sz w:val="22"/>
          <w:szCs w:val="22"/>
        </w:rPr>
        <w:br/>
      </w:r>
      <w:r w:rsidRPr="00023509">
        <w:rPr>
          <w:rFonts w:ascii="Arial" w:hAnsi="Arial" w:cs="Arial"/>
          <w:sz w:val="22"/>
          <w:szCs w:val="22"/>
        </w:rPr>
        <w:t> </w:t>
      </w:r>
      <w:r w:rsidRPr="00023509">
        <w:rPr>
          <w:rFonts w:ascii="Arial" w:hAnsi="Arial" w:cs="Arial"/>
          <w:sz w:val="22"/>
          <w:szCs w:val="22"/>
        </w:rPr>
        <w:t> </w:t>
      </w:r>
      <w:hyperlink r:id="rId11" w:tgtFrame="_new" w:history="1">
        <w:r w:rsidRPr="00023509">
          <w:rPr>
            <w:rStyle w:val="Hipervnculo"/>
            <w:rFonts w:ascii="Arial" w:hAnsi="Arial" w:cs="Arial"/>
            <w:sz w:val="22"/>
            <w:szCs w:val="22"/>
          </w:rPr>
          <w:t>https://www.tribunalesagrarios.gob.mx/ta/wp-content/uploads/2023/06/memoria-lamu-jerenelcampomexicano.pdf</w:t>
        </w:r>
      </w:hyperlink>
    </w:p>
    <w:p w14:paraId="0E4FCD35" w14:textId="77777777" w:rsidR="00023509" w:rsidRPr="00023509" w:rsidRDefault="00023509" w:rsidP="0023383A">
      <w:pPr>
        <w:spacing w:line="360" w:lineRule="auto"/>
        <w:ind w:left="709" w:hanging="709"/>
        <w:rPr>
          <w:rFonts w:ascii="Arial" w:hAnsi="Arial" w:cs="Arial"/>
          <w:sz w:val="22"/>
          <w:szCs w:val="22"/>
        </w:rPr>
      </w:pPr>
      <w:r w:rsidRPr="00023509">
        <w:rPr>
          <w:rFonts w:ascii="Arial" w:hAnsi="Arial" w:cs="Arial"/>
          <w:sz w:val="22"/>
          <w:szCs w:val="22"/>
        </w:rPr>
        <w:t xml:space="preserve">González, I., Lechuga, M., &amp; Galván, M. (2025). La ruralidad y brechas de género en la actividad agrícola. </w:t>
      </w:r>
      <w:r w:rsidRPr="00023509">
        <w:rPr>
          <w:rFonts w:ascii="Arial" w:hAnsi="Arial" w:cs="Arial"/>
          <w:i/>
          <w:iCs/>
          <w:sz w:val="22"/>
          <w:szCs w:val="22"/>
        </w:rPr>
        <w:t>Ciencia Latina Revista Científica Multidisciplinar, 9</w:t>
      </w:r>
      <w:r w:rsidRPr="00023509">
        <w:rPr>
          <w:rFonts w:ascii="Arial" w:hAnsi="Arial" w:cs="Arial"/>
          <w:sz w:val="22"/>
          <w:szCs w:val="22"/>
        </w:rPr>
        <w:t>(1).</w:t>
      </w:r>
      <w:r w:rsidRPr="00023509">
        <w:rPr>
          <w:rFonts w:ascii="Arial" w:hAnsi="Arial" w:cs="Arial"/>
          <w:sz w:val="22"/>
          <w:szCs w:val="22"/>
        </w:rPr>
        <w:br/>
      </w:r>
      <w:r w:rsidRPr="00023509">
        <w:rPr>
          <w:rFonts w:ascii="Arial" w:hAnsi="Arial" w:cs="Arial"/>
          <w:sz w:val="22"/>
          <w:szCs w:val="22"/>
        </w:rPr>
        <w:t> </w:t>
      </w:r>
      <w:r w:rsidRPr="00023509">
        <w:rPr>
          <w:rFonts w:ascii="Arial" w:hAnsi="Arial" w:cs="Arial"/>
          <w:sz w:val="22"/>
          <w:szCs w:val="22"/>
        </w:rPr>
        <w:t> </w:t>
      </w:r>
      <w:hyperlink r:id="rId12" w:tgtFrame="_new" w:history="1">
        <w:r w:rsidRPr="00023509">
          <w:rPr>
            <w:rStyle w:val="Hipervnculo"/>
            <w:rFonts w:ascii="Arial" w:hAnsi="Arial" w:cs="Arial"/>
            <w:sz w:val="22"/>
            <w:szCs w:val="22"/>
          </w:rPr>
          <w:t>https://doi.org/10.37811/cl_rcm.v9i1.16129</w:t>
        </w:r>
      </w:hyperlink>
    </w:p>
    <w:p w14:paraId="26801590" w14:textId="77777777" w:rsidR="00023509" w:rsidRPr="00023509" w:rsidRDefault="00023509" w:rsidP="0023383A">
      <w:pPr>
        <w:spacing w:line="360" w:lineRule="auto"/>
        <w:ind w:left="709" w:hanging="709"/>
        <w:rPr>
          <w:rFonts w:ascii="Arial" w:hAnsi="Arial" w:cs="Arial"/>
          <w:sz w:val="22"/>
          <w:szCs w:val="22"/>
        </w:rPr>
      </w:pPr>
      <w:r w:rsidRPr="00023509">
        <w:rPr>
          <w:rFonts w:ascii="Arial" w:hAnsi="Arial" w:cs="Arial"/>
          <w:sz w:val="22"/>
          <w:szCs w:val="22"/>
        </w:rPr>
        <w:t xml:space="preserve">Insignares-Conde, W., &amp; Caballero-Brochado, E. (2023). Mujeres rurales en la era digital: cómo la tecnología está abriendo nuevas puertas. </w:t>
      </w:r>
      <w:r w:rsidRPr="00023509">
        <w:rPr>
          <w:rFonts w:ascii="Arial" w:hAnsi="Arial" w:cs="Arial"/>
          <w:i/>
          <w:iCs/>
          <w:sz w:val="22"/>
          <w:szCs w:val="22"/>
        </w:rPr>
        <w:t>Ingente Americana, 3</w:t>
      </w:r>
      <w:r w:rsidRPr="00023509">
        <w:rPr>
          <w:rFonts w:ascii="Arial" w:hAnsi="Arial" w:cs="Arial"/>
          <w:sz w:val="22"/>
          <w:szCs w:val="22"/>
        </w:rPr>
        <w:t>(3).</w:t>
      </w:r>
      <w:r w:rsidRPr="00023509">
        <w:rPr>
          <w:rFonts w:ascii="Arial" w:hAnsi="Arial" w:cs="Arial"/>
          <w:sz w:val="22"/>
          <w:szCs w:val="22"/>
        </w:rPr>
        <w:br/>
      </w:r>
      <w:r w:rsidRPr="00023509">
        <w:rPr>
          <w:rFonts w:ascii="Arial" w:hAnsi="Arial" w:cs="Arial"/>
          <w:sz w:val="22"/>
          <w:szCs w:val="22"/>
        </w:rPr>
        <w:t> </w:t>
      </w:r>
      <w:r w:rsidRPr="00023509">
        <w:rPr>
          <w:rFonts w:ascii="Arial" w:hAnsi="Arial" w:cs="Arial"/>
          <w:sz w:val="22"/>
          <w:szCs w:val="22"/>
        </w:rPr>
        <w:t> </w:t>
      </w:r>
      <w:hyperlink r:id="rId13" w:tgtFrame="_new" w:history="1">
        <w:r w:rsidRPr="00023509">
          <w:rPr>
            <w:rStyle w:val="Hipervnculo"/>
            <w:rFonts w:ascii="Arial" w:hAnsi="Arial" w:cs="Arial"/>
            <w:sz w:val="22"/>
            <w:szCs w:val="22"/>
          </w:rPr>
          <w:t>https://doi.org/10.21803/ingecana.3.3.820</w:t>
        </w:r>
      </w:hyperlink>
    </w:p>
    <w:p w14:paraId="1AC80EB4" w14:textId="77777777" w:rsidR="00023509" w:rsidRPr="00023509" w:rsidRDefault="00023509" w:rsidP="0023383A">
      <w:pPr>
        <w:spacing w:line="360" w:lineRule="auto"/>
        <w:ind w:left="709" w:hanging="709"/>
        <w:rPr>
          <w:rFonts w:ascii="Arial" w:hAnsi="Arial" w:cs="Arial"/>
          <w:sz w:val="22"/>
          <w:szCs w:val="22"/>
        </w:rPr>
      </w:pPr>
      <w:r w:rsidRPr="00023509">
        <w:rPr>
          <w:rFonts w:ascii="Arial" w:hAnsi="Arial" w:cs="Arial"/>
          <w:sz w:val="22"/>
          <w:szCs w:val="22"/>
        </w:rPr>
        <w:t xml:space="preserve">Instituto Nacional de Estadística y Geografía [INEGI]. (2023). </w:t>
      </w:r>
      <w:r w:rsidRPr="00023509">
        <w:rPr>
          <w:rFonts w:ascii="Arial" w:hAnsi="Arial" w:cs="Arial"/>
          <w:i/>
          <w:iCs/>
          <w:sz w:val="22"/>
          <w:szCs w:val="22"/>
        </w:rPr>
        <w:t>Censo agropecuario 2022: Resultados oportunos</w:t>
      </w:r>
      <w:r w:rsidRPr="00023509">
        <w:rPr>
          <w:rFonts w:ascii="Arial" w:hAnsi="Arial" w:cs="Arial"/>
          <w:sz w:val="22"/>
          <w:szCs w:val="22"/>
        </w:rPr>
        <w:t>.</w:t>
      </w:r>
      <w:r w:rsidRPr="00023509">
        <w:rPr>
          <w:rFonts w:ascii="Arial" w:hAnsi="Arial" w:cs="Arial"/>
          <w:sz w:val="22"/>
          <w:szCs w:val="22"/>
        </w:rPr>
        <w:br/>
      </w:r>
      <w:r w:rsidRPr="00023509">
        <w:rPr>
          <w:rFonts w:ascii="Arial" w:hAnsi="Arial" w:cs="Arial"/>
          <w:sz w:val="22"/>
          <w:szCs w:val="22"/>
        </w:rPr>
        <w:t> </w:t>
      </w:r>
      <w:r w:rsidRPr="00023509">
        <w:rPr>
          <w:rFonts w:ascii="Arial" w:hAnsi="Arial" w:cs="Arial"/>
          <w:sz w:val="22"/>
          <w:szCs w:val="22"/>
        </w:rPr>
        <w:t> </w:t>
      </w:r>
      <w:hyperlink r:id="rId14" w:tgtFrame="_new" w:history="1">
        <w:r w:rsidRPr="00023509">
          <w:rPr>
            <w:rStyle w:val="Hipervnculo"/>
            <w:rFonts w:ascii="Arial" w:hAnsi="Arial" w:cs="Arial"/>
            <w:sz w:val="22"/>
            <w:szCs w:val="22"/>
          </w:rPr>
          <w:t>https://www.inegi.org.mx/programas/cagp/2022/</w:t>
        </w:r>
      </w:hyperlink>
    </w:p>
    <w:p w14:paraId="07E8DD9F" w14:textId="77777777" w:rsidR="00023509" w:rsidRPr="00023509" w:rsidRDefault="00023509" w:rsidP="0023383A">
      <w:pPr>
        <w:spacing w:line="360" w:lineRule="auto"/>
        <w:ind w:left="709" w:hanging="709"/>
        <w:rPr>
          <w:rFonts w:ascii="Arial" w:hAnsi="Arial" w:cs="Arial"/>
          <w:sz w:val="22"/>
          <w:szCs w:val="22"/>
        </w:rPr>
      </w:pPr>
      <w:r w:rsidRPr="00023509">
        <w:rPr>
          <w:rFonts w:ascii="Arial" w:hAnsi="Arial" w:cs="Arial"/>
          <w:sz w:val="22"/>
          <w:szCs w:val="22"/>
        </w:rPr>
        <w:t xml:space="preserve">Instituto Nacional de Estadística y Geografía [INEGI]. (2025). </w:t>
      </w:r>
      <w:r w:rsidRPr="00023509">
        <w:rPr>
          <w:rFonts w:ascii="Arial" w:hAnsi="Arial" w:cs="Arial"/>
          <w:i/>
          <w:iCs/>
          <w:sz w:val="22"/>
          <w:szCs w:val="22"/>
        </w:rPr>
        <w:t>Encuesta nacional sobre disponibilidad y uso de la información en los hogares (ENDUTIH)</w:t>
      </w:r>
      <w:r w:rsidRPr="00023509">
        <w:rPr>
          <w:rFonts w:ascii="Arial" w:hAnsi="Arial" w:cs="Arial"/>
          <w:sz w:val="22"/>
          <w:szCs w:val="22"/>
        </w:rPr>
        <w:t>.</w:t>
      </w:r>
      <w:r w:rsidRPr="00023509">
        <w:rPr>
          <w:rFonts w:ascii="Arial" w:hAnsi="Arial" w:cs="Arial"/>
          <w:sz w:val="22"/>
          <w:szCs w:val="22"/>
        </w:rPr>
        <w:br/>
      </w:r>
      <w:r w:rsidRPr="00023509">
        <w:rPr>
          <w:rFonts w:ascii="Arial" w:hAnsi="Arial" w:cs="Arial"/>
          <w:sz w:val="22"/>
          <w:szCs w:val="22"/>
        </w:rPr>
        <w:t> </w:t>
      </w:r>
      <w:r w:rsidRPr="00023509">
        <w:rPr>
          <w:rFonts w:ascii="Arial" w:hAnsi="Arial" w:cs="Arial"/>
          <w:sz w:val="22"/>
          <w:szCs w:val="22"/>
        </w:rPr>
        <w:t> </w:t>
      </w:r>
      <w:hyperlink r:id="rId15" w:tgtFrame="_new" w:history="1">
        <w:r w:rsidRPr="00023509">
          <w:rPr>
            <w:rStyle w:val="Hipervnculo"/>
            <w:rFonts w:ascii="Arial" w:hAnsi="Arial" w:cs="Arial"/>
            <w:sz w:val="22"/>
            <w:szCs w:val="22"/>
          </w:rPr>
          <w:t>https://www.inegi.org.mx/contenidos/saladeprensa/boletines/2025/endutih/ENDUTIH_24_RR.pdf</w:t>
        </w:r>
      </w:hyperlink>
    </w:p>
    <w:p w14:paraId="0B8AC228" w14:textId="77777777" w:rsidR="00023509" w:rsidRPr="00023509" w:rsidRDefault="00023509" w:rsidP="0023383A">
      <w:pPr>
        <w:spacing w:line="360" w:lineRule="auto"/>
        <w:ind w:left="709" w:hanging="709"/>
        <w:rPr>
          <w:rFonts w:ascii="Arial" w:hAnsi="Arial" w:cs="Arial"/>
          <w:sz w:val="22"/>
          <w:szCs w:val="22"/>
        </w:rPr>
      </w:pPr>
      <w:r w:rsidRPr="00023509">
        <w:rPr>
          <w:rFonts w:ascii="Arial" w:hAnsi="Arial" w:cs="Arial"/>
          <w:sz w:val="22"/>
          <w:szCs w:val="22"/>
        </w:rPr>
        <w:lastRenderedPageBreak/>
        <w:t xml:space="preserve">Instituto Nacional de Investigaciones Forestales, Agrícolas y Pecuarias [INIFAP]. (s.f.). </w:t>
      </w:r>
      <w:r w:rsidRPr="00023509">
        <w:rPr>
          <w:rFonts w:ascii="Arial" w:hAnsi="Arial" w:cs="Arial"/>
          <w:i/>
          <w:iCs/>
          <w:sz w:val="22"/>
          <w:szCs w:val="22"/>
        </w:rPr>
        <w:t>Biblioteca digital: Guías técnicas</w:t>
      </w:r>
      <w:r w:rsidRPr="00023509">
        <w:rPr>
          <w:rFonts w:ascii="Arial" w:hAnsi="Arial" w:cs="Arial"/>
          <w:sz w:val="22"/>
          <w:szCs w:val="22"/>
        </w:rPr>
        <w:t>.</w:t>
      </w:r>
      <w:r w:rsidRPr="00023509">
        <w:rPr>
          <w:rFonts w:ascii="Arial" w:hAnsi="Arial" w:cs="Arial"/>
          <w:sz w:val="22"/>
          <w:szCs w:val="22"/>
        </w:rPr>
        <w:br/>
      </w:r>
      <w:r w:rsidRPr="00023509">
        <w:rPr>
          <w:rFonts w:ascii="Arial" w:hAnsi="Arial" w:cs="Arial"/>
          <w:sz w:val="22"/>
          <w:szCs w:val="22"/>
        </w:rPr>
        <w:t> </w:t>
      </w:r>
      <w:r w:rsidRPr="00023509">
        <w:rPr>
          <w:rFonts w:ascii="Arial" w:hAnsi="Arial" w:cs="Arial"/>
          <w:sz w:val="22"/>
          <w:szCs w:val="22"/>
        </w:rPr>
        <w:t> </w:t>
      </w:r>
      <w:hyperlink r:id="rId16" w:tgtFrame="_new" w:history="1">
        <w:r w:rsidRPr="00023509">
          <w:rPr>
            <w:rStyle w:val="Hipervnculo"/>
            <w:rFonts w:ascii="Arial" w:hAnsi="Arial" w:cs="Arial"/>
            <w:sz w:val="22"/>
            <w:szCs w:val="22"/>
          </w:rPr>
          <w:t>https://www.gob.mx/inifap/documentos/biblioteca-digital-inifap-78923</w:t>
        </w:r>
      </w:hyperlink>
    </w:p>
    <w:p w14:paraId="65471E25" w14:textId="77777777" w:rsidR="00023509" w:rsidRPr="00023509" w:rsidRDefault="00023509" w:rsidP="0023383A">
      <w:pPr>
        <w:spacing w:line="360" w:lineRule="auto"/>
        <w:ind w:left="709" w:hanging="709"/>
        <w:rPr>
          <w:rFonts w:ascii="Arial" w:hAnsi="Arial" w:cs="Arial"/>
          <w:sz w:val="22"/>
          <w:szCs w:val="22"/>
        </w:rPr>
      </w:pPr>
      <w:r w:rsidRPr="00023509">
        <w:rPr>
          <w:rFonts w:ascii="Arial" w:hAnsi="Arial" w:cs="Arial"/>
          <w:sz w:val="22"/>
          <w:szCs w:val="22"/>
        </w:rPr>
        <w:t xml:space="preserve">Khan Academy. (s.f.). </w:t>
      </w:r>
      <w:r w:rsidRPr="00023509">
        <w:rPr>
          <w:rFonts w:ascii="Arial" w:hAnsi="Arial" w:cs="Arial"/>
          <w:i/>
          <w:iCs/>
          <w:sz w:val="22"/>
          <w:szCs w:val="22"/>
        </w:rPr>
        <w:t>Álgebra: ecuaciones lineales</w:t>
      </w:r>
      <w:r w:rsidRPr="00023509">
        <w:rPr>
          <w:rFonts w:ascii="Arial" w:hAnsi="Arial" w:cs="Arial"/>
          <w:sz w:val="22"/>
          <w:szCs w:val="22"/>
        </w:rPr>
        <w:t>.</w:t>
      </w:r>
      <w:r w:rsidRPr="00023509">
        <w:rPr>
          <w:rFonts w:ascii="Arial" w:hAnsi="Arial" w:cs="Arial"/>
          <w:sz w:val="22"/>
          <w:szCs w:val="22"/>
        </w:rPr>
        <w:br/>
      </w:r>
      <w:r w:rsidRPr="00023509">
        <w:rPr>
          <w:rFonts w:ascii="Arial" w:hAnsi="Arial" w:cs="Arial"/>
          <w:sz w:val="22"/>
          <w:szCs w:val="22"/>
        </w:rPr>
        <w:t> </w:t>
      </w:r>
      <w:r w:rsidRPr="00023509">
        <w:rPr>
          <w:rFonts w:ascii="Arial" w:hAnsi="Arial" w:cs="Arial"/>
          <w:sz w:val="22"/>
          <w:szCs w:val="22"/>
        </w:rPr>
        <w:t> </w:t>
      </w:r>
      <w:hyperlink r:id="rId17" w:tgtFrame="_new" w:history="1">
        <w:r w:rsidRPr="00023509">
          <w:rPr>
            <w:rStyle w:val="Hipervnculo"/>
            <w:rFonts w:ascii="Arial" w:hAnsi="Arial" w:cs="Arial"/>
            <w:sz w:val="22"/>
            <w:szCs w:val="22"/>
          </w:rPr>
          <w:t>https://es.khanacademy.org/math/algebra</w:t>
        </w:r>
      </w:hyperlink>
    </w:p>
    <w:p w14:paraId="745C5252" w14:textId="77777777" w:rsidR="00023509" w:rsidRPr="00023509" w:rsidRDefault="00023509" w:rsidP="0023383A">
      <w:pPr>
        <w:spacing w:line="360" w:lineRule="auto"/>
        <w:ind w:left="709" w:hanging="709"/>
        <w:rPr>
          <w:rFonts w:ascii="Arial" w:hAnsi="Arial" w:cs="Arial"/>
          <w:sz w:val="22"/>
          <w:szCs w:val="22"/>
        </w:rPr>
      </w:pPr>
      <w:r w:rsidRPr="00023509">
        <w:rPr>
          <w:rFonts w:ascii="Arial" w:hAnsi="Arial" w:cs="Arial"/>
          <w:sz w:val="22"/>
          <w:szCs w:val="22"/>
          <w:lang w:val="en-US"/>
        </w:rPr>
        <w:t xml:space="preserve">Larson, R., &amp; Edwards, B. H. (2010). </w:t>
      </w:r>
      <w:r w:rsidRPr="00023509">
        <w:rPr>
          <w:rFonts w:ascii="Arial" w:hAnsi="Arial" w:cs="Arial"/>
          <w:i/>
          <w:iCs/>
          <w:sz w:val="22"/>
          <w:szCs w:val="22"/>
        </w:rPr>
        <w:t>Cálculo y geometría analítica</w:t>
      </w:r>
      <w:r w:rsidRPr="00023509">
        <w:rPr>
          <w:rFonts w:ascii="Arial" w:hAnsi="Arial" w:cs="Arial"/>
          <w:sz w:val="22"/>
          <w:szCs w:val="22"/>
        </w:rPr>
        <w:t>. Cengage Learning.</w:t>
      </w:r>
    </w:p>
    <w:p w14:paraId="14CF0EAD" w14:textId="77777777" w:rsidR="00023509" w:rsidRPr="00023509" w:rsidRDefault="00023509" w:rsidP="0023383A">
      <w:pPr>
        <w:spacing w:line="360" w:lineRule="auto"/>
        <w:ind w:left="709" w:hanging="709"/>
        <w:rPr>
          <w:rFonts w:ascii="Arial" w:hAnsi="Arial" w:cs="Arial"/>
          <w:sz w:val="22"/>
          <w:szCs w:val="22"/>
        </w:rPr>
      </w:pPr>
      <w:r w:rsidRPr="00023509">
        <w:rPr>
          <w:rFonts w:ascii="Arial" w:hAnsi="Arial" w:cs="Arial"/>
          <w:sz w:val="22"/>
          <w:szCs w:val="22"/>
        </w:rPr>
        <w:t xml:space="preserve">Montero, M. (2003). </w:t>
      </w:r>
      <w:r w:rsidRPr="00023509">
        <w:rPr>
          <w:rFonts w:ascii="Arial" w:hAnsi="Arial" w:cs="Arial"/>
          <w:i/>
          <w:iCs/>
          <w:sz w:val="22"/>
          <w:szCs w:val="22"/>
        </w:rPr>
        <w:t>Teoría y práctica de la psicología comunitaria: La tensión entre comunidad y sociedad</w:t>
      </w:r>
      <w:r w:rsidRPr="00023509">
        <w:rPr>
          <w:rFonts w:ascii="Arial" w:hAnsi="Arial" w:cs="Arial"/>
          <w:sz w:val="22"/>
          <w:szCs w:val="22"/>
        </w:rPr>
        <w:t xml:space="preserve"> (1.ª ed.). Paidós.</w:t>
      </w:r>
      <w:r w:rsidRPr="00023509">
        <w:rPr>
          <w:rFonts w:ascii="Arial" w:hAnsi="Arial" w:cs="Arial"/>
          <w:sz w:val="22"/>
          <w:szCs w:val="22"/>
        </w:rPr>
        <w:br/>
      </w:r>
      <w:r w:rsidRPr="00023509">
        <w:rPr>
          <w:rFonts w:ascii="Arial" w:hAnsi="Arial" w:cs="Arial"/>
          <w:sz w:val="22"/>
          <w:szCs w:val="22"/>
        </w:rPr>
        <w:t> </w:t>
      </w:r>
      <w:r w:rsidRPr="00023509">
        <w:rPr>
          <w:rFonts w:ascii="Arial" w:hAnsi="Arial" w:cs="Arial"/>
          <w:sz w:val="22"/>
          <w:szCs w:val="22"/>
        </w:rPr>
        <w:t> </w:t>
      </w:r>
      <w:hyperlink r:id="rId18" w:tgtFrame="_new" w:history="1">
        <w:r w:rsidRPr="00023509">
          <w:rPr>
            <w:rStyle w:val="Hipervnculo"/>
            <w:rFonts w:ascii="Arial" w:hAnsi="Arial" w:cs="Arial"/>
            <w:sz w:val="22"/>
            <w:szCs w:val="22"/>
          </w:rPr>
          <w:t>https://www.academia.edu/37397750/Montero_Maritza_Teoria_y_practica_de_la_psicologia_comunitaria</w:t>
        </w:r>
      </w:hyperlink>
    </w:p>
    <w:p w14:paraId="6672B220" w14:textId="77777777" w:rsidR="00023509" w:rsidRPr="00023509" w:rsidRDefault="00023509" w:rsidP="0023383A">
      <w:pPr>
        <w:spacing w:line="360" w:lineRule="auto"/>
        <w:ind w:left="709" w:hanging="709"/>
        <w:rPr>
          <w:rFonts w:ascii="Arial" w:hAnsi="Arial" w:cs="Arial"/>
          <w:sz w:val="22"/>
          <w:szCs w:val="22"/>
        </w:rPr>
      </w:pPr>
      <w:r w:rsidRPr="00023509">
        <w:rPr>
          <w:rFonts w:ascii="Arial" w:hAnsi="Arial" w:cs="Arial"/>
          <w:sz w:val="22"/>
          <w:szCs w:val="22"/>
        </w:rPr>
        <w:t xml:space="preserve">Organización de las Naciones Unidas para la Alimentación y la Agricultura (FAO). (1998). </w:t>
      </w:r>
      <w:r w:rsidRPr="00023509">
        <w:rPr>
          <w:rFonts w:ascii="Arial" w:hAnsi="Arial" w:cs="Arial"/>
          <w:i/>
          <w:iCs/>
          <w:sz w:val="22"/>
          <w:szCs w:val="22"/>
        </w:rPr>
        <w:t>Evapotranspiración del cultivo: Guía para determinar los requerimientos de agua de los cultivos</w:t>
      </w:r>
      <w:r w:rsidRPr="00023509">
        <w:rPr>
          <w:rFonts w:ascii="Arial" w:hAnsi="Arial" w:cs="Arial"/>
          <w:sz w:val="22"/>
          <w:szCs w:val="22"/>
        </w:rPr>
        <w:t>.</w:t>
      </w:r>
      <w:r w:rsidRPr="00023509">
        <w:rPr>
          <w:rFonts w:ascii="Arial" w:hAnsi="Arial" w:cs="Arial"/>
          <w:sz w:val="22"/>
          <w:szCs w:val="22"/>
        </w:rPr>
        <w:br/>
      </w:r>
      <w:r w:rsidRPr="00023509">
        <w:rPr>
          <w:rFonts w:ascii="Arial" w:hAnsi="Arial" w:cs="Arial"/>
          <w:sz w:val="22"/>
          <w:szCs w:val="22"/>
        </w:rPr>
        <w:t> </w:t>
      </w:r>
      <w:r w:rsidRPr="00023509">
        <w:rPr>
          <w:rFonts w:ascii="Arial" w:hAnsi="Arial" w:cs="Arial"/>
          <w:sz w:val="22"/>
          <w:szCs w:val="22"/>
        </w:rPr>
        <w:t> </w:t>
      </w:r>
      <w:hyperlink r:id="rId19" w:tgtFrame="_new" w:history="1">
        <w:r w:rsidRPr="00023509">
          <w:rPr>
            <w:rStyle w:val="Hipervnculo"/>
            <w:rFonts w:ascii="Arial" w:hAnsi="Arial" w:cs="Arial"/>
            <w:sz w:val="22"/>
            <w:szCs w:val="22"/>
          </w:rPr>
          <w:t>https://www.fao.org/3/x0490s/x0490s00.htm</w:t>
        </w:r>
      </w:hyperlink>
    </w:p>
    <w:p w14:paraId="59286711" w14:textId="77777777" w:rsidR="00023509" w:rsidRPr="00023509" w:rsidRDefault="00023509" w:rsidP="0023383A">
      <w:pPr>
        <w:spacing w:line="360" w:lineRule="auto"/>
        <w:ind w:left="709" w:hanging="709"/>
        <w:rPr>
          <w:rFonts w:ascii="Arial" w:hAnsi="Arial" w:cs="Arial"/>
          <w:sz w:val="22"/>
          <w:szCs w:val="22"/>
        </w:rPr>
      </w:pPr>
      <w:r w:rsidRPr="00023509">
        <w:rPr>
          <w:rFonts w:ascii="Arial" w:hAnsi="Arial" w:cs="Arial"/>
          <w:sz w:val="22"/>
          <w:szCs w:val="22"/>
        </w:rPr>
        <w:t xml:space="preserve">Paz, M. (2017). Luchas en defensa del territorio: Reflexiones desde los conflictos socioambientales en México. </w:t>
      </w:r>
      <w:r w:rsidRPr="00023509">
        <w:rPr>
          <w:rFonts w:ascii="Arial" w:hAnsi="Arial" w:cs="Arial"/>
          <w:i/>
          <w:iCs/>
          <w:sz w:val="22"/>
          <w:szCs w:val="22"/>
        </w:rPr>
        <w:t>Acta Sociológica</w:t>
      </w:r>
      <w:r w:rsidRPr="00023509">
        <w:rPr>
          <w:rFonts w:ascii="Arial" w:hAnsi="Arial" w:cs="Arial"/>
          <w:sz w:val="22"/>
          <w:szCs w:val="22"/>
        </w:rPr>
        <w:t>, (73), 197–219.</w:t>
      </w:r>
      <w:r w:rsidRPr="00023509">
        <w:rPr>
          <w:rFonts w:ascii="Arial" w:hAnsi="Arial" w:cs="Arial"/>
          <w:sz w:val="22"/>
          <w:szCs w:val="22"/>
        </w:rPr>
        <w:br/>
      </w:r>
      <w:r w:rsidRPr="00023509">
        <w:rPr>
          <w:rFonts w:ascii="Arial" w:hAnsi="Arial" w:cs="Arial"/>
          <w:sz w:val="22"/>
          <w:szCs w:val="22"/>
        </w:rPr>
        <w:t> </w:t>
      </w:r>
      <w:r w:rsidRPr="00023509">
        <w:rPr>
          <w:rFonts w:ascii="Arial" w:hAnsi="Arial" w:cs="Arial"/>
          <w:sz w:val="22"/>
          <w:szCs w:val="22"/>
        </w:rPr>
        <w:t> </w:t>
      </w:r>
      <w:hyperlink r:id="rId20" w:tgtFrame="_new" w:history="1">
        <w:r w:rsidRPr="00023509">
          <w:rPr>
            <w:rStyle w:val="Hipervnculo"/>
            <w:rFonts w:ascii="Arial" w:hAnsi="Arial" w:cs="Arial"/>
            <w:sz w:val="22"/>
            <w:szCs w:val="22"/>
          </w:rPr>
          <w:t>https://doi.org/10.1016/j.acso.2017.08.007</w:t>
        </w:r>
      </w:hyperlink>
    </w:p>
    <w:p w14:paraId="7E06D129" w14:textId="77777777" w:rsidR="00023509" w:rsidRPr="00023509" w:rsidRDefault="00023509" w:rsidP="0023383A">
      <w:pPr>
        <w:spacing w:line="360" w:lineRule="auto"/>
        <w:ind w:left="709" w:hanging="709"/>
        <w:rPr>
          <w:rFonts w:ascii="Arial" w:hAnsi="Arial" w:cs="Arial"/>
          <w:sz w:val="22"/>
          <w:szCs w:val="22"/>
        </w:rPr>
      </w:pPr>
      <w:r w:rsidRPr="00023509">
        <w:rPr>
          <w:rFonts w:ascii="Arial" w:hAnsi="Arial" w:cs="Arial"/>
          <w:sz w:val="22"/>
          <w:szCs w:val="22"/>
        </w:rPr>
        <w:t xml:space="preserve">Quintero M., M. A. (2016). </w:t>
      </w:r>
      <w:r w:rsidRPr="00023509">
        <w:rPr>
          <w:rFonts w:ascii="Arial" w:hAnsi="Arial" w:cs="Arial"/>
          <w:i/>
          <w:iCs/>
          <w:sz w:val="22"/>
          <w:szCs w:val="22"/>
        </w:rPr>
        <w:t>Introducción a la lógica de programación</w:t>
      </w:r>
      <w:r w:rsidRPr="00023509">
        <w:rPr>
          <w:rFonts w:ascii="Arial" w:hAnsi="Arial" w:cs="Arial"/>
          <w:sz w:val="22"/>
          <w:szCs w:val="22"/>
        </w:rPr>
        <w:t>. Universidad de los Andes.</w:t>
      </w:r>
      <w:r w:rsidRPr="00023509">
        <w:rPr>
          <w:rFonts w:ascii="Arial" w:hAnsi="Arial" w:cs="Arial"/>
          <w:sz w:val="22"/>
          <w:szCs w:val="22"/>
        </w:rPr>
        <w:br/>
      </w:r>
      <w:r w:rsidRPr="00023509">
        <w:rPr>
          <w:rFonts w:ascii="Arial" w:hAnsi="Arial" w:cs="Arial"/>
          <w:sz w:val="22"/>
          <w:szCs w:val="22"/>
        </w:rPr>
        <w:t> </w:t>
      </w:r>
      <w:r w:rsidRPr="00023509">
        <w:rPr>
          <w:rFonts w:ascii="Arial" w:hAnsi="Arial" w:cs="Arial"/>
          <w:sz w:val="22"/>
          <w:szCs w:val="22"/>
        </w:rPr>
        <w:t> </w:t>
      </w:r>
      <w:hyperlink r:id="rId21" w:tgtFrame="_new" w:history="1">
        <w:r w:rsidRPr="00023509">
          <w:rPr>
            <w:rStyle w:val="Hipervnculo"/>
            <w:rFonts w:ascii="Arial" w:hAnsi="Arial" w:cs="Arial"/>
            <w:sz w:val="22"/>
            <w:szCs w:val="22"/>
          </w:rPr>
          <w:t>http://hdl.handle.net/1992/13936</w:t>
        </w:r>
      </w:hyperlink>
    </w:p>
    <w:p w14:paraId="669317DD" w14:textId="77777777" w:rsidR="00023509" w:rsidRPr="00023509" w:rsidRDefault="00023509" w:rsidP="0023383A">
      <w:pPr>
        <w:spacing w:line="360" w:lineRule="auto"/>
        <w:ind w:left="709" w:hanging="709"/>
        <w:rPr>
          <w:rFonts w:ascii="Arial" w:hAnsi="Arial" w:cs="Arial"/>
          <w:sz w:val="22"/>
          <w:szCs w:val="22"/>
        </w:rPr>
      </w:pPr>
      <w:r w:rsidRPr="00023509">
        <w:rPr>
          <w:rFonts w:ascii="Arial" w:hAnsi="Arial" w:cs="Arial"/>
          <w:sz w:val="22"/>
          <w:szCs w:val="22"/>
        </w:rPr>
        <w:t xml:space="preserve">Ramírez Marín, J. H. (2019). </w:t>
      </w:r>
      <w:r w:rsidRPr="00023509">
        <w:rPr>
          <w:rFonts w:ascii="Arial" w:hAnsi="Arial" w:cs="Arial"/>
          <w:i/>
          <w:iCs/>
          <w:sz w:val="22"/>
          <w:szCs w:val="22"/>
        </w:rPr>
        <w:t>Fundamentos iniciales de lógica de programación I</w:t>
      </w:r>
      <w:r w:rsidRPr="00023509">
        <w:rPr>
          <w:rFonts w:ascii="Arial" w:hAnsi="Arial" w:cs="Arial"/>
          <w:sz w:val="22"/>
          <w:szCs w:val="22"/>
        </w:rPr>
        <w:t>. Institución Universitaria de Envigado.</w:t>
      </w:r>
      <w:r w:rsidRPr="00023509">
        <w:rPr>
          <w:rFonts w:ascii="Arial" w:hAnsi="Arial" w:cs="Arial"/>
          <w:sz w:val="22"/>
          <w:szCs w:val="22"/>
        </w:rPr>
        <w:br/>
      </w:r>
      <w:r w:rsidRPr="00023509">
        <w:rPr>
          <w:rFonts w:ascii="Arial" w:hAnsi="Arial" w:cs="Arial"/>
          <w:sz w:val="22"/>
          <w:szCs w:val="22"/>
        </w:rPr>
        <w:t> </w:t>
      </w:r>
      <w:r w:rsidRPr="00023509">
        <w:rPr>
          <w:rFonts w:ascii="Arial" w:hAnsi="Arial" w:cs="Arial"/>
          <w:sz w:val="22"/>
          <w:szCs w:val="22"/>
        </w:rPr>
        <w:t> </w:t>
      </w:r>
      <w:hyperlink r:id="rId22" w:tgtFrame="_new" w:history="1">
        <w:r w:rsidRPr="00023509">
          <w:rPr>
            <w:rStyle w:val="Hipervnculo"/>
            <w:rFonts w:ascii="Arial" w:hAnsi="Arial" w:cs="Arial"/>
            <w:sz w:val="22"/>
            <w:szCs w:val="22"/>
          </w:rPr>
          <w:t>https://lnx.iue.edu.co/jspui/handle/20.500.12717/142</w:t>
        </w:r>
      </w:hyperlink>
    </w:p>
    <w:p w14:paraId="340770CC" w14:textId="77777777" w:rsidR="00023509" w:rsidRPr="00023509" w:rsidRDefault="00023509" w:rsidP="0023383A">
      <w:pPr>
        <w:spacing w:line="360" w:lineRule="auto"/>
        <w:ind w:left="709" w:hanging="709"/>
        <w:rPr>
          <w:rFonts w:ascii="Arial" w:hAnsi="Arial" w:cs="Arial"/>
          <w:sz w:val="22"/>
          <w:szCs w:val="22"/>
        </w:rPr>
      </w:pPr>
      <w:r w:rsidRPr="00023509">
        <w:rPr>
          <w:rFonts w:ascii="Arial" w:hAnsi="Arial" w:cs="Arial"/>
          <w:sz w:val="22"/>
          <w:szCs w:val="22"/>
        </w:rPr>
        <w:t xml:space="preserve">Rosen, K. H. (2012). </w:t>
      </w:r>
      <w:r w:rsidRPr="00023509">
        <w:rPr>
          <w:rFonts w:ascii="Arial" w:hAnsi="Arial" w:cs="Arial"/>
          <w:i/>
          <w:iCs/>
          <w:sz w:val="22"/>
          <w:szCs w:val="22"/>
        </w:rPr>
        <w:t>Matemáticas discretas y sus aplicaciones</w:t>
      </w:r>
      <w:r w:rsidRPr="00023509">
        <w:rPr>
          <w:rFonts w:ascii="Arial" w:hAnsi="Arial" w:cs="Arial"/>
          <w:sz w:val="22"/>
          <w:szCs w:val="22"/>
        </w:rPr>
        <w:t xml:space="preserve"> (7.ª ed.). McGraw-Hill.</w:t>
      </w:r>
    </w:p>
    <w:p w14:paraId="1C7F1116" w14:textId="77777777" w:rsidR="00023509" w:rsidRPr="00023509" w:rsidRDefault="00023509" w:rsidP="0023383A">
      <w:pPr>
        <w:spacing w:line="360" w:lineRule="auto"/>
        <w:ind w:left="709" w:hanging="709"/>
        <w:rPr>
          <w:rFonts w:ascii="Arial" w:hAnsi="Arial" w:cs="Arial"/>
          <w:sz w:val="22"/>
          <w:szCs w:val="22"/>
        </w:rPr>
      </w:pPr>
      <w:r w:rsidRPr="00023509">
        <w:rPr>
          <w:rFonts w:ascii="Arial" w:hAnsi="Arial" w:cs="Arial"/>
          <w:sz w:val="22"/>
          <w:szCs w:val="22"/>
        </w:rPr>
        <w:t xml:space="preserve">Secretaría de Agricultura y Desarrollo Rural [SADER]. (2024). </w:t>
      </w:r>
      <w:r w:rsidRPr="00023509">
        <w:rPr>
          <w:rFonts w:ascii="Arial" w:hAnsi="Arial" w:cs="Arial"/>
          <w:i/>
          <w:iCs/>
          <w:sz w:val="22"/>
          <w:szCs w:val="22"/>
        </w:rPr>
        <w:t>Expectativas agroalimentarias 2024</w:t>
      </w:r>
      <w:r w:rsidRPr="00023509">
        <w:rPr>
          <w:rFonts w:ascii="Arial" w:hAnsi="Arial" w:cs="Arial"/>
          <w:sz w:val="22"/>
          <w:szCs w:val="22"/>
        </w:rPr>
        <w:t>. Servicio de Información Agroalimentaria y Pesquera.</w:t>
      </w:r>
      <w:r w:rsidRPr="00023509">
        <w:rPr>
          <w:rFonts w:ascii="Arial" w:hAnsi="Arial" w:cs="Arial"/>
          <w:sz w:val="22"/>
          <w:szCs w:val="22"/>
        </w:rPr>
        <w:br/>
      </w:r>
      <w:r w:rsidRPr="00023509">
        <w:rPr>
          <w:rFonts w:ascii="Arial" w:hAnsi="Arial" w:cs="Arial"/>
          <w:sz w:val="22"/>
          <w:szCs w:val="22"/>
        </w:rPr>
        <w:t> </w:t>
      </w:r>
      <w:r w:rsidRPr="00023509">
        <w:rPr>
          <w:rFonts w:ascii="Arial" w:hAnsi="Arial" w:cs="Arial"/>
          <w:sz w:val="22"/>
          <w:szCs w:val="22"/>
        </w:rPr>
        <w:t> </w:t>
      </w:r>
      <w:hyperlink r:id="rId23" w:tgtFrame="_new" w:history="1">
        <w:r w:rsidRPr="00023509">
          <w:rPr>
            <w:rStyle w:val="Hipervnculo"/>
            <w:rFonts w:ascii="Arial" w:hAnsi="Arial" w:cs="Arial"/>
            <w:sz w:val="22"/>
            <w:szCs w:val="22"/>
          </w:rPr>
          <w:t>https://www.gob.mx/siap/documentos/expectativas-agroalimentarias-2024</w:t>
        </w:r>
      </w:hyperlink>
    </w:p>
    <w:p w14:paraId="51BF3DB3" w14:textId="77777777" w:rsidR="00023509" w:rsidRPr="00023509" w:rsidRDefault="00023509" w:rsidP="0023383A">
      <w:pPr>
        <w:spacing w:line="360" w:lineRule="auto"/>
        <w:ind w:left="709" w:hanging="709"/>
        <w:rPr>
          <w:rFonts w:ascii="Arial" w:hAnsi="Arial" w:cs="Arial"/>
          <w:sz w:val="22"/>
          <w:szCs w:val="22"/>
        </w:rPr>
      </w:pPr>
      <w:r w:rsidRPr="00023509">
        <w:rPr>
          <w:rFonts w:ascii="Arial" w:hAnsi="Arial" w:cs="Arial"/>
          <w:sz w:val="22"/>
          <w:szCs w:val="22"/>
        </w:rPr>
        <w:t xml:space="preserve">Servicio Meteorológico Nacional (SMN). (2023). </w:t>
      </w:r>
      <w:r w:rsidRPr="00023509">
        <w:rPr>
          <w:rFonts w:ascii="Arial" w:hAnsi="Arial" w:cs="Arial"/>
          <w:i/>
          <w:iCs/>
          <w:sz w:val="22"/>
          <w:szCs w:val="22"/>
        </w:rPr>
        <w:t>Climatología en México</w:t>
      </w:r>
      <w:r w:rsidRPr="00023509">
        <w:rPr>
          <w:rFonts w:ascii="Arial" w:hAnsi="Arial" w:cs="Arial"/>
          <w:sz w:val="22"/>
          <w:szCs w:val="22"/>
        </w:rPr>
        <w:t>.</w:t>
      </w:r>
      <w:r w:rsidRPr="00023509">
        <w:rPr>
          <w:rFonts w:ascii="Arial" w:hAnsi="Arial" w:cs="Arial"/>
          <w:sz w:val="22"/>
          <w:szCs w:val="22"/>
        </w:rPr>
        <w:br/>
      </w:r>
      <w:r w:rsidRPr="00023509">
        <w:rPr>
          <w:rFonts w:ascii="Arial" w:hAnsi="Arial" w:cs="Arial"/>
          <w:sz w:val="22"/>
          <w:szCs w:val="22"/>
        </w:rPr>
        <w:t> </w:t>
      </w:r>
      <w:r w:rsidRPr="00023509">
        <w:rPr>
          <w:rFonts w:ascii="Arial" w:hAnsi="Arial" w:cs="Arial"/>
          <w:sz w:val="22"/>
          <w:szCs w:val="22"/>
        </w:rPr>
        <w:t> </w:t>
      </w:r>
      <w:hyperlink r:id="rId24" w:tgtFrame="_new" w:history="1">
        <w:r w:rsidRPr="00023509">
          <w:rPr>
            <w:rStyle w:val="Hipervnculo"/>
            <w:rFonts w:ascii="Arial" w:hAnsi="Arial" w:cs="Arial"/>
            <w:sz w:val="22"/>
            <w:szCs w:val="22"/>
          </w:rPr>
          <w:t>https://smn.conagua.gob.mx/</w:t>
        </w:r>
      </w:hyperlink>
    </w:p>
    <w:p w14:paraId="3F374E5D" w14:textId="3EAA2A83" w:rsidR="004C19A1" w:rsidRPr="009E3D62" w:rsidRDefault="00023509" w:rsidP="0023383A">
      <w:pPr>
        <w:spacing w:line="360" w:lineRule="auto"/>
        <w:ind w:left="709" w:hanging="709"/>
        <w:rPr>
          <w:rFonts w:ascii="Arial" w:hAnsi="Arial" w:cs="Arial"/>
          <w:sz w:val="22"/>
          <w:szCs w:val="22"/>
        </w:rPr>
      </w:pPr>
      <w:r w:rsidRPr="00023509">
        <w:rPr>
          <w:rFonts w:ascii="Arial" w:hAnsi="Arial" w:cs="Arial"/>
          <w:sz w:val="22"/>
          <w:szCs w:val="22"/>
        </w:rPr>
        <w:lastRenderedPageBreak/>
        <w:t xml:space="preserve">Universidad Rosario Castellanos. (2025). </w:t>
      </w:r>
      <w:r w:rsidRPr="00023509">
        <w:rPr>
          <w:rFonts w:ascii="Arial" w:hAnsi="Arial" w:cs="Arial"/>
          <w:i/>
          <w:iCs/>
          <w:sz w:val="22"/>
          <w:szCs w:val="22"/>
        </w:rPr>
        <w:t xml:space="preserve">UCA_1: Lógica de programación. Unidad curricular </w:t>
      </w:r>
      <w:r w:rsidR="0023383A">
        <w:rPr>
          <w:rFonts w:ascii="Arial" w:hAnsi="Arial" w:cs="Arial"/>
          <w:i/>
          <w:iCs/>
          <w:sz w:val="22"/>
          <w:szCs w:val="22"/>
        </w:rPr>
        <w:t xml:space="preserve">de </w:t>
      </w:r>
      <w:r w:rsidRPr="00023509">
        <w:rPr>
          <w:rFonts w:ascii="Arial" w:hAnsi="Arial" w:cs="Arial"/>
          <w:i/>
          <w:iCs/>
          <w:sz w:val="22"/>
          <w:szCs w:val="22"/>
        </w:rPr>
        <w:t>aprendizaje</w:t>
      </w:r>
      <w:r w:rsidRPr="00023509">
        <w:rPr>
          <w:rFonts w:ascii="Arial" w:hAnsi="Arial" w:cs="Arial"/>
          <w:sz w:val="22"/>
          <w:szCs w:val="22"/>
        </w:rPr>
        <w:t>. Ciudad de México.</w:t>
      </w:r>
      <w:r w:rsidRPr="00023509">
        <w:rPr>
          <w:rFonts w:ascii="Arial" w:hAnsi="Arial" w:cs="Arial"/>
          <w:sz w:val="22"/>
          <w:szCs w:val="22"/>
        </w:rPr>
        <w:br/>
      </w:r>
      <w:r w:rsidRPr="00023509">
        <w:rPr>
          <w:rFonts w:ascii="Arial" w:hAnsi="Arial" w:cs="Arial"/>
          <w:sz w:val="22"/>
          <w:szCs w:val="22"/>
        </w:rPr>
        <w:t> </w:t>
      </w:r>
      <w:r w:rsidRPr="00023509">
        <w:rPr>
          <w:rFonts w:ascii="Arial" w:hAnsi="Arial" w:cs="Arial"/>
          <w:sz w:val="22"/>
          <w:szCs w:val="22"/>
        </w:rPr>
        <w:t> </w:t>
      </w:r>
      <w:hyperlink r:id="rId25" w:tgtFrame="_new" w:history="1">
        <w:r w:rsidRPr="00023509">
          <w:rPr>
            <w:rStyle w:val="Hipervnculo"/>
            <w:rFonts w:ascii="Arial" w:hAnsi="Arial" w:cs="Arial"/>
            <w:sz w:val="22"/>
            <w:szCs w:val="22"/>
          </w:rPr>
          <w:t>https://rcastellanos.cdmx.gob.mx/estudia-con-nosotros/licenciaturas/ciencias-de-datos-para-negocios</w:t>
        </w:r>
      </w:hyperlink>
    </w:p>
    <w:sectPr w:rsidR="004C19A1" w:rsidRPr="009E3D62" w:rsidSect="009E3D62">
      <w:headerReference w:type="default" r:id="rId2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B05104" w14:textId="77777777" w:rsidR="00312FD5" w:rsidRDefault="00312FD5" w:rsidP="00312FD5">
      <w:pPr>
        <w:spacing w:after="0" w:line="240" w:lineRule="auto"/>
      </w:pPr>
      <w:r>
        <w:separator/>
      </w:r>
    </w:p>
  </w:endnote>
  <w:endnote w:type="continuationSeparator" w:id="0">
    <w:p w14:paraId="02B88B91" w14:textId="77777777" w:rsidR="00312FD5" w:rsidRDefault="00312FD5" w:rsidP="00312F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7A1B2A" w14:textId="77777777" w:rsidR="00312FD5" w:rsidRDefault="00312FD5" w:rsidP="00312FD5">
      <w:pPr>
        <w:spacing w:after="0" w:line="240" w:lineRule="auto"/>
      </w:pPr>
      <w:r>
        <w:separator/>
      </w:r>
    </w:p>
  </w:footnote>
  <w:footnote w:type="continuationSeparator" w:id="0">
    <w:p w14:paraId="4198323A" w14:textId="77777777" w:rsidR="00312FD5" w:rsidRDefault="00312FD5" w:rsidP="00312F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lang w:val="es-ES"/>
      </w:rPr>
      <w:id w:val="-859592066"/>
      <w:docPartObj>
        <w:docPartGallery w:val="Page Numbers (Top of Page)"/>
        <w:docPartUnique/>
      </w:docPartObj>
    </w:sdtPr>
    <w:sdtEndPr>
      <w:rPr>
        <w:b/>
        <w:bCs/>
        <w:color w:val="auto"/>
        <w:spacing w:val="0"/>
        <w:lang w:val="es-MX"/>
      </w:rPr>
    </w:sdtEndPr>
    <w:sdtContent>
      <w:p w14:paraId="5259A6FA" w14:textId="499B503C" w:rsidR="00312FD5" w:rsidRDefault="00312FD5">
        <w:pPr>
          <w:pStyle w:val="Encabezado"/>
          <w:pBdr>
            <w:bottom w:val="single" w:sz="4" w:space="1" w:color="D9D9D9" w:themeColor="background1" w:themeShade="D9"/>
          </w:pBdr>
          <w:jc w:val="right"/>
          <w:rPr>
            <w:b/>
            <w:bCs/>
          </w:rPr>
        </w:pPr>
        <w:r>
          <w:rPr>
            <w:color w:val="7F7F7F" w:themeColor="background1" w:themeShade="7F"/>
            <w:spacing w:val="60"/>
            <w:lang w:val="es-ES"/>
          </w:rPr>
          <w:t>Página</w:t>
        </w:r>
        <w:r>
          <w:rPr>
            <w:lang w:val="es-ES"/>
          </w:rPr>
          <w:t xml:space="preserve"> | </w:t>
        </w:r>
        <w:r>
          <w:fldChar w:fldCharType="begin"/>
        </w:r>
        <w:r>
          <w:instrText>PAGE   \* MERGEFORMAT</w:instrText>
        </w:r>
        <w:r>
          <w:fldChar w:fldCharType="separate"/>
        </w:r>
        <w:r>
          <w:rPr>
            <w:b/>
            <w:bCs/>
            <w:lang w:val="es-ES"/>
          </w:rPr>
          <w:t>2</w:t>
        </w:r>
        <w:r>
          <w:rPr>
            <w:b/>
            <w:bCs/>
          </w:rPr>
          <w:fldChar w:fldCharType="end"/>
        </w:r>
      </w:p>
    </w:sdtContent>
  </w:sdt>
  <w:p w14:paraId="31598C18" w14:textId="77777777" w:rsidR="00312FD5" w:rsidRDefault="00312FD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5A5A7C"/>
    <w:multiLevelType w:val="multilevel"/>
    <w:tmpl w:val="46104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B2534F3"/>
    <w:multiLevelType w:val="multilevel"/>
    <w:tmpl w:val="3594B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724211">
    <w:abstractNumId w:val="1"/>
  </w:num>
  <w:num w:numId="2" w16cid:durableId="76557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291"/>
    <w:rsid w:val="00023509"/>
    <w:rsid w:val="00154FE2"/>
    <w:rsid w:val="00186291"/>
    <w:rsid w:val="001E4A23"/>
    <w:rsid w:val="0023383A"/>
    <w:rsid w:val="00276369"/>
    <w:rsid w:val="002D5ACA"/>
    <w:rsid w:val="00312FD5"/>
    <w:rsid w:val="003A76EC"/>
    <w:rsid w:val="0040024A"/>
    <w:rsid w:val="0041330F"/>
    <w:rsid w:val="004C19A1"/>
    <w:rsid w:val="005B0034"/>
    <w:rsid w:val="005F74A5"/>
    <w:rsid w:val="00600B72"/>
    <w:rsid w:val="006B0343"/>
    <w:rsid w:val="009B76DB"/>
    <w:rsid w:val="009E3D62"/>
    <w:rsid w:val="00A75B98"/>
    <w:rsid w:val="00AE7ADD"/>
    <w:rsid w:val="00C72B83"/>
    <w:rsid w:val="00C7432A"/>
    <w:rsid w:val="00E73EF4"/>
    <w:rsid w:val="00ED6CC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00E18"/>
  <w15:chartTrackingRefBased/>
  <w15:docId w15:val="{7AB735A6-82FE-40E9-A71C-5E17F105B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862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862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8629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8629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8629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8629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8629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8629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8629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8629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8629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8629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8629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8629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8629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8629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8629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86291"/>
    <w:rPr>
      <w:rFonts w:eastAsiaTheme="majorEastAsia" w:cstheme="majorBidi"/>
      <w:color w:val="272727" w:themeColor="text1" w:themeTint="D8"/>
    </w:rPr>
  </w:style>
  <w:style w:type="paragraph" w:styleId="Ttulo">
    <w:name w:val="Title"/>
    <w:basedOn w:val="Normal"/>
    <w:next w:val="Normal"/>
    <w:link w:val="TtuloCar"/>
    <w:uiPriority w:val="10"/>
    <w:qFormat/>
    <w:rsid w:val="001862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8629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8629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8629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86291"/>
    <w:pPr>
      <w:spacing w:before="160"/>
      <w:jc w:val="center"/>
    </w:pPr>
    <w:rPr>
      <w:i/>
      <w:iCs/>
      <w:color w:val="404040" w:themeColor="text1" w:themeTint="BF"/>
    </w:rPr>
  </w:style>
  <w:style w:type="character" w:customStyle="1" w:styleId="CitaCar">
    <w:name w:val="Cita Car"/>
    <w:basedOn w:val="Fuentedeprrafopredeter"/>
    <w:link w:val="Cita"/>
    <w:uiPriority w:val="29"/>
    <w:rsid w:val="00186291"/>
    <w:rPr>
      <w:i/>
      <w:iCs/>
      <w:color w:val="404040" w:themeColor="text1" w:themeTint="BF"/>
    </w:rPr>
  </w:style>
  <w:style w:type="paragraph" w:styleId="Prrafodelista">
    <w:name w:val="List Paragraph"/>
    <w:basedOn w:val="Normal"/>
    <w:uiPriority w:val="34"/>
    <w:qFormat/>
    <w:rsid w:val="00186291"/>
    <w:pPr>
      <w:ind w:left="720"/>
      <w:contextualSpacing/>
    </w:pPr>
  </w:style>
  <w:style w:type="character" w:styleId="nfasisintenso">
    <w:name w:val="Intense Emphasis"/>
    <w:basedOn w:val="Fuentedeprrafopredeter"/>
    <w:uiPriority w:val="21"/>
    <w:qFormat/>
    <w:rsid w:val="00186291"/>
    <w:rPr>
      <w:i/>
      <w:iCs/>
      <w:color w:val="0F4761" w:themeColor="accent1" w:themeShade="BF"/>
    </w:rPr>
  </w:style>
  <w:style w:type="paragraph" w:styleId="Citadestacada">
    <w:name w:val="Intense Quote"/>
    <w:basedOn w:val="Normal"/>
    <w:next w:val="Normal"/>
    <w:link w:val="CitadestacadaCar"/>
    <w:uiPriority w:val="30"/>
    <w:qFormat/>
    <w:rsid w:val="001862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86291"/>
    <w:rPr>
      <w:i/>
      <w:iCs/>
      <w:color w:val="0F4761" w:themeColor="accent1" w:themeShade="BF"/>
    </w:rPr>
  </w:style>
  <w:style w:type="character" w:styleId="Referenciaintensa">
    <w:name w:val="Intense Reference"/>
    <w:basedOn w:val="Fuentedeprrafopredeter"/>
    <w:uiPriority w:val="32"/>
    <w:qFormat/>
    <w:rsid w:val="00186291"/>
    <w:rPr>
      <w:b/>
      <w:bCs/>
      <w:smallCaps/>
      <w:color w:val="0F4761" w:themeColor="accent1" w:themeShade="BF"/>
      <w:spacing w:val="5"/>
    </w:rPr>
  </w:style>
  <w:style w:type="character" w:styleId="Hipervnculo">
    <w:name w:val="Hyperlink"/>
    <w:basedOn w:val="Fuentedeprrafopredeter"/>
    <w:uiPriority w:val="99"/>
    <w:unhideWhenUsed/>
    <w:rsid w:val="005B0034"/>
    <w:rPr>
      <w:color w:val="467886" w:themeColor="hyperlink"/>
      <w:u w:val="single"/>
    </w:rPr>
  </w:style>
  <w:style w:type="character" w:styleId="Mencinsinresolver">
    <w:name w:val="Unresolved Mention"/>
    <w:basedOn w:val="Fuentedeprrafopredeter"/>
    <w:uiPriority w:val="99"/>
    <w:semiHidden/>
    <w:unhideWhenUsed/>
    <w:rsid w:val="005B0034"/>
    <w:rPr>
      <w:color w:val="605E5C"/>
      <w:shd w:val="clear" w:color="auto" w:fill="E1DFDD"/>
    </w:rPr>
  </w:style>
  <w:style w:type="paragraph" w:styleId="Encabezado">
    <w:name w:val="header"/>
    <w:basedOn w:val="Normal"/>
    <w:link w:val="EncabezadoCar"/>
    <w:uiPriority w:val="99"/>
    <w:unhideWhenUsed/>
    <w:rsid w:val="00312FD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12FD5"/>
  </w:style>
  <w:style w:type="paragraph" w:styleId="Piedepgina">
    <w:name w:val="footer"/>
    <w:basedOn w:val="Normal"/>
    <w:link w:val="PiedepginaCar"/>
    <w:uiPriority w:val="99"/>
    <w:unhideWhenUsed/>
    <w:rsid w:val="00312FD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12F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390690">
      <w:bodyDiv w:val="1"/>
      <w:marLeft w:val="0"/>
      <w:marRight w:val="0"/>
      <w:marTop w:val="0"/>
      <w:marBottom w:val="0"/>
      <w:divBdr>
        <w:top w:val="none" w:sz="0" w:space="0" w:color="auto"/>
        <w:left w:val="none" w:sz="0" w:space="0" w:color="auto"/>
        <w:bottom w:val="none" w:sz="0" w:space="0" w:color="auto"/>
        <w:right w:val="none" w:sz="0" w:space="0" w:color="auto"/>
      </w:divBdr>
    </w:div>
    <w:div w:id="233974223">
      <w:bodyDiv w:val="1"/>
      <w:marLeft w:val="0"/>
      <w:marRight w:val="0"/>
      <w:marTop w:val="0"/>
      <w:marBottom w:val="0"/>
      <w:divBdr>
        <w:top w:val="none" w:sz="0" w:space="0" w:color="auto"/>
        <w:left w:val="none" w:sz="0" w:space="0" w:color="auto"/>
        <w:bottom w:val="none" w:sz="0" w:space="0" w:color="auto"/>
        <w:right w:val="none" w:sz="0" w:space="0" w:color="auto"/>
      </w:divBdr>
    </w:div>
    <w:div w:id="501697822">
      <w:bodyDiv w:val="1"/>
      <w:marLeft w:val="0"/>
      <w:marRight w:val="0"/>
      <w:marTop w:val="0"/>
      <w:marBottom w:val="0"/>
      <w:divBdr>
        <w:top w:val="none" w:sz="0" w:space="0" w:color="auto"/>
        <w:left w:val="none" w:sz="0" w:space="0" w:color="auto"/>
        <w:bottom w:val="none" w:sz="0" w:space="0" w:color="auto"/>
        <w:right w:val="none" w:sz="0" w:space="0" w:color="auto"/>
      </w:divBdr>
    </w:div>
    <w:div w:id="660502694">
      <w:bodyDiv w:val="1"/>
      <w:marLeft w:val="0"/>
      <w:marRight w:val="0"/>
      <w:marTop w:val="0"/>
      <w:marBottom w:val="0"/>
      <w:divBdr>
        <w:top w:val="none" w:sz="0" w:space="0" w:color="auto"/>
        <w:left w:val="none" w:sz="0" w:space="0" w:color="auto"/>
        <w:bottom w:val="none" w:sz="0" w:space="0" w:color="auto"/>
        <w:right w:val="none" w:sz="0" w:space="0" w:color="auto"/>
      </w:divBdr>
    </w:div>
    <w:div w:id="820388004">
      <w:bodyDiv w:val="1"/>
      <w:marLeft w:val="0"/>
      <w:marRight w:val="0"/>
      <w:marTop w:val="0"/>
      <w:marBottom w:val="0"/>
      <w:divBdr>
        <w:top w:val="none" w:sz="0" w:space="0" w:color="auto"/>
        <w:left w:val="none" w:sz="0" w:space="0" w:color="auto"/>
        <w:bottom w:val="none" w:sz="0" w:space="0" w:color="auto"/>
        <w:right w:val="none" w:sz="0" w:space="0" w:color="auto"/>
      </w:divBdr>
    </w:div>
    <w:div w:id="870072578">
      <w:bodyDiv w:val="1"/>
      <w:marLeft w:val="0"/>
      <w:marRight w:val="0"/>
      <w:marTop w:val="0"/>
      <w:marBottom w:val="0"/>
      <w:divBdr>
        <w:top w:val="none" w:sz="0" w:space="0" w:color="auto"/>
        <w:left w:val="none" w:sz="0" w:space="0" w:color="auto"/>
        <w:bottom w:val="none" w:sz="0" w:space="0" w:color="auto"/>
        <w:right w:val="none" w:sz="0" w:space="0" w:color="auto"/>
      </w:divBdr>
    </w:div>
    <w:div w:id="911694939">
      <w:bodyDiv w:val="1"/>
      <w:marLeft w:val="0"/>
      <w:marRight w:val="0"/>
      <w:marTop w:val="0"/>
      <w:marBottom w:val="0"/>
      <w:divBdr>
        <w:top w:val="none" w:sz="0" w:space="0" w:color="auto"/>
        <w:left w:val="none" w:sz="0" w:space="0" w:color="auto"/>
        <w:bottom w:val="none" w:sz="0" w:space="0" w:color="auto"/>
        <w:right w:val="none" w:sz="0" w:space="0" w:color="auto"/>
      </w:divBdr>
    </w:div>
    <w:div w:id="945112451">
      <w:bodyDiv w:val="1"/>
      <w:marLeft w:val="0"/>
      <w:marRight w:val="0"/>
      <w:marTop w:val="0"/>
      <w:marBottom w:val="0"/>
      <w:divBdr>
        <w:top w:val="none" w:sz="0" w:space="0" w:color="auto"/>
        <w:left w:val="none" w:sz="0" w:space="0" w:color="auto"/>
        <w:bottom w:val="none" w:sz="0" w:space="0" w:color="auto"/>
        <w:right w:val="none" w:sz="0" w:space="0" w:color="auto"/>
      </w:divBdr>
    </w:div>
    <w:div w:id="981618899">
      <w:bodyDiv w:val="1"/>
      <w:marLeft w:val="0"/>
      <w:marRight w:val="0"/>
      <w:marTop w:val="0"/>
      <w:marBottom w:val="0"/>
      <w:divBdr>
        <w:top w:val="none" w:sz="0" w:space="0" w:color="auto"/>
        <w:left w:val="none" w:sz="0" w:space="0" w:color="auto"/>
        <w:bottom w:val="none" w:sz="0" w:space="0" w:color="auto"/>
        <w:right w:val="none" w:sz="0" w:space="0" w:color="auto"/>
      </w:divBdr>
    </w:div>
    <w:div w:id="1108967192">
      <w:bodyDiv w:val="1"/>
      <w:marLeft w:val="0"/>
      <w:marRight w:val="0"/>
      <w:marTop w:val="0"/>
      <w:marBottom w:val="0"/>
      <w:divBdr>
        <w:top w:val="none" w:sz="0" w:space="0" w:color="auto"/>
        <w:left w:val="none" w:sz="0" w:space="0" w:color="auto"/>
        <w:bottom w:val="none" w:sz="0" w:space="0" w:color="auto"/>
        <w:right w:val="none" w:sz="0" w:space="0" w:color="auto"/>
      </w:divBdr>
    </w:div>
    <w:div w:id="1448312794">
      <w:bodyDiv w:val="1"/>
      <w:marLeft w:val="0"/>
      <w:marRight w:val="0"/>
      <w:marTop w:val="0"/>
      <w:marBottom w:val="0"/>
      <w:divBdr>
        <w:top w:val="none" w:sz="0" w:space="0" w:color="auto"/>
        <w:left w:val="none" w:sz="0" w:space="0" w:color="auto"/>
        <w:bottom w:val="none" w:sz="0" w:space="0" w:color="auto"/>
        <w:right w:val="none" w:sz="0" w:space="0" w:color="auto"/>
      </w:divBdr>
    </w:div>
    <w:div w:id="1599023641">
      <w:bodyDiv w:val="1"/>
      <w:marLeft w:val="0"/>
      <w:marRight w:val="0"/>
      <w:marTop w:val="0"/>
      <w:marBottom w:val="0"/>
      <w:divBdr>
        <w:top w:val="none" w:sz="0" w:space="0" w:color="auto"/>
        <w:left w:val="none" w:sz="0" w:space="0" w:color="auto"/>
        <w:bottom w:val="none" w:sz="0" w:space="0" w:color="auto"/>
        <w:right w:val="none" w:sz="0" w:space="0" w:color="auto"/>
      </w:divBdr>
    </w:div>
    <w:div w:id="1695421955">
      <w:bodyDiv w:val="1"/>
      <w:marLeft w:val="0"/>
      <w:marRight w:val="0"/>
      <w:marTop w:val="0"/>
      <w:marBottom w:val="0"/>
      <w:divBdr>
        <w:top w:val="none" w:sz="0" w:space="0" w:color="auto"/>
        <w:left w:val="none" w:sz="0" w:space="0" w:color="auto"/>
        <w:bottom w:val="none" w:sz="0" w:space="0" w:color="auto"/>
        <w:right w:val="none" w:sz="0" w:space="0" w:color="auto"/>
      </w:divBdr>
    </w:div>
    <w:div w:id="1724212009">
      <w:bodyDiv w:val="1"/>
      <w:marLeft w:val="0"/>
      <w:marRight w:val="0"/>
      <w:marTop w:val="0"/>
      <w:marBottom w:val="0"/>
      <w:divBdr>
        <w:top w:val="none" w:sz="0" w:space="0" w:color="auto"/>
        <w:left w:val="none" w:sz="0" w:space="0" w:color="auto"/>
        <w:bottom w:val="none" w:sz="0" w:space="0" w:color="auto"/>
        <w:right w:val="none" w:sz="0" w:space="0" w:color="auto"/>
      </w:divBdr>
    </w:div>
    <w:div w:id="1889999031">
      <w:bodyDiv w:val="1"/>
      <w:marLeft w:val="0"/>
      <w:marRight w:val="0"/>
      <w:marTop w:val="0"/>
      <w:marBottom w:val="0"/>
      <w:divBdr>
        <w:top w:val="none" w:sz="0" w:space="0" w:color="auto"/>
        <w:left w:val="none" w:sz="0" w:space="0" w:color="auto"/>
        <w:bottom w:val="none" w:sz="0" w:space="0" w:color="auto"/>
        <w:right w:val="none" w:sz="0" w:space="0" w:color="auto"/>
      </w:divBdr>
    </w:div>
    <w:div w:id="1959875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lfaomega.com.mx/default/catalogo/metodologia-de-la-programacion-algoritmos-diagramas-de-flujo-y-programas-3ra-edicion.html" TargetMode="External"/><Relationship Id="rId13" Type="http://schemas.openxmlformats.org/officeDocument/2006/relationships/hyperlink" Target="https://doi.org/10.21803/ingecana.3.3.820" TargetMode="External"/><Relationship Id="rId18" Type="http://schemas.openxmlformats.org/officeDocument/2006/relationships/hyperlink" Target="https://www.academia.edu/37397750/Montero_Maritza_Teoria_y_practica_de_la_psicologia_comunitaria"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hdl.handle.net/1992/13936" TargetMode="External"/><Relationship Id="rId7" Type="http://schemas.openxmlformats.org/officeDocument/2006/relationships/endnotes" Target="endnotes.xml"/><Relationship Id="rId12" Type="http://schemas.openxmlformats.org/officeDocument/2006/relationships/hyperlink" Target="https://doi.org/10.37811/cl_rcm.v9i1.16129" TargetMode="External"/><Relationship Id="rId17" Type="http://schemas.openxmlformats.org/officeDocument/2006/relationships/hyperlink" Target="https://es.khanacademy.org/math/algebra" TargetMode="External"/><Relationship Id="rId25" Type="http://schemas.openxmlformats.org/officeDocument/2006/relationships/hyperlink" Target="https://rcastellanos.cdmx.gob.mx/estudia-con-nosotros/licenciaturas/ciencias-de-datos-para-negocios" TargetMode="External"/><Relationship Id="rId2" Type="http://schemas.openxmlformats.org/officeDocument/2006/relationships/numbering" Target="numbering.xml"/><Relationship Id="rId16" Type="http://schemas.openxmlformats.org/officeDocument/2006/relationships/hyperlink" Target="https://www.gob.mx/inifap/documentos/biblioteca-digital-inifap-78923" TargetMode="External"/><Relationship Id="rId20" Type="http://schemas.openxmlformats.org/officeDocument/2006/relationships/hyperlink" Target="https://doi.org/10.1016/j.acso.2017.08.00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ribunalesagrarios.gob.mx/ta/wp-content/uploads/2023/06/memoria-lamu-jerenelcampomexicano.pdf" TargetMode="External"/><Relationship Id="rId24" Type="http://schemas.openxmlformats.org/officeDocument/2006/relationships/hyperlink" Target="https://smn.conagua.gob.mx/" TargetMode="External"/><Relationship Id="rId5" Type="http://schemas.openxmlformats.org/officeDocument/2006/relationships/webSettings" Target="webSettings.xml"/><Relationship Id="rId15" Type="http://schemas.openxmlformats.org/officeDocument/2006/relationships/hyperlink" Target="https://www.inegi.org.mx/contenidos/saladeprensa/boletines/2025/endutih/ENDUTIH_24_RR.pdf" TargetMode="External"/><Relationship Id="rId23" Type="http://schemas.openxmlformats.org/officeDocument/2006/relationships/hyperlink" Target="https://www.gob.mx/siap/documentos/expectativas-agroalimentarias-2024" TargetMode="External"/><Relationship Id="rId28" Type="http://schemas.openxmlformats.org/officeDocument/2006/relationships/theme" Target="theme/theme1.xml"/><Relationship Id="rId10" Type="http://schemas.openxmlformats.org/officeDocument/2006/relationships/hyperlink" Target="https://smn.conagua.gob.mx/es/climatologia/monitor-de-sequia/monitor-de-sequia-en-mexico" TargetMode="External"/><Relationship Id="rId19" Type="http://schemas.openxmlformats.org/officeDocument/2006/relationships/hyperlink" Target="https://www.fao.org/3/x0490s/x0490s00.htm" TargetMode="External"/><Relationship Id="rId4" Type="http://schemas.openxmlformats.org/officeDocument/2006/relationships/settings" Target="settings.xml"/><Relationship Id="rId9" Type="http://schemas.openxmlformats.org/officeDocument/2006/relationships/hyperlink" Target="https://digitk.areandina.edu.co/handle/areandina/1231" TargetMode="External"/><Relationship Id="rId14" Type="http://schemas.openxmlformats.org/officeDocument/2006/relationships/hyperlink" Target="https://www.inegi.org.mx/programas/cagp/2022/" TargetMode="External"/><Relationship Id="rId22" Type="http://schemas.openxmlformats.org/officeDocument/2006/relationships/hyperlink" Target="https://lnx.iue.edu.co/jspui/handle/20.500.12717/142" TargetMode="External"/><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0C8F52-BC85-4C48-BA4A-B8633A9AD5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8</Pages>
  <Words>2150</Words>
  <Characters>11827</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Leonardo Vega Barraza</dc:creator>
  <cp:keywords/>
  <dc:description/>
  <cp:lastModifiedBy>Luis Leonardo Vega Barraza</cp:lastModifiedBy>
  <cp:revision>19</cp:revision>
  <dcterms:created xsi:type="dcterms:W3CDTF">2026-04-24T21:12:00Z</dcterms:created>
  <dcterms:modified xsi:type="dcterms:W3CDTF">2026-04-28T04:53:00Z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241dab17-23ba-46c9-bb81-d92e23555240</vt:lpwstr>
  </property>
</Properties>
</file>