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Developer Handoff: Interactive Article — Gasoline, Housing &amp; Spatial Inequality in Iran</w:t>
      </w:r>
    </w:p>
    <w:p>
      <w:r>
        <w:rPr>
          <w:b/>
        </w:rPr>
        <w:t xml:space="preserve">Status: </w:t>
      </w:r>
      <w:r>
        <w:t>Ready for desktop-first prototype. Mobile-responsive adaptation comes after the desktop narrative works.</w:t>
      </w:r>
    </w:p>
    <w:p>
      <w:pPr>
        <w:pStyle w:val="Heading1"/>
      </w:pPr>
      <w:r>
        <w:t>1. Editorial thesis</w:t>
      </w:r>
    </w:p>
    <w:p>
      <w:r>
        <w:t>Core thesis: Iran’s high gasoline consumption is partly a housing problem, not simply a joy-ride/driving problem. Housing unaffordability pushes workers away from employment centers. The resulting spatial inequality creates long, economically necessary work commutes and therefore additional transport energy demand, with gasoline as the most visible manifestation.</w:t>
      </w:r>
    </w:p>
    <w:p>
      <w:r>
        <w:t>The article should not claim to prove that housing prices cause a specific percentage of national gasoline consumption. The goal is to introduce and make plausible the structural connection through a combination of national trends, Tehran spatial evidence, a concrete peripheral case study, and transparent calculations.</w:t>
      </w:r>
    </w:p>
    <w:p>
      <w:pPr>
        <w:pStyle w:val="Heading1"/>
      </w:pPr>
      <w:r>
        <w:t>2. Format and tone</w:t>
      </w:r>
    </w:p>
    <w:p>
      <w:pPr>
        <w:pStyle w:val="ListBullet"/>
      </w:pPr>
      <w:r>
        <w:t>This is an article, not a dashboard or data sheet. Narrative and explanation lead; interactions are used to reveal the argument.</w:t>
      </w:r>
    </w:p>
    <w:p>
      <w:pPr>
        <w:pStyle w:val="ListBullet"/>
      </w:pPr>
      <w:r>
        <w:t>Target feeling: serious data investigation, visually strong, occasionally provocative, but intellectually careful.</w:t>
      </w:r>
    </w:p>
    <w:p>
      <w:pPr>
        <w:pStyle w:val="ListBullet"/>
      </w:pPr>
      <w:r>
        <w:t>Do not make every paragraph interactive. Use a small number of high-value interactions.</w:t>
      </w:r>
    </w:p>
    <w:p>
      <w:pPr>
        <w:pStyle w:val="ListBullet"/>
      </w:pPr>
      <w:r>
        <w:t>Desktop-first. Build the narrative architecture so mobile adaptation can be done later without changing the underlying data model.</w:t>
      </w:r>
    </w:p>
    <w:p>
      <w:pPr>
        <w:pStyle w:val="Heading1"/>
      </w:pPr>
      <w:r>
        <w:t>3. Narrative architecture</w:t>
      </w:r>
    </w:p>
    <w:p>
      <w:pPr>
        <w:pStyle w:val="Heading2"/>
      </w:pPr>
      <w:r>
        <w:t>Scene 1 — The familiar explanation</w:t>
      </w:r>
    </w:p>
    <w:p>
      <w:r>
        <w:t>Open with the conventional belief: Iran consumes too much gasoline because gasoline is cheap and people drive too much. Show the national daily gasoline-consumption series rising from 56 million L/day in 1382 to roughly 120 million L/day in 1402. Then challenge the framing: before asking why people drive so much, ask where they live.</w:t>
      </w:r>
    </w:p>
    <w:p>
      <w:pPr>
        <w:pStyle w:val="Heading2"/>
      </w:pPr>
      <w:r>
        <w:t>Scene 2 — Where can a worker afford to live?</w:t>
      </w:r>
    </w:p>
    <w:p>
      <w:r>
        <w:t>Introduce Tehran housing/rent affordability. Use the 22-district rent data and wage-adjusted affordability concept. Let the user see how the affordable geography changes over time. The message is not merely “housing got expensive”; it is “the places a worker can afford become spatially separated from expensive employment centers.”</w:t>
      </w:r>
    </w:p>
    <w:p>
      <w:pPr>
        <w:pStyle w:val="Heading2"/>
      </w:pPr>
      <w:r>
        <w:t>Scene 3 — The city pushes people outward</w:t>
      </w:r>
    </w:p>
    <w:p>
      <w:r>
        <w:t>Zoom from Tehran city to the metropolitan periphery: Parand, Pardis, Shahriar, Robat Karim, Pakdasht, Hashtgerd and nearby settlements. Explain the new-town/dormitory-city mechanism and show that peripheral built-up areas expanded much faster than central Tehran.</w:t>
      </w:r>
    </w:p>
    <w:p>
      <w:pPr>
        <w:pStyle w:val="Heading2"/>
      </w:pPr>
      <w:r>
        <w:t>Scene 4 — The commute</w:t>
      </w:r>
    </w:p>
    <w:p>
      <w:r>
        <w:t>Use Parand as the concrete case. Show a worker living in Parand and working in Tehran. Use observed/reported figures as the factual anchor and clearly label the remaining assumptions. Illustrate roughly 35–50 km one way and up to ~100 km/day round trip for some destinations.</w:t>
      </w:r>
    </w:p>
    <w:p>
      <w:pPr>
        <w:pStyle w:val="Heading2"/>
      </w:pPr>
      <w:r>
        <w:t>Scene 5 — The hidden energy cost</w:t>
      </w:r>
    </w:p>
    <w:p>
      <w:r>
        <w:t>Calculate the monthly fuel requirement for a mandatory commute. Allow fuel efficiency to vary (7 / 9 / 12 L per 100 km). Show liters/month, then cost/month, then share of wage.</w:t>
      </w:r>
    </w:p>
    <w:p>
      <w:pPr>
        <w:pStyle w:val="Heading2"/>
      </w:pPr>
      <w:r>
        <w:t>Scene 6 — What happens when gasoline becomes expensive?</w:t>
      </w:r>
    </w:p>
    <w:p>
      <w:r>
        <w:t>Interactive gasoline-price slider. Keep the commute fixed and increase the price. The reader sees the employment-access cost explode. Explain that a worker who cannot afford housing closer to work cannot simply “drive less” without potentially changing how they work or whether the job remains economically worthwhile.</w:t>
      </w:r>
    </w:p>
    <w:p>
      <w:pPr>
        <w:pStyle w:val="Heading2"/>
      </w:pPr>
      <w:r>
        <w:t>Scene 7 — 1398</w:t>
      </w:r>
    </w:p>
    <w:p>
      <w:r>
        <w:t>Use the November 2019 gasoline-price shock as the political illustration. Do not claim the protests were caused by peripheral commuting. Instead show why a fuel-price shock is particularly painful in a system where housing and employment are spatially separated.</w:t>
      </w:r>
    </w:p>
    <w:p>
      <w:pPr>
        <w:pStyle w:val="Heading2"/>
      </w:pPr>
      <w:r>
        <w:t>Scene 8 — The policy question</w:t>
      </w:r>
    </w:p>
    <w:p>
      <w:r>
        <w:t>Shift from “How do we make people drive less?” to “How do we reduce the distance people are forced to travel to earn a living?” Present public transport as one mechanism. The policy conclusion should not be “never raise fuel prices”; it should be that fuel pricing without addressing spatial inequality and transport alternatives can impose large costs on workers.</w:t>
      </w:r>
    </w:p>
    <w:p>
      <w:pPr>
        <w:pStyle w:val="Heading1"/>
      </w:pPr>
      <w:r>
        <w:t>4. Core interactions</w:t>
      </w:r>
    </w:p>
    <w:p>
      <w:pPr>
        <w:pStyle w:val="Heading2"/>
      </w:pPr>
      <w:r>
        <w:t>A. Housing affordability map</w:t>
      </w:r>
    </w:p>
    <w:p>
      <w:pPr>
        <w:pStyle w:val="ListBullet"/>
      </w:pPr>
      <w:r>
        <w:t>Map: Tehran’s 22 municipal districts.</w:t>
      </w:r>
    </w:p>
    <w:p>
      <w:pPr>
        <w:pStyle w:val="ListBullet"/>
      </w:pPr>
      <w:r>
        <w:t>Time control: 1388–1400, using available rent data.</w:t>
      </w:r>
    </w:p>
    <w:p>
      <w:pPr>
        <w:pStyle w:val="ListBullet"/>
      </w:pPr>
      <w:r>
        <w:t>Income selector: at minimum statutory minimum wage; optionally 1x / 2x / 3x minimum wage.</w:t>
      </w:r>
    </w:p>
    <w:p>
      <w:pPr>
        <w:pStyle w:val="ListBullet"/>
      </w:pPr>
      <w:r>
        <w:t>Apartment-size selector can be added if data/UI support it, but should not complicate the first prototype.</w:t>
      </w:r>
    </w:p>
    <w:p>
      <w:pPr>
        <w:pStyle w:val="ListBullet"/>
      </w:pPr>
      <w:r>
        <w:t>Color/opacity represents affordable rent burden, not raw rent alone.</w:t>
      </w:r>
    </w:p>
    <w:p>
      <w:pPr>
        <w:pStyle w:val="ListBullet"/>
      </w:pPr>
      <w:r>
        <w:t>Narrative callout should explicitly distinguish “expensive city” from “shrinking affordable geography.”</w:t>
      </w:r>
    </w:p>
    <w:p>
      <w:pPr>
        <w:pStyle w:val="Heading2"/>
      </w:pPr>
      <w:r>
        <w:t>B. Peripheral commute animation</w:t>
      </w:r>
    </w:p>
    <w:p>
      <w:pPr>
        <w:pStyle w:val="ListBullet"/>
      </w:pPr>
      <w:r>
        <w:t>Show Tehran as employment center and peripheral residential municipalities around it.</w:t>
      </w:r>
    </w:p>
    <w:p>
      <w:pPr>
        <w:pStyle w:val="ListBullet"/>
      </w:pPr>
      <w:r>
        <w:t>Start with observed/credible places rather than invented precise OD routes.</w:t>
      </w:r>
    </w:p>
    <w:p>
      <w:pPr>
        <w:pStyle w:val="ListBullet"/>
      </w:pPr>
      <w:r>
        <w:t>For Parand, show a representative route toward Tehran; label distance as a scenario/estimate where it is not directly observed for the individual.</w:t>
      </w:r>
    </w:p>
    <w:p>
      <w:pPr>
        <w:pStyle w:val="ListBullet"/>
      </w:pPr>
      <w:r>
        <w:t>Use animated arrows to communicate daily inward commute, not a false claim of exact route-level census data.</w:t>
      </w:r>
    </w:p>
    <w:p>
      <w:pPr>
        <w:pStyle w:val="Heading2"/>
      </w:pPr>
      <w:r>
        <w:t>C. Commute-cost calculator</w:t>
      </w:r>
    </w:p>
    <w:p>
      <w:pPr>
        <w:pStyle w:val="ListBullet"/>
      </w:pPr>
      <w:r>
        <w:t>Inputs: one-way distance, working days/month, fuel efficiency, gasoline price, wage.</w:t>
      </w:r>
    </w:p>
    <w:p>
      <w:pPr>
        <w:pStyle w:val="ListBullet"/>
      </w:pPr>
      <w:r>
        <w:t>Defaults for the first prototype: 50 km one-way; 22 working days; 9 L/100 km; editable gasoline price; editable wage.</w:t>
      </w:r>
    </w:p>
    <w:p>
      <w:pPr>
        <w:pStyle w:val="ListBullet"/>
      </w:pPr>
      <w:r>
        <w:t>Outputs: km/month, liters/month, fuel cost/month, fuel cost as % of wage.</w:t>
      </w:r>
    </w:p>
    <w:p>
      <w:pPr>
        <w:pStyle w:val="ListBullet"/>
      </w:pPr>
      <w:r>
        <w:t>Show 7 / 9 / 12 L/100 km presets to make uncertainty transparent.</w:t>
      </w:r>
    </w:p>
    <w:p>
      <w:pPr>
        <w:pStyle w:val="Heading2"/>
      </w:pPr>
      <w:r>
        <w:t>D. Gasoline-price shock interaction</w:t>
      </w:r>
    </w:p>
    <w:p>
      <w:pPr>
        <w:pStyle w:val="ListBullet"/>
      </w:pPr>
      <w:r>
        <w:t>Slider or discrete steps: current/recent baseline, 2x, 3x, and higher scenario values.</w:t>
      </w:r>
    </w:p>
    <w:p>
      <w:pPr>
        <w:pStyle w:val="ListBullet"/>
      </w:pPr>
      <w:r>
        <w:t>Do not alter commute distance when fuel price changes. That keeps the causal question clean.</w:t>
      </w:r>
    </w:p>
    <w:p>
      <w:pPr>
        <w:pStyle w:val="ListBullet"/>
      </w:pPr>
      <w:r>
        <w:t>Optional second effect: show “work becomes financially unattractive” once commute cost exceeds selected share of wage, but label this as an illustrative threshold, not an empirical behavioral estimate.</w:t>
      </w:r>
    </w:p>
    <w:p>
      <w:pPr>
        <w:pStyle w:val="Heading1"/>
      </w:pPr>
      <w:r>
        <w:t>5. Data currently available</w:t>
      </w:r>
    </w:p>
    <w:p>
      <w:r>
        <w:t>Gasoline consumption: annual average daily consumption, 1382–1402. User-provided series: 56, 61, 67, 74, 65, 67, 65, 61, 60, 64, 68, 70, 71, 75, 81, 89, 89, 75, 88, 105, 120 million L/day.</w:t>
      </w:r>
    </w:p>
    <w:p>
      <w:r>
        <w:t>Tehran housing purchase prices: annual average price per m², 1382–1400, plus later spot observations (including ~81.44 million تومان/m² in Esfand 1402). Use purchase prices for long-run context, not as the primary affordability interaction.</w:t>
      </w:r>
    </w:p>
    <w:p>
      <w:r>
        <w:t>Tehran rent: strongest spatial dataset is the Ali Tayebi project, using quarterly Tehran rent/apartment data across 22 districts, 1388–1400, with wage-linked affordability calculations: https://github.com/alitayebi/maps/tree/master/rent</w:t>
      </w:r>
    </w:p>
    <w:p>
      <w:r>
        <w:t>Wages: annual government-directed minimum-wage increases; use official annual wage-setting data. Minimum wage is a lower-bound scenario, not a proxy for average worker earnings.</w:t>
      </w:r>
    </w:p>
    <w:p>
      <w:r>
        <w:t>Population: public census data. Use mainly as context/control, especially for Tehran and peripheral municipalities.</w:t>
      </w:r>
    </w:p>
    <w:p>
      <w:r>
        <w:t>Peripheral development: recent Tehran Metropolitan Region research reports very large built-up expansion in peripheral counties between 2010 and 2020, including Pardis +244.8%, Pakdasht +162.3%, Pishva +187.8%, Robat Karim +138.5%, Shahriar +82.9%, versus Tehran +4.8%.</w:t>
      </w:r>
    </w:p>
    <w:p>
      <w:r>
        <w:t>Commuting: the strongest identified source is research using RMTO travel-to-work/OD data from 1996, 2006 and 2016 to construct Tehran’s Functional Urban Area. Raw OD matrix has not yet been located publicly.</w:t>
      </w:r>
    </w:p>
    <w:p>
      <w:r>
        <w:t>Parand case: reports indicate roughly 30–40k daily travelers between Parand and Tehran; some reporting describes 35–50 km one-way distances and ~100 km/day round trips for workers whose destinations are inside Tehran. Treat exact route/distance as case-study/estimated values unless directly sourced.</w:t>
      </w:r>
    </w:p>
    <w:p>
      <w:pPr>
        <w:pStyle w:val="Heading1"/>
      </w:pPr>
      <w:r>
        <w:t>6. What is observed vs calculated vs estimated</w:t>
      </w:r>
    </w:p>
    <w:p>
      <w:r>
        <w:t>Every visual and number must carry one of three statuses in the code/data layer: OBSERVED, CALCULATED, or ESTIMATED.</w:t>
      </w:r>
    </w:p>
    <w:p>
      <w:pPr>
        <w:pStyle w:val="ListBullet"/>
      </w:pPr>
      <w:r>
        <w:t>OBSERVED: directly sourced official/statistical/research figure.</w:t>
      </w:r>
    </w:p>
    <w:p>
      <w:pPr>
        <w:pStyle w:val="ListBullet"/>
      </w:pPr>
      <w:r>
        <w:t>CALCULATED: arithmetic derived from observed inputs, e.g. 100 km/day × 9 L/100 km = 9 L/day.</w:t>
      </w:r>
    </w:p>
    <w:p>
      <w:pPr>
        <w:pStyle w:val="ListBullet"/>
      </w:pPr>
      <w:r>
        <w:t>ESTIMATED: modeled assumption such as a representative 50 km one-way trip or a selected vehicle fuel efficiency.</w:t>
      </w:r>
    </w:p>
    <w:p>
      <w:r>
        <w:t>UI should expose this distinction subtly through footnotes/tooltips, not through distracting labels on every element.</w:t>
      </w:r>
    </w:p>
    <w:p>
      <w:pPr>
        <w:pStyle w:val="Heading1"/>
      </w:pPr>
      <w:r>
        <w:t>7. Important analytical caveats</w:t>
      </w:r>
    </w:p>
    <w:p>
      <w:pPr>
        <w:pStyle w:val="ListBullet"/>
      </w:pPr>
      <w:r>
        <w:t>Do not claim correlation between housing prices and gasoline consumption proves causality. Both series trend with inflation, population, vehicle fleet, economic activity and other factors.</w:t>
      </w:r>
    </w:p>
    <w:p>
      <w:pPr>
        <w:pStyle w:val="ListBullet"/>
      </w:pPr>
      <w:r>
        <w:t>Do not use the 1399 gasoline-consumption decline as housing evidence; COVID mobility restrictions are a major confounder.</w:t>
      </w:r>
    </w:p>
    <w:p>
      <w:pPr>
        <w:pStyle w:val="ListBullet"/>
      </w:pPr>
      <w:r>
        <w:t>Do not use vehicle ownership as a core variable in version 1. Assume workers choose among car/taxi/public transport where possible; focus on the distance and cost of overcoming spatial separation.</w:t>
      </w:r>
    </w:p>
    <w:p>
      <w:pPr>
        <w:pStyle w:val="ListBullet"/>
      </w:pPr>
      <w:r>
        <w:t>Do not claim all peripheral residents work in central Tehran. The interaction should use Tehran as the dominant employment center and selected peripheral case studies, not universalize every trip.</w:t>
      </w:r>
    </w:p>
    <w:p>
      <w:pPr>
        <w:pStyle w:val="ListBullet"/>
      </w:pPr>
      <w:r>
        <w:t>Do not treat minimum wage as average income.</w:t>
      </w:r>
    </w:p>
    <w:p>
      <w:pPr>
        <w:pStyle w:val="Heading1"/>
      </w:pPr>
      <w:r>
        <w:t>8. Public transport section</w:t>
      </w:r>
    </w:p>
    <w:p>
      <w:r>
        <w:t>Use public transport as a policy alternative, not as a separate transportation dashboard. The central question is whether better transit can reduce the energy and monetary cost of bridging spatial inequality. Avoid the current draft’s “26% of Tehran uses public transport” figure until the denominator and definition are verified. Prefer share of commuting trips or daily passenger journeys with a clearly defined denominator.</w:t>
      </w:r>
    </w:p>
    <w:p>
      <w:pPr>
        <w:pStyle w:val="Heading1"/>
      </w:pPr>
      <w:r>
        <w:t>9. Visual language</w:t>
      </w:r>
    </w:p>
    <w:p>
      <w:pPr>
        <w:pStyle w:val="ListBullet"/>
      </w:pPr>
      <w:r>
        <w:t>Desktop-first, large editorial typography, generous whitespace, dark/neutral data-viz palette, restrained use of accent color for the active narrative point.</w:t>
      </w:r>
    </w:p>
    <w:p>
      <w:pPr>
        <w:pStyle w:val="ListBullet"/>
      </w:pPr>
      <w:r>
        <w:t>Maps should be clean and legible, with Tehran visually dominant and peripheral municipalities clearly differentiated.</w:t>
      </w:r>
    </w:p>
    <w:p>
      <w:pPr>
        <w:pStyle w:val="ListBullet"/>
      </w:pPr>
      <w:r>
        <w:t>Use large numbers sparingly: e.g. “100 km/day”, “154–264 L/month”, “30–40k daily travelers”.</w:t>
      </w:r>
    </w:p>
    <w:p>
      <w:pPr>
        <w:pStyle w:val="ListBullet"/>
      </w:pPr>
      <w:r>
        <w:t>Transitions should explain causality: housing map → outward displacement → commute arrows → fuel calculation. Avoid decorative animation.</w:t>
      </w:r>
    </w:p>
    <w:p>
      <w:pPr>
        <w:pStyle w:val="Heading1"/>
      </w:pPr>
      <w:r>
        <w:t>10. Technical architecture</w:t>
      </w:r>
    </w:p>
    <w:p>
      <w:pPr>
        <w:pStyle w:val="ListBullet"/>
      </w:pPr>
      <w:r>
        <w:t>Single self-contained HTML page for prototype; no backend required.</w:t>
      </w:r>
    </w:p>
    <w:p>
      <w:pPr>
        <w:pStyle w:val="ListBullet"/>
      </w:pPr>
      <w:r>
        <w:t>Keep data in structured JS/JSON objects so values and sources can be swapped without changing visualization code.</w:t>
      </w:r>
    </w:p>
    <w:p>
      <w:pPr>
        <w:pStyle w:val="ListBullet"/>
      </w:pPr>
      <w:r>
        <w:t>Separate: narrative content, data, calculations, visualization components, source metadata.</w:t>
      </w:r>
    </w:p>
    <w:p>
      <w:pPr>
        <w:pStyle w:val="ListBullet"/>
      </w:pPr>
      <w:r>
        <w:t>Use SVG/GeoJSON for Tehran district/periphery maps. Keep geodata lightweight.</w:t>
      </w:r>
    </w:p>
    <w:p>
      <w:pPr>
        <w:pStyle w:val="ListBullet"/>
      </w:pPr>
      <w:r>
        <w:t>No hover-only interactions; every essential fact must be accessible via click/tap or visible text.</w:t>
      </w:r>
    </w:p>
    <w:p>
      <w:pPr>
        <w:pStyle w:val="ListBullet"/>
      </w:pPr>
      <w:r>
        <w:t>Respect prefers-reduced-motion.</w:t>
      </w:r>
    </w:p>
    <w:p>
      <w:pPr>
        <w:pStyle w:val="ListBullet"/>
      </w:pPr>
      <w:r>
        <w:t>Mobile adaptation is phase 2; desktop is the acceptance target for the first build.</w:t>
      </w:r>
    </w:p>
    <w:p>
      <w:pPr>
        <w:pStyle w:val="Heading1"/>
      </w:pPr>
      <w:r>
        <w:t>11. Suggested component model</w:t>
      </w:r>
    </w:p>
    <w:p>
      <w:r>
        <w:t>ArticleShell → NarrativeSection → StickyVisual → Chart / Map / Calculator → SourceNote. Each scene owns a small set of state variables. Global data store should be immutable; interaction state should be local to each scene where possible.</w:t>
      </w:r>
    </w:p>
    <w:p>
      <w:pPr>
        <w:pStyle w:val="Heading1"/>
      </w:pPr>
      <w:r>
        <w:t>12. Acceptance criteria for prototype</w:t>
      </w:r>
    </w:p>
    <w:p>
      <w:pPr>
        <w:pStyle w:val="ListBullet"/>
      </w:pPr>
      <w:r>
        <w:t>A reader can understand the thesis without touching any control.</w:t>
      </w:r>
    </w:p>
    <w:p>
      <w:pPr>
        <w:pStyle w:val="ListBullet"/>
      </w:pPr>
      <w:r>
        <w:t>Interactions deepen the argument rather than reveal unrelated statistics.</w:t>
      </w:r>
    </w:p>
    <w:p>
      <w:pPr>
        <w:pStyle w:val="ListBullet"/>
      </w:pPr>
      <w:r>
        <w:t>The housing scene visibly demonstrates spatial affordability, not just rising prices.</w:t>
      </w:r>
    </w:p>
    <w:p>
      <w:pPr>
        <w:pStyle w:val="ListBullet"/>
      </w:pPr>
      <w:r>
        <w:t>The Parand scene connects housing location to work-commute distance.</w:t>
      </w:r>
    </w:p>
    <w:p>
      <w:pPr>
        <w:pStyle w:val="ListBullet"/>
      </w:pPr>
      <w:r>
        <w:t>The commute calculator makes the energy and financial burden legible in seconds.</w:t>
      </w:r>
    </w:p>
    <w:p>
      <w:pPr>
        <w:pStyle w:val="ListBullet"/>
      </w:pPr>
      <w:r>
        <w:t>The 1398 scene clearly connects fuel-price shocks to exposure created by spatial inequality without claiming protest causation.</w:t>
      </w:r>
    </w:p>
    <w:p>
      <w:pPr>
        <w:pStyle w:val="ListBullet"/>
      </w:pPr>
      <w:r>
        <w:t>Every number has a source or is visibly identified as calculated/estimated.</w:t>
      </w:r>
    </w:p>
    <w:p>
      <w:pPr>
        <w:pStyle w:val="ListBullet"/>
      </w:pPr>
      <w:r>
        <w:t>The page works smoothly on a modern desktop browser before mobile optimization begins.</w:t>
      </w:r>
    </w:p>
    <w:p>
      <w:pPr>
        <w:pStyle w:val="Heading1"/>
      </w:pPr>
      <w:r>
        <w:t>13. Files / references</w:t>
      </w:r>
    </w:p>
    <w:p>
      <w:pPr>
        <w:pStyle w:val="ListBullet"/>
      </w:pPr>
      <w:r>
        <w:t>Research workbook: iran_gas_housing_research_dataset.xlsx</w:t>
      </w:r>
    </w:p>
    <w:p>
      <w:pPr>
        <w:pStyle w:val="ListBullet"/>
      </w:pPr>
      <w:r>
        <w:t>Rent project: https://github.com/alitayebi/maps/tree/master/rent</w:t>
      </w:r>
    </w:p>
    <w:p>
      <w:pPr>
        <w:pStyle w:val="ListBullet"/>
      </w:pPr>
      <w:r>
        <w:t>Gasoline sources supplied by user: IRNA and SHANA links in the working notes.</w:t>
      </w:r>
    </w:p>
    <w:p>
      <w:pPr>
        <w:pStyle w:val="ListBullet"/>
      </w:pPr>
      <w:r>
        <w:t>Tehran metropolitan commuting research: papers based on RMTO travel-to-work flows and Tehran Functional Urban Area methodology.</w:t>
      </w:r>
    </w:p>
    <w:p>
      <w:pPr>
        <w:pStyle w:val="Heading1"/>
      </w:pPr>
      <w:r>
        <w:t>14. First build recommendation</w:t>
      </w:r>
    </w:p>
    <w:p>
      <w:r>
        <w:t>Do not code the whole article at once. Build the first three scenes only: (1) gasoline opening, (2) Tehran affordability map, (3) Parand commute + fuel calculator. The prototype succeeds when those three scenes read as one continuous argument. After that, add the 1398 and public-transport sections.</w:t>
      </w:r>
    </w:p>
    <w:p>
      <w:pPr>
        <w:jc w:val="right"/>
      </w:pPr>
      <w:r>
        <w:rPr>
          <w:i/>
        </w:rPr>
        <w:t>Prepared as implementation handoff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