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pStyle w:val="Title"/>
      </w:pPr>
      <w:r>
        <w:t xml:space="preserve">Event Processor — Option 2 (Direct-to-HPOS)</w:t>
      </w:r>
    </w:p>
    <w:p>
      <w:pPr>
        <w:pStyle w:val="Subtitle"/>
      </w:pPr>
      <w:r>
        <w:t xml:space="preserve">Process Flowchart &amp; Corner Cases — Developer Reference</w:t>
      </w:r>
    </w:p>
    <w:p>
      <w:r>
        <w:t xml:space="preserve">A thin, stateless consumer reads events from Kafka, writes each event as-is to the HPOS RAW_EVENTS bucket, and commits the offset only after the write succeeds. No scheduler, no in-memory buffer, no feedback topic. Reading raw events and generating Parquet is owned by the Aggregation Layer.</w:t>
      </w:r>
    </w:p>
    <w:p>
      <w:r>
        <w:t xml:space="preserve">The flowchart below is built from native Word shapes — click any box or arrow to move, edit, restyle, or ungroup.</w:t>
      </w:r>
    </w:p>
    <w:p/>
    <w:p>
      <w:pPr>
        <w:pStyle w:val="Heading1"/>
      </w:pPr>
      <w:r>
        <w:t xml:space="preserve">Process Flowchart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7193280"/>
            <wp:effectExtent l="0" t="0" r="0" b="0"/>
            <wp:docPr id="148" name="Flowchart"/>
            <wp:cNvGraphicFramePr/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5486400" cy="7193280"/>
                      <a:chOff x="0" y="0"/>
                      <a:chExt cx="900" cy="1180"/>
                    </a:xfrm>
                  </wpg:grpSpPr>
                  <wps:wsp>
                    <wps:cNvPr id="101" name="n101"/>
                    <wps:cNvSpPr/>
                    <wps:spPr>
                      <a:xfrm>
                        <a:off x="480" y="0"/>
                        <a:ext cx="280" cy="44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3D54D6"/>
                      </a:solidFill>
                      <a:ln w="12700">
                        <a:solidFill>
                          <a:srgbClr val="3346B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rFonts w:ascii="Consolas" w:hAnsi="Consolas"/>
                              <w:color w:val="FFFFFF"/>
                              <w:sz w:val="17"/>
                            </w:rPr>
                            <w:t xml:space="preserve">consumer.poll()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02" name="n102"/>
                    <wps:cNvSpPr/>
                    <wps:spPr>
                      <a:xfrm>
                        <a:off x="550" y="70"/>
                        <a:ext cx="140" cy="10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Records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returned?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03" name="n103"/>
                    <wps:cNvSpPr/>
                    <wps:spPr>
                      <a:xfrm>
                        <a:off x="480" y="196"/>
                        <a:ext cx="280" cy="44"/>
                      </a:xfrm>
                      <a:prstGeom prst="roundRect">
                        <a:avLst/>
                      </a:prstGeom>
                      <a:solidFill>
                        <a:srgbClr val="EEF1FF"/>
                      </a:solidFill>
                      <a:ln w="12700">
                        <a:solidFill>
                          <a:srgbClr val="7C8FF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Take next event from poll batch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04" name="n104"/>
                    <wps:cNvSpPr/>
                    <wps:spPr>
                      <a:xfrm>
                        <a:off x="480" y="266"/>
                        <a:ext cx="280" cy="50"/>
                      </a:xfrm>
                      <a:prstGeom prst="roundRect">
                        <a:avLst/>
                      </a:prstGeom>
                      <a:solidFill>
                        <a:srgbClr val="EEF1FF"/>
                      </a:solidFill>
                      <a:ln w="12700">
                        <a:solidFill>
                          <a:srgbClr val="7C8FF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Build deterministic key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3D54D6"/>
                              <w:sz w:val="14"/>
                            </w:rPr>
                            <w:t xml:space="preserve">…/{eventId}.json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05" name="n105"/>
                    <wps:cNvSpPr/>
                    <wps:spPr>
                      <a:xfrm>
                        <a:off x="480" y="342"/>
                        <a:ext cx="280" cy="50"/>
                      </a:xfrm>
                      <a:prstGeom prst="roundRect">
                        <a:avLst/>
                      </a:prstGeom>
                      <a:solidFill>
                        <a:srgbClr val="E6F7EC"/>
                      </a:solidFill>
                      <a:ln w="12700">
                        <a:solidFill>
                          <a:srgbClr val="5FAE7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PUT event as-is → HPOS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color w:val="5A6477"/>
                              <w:sz w:val="14"/>
                            </w:rPr>
                            <w:t xml:space="preserve">RAW_EVENTS bucket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06" name="n106"/>
                    <wps:cNvSpPr/>
                    <wps:spPr>
                      <a:xfrm>
                        <a:off x="550" y="418"/>
                        <a:ext cx="140" cy="10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Write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success?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07" name="n107"/>
                    <wps:cNvSpPr/>
                    <wps:spPr>
                      <a:xfrm>
                        <a:off x="550" y="700"/>
                        <a:ext cx="140" cy="10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More events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in batch?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08" name="n108"/>
                    <wps:cNvSpPr/>
                    <wps:spPr>
                      <a:xfrm>
                        <a:off x="480" y="830"/>
                        <a:ext cx="280" cy="44"/>
                      </a:xfrm>
                      <a:prstGeom prst="roundRect">
                        <a:avLst>
                          <a:gd name="adj" fmla="val 20000"/>
                        </a:avLst>
                      </a:prstGeom>
                      <a:solidFill>
                        <a:srgbClr val="E6F7EC"/>
                      </a:solidFill>
                      <a:ln w="12700">
                        <a:solidFill>
                          <a:srgbClr val="5FAE7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Commit offset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09" name="n109"/>
                    <wps:cNvSpPr/>
                    <wps:spPr>
                      <a:xfrm>
                        <a:off x="480" y="900"/>
                        <a:ext cx="280" cy="44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3D54D6"/>
                      </a:solidFill>
                      <a:ln w="12700">
                        <a:solidFill>
                          <a:srgbClr val="3346B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↺ Return to poll()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0" name="n110"/>
                    <wps:cNvSpPr/>
                    <wps:spPr>
                      <a:xfrm>
                        <a:off x="120" y="444"/>
                        <a:ext cx="260" cy="50"/>
                      </a:xfrm>
                      <a:prstGeom prst="roundRect">
                        <a:avLst/>
                      </a:prstGeom>
                      <a:solidFill>
                        <a:srgbClr val="FCE9E4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Retry write with backoff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color w:val="A05A3C"/>
                              <w:sz w:val="14"/>
                            </w:rPr>
                            <w:t xml:space="preserve">1s → 2s → 4s … cap ~30s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1" name="n111"/>
                    <wps:cNvSpPr/>
                    <wps:spPr>
                      <a:xfrm>
                        <a:off x="180" y="520"/>
                        <a:ext cx="140" cy="10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Breaker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open?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2" name="n112"/>
                    <wps:cNvSpPr/>
                    <wps:spPr>
                      <a:xfrm>
                        <a:off x="120" y="646"/>
                        <a:ext cx="260" cy="50"/>
                      </a:xfrm>
                      <a:prstGeom prst="roundRect">
                        <a:avLst/>
                      </a:prstGeom>
                      <a:solidFill>
                        <a:srgbClr val="FCE9E4"/>
                      </a:solidFill>
                      <a:ln w="12700">
                        <a:solidFill>
                          <a:srgbClr val="E07A5F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Pause consumer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color w:val="A05A3C"/>
                              <w:sz w:val="14"/>
                            </w:rPr>
                            <w:t xml:space="preserve">all assigned partitions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3" name="n113"/>
                    <wps:cNvSpPr/>
                    <wps:spPr>
                      <a:xfrm>
                        <a:off x="120" y="722"/>
                        <a:ext cx="260" cy="50"/>
                      </a:xfrm>
                      <a:prstGeom prst="roundRect">
                        <a:avLst/>
                      </a:prstGeom>
                      <a:solidFill>
                        <a:srgbClr val="F2F4F8"/>
                      </a:solidFill>
                      <a:ln w="12700">
                        <a:solidFill>
                          <a:srgbClr val="9AA6B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poll() keeps running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color w:val="5A6477"/>
                              <w:sz w:val="14"/>
                            </w:rPr>
                            <w:t xml:space="preserve">heartbeat · no rebalance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4" name="n114"/>
                    <wps:cNvSpPr/>
                    <wps:spPr>
                      <a:xfrm>
                        <a:off x="120" y="798"/>
                        <a:ext cx="260" cy="44"/>
                      </a:xfrm>
                      <a:prstGeom prst="roundRect">
                        <a:avLst/>
                      </a:prstGeom>
                      <a:solidFill>
                        <a:srgbClr val="F2F4F8"/>
                      </a:solidFill>
                      <a:ln w="12700">
                        <a:solidFill>
                          <a:srgbClr val="9AA6B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Background probe pings HPOS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5" name="n115"/>
                    <wps:cNvSpPr/>
                    <wps:spPr>
                      <a:xfrm>
                        <a:off x="180" y="868"/>
                        <a:ext cx="140" cy="100"/>
                      </a:xfrm>
                      <a:prstGeom prst="diamond">
                        <a:avLst/>
                      </a:prstGeom>
                      <a:solidFill>
                        <a:srgbClr val="FFF3E0"/>
                      </a:solidFill>
                      <a:ln w="12700">
                        <a:solidFill>
                          <a:srgbClr val="E0A64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HPOS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healthy?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6" name="n116"/>
                    <wps:cNvSpPr/>
                    <wps:spPr>
                      <a:xfrm>
                        <a:off x="120" y="994"/>
                        <a:ext cx="260" cy="50"/>
                      </a:xfrm>
                      <a:prstGeom prst="roundRect">
                        <a:avLst/>
                      </a:prstGeom>
                      <a:solidFill>
                        <a:srgbClr val="E6F7EC"/>
                      </a:solidFill>
                      <a:ln w="12700">
                        <a:solidFill>
                          <a:srgbClr val="5FAE7C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16243B"/>
                              <w:sz w:val="17"/>
                            </w:rPr>
                            <w:t xml:space="preserve">Resume consumer</w:t>
                          </w:r>
                        </w:p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color w:val="2E7D46"/>
                              <w:sz w:val="14"/>
                            </w:rPr>
                            <w:t xml:space="preserve">reprocess (idempotent)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7" name="n117"/>
                    <wps:cNvSpPr/>
                    <wps:spPr>
                      <a:xfrm>
                        <a:off x="120" y="1070"/>
                        <a:ext cx="260" cy="44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3D54D6"/>
                      </a:solidFill>
                      <a:ln w="12700">
                        <a:solidFill>
                          <a:srgbClr val="3346B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b/>
                              <w:color w:val="FFFFFF"/>
                              <w:sz w:val="17"/>
                            </w:rPr>
                            <w:t xml:space="preserve">↺ Return to poll()</w:t>
                          </w:r>
                        </w:p>
                      </w:txbxContent>
                    </wps:txbx>
                    <wps:bodyPr rot="0" wrap="square" lIns="22860" tIns="12700" rIns="22860" bIns="12700" anchor="ctr" anchorCtr="1"/>
                  </wps:wsp>
                  <wps:wsp>
                    <wps:cNvPr id="118" name="a118"/>
                    <wps:cNvSpPr/>
                    <wps:spPr>
                      <a:xfrm>
                        <a:off x="620" y="44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19" name="a119"/>
                    <wps:cNvSpPr/>
                    <wps:spPr>
                      <a:xfrm>
                        <a:off x="620" y="170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0" name="a120"/>
                    <wps:cNvSpPr/>
                    <wps:spPr>
                      <a:xfrm>
                        <a:off x="620" y="240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1" name="a121"/>
                    <wps:cNvSpPr/>
                    <wps:spPr>
                      <a:xfrm>
                        <a:off x="620" y="316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2" name="a122"/>
                    <wps:cNvSpPr/>
                    <wps:spPr>
                      <a:xfrm>
                        <a:off x="620" y="392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3" name="a123"/>
                    <wps:cNvSpPr/>
                    <wps:spPr>
                      <a:xfrm>
                        <a:off x="620" y="518"/>
                        <a:ext cx="1" cy="182"/>
                      </a:xfrm>
                      <a:custGeom>
                        <a:avLst/>
                        <a:gdLst/>
                        <a:ahLst/>
                        <a:cxnLst/>
                        <a:rect l="0" t="0" r="1" b="182"/>
                        <a:pathLst>
                          <a:path w="1" h="182" fill="none">
                            <a:moveTo>
                              <a:pt x="0" y="0"/>
                            </a:moveTo>
                            <a:lnTo>
                              <a:pt x="0" y="182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4" name="a124"/>
                    <wps:cNvSpPr/>
                    <wps:spPr>
                      <a:xfrm>
                        <a:off x="620" y="800"/>
                        <a:ext cx="1" cy="30"/>
                      </a:xfrm>
                      <a:custGeom>
                        <a:avLst/>
                        <a:gdLst/>
                        <a:ahLst/>
                        <a:cxnLst/>
                        <a:rect l="0" t="0" r="1" b="30"/>
                        <a:pathLst>
                          <a:path w="1" h="30" fill="none">
                            <a:moveTo>
                              <a:pt x="0" y="0"/>
                            </a:moveTo>
                            <a:lnTo>
                              <a:pt x="0" y="3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5" name="a125"/>
                    <wps:cNvSpPr/>
                    <wps:spPr>
                      <a:xfrm>
                        <a:off x="620" y="874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6" name="a126"/>
                    <wps:cNvSpPr/>
                    <wps:spPr>
                      <a:xfrm>
                        <a:off x="440" y="22"/>
                        <a:ext cx="110" cy="98"/>
                      </a:xfrm>
                      <a:custGeom>
                        <a:avLst/>
                        <a:gdLst/>
                        <a:ahLst/>
                        <a:cxnLst/>
                        <a:rect l="0" t="0" r="110" b="98"/>
                        <a:pathLst>
                          <a:path w="110" h="98" fill="none">
                            <a:moveTo>
                              <a:pt x="110" y="98"/>
                            </a:moveTo>
                            <a:lnTo>
                              <a:pt x="0" y="98"/>
                            </a:lnTo>
                            <a:lnTo>
                              <a:pt x="0" y="0"/>
                            </a:lnTo>
                            <a:lnTo>
                              <a:pt x="40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7" name="a127"/>
                    <wps:cNvSpPr/>
                    <wps:spPr>
                      <a:xfrm>
                        <a:off x="690" y="218"/>
                        <a:ext cx="110" cy="532"/>
                      </a:xfrm>
                      <a:custGeom>
                        <a:avLst/>
                        <a:gdLst/>
                        <a:ahLst/>
                        <a:cxnLst/>
                        <a:rect l="0" t="0" r="110" b="532"/>
                        <a:pathLst>
                          <a:path w="110" h="532" fill="none">
                            <a:moveTo>
                              <a:pt x="0" y="532"/>
                            </a:moveTo>
                            <a:lnTo>
                              <a:pt x="110" y="532"/>
                            </a:lnTo>
                            <a:lnTo>
                              <a:pt x="110" y="0"/>
                            </a:lnTo>
                            <a:lnTo>
                              <a:pt x="70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8" name="a128"/>
                    <wps:cNvSpPr/>
                    <wps:spPr>
                      <a:xfrm>
                        <a:off x="380" y="468"/>
                        <a:ext cx="170" cy="1"/>
                      </a:xfrm>
                      <a:custGeom>
                        <a:avLst/>
                        <a:gdLst/>
                        <a:ahLst/>
                        <a:cxnLst/>
                        <a:rect l="0" t="0" r="170" b="1"/>
                        <a:pathLst>
                          <a:path w="170" h="1" fill="none">
                            <a:moveTo>
                              <a:pt x="17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29" name="a129"/>
                    <wps:cNvSpPr/>
                    <wps:spPr>
                      <a:xfrm>
                        <a:off x="250" y="494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0" name="a130"/>
                    <wps:cNvSpPr/>
                    <wps:spPr>
                      <a:xfrm>
                        <a:off x="250" y="620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1" name="a131"/>
                    <wps:cNvSpPr/>
                    <wps:spPr>
                      <a:xfrm>
                        <a:off x="250" y="696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2" name="a132"/>
                    <wps:cNvSpPr/>
                    <wps:spPr>
                      <a:xfrm>
                        <a:off x="250" y="772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3" name="a133"/>
                    <wps:cNvSpPr/>
                    <wps:spPr>
                      <a:xfrm>
                        <a:off x="250" y="842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4" name="a134"/>
                    <wps:cNvSpPr/>
                    <wps:spPr>
                      <a:xfrm>
                        <a:off x="250" y="968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5" name="a135"/>
                    <wps:cNvSpPr/>
                    <wps:spPr>
                      <a:xfrm>
                        <a:off x="250" y="1044"/>
                        <a:ext cx="1" cy="26"/>
                      </a:xfrm>
                      <a:custGeom>
                        <a:avLst/>
                        <a:gdLst/>
                        <a:ahLst/>
                        <a:cxnLst/>
                        <a:rect l="0" t="0" r="1" b="26"/>
                        <a:pathLst>
                          <a:path w="1" h="26" fill="none">
                            <a:moveTo>
                              <a:pt x="0" y="0"/>
                            </a:moveTo>
                            <a:lnTo>
                              <a:pt x="0" y="26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6" name="a136"/>
                    <wps:cNvSpPr/>
                    <wps:spPr>
                      <a:xfrm>
                        <a:off x="320" y="367"/>
                        <a:ext cx="160" cy="203"/>
                      </a:xfrm>
                      <a:custGeom>
                        <a:avLst/>
                        <a:gdLst/>
                        <a:ahLst/>
                        <a:cxnLst/>
                        <a:rect l="0" t="0" r="160" b="203"/>
                        <a:pathLst>
                          <a:path w="160" h="203" fill="none">
                            <a:moveTo>
                              <a:pt x="0" y="203"/>
                            </a:moveTo>
                            <a:lnTo>
                              <a:pt x="110" y="203"/>
                            </a:lnTo>
                            <a:lnTo>
                              <a:pt x="110" y="0"/>
                            </a:lnTo>
                            <a:lnTo>
                              <a:pt x="160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7" name="a137"/>
                    <wps:cNvSpPr/>
                    <wps:spPr>
                      <a:xfrm>
                        <a:off x="90" y="820"/>
                        <a:ext cx="90" cy="98"/>
                      </a:xfrm>
                      <a:custGeom>
                        <a:avLst/>
                        <a:gdLst/>
                        <a:ahLst/>
                        <a:cxnLst/>
                        <a:rect l="0" t="0" r="90" b="98"/>
                        <a:pathLst>
                          <a:path w="90" h="98" fill="none">
                            <a:moveTo>
                              <a:pt x="90" y="98"/>
                            </a:moveTo>
                            <a:lnTo>
                              <a:pt x="0" y="98"/>
                            </a:lnTo>
                            <a:lnTo>
                              <a:pt x="0" y="0"/>
                            </a:lnTo>
                            <a:lnTo>
                              <a:pt x="30" y="0"/>
                            </a:lnTo>
                          </a:path>
                        </a:pathLst>
                      </a:custGeom>
                      <a:ln w="19050">
                        <a:solidFill>
                          <a:srgbClr val="5B6A86"/>
                        </a:solidFill>
                        <a:tailEnd type="triangle" w="lg" len="lg"/>
                      </a:ln>
                    </wps:spPr>
                    <wps:bodyPr/>
                  </wps:wsp>
                  <wps:wsp>
                    <wps:cNvPr id="138" name="l138"/>
                    <wps:cNvSpPr txBox="1"/>
                    <wps:spPr>
                      <a:xfrm>
                        <a:off x="606" y="163"/>
                        <a:ext cx="6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4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39" name="l139"/>
                    <wps:cNvSpPr txBox="1"/>
                    <wps:spPr>
                      <a:xfrm>
                        <a:off x="417" y="76"/>
                        <a:ext cx="7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5B6A86"/>
                              <w:sz w:val="14"/>
                            </w:rPr>
                            <w:t xml:space="preserve">no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0" name="l140"/>
                    <wps:cNvSpPr txBox="1"/>
                    <wps:spPr>
                      <a:xfrm>
                        <a:off x="620" y="580"/>
                        <a:ext cx="6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4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1" name="l141"/>
                    <wps:cNvSpPr txBox="1"/>
                    <wps:spPr>
                      <a:xfrm>
                        <a:off x="566" y="792"/>
                        <a:ext cx="14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5B6A86"/>
                              <w:sz w:val="14"/>
                            </w:rPr>
                            <w:t xml:space="preserve">no · batch done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2" name="l142"/>
                    <wps:cNvSpPr txBox="1"/>
                    <wps:spPr>
                      <a:xfrm>
                        <a:off x="732" y="280"/>
                        <a:ext cx="12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4"/>
                            </w:rPr>
                            <w:t xml:space="preserve">yes · next event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3" name="l143"/>
                    <wps:cNvSpPr txBox="1"/>
                    <wps:spPr>
                      <a:xfrm>
                        <a:off x="435" y="432"/>
                        <a:ext cx="5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C2503A"/>
                              <w:sz w:val="14"/>
                            </w:rPr>
                            <w:t xml:space="preserve">no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4" name="l144"/>
                    <wps:cNvSpPr txBox="1"/>
                    <wps:spPr>
                      <a:xfrm>
                        <a:off x="241" y="612"/>
                        <a:ext cx="5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4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5" name="l145"/>
                    <wps:cNvSpPr txBox="1"/>
                    <wps:spPr>
                      <a:xfrm>
                        <a:off x="335" y="536"/>
                        <a:ext cx="11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C2503A"/>
                              <w:sz w:val="14"/>
                            </w:rPr>
                            <w:t xml:space="preserve">no · retry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6" name="l146"/>
                    <wps:cNvSpPr txBox="1"/>
                    <wps:spPr>
                      <a:xfrm>
                        <a:off x="241" y="960"/>
                        <a:ext cx="5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2E7D46"/>
                              <w:sz w:val="14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  <wps:wsp>
                    <wps:cNvPr id="147" name="l147"/>
                    <wps:cNvSpPr txBox="1"/>
                    <wps:spPr>
                      <a:xfrm>
                        <a:off x="-5" y="875"/>
                        <a:ext cx="150" cy="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spacing w:after="0" w:line="216" w:lineRule="auto"/>
                          </w:pPr>
                          <w:r>
                            <w:rPr>
                              <w:rFonts w:ascii="Consolas" w:hAnsi="Consolas"/>
                              <w:color w:val="5B6A86"/>
                              <w:sz w:val="14"/>
                            </w:rPr>
                            <w:t xml:space="preserve">no · keep paused</w:t>
                          </w:r>
                        </w:p>
                      </w:txbxContent>
                    </wps:txbx>
                    <wps:bodyPr rot="0" wrap="none" lIns="0" tIns="0" rIns="0" bIns="0" anchor="ctr" anchorCtr="1"/>
                  </wps:wsp>
                </wpg:wgp>
              </a:graphicData>
            </a:graphic>
          </wp:inline>
        </w:drawing>
      </w:r>
    </w:p>
    <w:p/>
    <w:p>
      <w:pPr>
        <w:pStyle w:val="Heading1"/>
      </w:pPr>
      <w:r>
        <w:t xml:space="preserve">1. Main Processing Flow</w:t>
      </w:r>
    </w:p>
    <w:p>
      <w:pPr>
        <w:ind w:left="360" w:hanging="360"/>
      </w:pPr>
      <w:r>
        <w:rPr>
          <w:b/>
        </w:rPr>
        <w:t xml:space="preserve">1.  </w:t>
      </w:r>
      <w:r>
        <w:rPr>
          <w:rFonts w:ascii="Consolas" w:hAnsi="Consolas"/>
        </w:rPr>
        <w:t xml:space="preserve">consumer.poll() </w:t>
      </w:r>
      <w:r>
        <w:t xml:space="preserve">— poll the Kafka topic for a batch of records.</w:t>
      </w:r>
    </w:p>
    <w:p>
      <w:pPr>
        <w:ind w:left="360" w:hanging="360"/>
      </w:pPr>
      <w:r>
        <w:rPr>
          <w:b/>
        </w:rPr>
        <w:t xml:space="preserve">2.  </w:t>
      </w:r>
      <w:r>
        <w:rPr>
          <w:b/>
        </w:rPr>
        <w:t xml:space="preserve">Records returned? </w:t>
      </w:r>
      <w:r>
        <w:t xml:space="preserve">No (empty) → loop back to poll() (idle-safe). Yes → continue.</w:t>
      </w:r>
    </w:p>
    <w:p>
      <w:pPr>
        <w:ind w:left="360" w:hanging="360"/>
      </w:pPr>
      <w:r>
        <w:rPr>
          <w:b/>
        </w:rPr>
        <w:t xml:space="preserve">3.  </w:t>
      </w:r>
      <w:r>
        <w:t xml:space="preserve">Take the next event from the poll batch.</w:t>
      </w:r>
    </w:p>
    <w:p>
      <w:pPr>
        <w:ind w:left="360" w:hanging="360"/>
      </w:pPr>
      <w:r>
        <w:rPr>
          <w:b/>
        </w:rPr>
        <w:t xml:space="preserve">4.  </w:t>
      </w:r>
      <w:r>
        <w:t xml:space="preserve">Build the deterministic object key: </w:t>
      </w:r>
      <w:r>
        <w:rPr>
          <w:rFonts w:ascii="Consolas" w:hAnsi="Consolas"/>
        </w:rPr>
        <w:t xml:space="preserve">raw_events/date/hour/p/{eventId}.json</w:t>
      </w:r>
      <w:r>
        <w:t xml:space="preserve">.</w:t>
      </w:r>
    </w:p>
    <w:p>
      <w:pPr>
        <w:ind w:left="360" w:hanging="360"/>
      </w:pPr>
      <w:r>
        <w:rPr>
          <w:b/>
        </w:rPr>
        <w:t xml:space="preserve">5.  </w:t>
      </w:r>
      <w:r>
        <w:rPr>
          <w:b/>
        </w:rPr>
        <w:t xml:space="preserve">PUT the event as-is </w:t>
      </w:r>
      <w:r>
        <w:t xml:space="preserve">to the HPOS RAW_EVENTS bucket (raw JSON, no transform).</w:t>
      </w:r>
    </w:p>
    <w:p>
      <w:pPr>
        <w:ind w:left="360" w:hanging="360"/>
      </w:pPr>
      <w:r>
        <w:rPr>
          <w:b/>
        </w:rPr>
        <w:t xml:space="preserve">6.  </w:t>
      </w:r>
      <w:r>
        <w:rPr>
          <w:b/>
        </w:rPr>
        <w:t xml:space="preserve">Write success? </w:t>
      </w:r>
      <w:r>
        <w:t xml:space="preserve">No → failure branch (left). Yes → continue.</w:t>
      </w:r>
    </w:p>
    <w:p>
      <w:pPr>
        <w:ind w:left="360" w:hanging="360"/>
      </w:pPr>
      <w:r>
        <w:rPr>
          <w:b/>
        </w:rPr>
        <w:t xml:space="preserve">7.  </w:t>
      </w:r>
      <w:r>
        <w:rPr>
          <w:b/>
        </w:rPr>
        <w:t xml:space="preserve">More events in batch? </w:t>
      </w:r>
      <w:r>
        <w:t xml:space="preserve">Yes → back to step 3. No → continue.</w:t>
      </w:r>
    </w:p>
    <w:p>
      <w:pPr>
        <w:ind w:left="360" w:hanging="360"/>
      </w:pPr>
      <w:r>
        <w:rPr>
          <w:b/>
        </w:rPr>
        <w:t xml:space="preserve">8.  </w:t>
      </w:r>
      <w:r>
        <w:rPr>
          <w:b/>
        </w:rPr>
        <w:t xml:space="preserve">Commit offset </w:t>
      </w:r>
      <w:r>
        <w:t xml:space="preserve">— only after the write(s) are acknowledged by HPOS.</w:t>
      </w:r>
    </w:p>
    <w:p>
      <w:pPr>
        <w:ind w:left="360" w:hanging="360"/>
      </w:pPr>
      <w:r>
        <w:rPr>
          <w:b/>
        </w:rPr>
        <w:t xml:space="preserve">9.  </w:t>
      </w:r>
      <w:r>
        <w:t xml:space="preserve">Return to poll() for the next batch.</w:t>
      </w:r>
    </w:p>
    <w:p/>
    <w:p>
      <w:pPr>
        <w:pStyle w:val="Heading1"/>
      </w:pPr>
      <w:r>
        <w:t xml:space="preserve">2. Write Failure &amp; Resiliency Branch</w:t>
      </w:r>
    </w:p>
    <w:p>
      <w:pPr>
        <w:ind w:left="360" w:hanging="360"/>
      </w:pPr>
      <w:r>
        <w:rPr>
          <w:b/>
        </w:rPr>
        <w:t xml:space="preserve">F1.  </w:t>
      </w:r>
      <w:r>
        <w:rPr>
          <w:b/>
        </w:rPr>
        <w:t xml:space="preserve">Retry the write with exponential backoff </w:t>
      </w:r>
      <w:r>
        <w:t xml:space="preserve">(1s → 2s → 4s … capped ~30s).</w:t>
      </w:r>
    </w:p>
    <w:p>
      <w:pPr>
        <w:ind w:left="360" w:hanging="360"/>
      </w:pPr>
      <w:r>
        <w:rPr>
          <w:b/>
        </w:rPr>
        <w:t xml:space="preserve">F2.  </w:t>
      </w:r>
      <w:r>
        <w:rPr>
          <w:b/>
        </w:rPr>
        <w:t xml:space="preserve">Breaker open? </w:t>
      </w:r>
      <w:r>
        <w:t xml:space="preserve">(≥N consecutive failures / cap hit). No → retry the write. Yes → continue.</w:t>
      </w:r>
    </w:p>
    <w:p>
      <w:pPr>
        <w:ind w:left="360" w:hanging="360"/>
      </w:pPr>
      <w:r>
        <w:rPr>
          <w:b/>
        </w:rPr>
        <w:t xml:space="preserve">F3.  </w:t>
      </w:r>
      <w:r>
        <w:rPr>
          <w:b/>
        </w:rPr>
        <w:t xml:space="preserve">Pause consumer </w:t>
      </w:r>
      <w:r>
        <w:t xml:space="preserve">— pause all assigned partitions.</w:t>
      </w:r>
    </w:p>
    <w:p>
      <w:pPr>
        <w:ind w:left="360" w:hanging="360"/>
      </w:pPr>
      <w:r>
        <w:rPr>
          <w:b/>
        </w:rPr>
        <w:t xml:space="preserve">F4.  </w:t>
      </w:r>
      <w:r>
        <w:rPr>
          <w:rFonts w:ascii="Consolas" w:hAnsi="Consolas"/>
        </w:rPr>
        <w:t xml:space="preserve">poll() keeps running </w:t>
      </w:r>
      <w:r>
        <w:t xml:space="preserve">— heartbeat stays alive so no rebalance is triggered.</w:t>
      </w:r>
    </w:p>
    <w:p>
      <w:pPr>
        <w:ind w:left="360" w:hanging="360"/>
      </w:pPr>
      <w:r>
        <w:rPr>
          <w:b/>
        </w:rPr>
        <w:t xml:space="preserve">F5.  </w:t>
      </w:r>
      <w:r>
        <w:t xml:space="preserve">Background probe pings HPOS.</w:t>
      </w:r>
    </w:p>
    <w:p>
      <w:pPr>
        <w:ind w:left="360" w:hanging="360"/>
      </w:pPr>
      <w:r>
        <w:rPr>
          <w:b/>
        </w:rPr>
        <w:t xml:space="preserve">F6.  </w:t>
      </w:r>
      <w:r>
        <w:rPr>
          <w:b/>
        </w:rPr>
        <w:t xml:space="preserve">HPOS healthy? </w:t>
      </w:r>
      <w:r>
        <w:t xml:space="preserve">No → keep paused &amp; keep probing. Yes → continue.</w:t>
      </w:r>
    </w:p>
    <w:p>
      <w:pPr>
        <w:ind w:left="360" w:hanging="360"/>
      </w:pPr>
      <w:r>
        <w:rPr>
          <w:b/>
        </w:rPr>
        <w:t xml:space="preserve">F7.  </w:t>
      </w:r>
      <w:r>
        <w:rPr>
          <w:b/>
        </w:rPr>
        <w:t xml:space="preserve">Resume consumer </w:t>
      </w:r>
      <w:r>
        <w:t xml:space="preserve">→ reprocess uncommitted offsets (idempotent) → Return to poll().</w:t>
      </w:r>
    </w:p>
    <w:p/>
    <w:p>
      <w:pPr>
        <w:pStyle w:val="Heading1"/>
      </w:pPr>
      <w:r>
        <w:t xml:space="preserve">3. Corner Cases &amp; Guarantees</w:t>
      </w:r>
    </w:p>
    <w:tbl>
      <w:tblPr>
        <w:tblStyle w:val="TableGrid"/>
        <w:tblW w:w="0" w:type="auto"/>
      </w:tblPr>
      <w:tblGrid>
        <w:gridCol w:w="2600"/>
        <w:gridCol w:w="6400"/>
      </w:tblGrid>
      <w:tr>
        <w:tc>
          <w:tcPr>
            <w:tcW w:w="26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tcW w:w="6400" w:type="dxa"/>
            <w:shd w:val="clear" w:color="auto" w:fill="16243B"/>
            <w:vAlign w:val="center"/>
          </w:tcPr>
          <w:p>
            <w:r>
              <w:rPr>
                <w:b/>
                <w:color w:val="FFFFFF"/>
              </w:rPr>
              <w:t xml:space="preserve">Behaviour / Guarantee</w:t>
            </w:r>
          </w:p>
        </w:tc>
      </w:tr>
      <w:tr>
        <w:tc>
          <w:tcPr>
            <w:tcW w:w="2600" w:type="dxa"/>
            <w:vAlign w:val="center"/>
          </w:tcPr>
          <w:p>
            <w:r>
              <w:rPr>
                <w:b/>
              </w:rPr>
              <w:t xml:space="preserve">Crash before offset commit</w:t>
            </w:r>
          </w:p>
        </w:tc>
        <w:tc>
          <w:tcPr>
            <w:tcW w:w="6400" w:type="dxa"/>
            <w:vAlign w:val="center"/>
          </w:tcPr>
          <w:p>
            <w:r>
              <w:t xml:space="preserve">Offset stays uncommitted → Kafka redelivers the poll batch → same eventId key overwrites. No duplicate, no loss.</w:t>
            </w:r>
          </w:p>
        </w:tc>
      </w:tr>
      <w:tr>
        <w:tc>
          <w:tcPr>
            <w:tcW w:w="2600" w:type="dxa"/>
            <w:shd w:val="clear" w:color="auto" w:fill="F4F6FA"/>
            <w:vAlign w:val="center"/>
          </w:tcPr>
          <w:p>
            <w:r>
              <w:rPr>
                <w:b/>
              </w:rPr>
              <w:t xml:space="preserve">Duplicate / replayed event</w:t>
            </w:r>
          </w:p>
        </w:tc>
        <w:tc>
          <w:tcPr>
            <w:tcW w:w="6400" w:type="dxa"/>
            <w:shd w:val="clear" w:color="auto" w:fill="F4F6FA"/>
            <w:vAlign w:val="center"/>
          </w:tcPr>
          <w:p>
            <w:r>
              <w:t xml:space="preserve">Deterministic key </w:t>
            </w:r>
            ,
            <w:r>
              <w:rPr>
                <w:rFonts w:ascii="Consolas" w:hAnsi="Consolas"/>
              </w:rPr>
              <w:t xml:space="preserve">…/{eventId}.json</w:t>
            </w:r>
            ,
            <w:r>
              <w:t xml:space="preserve"> → idempotent overwrite → exactly one object at rest.</w:t>
            </w:r>
          </w:p>
        </w:tc>
      </w:tr>
      <w:tr>
        <w:tc>
          <w:tcPr>
            <w:tcW w:w="2600" w:type="dxa"/>
            <w:vAlign w:val="center"/>
          </w:tcPr>
          <w:p>
            <w:r>
              <w:rPr>
                <w:b/>
              </w:rPr>
              <w:t xml:space="preserve">HPOS down — extended outage</w:t>
            </w:r>
          </w:p>
        </w:tc>
        <w:tc>
          <w:tcPr>
            <w:tcW w:w="6400" w:type="dxa"/>
            <w:vAlign w:val="center"/>
          </w:tcPr>
          <w:p>
            <w:r>
              <w:t xml:space="preserve">Consumer paused; Kafka retention buffers the backlog (log, not JVM heap). Loss only if outage exceeds topic retention. Alert on consumer lag &amp; paused-duration.</w:t>
            </w:r>
          </w:p>
        </w:tc>
      </w:tr>
      <w:tr>
        <w:tc>
          <w:tcPr>
            <w:tcW w:w="2600" w:type="dxa"/>
            <w:shd w:val="clear" w:color="auto" w:fill="F4F6FA"/>
            <w:vAlign w:val="center"/>
          </w:tcPr>
          <w:p>
            <w:r>
              <w:rPr>
                <w:b/>
              </w:rPr>
              <w:t xml:space="preserve">Rebalance / instance loss</w:t>
            </w:r>
          </w:p>
        </w:tc>
        <w:tc>
          <w:tcPr>
            <w:tcW w:w="6400" w:type="dxa"/>
            <w:shd w:val="clear" w:color="auto" w:fill="F4F6FA"/>
            <w:vAlign w:val="center"/>
          </w:tcPr>
          <w:p>
            <w:r>
              <w:t xml:space="preserve">Partitions reassign automatically; stateless consumers resume; uncommitted offsets reprocessed idempotently.</w:t>
            </w:r>
          </w:p>
        </w:tc>
      </w:tr>
      <w:tr>
        <w:tc>
          <w:tcPr>
            <w:tcW w:w="2600" w:type="dxa"/>
            <w:vAlign w:val="center"/>
          </w:tcPr>
          <w:p>
            <w:r>
              <w:rPr>
                <w:b/>
              </w:rPr>
              <w:t xml:space="preserve">Malformed / poison record</w:t>
            </w:r>
          </w:p>
        </w:tc>
        <w:tc>
          <w:tcPr>
            <w:tcW w:w="6400" w:type="dxa"/>
            <w:vAlign w:val="center"/>
          </w:tcPr>
          <w:p>
            <w:r>
              <w:t xml:space="preserve">EP writes raw as-is — no schema validation here. Schema &amp; mandatory-field checks are owned by the Aggregation Layer. Nothing is rejected at EP.</w:t>
            </w:r>
          </w:p>
        </w:tc>
      </w:tr>
      <w:tr>
        <w:tc>
          <w:tcPr>
            <w:tcW w:w="2600" w:type="dxa"/>
            <w:shd w:val="clear" w:color="auto" w:fill="F4F6FA"/>
            <w:vAlign w:val="center"/>
          </w:tcPr>
          <w:p>
            <w:r>
              <w:rPr>
                <w:b/>
              </w:rPr>
              <w:t xml:space="preserve">Empty poll batch</w:t>
            </w:r>
          </w:p>
        </w:tc>
        <w:tc>
          <w:tcPr>
            <w:tcW w:w="6400" w:type="dxa"/>
            <w:shd w:val="clear" w:color="auto" w:fill="F4F6FA"/>
            <w:vAlign w:val="center"/>
          </w:tcPr>
          <w:p>
            <w:r>
              <w:t xml:space="preserve">No records → loops immediately to the next poll(); idle-safe, no side effects.</w:t>
            </w:r>
          </w:p>
        </w:tc>
      </w:tr>
    </w:tbl>
    <w:p/>
    <w:p>
      <w:pPr>
        <w:pStyle w:val="Heading1"/>
      </w:pPr>
      <w:r>
        <w:t xml:space="preserve">4. Key Design Rules</w:t>
      </w:r>
    </w:p>
    <w:p>
      <w:pPr>
        <w:pStyle w:val="ListBullet"/>
      </w:pPr>
      <w:r>
        <w:rPr>
          <w:b/>
        </w:rPr>
        <w:t xml:space="preserve">Offset committed only after the HPOS write is acknowledged </w:t>
      </w:r>
      <w:r>
        <w:t xml:space="preserve">— the ordering that guarantees zero loss.</w:t>
      </w:r>
    </w:p>
    <w:p>
      <w:pPr>
        <w:pStyle w:val="ListBullet"/>
      </w:pPr>
      <w:r>
        <w:rPr>
          <w:b/>
        </w:rPr>
        <w:t xml:space="preserve">Deterministic key by eventId </w:t>
      </w:r>
      <w:r>
        <w:t xml:space="preserve">→ idempotent overwrite, no duplicates at rest on any replay.</w:t>
      </w:r>
    </w:p>
    <w:p>
      <w:pPr>
        <w:pStyle w:val="ListBullet"/>
      </w:pPr>
      <w:r>
        <w:rPr>
          <w:b/>
        </w:rPr>
        <w:t xml:space="preserve">Single consumer group </w:t>
      </w:r>
      <w:r>
        <w:t xml:space="preserve">— each partition owned by exactly one consumer, so every event is processed once.</w:t>
      </w:r>
    </w:p>
    <w:p>
      <w:pPr>
        <w:pStyle w:val="ListBullet"/>
      </w:pPr>
      <w:r>
        <w:rPr>
          <w:b/>
        </w:rPr>
        <w:t xml:space="preserve">Even partition spread at the producer </w:t>
      </w:r>
      <w:r>
        <w:t xml:space="preserve">— publish with a unique eventId (UUID) as the partition key.</w:t>
      </w:r>
    </w:p>
    <w:p>
      <w:pPr>
        <w:pStyle w:val="ListBullet"/>
      </w:pPr>
      <w:r>
        <w:rPr>
          <w:b/>
        </w:rPr>
        <w:t xml:space="preserve">Stateless consumer </w:t>
      </w:r>
      <w:r>
        <w:t xml:space="preserve">— no scheduler, no in-memory window, no feedback topic (the Option 2 simplification).</w:t>
      </w:r>
    </w:p>
    <w:p>
      <w:pPr>
        <w:pStyle w:val="ListBullet"/>
      </w:pPr>
      <w:r>
        <w:rPr>
          <w:b/>
        </w:rPr>
        <w:t xml:space="preserve">Kafka retention is the durable buffer </w:t>
      </w:r>
      <w:r>
        <w:t xml:space="preserve">during an HPOS outage; size it beyond the worst-case outage.</w:t>
      </w:r>
    </w:p>
    <w:p>
      <w:pPr>
        <w:pStyle w:val="ListBullet"/>
      </w:pPr>
      <w:r>
        <w:rPr>
          <w:b/>
        </w:rPr>
        <w:t xml:space="preserve">No validation at EP </w:t>
      </w:r>
      <w:r>
        <w:t xml:space="preserve">— schema and mandatory-parameter checks are owned by the Aggregation Layer.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Title">
    <w:name w:val="Title"/>
    <w:basedOn w:val="Normal"/>
    <w:pPr>
      <w:spacing w:after="80"/>
    </w:pPr>
    <w:rPr>
      <w:b/>
      <w:color w:val="16243B"/>
      <w:sz w:val="52"/>
    </w:rPr>
  </w:style>
  <w:style w:type="paragraph" w:styleId="Subtitle">
    <w:name w:val="Subtitle"/>
    <w:basedOn w:val="Normal"/>
    <w:pPr>
      <w:spacing w:after="240"/>
    </w:pPr>
    <w:rPr>
      <w:color w:val="3D54D6"/>
      <w:sz w:val="26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color w:val="16243B"/>
      <w:sz w:val="32"/>
    </w:rPr>
  </w:style>
  <w:style w:type="paragraph" w:styleId="ListBullet">
    <w:name w:val="List Bullet"/>
    <w:basedOn w:val="Normal"/>
    <w:pPr>
      <w:numPr>
        <w:numId w:val="1"/>
      </w:numPr>
      <w:ind w:left="360" w:hanging="360"/>
    </w:pPr>
  </w:style>
  <w:style w:type="table" w:styleId="TableGrid">
    <w:name w:val="Table Grid"/>
    <w:tblPr>
      <w:tblBorders>
        <w:top w:val="single" w:sz="4" w:color="C9CED8"/>
        <w:left w:val="single" w:sz="4" w:color="C9CED8"/>
        <w:bottom w:val="single" w:sz="4" w:color="C9CED8"/>
        <w:right w:val="single" w:sz="4" w:color="C9CED8"/>
        <w:insideH w:val="single" w:sz="4" w:color="C9CED8"/>
        <w:insideV w:val="single" w:sz="4" w:color="C9CED8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