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Event Processor — Technical Specification</w:t>
      </w:r>
    </w:p>
    <w:p>
      <w:pPr>
        <w:pStyle w:val="Subtitle"/>
      </w:pPr>
      <w:r>
        <w:t xml:space="preserve">Option 2: Direct-to-HPOS Ingestion — Implementation-Ready Spec</w:t>
      </w:r>
    </w:p>
    <w:p>
      <w:r>
        <w:rPr>
          <w:b/>
        </w:rPr>
        <w:t xml:space="preserve">Status: </w:t>
      </w:r>
      <w:r>
        <w:t xml:space="preserve">Approved for build   </w:t>
      </w:r>
      <w:r>
        <w:rPr>
          <w:b/>
        </w:rPr>
        <w:t xml:space="preserve">Version: </w:t>
      </w:r>
      <w:r>
        <w:t xml:space="preserve">1.0   </w:t>
      </w:r>
      <w:r>
        <w:rPr>
          <w:b/>
        </w:rPr>
        <w:t xml:space="preserve">Owner: </w:t>
      </w:r>
      <w:r>
        <w:t xml:space="preserve">Metering Engine Team   </w:t>
      </w:r>
      <w:r>
        <w:rPr>
          <w:b/>
        </w:rPr>
        <w:t xml:space="preserve">Date: </w:t>
      </w:r>
      <w:r>
        <w:t xml:space="preserve">9 Aug 2026</w:t>
      </w:r>
    </w:p>
    <w:p>
      <w:r>
        <w:rPr>
          <w:b/>
        </w:rPr>
        <w:t xml:space="preserve">Audience: </w:t>
      </w:r>
      <w:r>
        <w:t xml:space="preserve">Developers and AI code-generation tools (Claude / Devin). This document is written to be sufficient, on its own, to generate a working Event Processor. Pseudocode is language-neutral; component contracts list method signatures.</w:t>
      </w:r>
    </w:p>
    <w:p/>
    <w:p>
      <w:pPr>
        <w:pStyle w:val="Heading1"/>
      </w:pPr>
      <w:r>
        <w:t xml:space="preserve">Change History</w:t>
      </w:r>
    </w:p>
    <w:tbl>
      <w:tblPr>
        <w:tblStyle w:val="TableGrid"/>
        <w:tblW w:w="0" w:type="auto"/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w="12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tcW w:w="16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26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tcW w:w="40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Summary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Consolas" w:hAnsi="Consolas"/>
              </w:rPr>
              <w:t xml:space="preserve">1.0</w:t>
            </w:r>
          </w:p>
        </w:tc>
        <w:tc>
          <w:tcPr>
            <w:tcW w:w="1600" w:type="dxa"/>
            <w:vAlign w:val="top"/>
          </w:tcPr>
          <w:p>
            <w:r>
              <w:t xml:space="preserve">9 Aug 2026</w:t>
            </w:r>
          </w:p>
        </w:tc>
        <w:tc>
          <w:tcPr>
            <w:tcW w:w="2600" w:type="dxa"/>
            <w:vAlign w:val="top"/>
          </w:tcPr>
          <w:p>
            <w:r>
              <w:t xml:space="preserve">Metering Engine Team</w:t>
            </w:r>
          </w:p>
        </w:tc>
        <w:tc>
          <w:tcPr>
            <w:tcW w:w="4000" w:type="dxa"/>
            <w:vAlign w:val="top"/>
          </w:tcPr>
          <w:p>
            <w:r>
              <w:t xml:space="preserve">Initial approved spec for Option 2 (direct-to-HPOS). Supersedes Option 1 (scheduler + 5-min buffer).</w:t>
            </w:r>
          </w:p>
        </w:tc>
      </w:tr>
      <w:tr>
        <w:tc>
          <w:tcPr>
            <w:tcW w:w="12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0.3</w:t>
            </w:r>
          </w:p>
        </w:tc>
        <w:tc>
          <w:tcPr>
            <w:tcW w:w="1600" w:type="dxa"/>
            <w:shd w:val="clear" w:color="auto" w:fill="F4F6FA"/>
            <w:vAlign w:val="top"/>
          </w:tcPr>
          <w:p>
            <w:r>
              <w:t xml:space="preserve">7 Aug 2026</w:t>
            </w:r>
          </w:p>
        </w:tc>
        <w:tc>
          <w:tcPr>
            <w:tcW w:w="2600" w:type="dxa"/>
            <w:shd w:val="clear" w:color="auto" w:fill="F4F6FA"/>
            <w:vAlign w:val="top"/>
          </w:tcPr>
          <w:p>
            <w:r>
              <w:t xml:space="preserve">Metering Engine Team</w:t>
            </w:r>
          </w:p>
        </w:tc>
        <w:tc>
          <w:tcPr>
            <w:tcW w:w="4000" w:type="dxa"/>
            <w:shd w:val="clear" w:color="auto" w:fill="F4F6FA"/>
            <w:vAlign w:val="top"/>
          </w:tcPr>
          <w:p>
            <w:r>
              <w:t xml:space="preserve">Removed feedback topic and manual per-batch checkpoint table; confirmed offset-commit-after-write.</w:t>
            </w:r>
          </w:p>
        </w:tc>
      </w:tr>
      <w:tr>
        <w:tc>
          <w:tcPr>
            <w:tcW w:w="1200" w:type="dxa"/>
            <w:vAlign w:val="top"/>
          </w:tcPr>
          <w:p>
            <w:r>
              <w:rPr>
                <w:rFonts w:ascii="Consolas" w:hAnsi="Consolas"/>
              </w:rPr>
              <w:t xml:space="preserve">0.2</w:t>
            </w:r>
          </w:p>
        </w:tc>
        <w:tc>
          <w:tcPr>
            <w:tcW w:w="1600" w:type="dxa"/>
            <w:vAlign w:val="top"/>
          </w:tcPr>
          <w:p>
            <w:r>
              <w:t xml:space="preserve">5 Aug 2026</w:t>
            </w:r>
          </w:p>
        </w:tc>
        <w:tc>
          <w:tcPr>
            <w:tcW w:w="2600" w:type="dxa"/>
            <w:vAlign w:val="top"/>
          </w:tcPr>
          <w:p>
            <w:r>
              <w:t xml:space="preserve">Metering Engine Team</w:t>
            </w:r>
          </w:p>
        </w:tc>
        <w:tc>
          <w:tcPr>
            <w:tcW w:w="4000" w:type="dxa"/>
            <w:vAlign w:val="top"/>
          </w:tcPr>
          <w:p>
            <w:r>
              <w:t xml:space="preserve">Added circuit-breaker pause/resume; Kafka retention as durable buffer.</w:t>
            </w:r>
          </w:p>
        </w:tc>
      </w:tr>
      <w:tr>
        <w:tc>
          <w:tcPr>
            <w:tcW w:w="12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0.1</w:t>
            </w:r>
          </w:p>
        </w:tc>
        <w:tc>
          <w:tcPr>
            <w:tcW w:w="1600" w:type="dxa"/>
            <w:shd w:val="clear" w:color="auto" w:fill="F4F6FA"/>
            <w:vAlign w:val="top"/>
          </w:tcPr>
          <w:p>
            <w:r>
              <w:t xml:space="preserve">2 Aug 2026</w:t>
            </w:r>
          </w:p>
        </w:tc>
        <w:tc>
          <w:tcPr>
            <w:tcW w:w="2600" w:type="dxa"/>
            <w:shd w:val="clear" w:color="auto" w:fill="F4F6FA"/>
            <w:vAlign w:val="top"/>
          </w:tcPr>
          <w:p>
            <w:r>
              <w:t xml:space="preserve">Metering Engine Team</w:t>
            </w:r>
          </w:p>
        </w:tc>
        <w:tc>
          <w:tcPr>
            <w:tcW w:w="4000" w:type="dxa"/>
            <w:shd w:val="clear" w:color="auto" w:fill="F4F6FA"/>
            <w:vAlign w:val="top"/>
          </w:tcPr>
          <w:p>
            <w:r>
              <w:t xml:space="preserve">First draft from EP LLD.</w:t>
            </w:r>
          </w:p>
        </w:tc>
      </w:tr>
    </w:tbl>
    <w:p/>
    <w:p>
      <w:pPr>
        <w:pStyle w:val="Heading1"/>
      </w:pPr>
      <w:r>
        <w:t xml:space="preserve">1. Overview &amp; Scope</w:t>
      </w:r>
    </w:p>
    <w:p>
      <w:r>
        <w:t xml:space="preserve">The Event Processor (EP) is a thin, stateless Kafka consumer. It reads billable events from a Kafka topic and writes each event as-is to the HPOS RAW_EVENTS object store, committing the Kafka offset only after the write is acknowledged.</w:t>
      </w:r>
    </w:p>
    <w:p>
      <w:pPr>
        <w:pStyle w:val="Heading2"/>
      </w:pPr>
      <w:r>
        <w:t xml:space="preserve">1.1 In scope</w:t>
      </w:r>
    </w:p>
    <w:p>
      <w:pPr>
        <w:pStyle w:val="ListBullet"/>
        <w:numPr>
          <w:ilvl w:val="0"/>
          <w:numId w:val="1"/>
        </w:numPr>
      </w:pPr>
      <w:r>
        <w:t xml:space="preserve">Consume events from the Kafka topic.</w:t>
      </w:r>
    </w:p>
    <w:p>
      <w:pPr>
        <w:pStyle w:val="ListBullet"/>
        <w:numPr>
          <w:ilvl w:val="0"/>
          <w:numId w:val="1"/>
        </w:numPr>
      </w:pPr>
      <w:r>
        <w:t xml:space="preserve">Write each event unchanged (raw JSON) to HPOS under a deterministic key.</w:t>
      </w:r>
    </w:p>
    <w:p>
      <w:pPr>
        <w:pStyle w:val="ListBullet"/>
        <w:numPr>
          <w:ilvl w:val="0"/>
          <w:numId w:val="1"/>
        </w:numPr>
      </w:pPr>
      <w:r>
        <w:t xml:space="preserve">Commit the offset only after a successful write (zero-loss ordering).</w:t>
      </w:r>
    </w:p>
    <w:p>
      <w:pPr>
        <w:pStyle w:val="ListBullet"/>
        <w:numPr>
          <w:ilvl w:val="0"/>
          <w:numId w:val="1"/>
        </w:numPr>
      </w:pPr>
      <w:r>
        <w:t xml:space="preserve">Resiliency: retry with backoff, circuit-breaker pause/resume on HPOS failure.</w:t>
      </w:r>
    </w:p>
    <w:p>
      <w:pPr>
        <w:pStyle w:val="Heading2"/>
      </w:pPr>
      <w:r>
        <w:t xml:space="preserve">1.2 Out of scope (owned elsewhere)</w:t>
      </w:r>
    </w:p>
    <w:p>
      <w:pPr>
        <w:pStyle w:val="ListBullet"/>
        <w:numPr>
          <w:ilvl w:val="0"/>
          <w:numId w:val="1"/>
        </w:numPr>
      </w:pPr>
      <w:r>
        <w:t xml:space="preserve">Schema / mandatory-field / business validation — owned by the Aggregation Layer.</w:t>
      </w:r>
    </w:p>
    <w:p>
      <w:pPr>
        <w:pStyle w:val="ListBullet"/>
        <w:numPr>
          <w:ilvl w:val="0"/>
          <w:numId w:val="1"/>
        </w:numPr>
      </w:pPr>
      <w:r>
        <w:t xml:space="preserve">Parquet generation and event-time bucketing — owned by the Aggregation Layer.</w:t>
      </w:r>
    </w:p>
    <w:p>
      <w:pPr>
        <w:pStyle w:val="ListBullet"/>
        <w:numPr>
          <w:ilvl w:val="0"/>
          <w:numId w:val="1"/>
        </w:numPr>
      </w:pPr>
      <w:r>
        <w:t xml:space="preserve">No scheduler, no in-memory windowing/buffer, no feedback topic, no DLQ, no retry queue.</w:t>
      </w:r>
    </w:p>
    <w:p/>
    <w:p>
      <w:pPr>
        <w:pStyle w:val="Heading1"/>
      </w:pPr>
      <w:r>
        <w:t xml:space="preserve">2. Context &amp; Dependencies</w:t>
      </w:r>
    </w:p>
    <w:tbl>
      <w:tblPr>
        <w:tblStyle w:val="TableGrid"/>
        <w:tblW w:w="0" w:type="auto"/>
      </w:tblPr>
      <w:tblGrid>
        <w:gridCol w:w="2400"/>
        <w:gridCol w:w="1600"/>
        <w:gridCol w:w="5400"/>
      </w:tblGrid>
      <w:tr>
        <w:trPr>
          <w:tblHeader/>
        </w:trPr>
        <w:tc>
          <w:tcPr>
            <w:tcW w:w="24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Dependency</w:t>
            </w:r>
          </w:p>
        </w:tc>
        <w:tc>
          <w:tcPr>
            <w:tcW w:w="16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Direction</w:t>
            </w:r>
          </w:p>
        </w:tc>
        <w:tc>
          <w:tcPr>
            <w:tcW w:w="54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b/>
              </w:rPr>
              <w:t xml:space="preserve">Kafka topic</w:t>
            </w:r>
          </w:p>
        </w:tc>
        <w:tc>
          <w:tcPr>
            <w:tcW w:w="1600" w:type="dxa"/>
            <w:vAlign w:val="top"/>
          </w:tcPr>
          <w:p>
            <w:r>
              <w:t xml:space="preserve">Inbound</w:t>
            </w:r>
          </w:p>
        </w:tc>
        <w:tc>
          <w:tcPr>
            <w:tcW w:w="5400" w:type="dxa"/>
            <w:vAlign w:val="top"/>
          </w:tcPr>
          <w:p>
            <w:r>
              <w:t xml:space="preserve">wf.recipient.billable.events — billable events as JSON, one event per message.</w:t>
            </w:r>
          </w:p>
        </w:tc>
      </w:tr>
      <w:tr>
        <w:tc>
          <w:tcPr>
            <w:tcW w:w="24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HPOS (S3-compatible)</w:t>
            </w:r>
          </w:p>
        </w:tc>
        <w:tc>
          <w:tcPr>
            <w:tcW w:w="1600" w:type="dxa"/>
            <w:shd w:val="clear" w:color="auto" w:fill="F4F6FA"/>
            <w:vAlign w:val="top"/>
          </w:tcPr>
          <w:p>
            <w:r>
              <w:t xml:space="preserve">Outbound</w:t>
            </w:r>
          </w:p>
        </w:tc>
        <w:tc>
          <w:tcPr>
            <w:tcW w:w="5400" w:type="dxa"/>
            <w:shd w:val="clear" w:color="auto" w:fill="F4F6FA"/>
            <w:vAlign w:val="top"/>
          </w:tcPr>
          <w:p>
            <w:r>
              <w:t xml:space="preserve">Object store; RAW_EVENTS bucket. Standard PUT / HEAD API.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b/>
              </w:rPr>
              <w:t xml:space="preserve">Kafka client library</w:t>
            </w:r>
          </w:p>
        </w:tc>
        <w:tc>
          <w:tcPr>
            <w:tcW w:w="1600" w:type="dxa"/>
            <w:vAlign w:val="top"/>
          </w:tcPr>
          <w:p>
            <w:r>
              <w:t xml:space="preserve">Runtime</w:t>
            </w:r>
          </w:p>
        </w:tc>
        <w:tc>
          <w:tcPr>
            <w:tcW w:w="5400" w:type="dxa"/>
            <w:vAlign w:val="top"/>
          </w:tcPr>
          <w:p>
            <w:r>
              <w:t xml:space="preserve">Consumer API with manual offset commit, pause()/resume().</w:t>
            </w:r>
          </w:p>
        </w:tc>
      </w:tr>
      <w:tr>
        <w:tc>
          <w:tcPr>
            <w:tcW w:w="24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HPOS SDK</w:t>
            </w:r>
          </w:p>
        </w:tc>
        <w:tc>
          <w:tcPr>
            <w:tcW w:w="1600" w:type="dxa"/>
            <w:shd w:val="clear" w:color="auto" w:fill="F4F6FA"/>
            <w:vAlign w:val="top"/>
          </w:tcPr>
          <w:p>
            <w:r>
              <w:t xml:space="preserve">Runtime</w:t>
            </w:r>
          </w:p>
        </w:tc>
        <w:tc>
          <w:tcPr>
            <w:tcW w:w="5400" w:type="dxa"/>
            <w:shd w:val="clear" w:color="auto" w:fill="F4F6FA"/>
            <w:vAlign w:val="top"/>
          </w:tcPr>
          <w:p>
            <w:r>
              <w:t xml:space="preserve">Object PUT with server ack; HEAD for health probe.</w:t>
            </w:r>
          </w:p>
        </w:tc>
      </w:tr>
      <w:tr>
        <w:tc>
          <w:tcPr>
            <w:tcW w:w="2400" w:type="dxa"/>
            <w:vAlign w:val="top"/>
          </w:tcPr>
          <w:p>
            <w:r>
              <w:rPr>
                <w:b/>
              </w:rPr>
              <w:t xml:space="preserve">Metrics/log sink</w:t>
            </w:r>
          </w:p>
        </w:tc>
        <w:tc>
          <w:tcPr>
            <w:tcW w:w="1600" w:type="dxa"/>
            <w:vAlign w:val="top"/>
          </w:tcPr>
          <w:p>
            <w:r>
              <w:t xml:space="preserve">Outbound</w:t>
            </w:r>
          </w:p>
        </w:tc>
        <w:tc>
          <w:tcPr>
            <w:tcW w:w="5400" w:type="dxa"/>
            <w:vAlign w:val="top"/>
          </w:tcPr>
          <w:p>
            <w:r>
              <w:t xml:space="preserve">Prometheus-style metrics + structured logs.</w:t>
            </w:r>
          </w:p>
        </w:tc>
      </w:tr>
    </w:tbl>
    <w:p/>
    <w:p>
      <w:pPr>
        <w:pStyle w:val="Heading1"/>
      </w:pPr>
      <w:r>
        <w:t xml:space="preserve">3. Functional Requirements</w:t>
      </w:r>
    </w:p>
    <w:tbl>
      <w:tblPr>
        <w:tblStyle w:val="TableGrid"/>
        <w:tblW w:w="0" w:type="auto"/>
      </w:tblPr>
      <w:tblGrid>
        <w:gridCol w:w="900"/>
        <w:gridCol w:w="8300"/>
      </w:tblGrid>
      <w:tr>
        <w:trPr>
          <w:tblHeader/>
        </w:trPr>
        <w:tc>
          <w:tcPr>
            <w:tcW w:w="9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83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Requirement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FR-1</w:t>
            </w:r>
          </w:p>
        </w:tc>
        <w:tc>
          <w:tcPr>
            <w:tcW w:w="8300" w:type="dxa"/>
            <w:vAlign w:val="top"/>
          </w:tcPr>
          <w:p>
            <w:r>
              <w:t xml:space="preserve">Continuously poll the Kafka topic for batches of records.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FR-2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For each event, build a deterministic HPOS key from event metadata and the eventId.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FR-3</w:t>
            </w:r>
          </w:p>
        </w:tc>
        <w:tc>
          <w:tcPr>
            <w:tcW w:w="8300" w:type="dxa"/>
            <w:vAlign w:val="top"/>
          </w:tcPr>
          <w:p>
            <w:r>
              <w:t xml:space="preserve">Write the event body to HPOS unchanged (raw JSON, no transform, no Parquet).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FR-4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Commit the Kafka offset only after the corresponding write(s) are acknowledged by HPOS.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FR-5</w:t>
            </w:r>
          </w:p>
        </w:tc>
        <w:tc>
          <w:tcPr>
            <w:tcW w:w="8300" w:type="dxa"/>
            <w:vAlign w:val="top"/>
          </w:tcPr>
          <w:p>
            <w:r>
              <w:t xml:space="preserve">On write failure, retry with exponential backoff up to a configured cap.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FR-6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On repeated failure (breaker open), pause all assigned partitions; keep the consumer alive (heartbeat) so no rebalance is triggered.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FR-7</w:t>
            </w:r>
          </w:p>
        </w:tc>
        <w:tc>
          <w:tcPr>
            <w:tcW w:w="8300" w:type="dxa"/>
            <w:vAlign w:val="top"/>
          </w:tcPr>
          <w:p>
            <w:r>
              <w:t xml:space="preserve">While paused, probe HPOS in the background; on recovery, resume consumption and reprocess uncommitted offsets.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FR-8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Guarantee idempotency: a replayed event overwrites the same key, producing exactly one object at rest.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FR-9</w:t>
            </w:r>
          </w:p>
        </w:tc>
        <w:tc>
          <w:tcPr>
            <w:tcW w:w="8300" w:type="dxa"/>
            <w:vAlign w:val="top"/>
          </w:tcPr>
          <w:p>
            <w:r>
              <w:t xml:space="preserve">Empty poll results are a no-op; loop immediately.</w:t>
            </w:r>
          </w:p>
        </w:tc>
      </w:tr>
    </w:tbl>
    <w:p/>
    <w:p>
      <w:pPr>
        <w:pStyle w:val="Heading1"/>
      </w:pPr>
      <w:r>
        <w:t xml:space="preserve">4. Non-Functional Requirements</w:t>
      </w:r>
    </w:p>
    <w:tbl>
      <w:tblPr>
        <w:tblStyle w:val="TableGrid"/>
        <w:tblW w:w="0" w:type="auto"/>
      </w:tblPr>
      <w:tblGrid>
        <w:gridCol w:w="900"/>
        <w:gridCol w:w="3200"/>
        <w:gridCol w:w="5100"/>
      </w:tblGrid>
      <w:tr>
        <w:trPr>
          <w:tblHeader/>
        </w:trPr>
        <w:tc>
          <w:tcPr>
            <w:tcW w:w="9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2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tcW w:w="51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Target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NFR-1</w:t>
            </w:r>
          </w:p>
        </w:tc>
        <w:tc>
          <w:tcPr>
            <w:tcW w:w="3200" w:type="dxa"/>
            <w:vAlign w:val="top"/>
          </w:tcPr>
          <w:p>
            <w:r>
              <w:t xml:space="preserve">Throughput</w:t>
            </w:r>
          </w:p>
        </w:tc>
        <w:tc>
          <w:tcPr>
            <w:tcW w:w="5100" w:type="dxa"/>
            <w:vAlign w:val="top"/>
          </w:tcPr>
          <w:p>
            <w:r>
              <w:t xml:space="preserve">~2 billion events/month (~772/sec avg, plan ~3,000/sec peak).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NFR-2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Zero data loss</w:t>
            </w:r>
          </w:p>
        </w:tc>
        <w:tc>
          <w:tcPr>
            <w:tcW w:w="5100" w:type="dxa"/>
            <w:shd w:val="clear" w:color="auto" w:fill="F4F6FA"/>
            <w:vAlign w:val="top"/>
          </w:tcPr>
          <w:p>
            <w:r>
              <w:t xml:space="preserve">No acknowledged-to-Kafka event may be lost, under crash, restart, or HPOS outage.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NFR-3</w:t>
            </w:r>
          </w:p>
        </w:tc>
        <w:tc>
          <w:tcPr>
            <w:tcW w:w="3200" w:type="dxa"/>
            <w:vAlign w:val="top"/>
          </w:tcPr>
          <w:p>
            <w:r>
              <w:t xml:space="preserve">No duplicates at rest</w:t>
            </w:r>
          </w:p>
        </w:tc>
        <w:tc>
          <w:tcPr>
            <w:tcW w:w="5100" w:type="dxa"/>
            <w:vAlign w:val="top"/>
          </w:tcPr>
          <w:p>
            <w:r>
              <w:t xml:space="preserve">Idempotent writes via deterministic key.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NFR-4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Bounded memory</w:t>
            </w:r>
          </w:p>
        </w:tc>
        <w:tc>
          <w:tcPr>
            <w:tcW w:w="5100" w:type="dxa"/>
            <w:shd w:val="clear" w:color="auto" w:fill="F4F6FA"/>
            <w:vAlign w:val="top"/>
          </w:tcPr>
          <w:p>
            <w:r>
              <w:t xml:space="preserve">No in-memory buffering beyond one poll batch; backlog lives in Kafka.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NFR-5</w:t>
            </w:r>
          </w:p>
        </w:tc>
        <w:tc>
          <w:tcPr>
            <w:tcW w:w="3200" w:type="dxa"/>
            <w:vAlign w:val="top"/>
          </w:tcPr>
          <w:p>
            <w:r>
              <w:t xml:space="preserve">Horizontal scale</w:t>
            </w:r>
          </w:p>
        </w:tc>
        <w:tc>
          <w:tcPr>
            <w:tcW w:w="5100" w:type="dxa"/>
            <w:vAlign w:val="top"/>
          </w:tcPr>
          <w:p>
            <w:r>
              <w:t xml:space="preserve">Scale by partition count; one consumer per partition.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NFR-6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Resilience to HPOS outage</w:t>
            </w:r>
          </w:p>
        </w:tc>
        <w:tc>
          <w:tcPr>
            <w:tcW w:w="5100" w:type="dxa"/>
            <w:shd w:val="clear" w:color="auto" w:fill="F4F6FA"/>
            <w:vAlign w:val="top"/>
          </w:tcPr>
          <w:p>
            <w:r>
              <w:t xml:space="preserve">Survive outages up to the topic retention window without loss.</w:t>
            </w:r>
          </w:p>
        </w:tc>
      </w:tr>
    </w:tbl>
    <w:p/>
    <w:p>
      <w:pPr>
        <w:pStyle w:val="Heading1"/>
      </w:pPr>
      <w:r>
        <w:t xml:space="preserve">5. Configuration</w:t>
      </w:r>
    </w:p>
    <w:tbl>
      <w:tblPr>
        <w:tblStyle w:val="TableGrid"/>
        <w:tblW w:w="0" w:type="auto"/>
      </w:tblPr>
      <w:tblGrid>
        <w:gridCol w:w="2500"/>
        <w:gridCol w:w="900"/>
        <w:gridCol w:w="2000"/>
        <w:gridCol w:w="3800"/>
      </w:tblGrid>
      <w:tr>
        <w:trPr>
          <w:tblHeader/>
        </w:trPr>
        <w:tc>
          <w:tcPr>
            <w:tcW w:w="25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tcW w:w="9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20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38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kafka.topic</w:t>
            </w:r>
          </w:p>
        </w:tc>
        <w:tc>
          <w:tcPr>
            <w:tcW w:w="900" w:type="dxa"/>
            <w:vAlign w:val="top"/>
          </w:tcPr>
          <w:p>
            <w:r>
              <w:t xml:space="preserve">string</w:t>
            </w:r>
          </w:p>
        </w:tc>
        <w:tc>
          <w:tcPr>
            <w:tcW w:w="2000" w:type="dxa"/>
            <w:vAlign w:val="top"/>
          </w:tcPr>
          <w:p>
            <w:r>
              <w:t xml:space="preserve">wf.recipient.billable.events</w:t>
            </w:r>
          </w:p>
        </w:tc>
        <w:tc>
          <w:tcPr>
            <w:tcW w:w="3800" w:type="dxa"/>
            <w:vAlign w:val="top"/>
          </w:tcPr>
          <w:p>
            <w:r>
              <w:t xml:space="preserve">Source topic.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kafka.group.id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string</w:t>
            </w:r>
          </w:p>
        </w:tc>
        <w:tc>
          <w:tcPr>
            <w:tcW w:w="2000" w:type="dxa"/>
            <w:shd w:val="clear" w:color="auto" w:fill="F4F6FA"/>
            <w:vAlign w:val="top"/>
          </w:tcPr>
          <w:p>
            <w:r>
              <w:t xml:space="preserve">event-processor</w:t>
            </w:r>
          </w:p>
        </w:tc>
        <w:tc>
          <w:tcPr>
            <w:tcW w:w="3800" w:type="dxa"/>
            <w:shd w:val="clear" w:color="auto" w:fill="F4F6FA"/>
            <w:vAlign w:val="top"/>
          </w:tcPr>
          <w:p>
            <w:r>
              <w:t xml:space="preserve">Single consumer group; one consumer owns each partition.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kafka.partitions</w:t>
            </w:r>
          </w:p>
        </w:tc>
        <w:tc>
          <w:tcPr>
            <w:tcW w:w="900" w:type="dxa"/>
            <w:vAlign w:val="top"/>
          </w:tcPr>
          <w:p>
            <w:r>
              <w:t xml:space="preserve">int</w:t>
            </w:r>
          </w:p>
        </w:tc>
        <w:tc>
          <w:tcPr>
            <w:tcW w:w="2000" w:type="dxa"/>
            <w:vAlign w:val="top"/>
          </w:tcPr>
          <w:p>
            <w:r>
              <w:t xml:space="preserve">12</w:t>
            </w:r>
          </w:p>
        </w:tc>
        <w:tc>
          <w:tcPr>
            <w:tcW w:w="3800" w:type="dxa"/>
            <w:vAlign w:val="top"/>
          </w:tcPr>
          <w:p>
            <w:r>
              <w:t xml:space="preserve">Partition count = max parallelism. Scale to 24 for headroom.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kafka.max.poll.records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int</w:t>
            </w:r>
          </w:p>
        </w:tc>
        <w:tc>
          <w:tcPr>
            <w:tcW w:w="2000" w:type="dxa"/>
            <w:shd w:val="clear" w:color="auto" w:fill="F4F6FA"/>
            <w:vAlign w:val="top"/>
          </w:tcPr>
          <w:p>
            <w:r>
              <w:t xml:space="preserve">500</w:t>
            </w:r>
          </w:p>
        </w:tc>
        <w:tc>
          <w:tcPr>
            <w:tcW w:w="3800" w:type="dxa"/>
            <w:shd w:val="clear" w:color="auto" w:fill="F4F6FA"/>
            <w:vAlign w:val="top"/>
          </w:tcPr>
          <w:p>
            <w:r>
              <w:t xml:space="preserve">Records per poll batch.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kafka.enable.auto.commit</w:t>
            </w:r>
          </w:p>
        </w:tc>
        <w:tc>
          <w:tcPr>
            <w:tcW w:w="900" w:type="dxa"/>
            <w:vAlign w:val="top"/>
          </w:tcPr>
          <w:p>
            <w:r>
              <w:t xml:space="preserve">bool</w:t>
            </w:r>
          </w:p>
        </w:tc>
        <w:tc>
          <w:tcPr>
            <w:tcW w:w="2000" w:type="dxa"/>
            <w:vAlign w:val="top"/>
          </w:tcPr>
          <w:p>
            <w:r>
              <w:t xml:space="preserve">false</w:t>
            </w:r>
          </w:p>
        </w:tc>
        <w:tc>
          <w:tcPr>
            <w:tcW w:w="3800" w:type="dxa"/>
            <w:vAlign w:val="top"/>
          </w:tcPr>
          <w:p>
            <w:r>
              <w:t xml:space="preserve">Manual commit only, after write ack.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hpos.bucket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string</w:t>
            </w:r>
          </w:p>
        </w:tc>
        <w:tc>
          <w:tcPr>
            <w:tcW w:w="2000" w:type="dxa"/>
            <w:shd w:val="clear" w:color="auto" w:fill="F4F6FA"/>
            <w:vAlign w:val="top"/>
          </w:tcPr>
          <w:p>
            <w:r>
              <w:t xml:space="preserve">raw_events</w:t>
            </w:r>
          </w:p>
        </w:tc>
        <w:tc>
          <w:tcPr>
            <w:tcW w:w="3800" w:type="dxa"/>
            <w:shd w:val="clear" w:color="auto" w:fill="F4F6FA"/>
            <w:vAlign w:val="top"/>
          </w:tcPr>
          <w:p>
            <w:r>
              <w:t xml:space="preserve">Target bucket.</w:t>
            </w:r>
          </w:p>
        </w:tc>
      </w:tr>
      <w:tr>
        <w:tc>
          <w:tcPr>
            <w:tcW w:w="2500" w:type="dxa"/>
            <w:vAlign w:val="top"/>
          </w:tcPr>
          <w:p>
            <w:r>
              <w:t xml:space="preserve">hpos.retry.initialMs</w:t>
            </w:r>
          </w:p>
        </w:tc>
        <w:tc>
          <w:tcPr>
            <w:tcW w:w="900" w:type="dxa"/>
            <w:vAlign w:val="top"/>
          </w:tcPr>
          <w:p>
            <w:r>
              <w:t xml:space="preserve">int</w:t>
            </w:r>
          </w:p>
        </w:tc>
        <w:tc>
          <w:tcPr>
            <w:tcW w:w="2000" w:type="dxa"/>
            <w:vAlign w:val="top"/>
          </w:tcPr>
          <w:p>
            <w:r>
              <w:t xml:space="preserve">1000</w:t>
            </w:r>
          </w:p>
        </w:tc>
        <w:tc>
          <w:tcPr>
            <w:tcW w:w="3800" w:type="dxa"/>
            <w:vAlign w:val="top"/>
          </w:tcPr>
          <w:p>
            <w:r>
              <w:t xml:space="preserve">Initial backoff.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t xml:space="preserve">hpos.retry.maxMs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int</w:t>
            </w:r>
          </w:p>
        </w:tc>
        <w:tc>
          <w:tcPr>
            <w:tcW w:w="2000" w:type="dxa"/>
            <w:shd w:val="clear" w:color="auto" w:fill="F4F6FA"/>
            <w:vAlign w:val="top"/>
          </w:tcPr>
          <w:p>
            <w:r>
              <w:t xml:space="preserve">30000</w:t>
            </w:r>
          </w:p>
        </w:tc>
        <w:tc>
          <w:tcPr>
            <w:tcW w:w="3800" w:type="dxa"/>
            <w:shd w:val="clear" w:color="auto" w:fill="F4F6FA"/>
            <w:vAlign w:val="top"/>
          </w:tcPr>
          <w:p>
            <w:r>
              <w:t xml:space="preserve">Backoff cap.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hpos.retry.multiplier</w:t>
            </w:r>
          </w:p>
        </w:tc>
        <w:tc>
          <w:tcPr>
            <w:tcW w:w="900" w:type="dxa"/>
            <w:vAlign w:val="top"/>
          </w:tcPr>
          <w:p>
            <w:r>
              <w:t xml:space="preserve">float</w:t>
            </w:r>
          </w:p>
        </w:tc>
        <w:tc>
          <w:tcPr>
            <w:tcW w:w="2000" w:type="dxa"/>
            <w:vAlign w:val="top"/>
          </w:tcPr>
          <w:p>
            <w:r>
              <w:t xml:space="preserve">2.0</w:t>
            </w:r>
          </w:p>
        </w:tc>
        <w:tc>
          <w:tcPr>
            <w:tcW w:w="3800" w:type="dxa"/>
            <w:vAlign w:val="top"/>
          </w:tcPr>
          <w:p>
            <w:r>
              <w:t xml:space="preserve">Backoff multiplier.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t xml:space="preserve">breaker.failureThreshold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int</w:t>
            </w:r>
          </w:p>
        </w:tc>
        <w:tc>
          <w:tcPr>
            <w:tcW w:w="2000" w:type="dxa"/>
            <w:shd w:val="clear" w:color="auto" w:fill="F4F6FA"/>
            <w:vAlign w:val="top"/>
          </w:tcPr>
          <w:p>
            <w:r>
              <w:t xml:space="preserve">5</w:t>
            </w:r>
          </w:p>
        </w:tc>
        <w:tc>
          <w:tcPr>
            <w:tcW w:w="3800" w:type="dxa"/>
            <w:shd w:val="clear" w:color="auto" w:fill="F4F6FA"/>
            <w:vAlign w:val="top"/>
          </w:tcPr>
          <w:p>
            <w:r>
              <w:t xml:space="preserve">Consecutive failures before opening the breaker.</w:t>
            </w:r>
          </w:p>
        </w:tc>
      </w:tr>
      <w:tr>
        <w:tc>
          <w:tcPr>
            <w:tcW w:w="2500" w:type="dxa"/>
            <w:vAlign w:val="top"/>
          </w:tcPr>
          <w:p>
            <w:r>
              <w:t xml:space="preserve">breaker.probeIntervalMs</w:t>
            </w:r>
          </w:p>
        </w:tc>
        <w:tc>
          <w:tcPr>
            <w:tcW w:w="900" w:type="dxa"/>
            <w:vAlign w:val="top"/>
          </w:tcPr>
          <w:p>
            <w:r>
              <w:t xml:space="preserve">int</w:t>
            </w:r>
          </w:p>
        </w:tc>
        <w:tc>
          <w:tcPr>
            <w:tcW w:w="2000" w:type="dxa"/>
            <w:vAlign w:val="top"/>
          </w:tcPr>
          <w:p>
            <w:r>
              <w:t xml:space="preserve">5000</w:t>
            </w:r>
          </w:p>
        </w:tc>
        <w:tc>
          <w:tcPr>
            <w:tcW w:w="3800" w:type="dxa"/>
            <w:vAlign w:val="top"/>
          </w:tcPr>
          <w:p>
            <w:r>
              <w:t xml:space="preserve">Health-probe interval while paused.</w:t>
            </w:r>
          </w:p>
        </w:tc>
      </w:tr>
    </w:tbl>
    <w:p/>
    <w:p>
      <w:pPr>
        <w:pStyle w:val="Heading1"/>
      </w:pPr>
      <w:r>
        <w:t xml:space="preserve">6. Data Contracts</w:t>
      </w:r>
    </w:p>
    <w:p>
      <w:pPr>
        <w:pStyle w:val="Heading2"/>
      </w:pPr>
      <w:r>
        <w:t xml:space="preserve">6.1 Inbound event (Kafka message value)</w:t>
      </w:r>
    </w:p>
    <w:p>
      <w:r>
        <w:t xml:space="preserve">Raw JSON. EP does not validate it; it must carry a unique eventId used for the key and partitioning.</w:t>
      </w:r>
    </w:p>
    <w:p>
      <w:pPr>
        <w:pStyle w:val="Code"/>
        <w:pBdr>
          <w:top w:val="single" w:sz="4" w:color="2C3A55"/>
        </w:pBdr>
      </w:pPr>
      <w:r>
        <w:rPr>
          <w:rFonts w:ascii="Consolas" w:hAnsi="Consolas"/>
          <w:color w:val="C7D0E4"/>
          <w:sz w:val="17"/>
        </w:rPr>
        <w:t xml:space="preserve">{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"eventId": "a3f2c1e0-...-uuid",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"...": "...other billable fields (opaque to EP)..."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}</w:t>
      </w:r>
    </w:p>
    <w:p>
      <w:pPr>
        <w:pStyle w:val="Heading2"/>
      </w:pPr>
      <w:r>
        <w:t xml:space="preserve">6.2 HPOS object key</w:t>
      </w:r>
    </w:p>
    <w:p>
      <w:r>
        <w:t xml:space="preserve">Deterministic, derived from event-time metadata + eventId. One object per event.</w:t>
      </w:r>
    </w:p>
    <w:p>
      <w:pPr>
        <w:pStyle w:val="Code"/>
        <w:pBdr>
          <w:top w:val="single" w:sz="4" w:color="2C3A55"/>
        </w:pBdr>
      </w:pPr>
      <w:r>
        <w:rPr>
          <w:rFonts w:ascii="Consolas" w:hAnsi="Consolas"/>
          <w:color w:val="C7D0E4"/>
          <w:sz w:val="17"/>
        </w:rPr>
        <w:t xml:space="preserve">raw_events/date=2026-07-09/hour=18/p=3/{eventId}.json</w:t>
      </w:r>
    </w:p>
    <w:p>
      <w:pPr>
        <w:pStyle w:val="Heading2"/>
      </w:pPr>
      <w:r>
        <w:t xml:space="preserve">6.3 HPOS object body</w:t>
      </w:r>
    </w:p>
    <w:p>
      <w:r>
        <w:t xml:space="preserve">The event value written unchanged (raw JSON, content-type application/json). No compression at this stage.</w:t>
      </w:r>
    </w:p>
    <w:p/>
    <w:p>
      <w:pPr>
        <w:pStyle w:val="Heading1"/>
      </w:pPr>
      <w:r>
        <w:t xml:space="preserve">7. Step-by-Step Processing Logic</w:t>
      </w:r>
    </w:p>
    <w:p>
      <w:r>
        <w:t xml:space="preserve">The main loop and the failure/resiliency branch. Pseudocode is language-neutral; translate directly.</w:t>
      </w:r>
    </w:p>
    <w:p>
      <w:pPr>
        <w:pStyle w:val="Heading2"/>
      </w:pPr>
      <w:r>
        <w:t xml:space="preserve">7.1 Main loop</w:t>
      </w:r>
    </w:p>
    <w:p>
      <w:pPr>
        <w:pStyle w:val="Code"/>
        <w:pBdr>
          <w:top w:val="single" w:sz="4" w:color="2C3A55"/>
        </w:pBdr>
      </w:pPr>
      <w:r>
        <w:rPr>
          <w:rFonts w:ascii="Consolas" w:hAnsi="Consolas"/>
          <w:color w:val="C7D0E4"/>
          <w:sz w:val="17"/>
        </w:rPr>
        <w:t xml:space="preserve">loop forever: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records = consumer.poll(timeout)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if records.isEmpty():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continue                      # FR-9 empty poll = no-op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for event in records: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key  = buildKey(event)        # FR-2 deterministic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body = event.rawValue         # FR-3 as-is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writeWithResiliency(key, body)# 7.2 (blocks until acked)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consumer.commitSync()             # FR-4 commit AFTER writes acked</w:t>
      </w:r>
    </w:p>
    <w:p>
      <w:pPr>
        <w:pStyle w:val="Heading2"/>
      </w:pPr>
      <w:r>
        <w:t xml:space="preserve">7.2 Write with resiliency</w:t>
      </w:r>
    </w:p>
    <w:p>
      <w:pPr>
        <w:pStyle w:val="Code"/>
        <w:pBdr>
          <w:top w:val="single" w:sz="4" w:color="2C3A55"/>
        </w:pBdr>
      </w:pPr>
      <w:r>
        <w:rPr>
          <w:rFonts w:ascii="Consolas" w:hAnsi="Consolas"/>
          <w:color w:val="C7D0E4"/>
          <w:sz w:val="17"/>
        </w:rPr>
        <w:t xml:space="preserve">function writeWithResiliency(key, body):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attempt = 0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backoff = hpos.retry.initialMs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loop forever: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try: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hpos.put(key, body)       # waits for server ack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breaker.recordSuccess()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return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catch HposError: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attempt += 1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breaker.recordFailure()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if breaker.isOpen():      # FR-6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    pauseAndWaitForRecovery()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    # after resume, retry same write (idempotent)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    continue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sleep(backoff)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backoff = min(backoff * multiplier, hpos.retry.maxMs)</w:t>
      </w:r>
    </w:p>
    <w:p>
      <w:pPr>
        <w:pStyle w:val="Heading2"/>
      </w:pPr>
      <w:r>
        <w:t xml:space="preserve">7.3 Pause / probe / resume</w:t>
      </w:r>
    </w:p>
    <w:p>
      <w:pPr>
        <w:pStyle w:val="Code"/>
        <w:pBdr>
          <w:top w:val="single" w:sz="4" w:color="2C3A55"/>
        </w:pBdr>
      </w:pPr>
      <w:r>
        <w:rPr>
          <w:rFonts w:ascii="Consolas" w:hAnsi="Consolas"/>
          <w:color w:val="C7D0E4"/>
          <w:sz w:val="17"/>
        </w:rPr>
        <w:t xml:space="preserve">function pauseAndWaitForRecovery():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consumer.pause(consumer.assignment())   # FR-6 pause all partitions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loop: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consumer.poll(0)                    # keep heartbeat; fetch nothing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if hpos.healthy():                  # HEAD probe, FR-7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    break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sleep(breaker.probeIntervalMs)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breaker.reset()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consumer.resume(consumer.assignment())  # reprocess uncommitted (idempotent)</w:t>
      </w:r>
    </w:p>
    <w:p/>
    <w:p>
      <w:pPr>
        <w:pStyle w:val="Heading1"/>
      </w:pPr>
      <w:r>
        <w:t xml:space="preserve">8. Component / Class Breakdown</w:t>
      </w:r>
    </w:p>
    <w:tbl>
      <w:tblPr>
        <w:tblStyle w:val="TableGrid"/>
        <w:tblW w:w="0" w:type="auto"/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w="22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32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tcW w:w="38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Key methods (signatures)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b/>
              </w:rPr>
              <w:t xml:space="preserve">EventProcessor</w:t>
            </w:r>
          </w:p>
        </w:tc>
        <w:tc>
          <w:tcPr>
            <w:tcW w:w="3200" w:type="dxa"/>
            <w:vAlign w:val="top"/>
          </w:tcPr>
          <w:p>
            <w:r>
              <w:t xml:space="preserve">Owns the main loop; wires the pieces.</w:t>
            </w:r>
          </w:p>
        </w:tc>
        <w:tc>
          <w:tcPr>
            <w:tcW w:w="3800" w:type="dxa"/>
            <w:vAlign w:val="top"/>
          </w:tcPr>
          <w:p>
            <w:r>
              <w:rPr>
                <w:rFonts w:ascii="Consolas" w:hAnsi="Consolas"/>
              </w:rPr>
              <w:t xml:space="preserve">run(): void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shutdown(): void</w:t>
            </w:r>
          </w:p>
        </w:tc>
      </w:tr>
      <w:tr>
        <w:tc>
          <w:tcPr>
            <w:tcW w:w="22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KafkaConsumerAdapter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Poll, commit, pause/resume.</w:t>
            </w:r>
          </w:p>
        </w:tc>
        <w:tc>
          <w:tcPr>
            <w:tcW w:w="38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poll(timeoutMs): List&lt;Event&gt;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commitSync(): void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pause(): void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resume(): void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b/>
              </w:rPr>
              <w:t xml:space="preserve">KeyBuilder</w:t>
            </w:r>
          </w:p>
        </w:tc>
        <w:tc>
          <w:tcPr>
            <w:tcW w:w="3200" w:type="dxa"/>
            <w:vAlign w:val="top"/>
          </w:tcPr>
          <w:p>
            <w:r>
              <w:t xml:space="preserve">Build deterministic HPOS keys.</w:t>
            </w:r>
          </w:p>
        </w:tc>
        <w:tc>
          <w:tcPr>
            <w:tcW w:w="3800" w:type="dxa"/>
            <w:vAlign w:val="top"/>
          </w:tcPr>
          <w:p>
            <w:r>
              <w:rPr>
                <w:rFonts w:ascii="Consolas" w:hAnsi="Consolas"/>
              </w:rPr>
              <w:t xml:space="preserve">buildKey(event): string</w:t>
            </w:r>
          </w:p>
        </w:tc>
      </w:tr>
      <w:tr>
        <w:tc>
          <w:tcPr>
            <w:tcW w:w="22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HposWriter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Write objects, health probe.</w:t>
            </w:r>
          </w:p>
        </w:tc>
        <w:tc>
          <w:tcPr>
            <w:tcW w:w="38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put(key, body): void  // throws HposError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healthy(): bool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b/>
              </w:rPr>
              <w:t xml:space="preserve">CircuitBreaker</w:t>
            </w:r>
          </w:p>
        </w:tc>
        <w:tc>
          <w:tcPr>
            <w:tcW w:w="3200" w:type="dxa"/>
            <w:vAlign w:val="top"/>
          </w:tcPr>
          <w:p>
            <w:r>
              <w:t xml:space="preserve">Track failures; open/closed state.</w:t>
            </w:r>
          </w:p>
        </w:tc>
        <w:tc>
          <w:tcPr>
            <w:tcW w:w="3800" w:type="dxa"/>
            <w:vAlign w:val="top"/>
          </w:tcPr>
          <w:p>
            <w:r>
              <w:rPr>
                <w:rFonts w:ascii="Consolas" w:hAnsi="Consolas"/>
              </w:rPr>
              <w:t xml:space="preserve">recordSuccess(): void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recordFailure(): void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isOpen(): bool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reset(): void</w:t>
            </w:r>
          </w:p>
        </w:tc>
      </w:tr>
      <w:tr>
        <w:tc>
          <w:tcPr>
            <w:tcW w:w="22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Metrics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Emit counters/gauges.</w:t>
            </w:r>
          </w:p>
        </w:tc>
        <w:tc>
          <w:tcPr>
            <w:tcW w:w="38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inc(name): void</w:t>
            </w:r>
            <w:r>
              <w:t xml:space="preserve">  </w:t>
            </w:r>
            <w:r>
              <w:rPr>
                <w:rFonts w:ascii="Consolas" w:hAnsi="Consolas"/>
              </w:rPr>
              <w:t xml:space="preserve">observe(name, value): void</w:t>
            </w:r>
          </w:p>
        </w:tc>
      </w:tr>
    </w:tbl>
    <w:p/>
    <w:p>
      <w:pPr>
        <w:pStyle w:val="Heading1"/>
      </w:pPr>
      <w:r>
        <w:t xml:space="preserve">9. Corner Cases &amp; Error Handling</w:t>
      </w:r>
    </w:p>
    <w:tbl>
      <w:tblPr>
        <w:tblStyle w:val="TableGrid"/>
        <w:tblW w:w="0" w:type="auto"/>
      </w:tblPr>
      <w:tblGrid>
        <w:gridCol w:w="3000"/>
        <w:gridCol w:w="6200"/>
      </w:tblGrid>
      <w:tr>
        <w:trPr>
          <w:tblHeader/>
        </w:trPr>
        <w:tc>
          <w:tcPr>
            <w:tcW w:w="30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tcW w:w="62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Expected behaviour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b/>
              </w:rPr>
              <w:t xml:space="preserve">Crash before offset commit</w:t>
            </w:r>
          </w:p>
        </w:tc>
        <w:tc>
          <w:tcPr>
            <w:tcW w:w="6200" w:type="dxa"/>
            <w:vAlign w:val="top"/>
          </w:tcPr>
          <w:p>
            <w:r>
              <w:t xml:space="preserve">Offset uncommitted → Kafka redelivers the poll batch → same key overwrites. No duplicate, no loss.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Crash after write, before commit</w:t>
            </w:r>
          </w:p>
        </w:tc>
        <w:tc>
          <w:tcPr>
            <w:tcW w:w="6200" w:type="dxa"/>
            <w:shd w:val="clear" w:color="auto" w:fill="F4F6FA"/>
            <w:vAlign w:val="top"/>
          </w:tcPr>
          <w:p>
            <w:r>
              <w:t xml:space="preserve">Same as above; deterministic key makes the re-write idempotent.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b/>
              </w:rPr>
              <w:t xml:space="preserve">Duplicate / replayed event</w:t>
            </w:r>
          </w:p>
        </w:tc>
        <w:tc>
          <w:tcPr>
            <w:tcW w:w="6200" w:type="dxa"/>
            <w:vAlign w:val="top"/>
          </w:tcPr>
          <w:p>
            <w:r>
              <w:t xml:space="preserve">Same key → idempotent overwrite → exactly one object at rest.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HPOS transient error</w:t>
            </w:r>
          </w:p>
        </w:tc>
        <w:tc>
          <w:tcPr>
            <w:tcW w:w="6200" w:type="dxa"/>
            <w:shd w:val="clear" w:color="auto" w:fill="F4F6FA"/>
            <w:vAlign w:val="top"/>
          </w:tcPr>
          <w:p>
            <w:r>
              <w:t xml:space="preserve">Retry with exponential backoff up to cap.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b/>
              </w:rPr>
              <w:t xml:space="preserve">HPOS extended outage</w:t>
            </w:r>
          </w:p>
        </w:tc>
        <w:tc>
          <w:tcPr>
            <w:tcW w:w="6200" w:type="dxa"/>
            <w:vAlign w:val="top"/>
          </w:tcPr>
          <w:p>
            <w:r>
              <w:t xml:space="preserve">Breaker opens → consumer paused; Kafka retention buffers the backlog (not heap). Loss only if outage &gt; retention.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Rebalance / instance loss</w:t>
            </w:r>
          </w:p>
        </w:tc>
        <w:tc>
          <w:tcPr>
            <w:tcW w:w="6200" w:type="dxa"/>
            <w:shd w:val="clear" w:color="auto" w:fill="F4F6FA"/>
            <w:vAlign w:val="top"/>
          </w:tcPr>
          <w:p>
            <w:r>
              <w:t xml:space="preserve">Partitions reassign; stateless consumers resume; uncommitted offsets reprocessed.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b/>
              </w:rPr>
              <w:t xml:space="preserve">Malformed / poison record</w:t>
            </w:r>
          </w:p>
        </w:tc>
        <w:tc>
          <w:tcPr>
            <w:tcW w:w="6200" w:type="dxa"/>
            <w:vAlign w:val="top"/>
          </w:tcPr>
          <w:p>
            <w:r>
              <w:t xml:space="preserve">Written as-is; no validation at EP. Aggregation Layer handles validation.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Empty poll</w:t>
            </w:r>
          </w:p>
        </w:tc>
        <w:tc>
          <w:tcPr>
            <w:tcW w:w="6200" w:type="dxa"/>
            <w:shd w:val="clear" w:color="auto" w:fill="F4F6FA"/>
            <w:vAlign w:val="top"/>
          </w:tcPr>
          <w:p>
            <w:r>
              <w:t xml:space="preserve">No-op; loop immediately.</w:t>
            </w:r>
          </w:p>
        </w:tc>
      </w:tr>
    </w:tbl>
    <w:p/>
    <w:p>
      <w:pPr>
        <w:pStyle w:val="Heading1"/>
      </w:pPr>
      <w:r>
        <w:t xml:space="preserve">10. Idempotency &amp; Delivery Guarantees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Commit-after-write ordering </w:t>
      </w:r>
      <w:r>
        <w:t xml:space="preserve">is the single invariant that guarantees zero loss: the offset advances only once the data is durable in HPOS.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Deterministic key by eventId </w:t>
      </w:r>
      <w:r>
        <w:t xml:space="preserve">guarantees no duplicates at rest: any replay overwrites the same object.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At-least-once delivery from Kafka + idempotent writes </w:t>
      </w:r>
      <w:r>
        <w:t xml:space="preserve">= effectively exactly-once at rest.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Even partition spread </w:t>
      </w:r>
      <w:r>
        <w:t xml:space="preserve">is set at the producer by using eventId (UUID) as the partition key.</w:t>
      </w:r>
    </w:p>
    <w:p/>
    <w:p>
      <w:pPr>
        <w:pStyle w:val="Heading1"/>
      </w:pPr>
      <w:r>
        <w:t xml:space="preserve">11. Observability</w:t>
      </w:r>
    </w:p>
    <w:p>
      <w:pPr>
        <w:pStyle w:val="Heading3"/>
      </w:pPr>
      <w:r>
        <w:t xml:space="preserve">Metrics</w:t>
      </w:r>
    </w:p>
    <w:p>
      <w:pPr>
        <w:pStyle w:val="ListBullet"/>
        <w:numPr>
          <w:ilvl w:val="0"/>
          <w:numId w:val="1"/>
        </w:numPr>
      </w:pPr>
      <w:r>
        <w:t xml:space="preserve">events_written_total (counter)</w:t>
      </w:r>
    </w:p>
    <w:p>
      <w:pPr>
        <w:pStyle w:val="ListBullet"/>
        <w:numPr>
          <w:ilvl w:val="0"/>
          <w:numId w:val="1"/>
        </w:numPr>
      </w:pPr>
      <w:r>
        <w:t xml:space="preserve">write_latency_ms (histogram)</w:t>
      </w:r>
    </w:p>
    <w:p>
      <w:pPr>
        <w:pStyle w:val="ListBullet"/>
        <w:numPr>
          <w:ilvl w:val="0"/>
          <w:numId w:val="1"/>
        </w:numPr>
      </w:pPr>
      <w:r>
        <w:t xml:space="preserve">write_failures_total (counter)</w:t>
      </w:r>
    </w:p>
    <w:p>
      <w:pPr>
        <w:pStyle w:val="ListBullet"/>
        <w:numPr>
          <w:ilvl w:val="0"/>
          <w:numId w:val="1"/>
        </w:numPr>
      </w:pPr>
      <w:r>
        <w:t xml:space="preserve">consumer_lag (gauge)</w:t>
      </w:r>
    </w:p>
    <w:p>
      <w:pPr>
        <w:pStyle w:val="ListBullet"/>
        <w:numPr>
          <w:ilvl w:val="0"/>
          <w:numId w:val="1"/>
        </w:numPr>
      </w:pPr>
      <w:r>
        <w:t xml:space="preserve">breaker_state (gauge: 0 closed / 1 open)</w:t>
      </w:r>
    </w:p>
    <w:p>
      <w:pPr>
        <w:pStyle w:val="ListBullet"/>
        <w:numPr>
          <w:ilvl w:val="0"/>
          <w:numId w:val="1"/>
        </w:numPr>
      </w:pPr>
      <w:r>
        <w:t xml:space="preserve">paused_duration_seconds (gauge)</w:t>
      </w:r>
    </w:p>
    <w:p>
      <w:pPr>
        <w:pStyle w:val="Heading3"/>
      </w:pPr>
      <w:r>
        <w:t xml:space="preserve">Alerts</w:t>
      </w:r>
    </w:p>
    <w:p>
      <w:pPr>
        <w:pStyle w:val="ListBullet"/>
        <w:numPr>
          <w:ilvl w:val="0"/>
          <w:numId w:val="1"/>
        </w:numPr>
      </w:pPr>
      <w:r>
        <w:t xml:space="preserve">breaker_state == open for &gt; 1 min</w:t>
      </w:r>
    </w:p>
    <w:p>
      <w:pPr>
        <w:pStyle w:val="ListBullet"/>
        <w:numPr>
          <w:ilvl w:val="0"/>
          <w:numId w:val="1"/>
        </w:numPr>
      </w:pPr>
      <w:r>
        <w:t xml:space="preserve">consumer_lag above threshold / approaching retention</w:t>
      </w:r>
    </w:p>
    <w:p>
      <w:pPr>
        <w:pStyle w:val="ListBullet"/>
        <w:numPr>
          <w:ilvl w:val="0"/>
          <w:numId w:val="1"/>
        </w:numPr>
      </w:pPr>
      <w:r>
        <w:t xml:space="preserve">paused_duration_seconds rising</w:t>
      </w:r>
    </w:p>
    <w:p/>
    <w:p>
      <w:pPr>
        <w:pStyle w:val="Heading1"/>
      </w:pPr>
      <w:r>
        <w:t xml:space="preserve">12. Acceptance Criteria (Test Cases)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valid event, </w:t>
      </w:r>
      <w:r>
        <w:rPr>
          <w:b/>
        </w:rPr>
        <w:t xml:space="preserve">when </w:t>
      </w:r>
      <w:r>
        <w:t xml:space="preserve">consumed, </w:t>
      </w:r>
      <w:r>
        <w:rPr>
          <w:b/>
        </w:rPr>
        <w:t xml:space="preserve">then </w:t>
      </w:r>
      <w:r>
        <w:t xml:space="preserve">an object exists at the deterministic key with the unchanged body, and the offset is committed.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the same event delivered twice, </w:t>
      </w:r>
      <w:r>
        <w:rPr>
          <w:b/>
        </w:rPr>
        <w:t xml:space="preserve">then </w:t>
      </w:r>
      <w:r>
        <w:t xml:space="preserve">exactly one object exists at rest.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the process crashes after write but before commit, </w:t>
      </w:r>
      <w:r>
        <w:rPr>
          <w:b/>
        </w:rPr>
        <w:t xml:space="preserve">when </w:t>
      </w:r>
      <w:r>
        <w:t xml:space="preserve">restarted, </w:t>
      </w:r>
      <w:r>
        <w:rPr>
          <w:b/>
        </w:rPr>
        <w:t xml:space="preserve">then </w:t>
      </w:r>
      <w:r>
        <w:t xml:space="preserve">no duplicate and no loss.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HPOS returns errors beyond the failure threshold, </w:t>
      </w:r>
      <w:r>
        <w:rPr>
          <w:b/>
        </w:rPr>
        <w:t xml:space="preserve">then </w:t>
      </w:r>
      <w:r>
        <w:t xml:space="preserve">the consumer pauses and no offsets advance.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HPOS recovers, </w:t>
      </w:r>
      <w:r>
        <w:rPr>
          <w:b/>
        </w:rPr>
        <w:t xml:space="preserve">then </w:t>
      </w:r>
      <w:r>
        <w:t xml:space="preserve">the consumer resumes and processes the backlog with no loss.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empty poll, </w:t>
      </w:r>
      <w:r>
        <w:rPr>
          <w:b/>
        </w:rPr>
        <w:t xml:space="preserve">then </w:t>
      </w:r>
      <w:r>
        <w:t xml:space="preserve">no side effects occur.</w:t>
      </w:r>
    </w:p>
    <w:p/>
    <w:p>
      <w:pPr>
        <w:pStyle w:val="Heading1"/>
      </w:pPr>
      <w:r>
        <w:t xml:space="preserve">13. Assumptions &amp; Open Questions</w:t>
      </w:r>
    </w:p>
    <w:p>
      <w:pPr>
        <w:pStyle w:val="ListBullet"/>
        <w:numPr>
          <w:ilvl w:val="0"/>
          <w:numId w:val="1"/>
        </w:numPr>
      </w:pPr>
      <w:r>
        <w:t xml:space="preserve">Assumption: every event carries a unique eventId (UUID) set by the producer.</w:t>
      </w:r>
    </w:p>
    <w:p>
      <w:pPr>
        <w:pStyle w:val="ListBullet"/>
        <w:numPr>
          <w:ilvl w:val="0"/>
          <w:numId w:val="1"/>
        </w:numPr>
      </w:pPr>
      <w:r>
        <w:t xml:space="preserve">Assumption: HPOS PUT is durable on ack and supports overwrite by key.</w:t>
      </w:r>
    </w:p>
    <w:p>
      <w:pPr>
        <w:pStyle w:val="ListBullet"/>
        <w:numPr>
          <w:ilvl w:val="0"/>
          <w:numId w:val="1"/>
        </w:numPr>
      </w:pPr>
      <w:r>
        <w:t xml:space="preserve">Open: exact event-time fields used to derive date/hour/partition in the key.</w:t>
      </w:r>
    </w:p>
    <w:p>
      <w:pPr>
        <w:pStyle w:val="ListBullet"/>
        <w:numPr>
          <w:ilvl w:val="0"/>
          <w:numId w:val="1"/>
        </w:numPr>
      </w:pPr>
      <w:r>
        <w:t xml:space="preserve">Open: topic retention value (must exceed worst-case HPOS outage).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Title">
    <w:name w:val="Title"/>
    <w:basedOn w:val="Normal"/>
    <w:pPr>
      <w:spacing w:after="60"/>
    </w:pPr>
    <w:rPr>
      <w:b/>
      <w:color w:val="16243B"/>
      <w:sz w:val="48"/>
    </w:rPr>
  </w:style>
  <w:style w:type="paragraph" w:styleId="Subtitle">
    <w:name w:val="Subtitle"/>
    <w:basedOn w:val="Normal"/>
    <w:pPr>
      <w:spacing w:after="200"/>
    </w:pPr>
    <w:rPr>
      <w:color w:val="3D54D6"/>
      <w:sz w:val="26"/>
    </w:rPr>
  </w:style>
  <w:style w:type="paragraph" w:styleId="Heading1">
    <w:name w:val="heading 1"/>
    <w:basedOn w:val="Normal"/>
    <w:pPr>
      <w:spacing w:before="300" w:after="120"/>
      <w:outlineLvl w:val="0"/>
    </w:pPr>
    <w:rPr>
      <w:b/>
      <w:color w:val="16243B"/>
      <w:sz w:val="30"/>
    </w:rPr>
  </w:style>
  <w:style w:type="paragraph" w:styleId="Heading2">
    <w:name w:val="heading 2"/>
    <w:basedOn w:val="Normal"/>
    <w:pPr>
      <w:spacing w:before="200" w:after="60"/>
      <w:outlineLvl w:val="1"/>
    </w:pPr>
    <w:rPr>
      <w:b/>
      <w:color w:val="3D54D6"/>
      <w:sz w:val="24"/>
    </w:rPr>
  </w:style>
  <w:style w:type="paragraph" w:styleId="Heading3">
    <w:name w:val="heading 3"/>
    <w:basedOn w:val="Normal"/>
    <w:pPr>
      <w:spacing w:before="140" w:after="40"/>
      <w:outlineLvl w:val="2"/>
    </w:pPr>
    <w:rPr>
      <w:b/>
      <w:color w:val="16243B"/>
      <w:sz w:val="21"/>
    </w:rPr>
  </w:style>
  <w:style w:type="paragraph" w:styleId="ListBullet">
    <w:name w:val="List Bullet"/>
    <w:basedOn w:val="Normal"/>
    <w:pPr>
      <w:numPr>
        <w:numId w:val="1"/>
      </w:numPr>
      <w:ind w:left="360" w:hanging="360"/>
    </w:pPr>
  </w:style>
  <w:style w:type="paragraph" w:styleId="ListNumber">
    <w:name w:val="List Number"/>
    <w:basedOn w:val="Normal"/>
    <w:pPr>
      <w:numPr>
        <w:numId w:val="2"/>
      </w:numPr>
      <w:ind w:left="360" w:hanging="360"/>
    </w:pPr>
  </w:style>
  <w:style w:type="paragraph" w:styleId="Code">
    <w:name w:val="Code"/>
    <w:basedOn w:val="Normal"/>
    <w:pPr>
      <w:shd w:val="clear" w:color="auto" w:fill="16243B"/>
      <w:spacing w:after="0" w:line="240" w:lineRule="auto"/>
      <w:ind w:left="120" w:right="120"/>
    </w:pPr>
    <w:rPr>
      <w:rFonts w:ascii="Consolas" w:hAnsi="Consolas"/>
      <w:color w:val="C7D0E4"/>
      <w:sz w:val="17"/>
    </w:rPr>
  </w:style>
  <w:style w:type="table" w:styleId="TableGrid">
    <w:name w:val="Table Grid"/>
    <w:tblPr>
      <w:tblBorders>
        <w:top w:val="single" w:sz="4" w:color="C9CED8"/>
        <w:left w:val="single" w:sz="4" w:color="C9CED8"/>
        <w:bottom w:val="single" w:sz="4" w:color="C9CED8"/>
        <w:right w:val="single" w:sz="4" w:color="C9CED8"/>
        <w:insideH w:val="single" w:sz="4" w:color="C9CED8"/>
        <w:insideV w:val="single" w:sz="4" w:color="C9CED8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