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77777777" w:rsidR="00AC0165" w:rsidRDefault="001C057A" w:rsidP="001C057A">
      <w:pPr>
        <w:pStyle w:val="ChapterTitle"/>
      </w:pPr>
      <w:r>
        <w:t>Chapter 2: Learning the “Hello World” of Data</w:t>
      </w:r>
    </w:p>
    <w:p w14:paraId="70C5FA40" w14:textId="77777777" w:rsidR="000B5007" w:rsidRDefault="001C057A" w:rsidP="00A43A80">
      <w:pPr>
        <w:pStyle w:val="Para"/>
      </w:pPr>
      <w:r>
        <w:t xml:space="preserve">It is natural to assume that the first step in data analysis is getting data.  Of course getting the data is necessary, but </w:t>
      </w:r>
      <w:r>
        <w:rPr>
          <w:i/>
        </w:rPr>
        <w:t>starting</w:t>
      </w:r>
      <w:r>
        <w:t xml:space="preserve"> with data collection is like running a race </w:t>
      </w:r>
      <w:r w:rsidR="00A43A80">
        <w:t xml:space="preserve">in whatever direction one is facing.  In order to perform data analysis well, </w:t>
      </w:r>
      <w:r w:rsidR="000B5007">
        <w:t xml:space="preserve">there must be a purpose to the analysis and context it is performed in and jumping </w:t>
      </w:r>
    </w:p>
    <w:p w14:paraId="761E4B8E" w14:textId="77777777" w:rsidR="00A43A80" w:rsidRDefault="000B5007" w:rsidP="00A43A80">
      <w:pPr>
        <w:pStyle w:val="Para"/>
      </w:pPr>
      <w:r>
        <w:t xml:space="preserve">and context surrounding the work </w:t>
      </w:r>
      <w:r w:rsidR="00A43A80">
        <w:t xml:space="preserve">both a purpose and context is required.   While it’s helpful to have a very specific purpose such as “which of our developers write more secure code?” the purpose may also be quite vague such as, “what </w:t>
      </w:r>
      <w:r>
        <w:t xml:space="preserve">traffic </w:t>
      </w:r>
      <w:r w:rsidR="00A43A80">
        <w:t xml:space="preserve">patterns exist in our network?”  Overall, </w:t>
      </w:r>
      <w:r>
        <w:t xml:space="preserve">a good data analysis life cycle has these </w:t>
      </w:r>
      <w:r w:rsidR="00A43A80">
        <w:t>w</w:t>
      </w:r>
      <w:r>
        <w:t>e want to touch on these points.  Everyone doing data analysis does each of these to some degree or another.</w:t>
      </w:r>
    </w:p>
    <w:p w14:paraId="03456C6B" w14:textId="77777777" w:rsidR="000B5007" w:rsidRDefault="000B5007" w:rsidP="007E3F71">
      <w:pPr>
        <w:pStyle w:val="H3"/>
      </w:pPr>
      <w:r>
        <w:t xml:space="preserve">Four </w:t>
      </w:r>
      <w:r w:rsidRPr="00F609ED">
        <w:t>stages</w:t>
      </w:r>
      <w:r>
        <w:t xml:space="preserve"> of data analysis:</w:t>
      </w:r>
    </w:p>
    <w:p w14:paraId="195CF2A8" w14:textId="7D365B46" w:rsidR="00A43A80" w:rsidRDefault="00401DDA" w:rsidP="001C057A">
      <w:pPr>
        <w:pStyle w:val="Para"/>
      </w:pPr>
      <w:r>
        <w:t>Pick a Question</w:t>
      </w:r>
      <w:r w:rsidR="000B5007">
        <w:t xml:space="preserve"> (set context, questions, purpose)</w:t>
      </w:r>
    </w:p>
    <w:p w14:paraId="1DD5C9D6" w14:textId="6B4516BE" w:rsidR="00A43A80" w:rsidRDefault="000B5007" w:rsidP="001C057A">
      <w:pPr>
        <w:pStyle w:val="Para"/>
      </w:pPr>
      <w:r>
        <w:t>Acquire</w:t>
      </w:r>
      <w:r w:rsidR="00401DDA">
        <w:t xml:space="preserve"> Data</w:t>
      </w:r>
      <w:r>
        <w:t xml:space="preserve"> (gathering and </w:t>
      </w:r>
      <w:r w:rsidR="00401DDA">
        <w:t>prepare</w:t>
      </w:r>
      <w:r>
        <w:t xml:space="preserve"> data)</w:t>
      </w:r>
    </w:p>
    <w:p w14:paraId="2DACE711" w14:textId="77777777" w:rsidR="000B5007" w:rsidRDefault="000B5007" w:rsidP="001C057A">
      <w:pPr>
        <w:pStyle w:val="Para"/>
      </w:pPr>
      <w:r>
        <w:t>Analyze (data analysis, generate conclusion)</w:t>
      </w:r>
    </w:p>
    <w:p w14:paraId="5D294639" w14:textId="77777777" w:rsidR="00A43A80" w:rsidRDefault="00A43A80" w:rsidP="001C057A">
      <w:pPr>
        <w:pStyle w:val="Para"/>
      </w:pPr>
      <w:r>
        <w:t>Learn</w:t>
      </w:r>
      <w:r w:rsidR="000B5007">
        <w:t xml:space="preserve"> (learn</w:t>
      </w:r>
      <w:r>
        <w:t>ing from feedback</w:t>
      </w:r>
      <w:r w:rsidR="000B5007">
        <w:t>)</w:t>
      </w:r>
    </w:p>
    <w:p w14:paraId="1377EAC0" w14:textId="77777777" w:rsidR="00A43A80" w:rsidRDefault="00A43A80" w:rsidP="001C057A">
      <w:pPr>
        <w:pStyle w:val="Para"/>
      </w:pPr>
    </w:p>
    <w:p w14:paraId="7A758CC1" w14:textId="358CEC82" w:rsidR="000B5007" w:rsidRDefault="00401DDA" w:rsidP="001603BC">
      <w:pPr>
        <w:pStyle w:val="H1"/>
      </w:pPr>
      <w:r>
        <w:t>Picking a Question</w:t>
      </w:r>
    </w:p>
    <w:p w14:paraId="670C3548" w14:textId="0B6A73B7" w:rsidR="005407E3" w:rsidRDefault="003E747A" w:rsidP="000B5007">
      <w:pPr>
        <w:pStyle w:val="Para"/>
      </w:pPr>
      <w:r>
        <w:t xml:space="preserve">The </w:t>
      </w:r>
      <w:r w:rsidR="00401DDA">
        <w:t xml:space="preserve">first stage is the most critical and … </w:t>
      </w:r>
      <w:bookmarkStart w:id="0" w:name="_GoBack"/>
      <w:bookmarkEnd w:id="0"/>
      <w:r>
        <w:t xml:space="preserve">framing stage is where the </w:t>
      </w:r>
      <w:r w:rsidR="00184009">
        <w:t>“</w:t>
      </w:r>
      <w:r w:rsidR="00F00135">
        <w:t>why</w:t>
      </w:r>
      <w:r w:rsidR="00184009">
        <w:t>” and the “wh</w:t>
      </w:r>
      <w:r w:rsidR="00F00135">
        <w:t>at</w:t>
      </w:r>
      <w:r w:rsidR="00184009">
        <w:t>”</w:t>
      </w:r>
      <w:r>
        <w:t xml:space="preserve"> of the analyses </w:t>
      </w:r>
      <w:r w:rsidR="00E10AC4">
        <w:t>are</w:t>
      </w:r>
      <w:r>
        <w:t xml:space="preserve"> defined and m</w:t>
      </w:r>
      <w:r w:rsidR="000B5007">
        <w:t>ost analyses ar</w:t>
      </w:r>
      <w:r w:rsidR="00F609ED">
        <w:t xml:space="preserve">e doomed </w:t>
      </w:r>
      <w:r w:rsidR="00795F6F">
        <w:t xml:space="preserve">in </w:t>
      </w:r>
      <w:r>
        <w:t>this</w:t>
      </w:r>
      <w:r w:rsidR="00795F6F">
        <w:t xml:space="preserve"> stage</w:t>
      </w:r>
      <w:r w:rsidR="0091113B">
        <w:t xml:space="preserve"> </w:t>
      </w:r>
      <w:r w:rsidR="00F00135">
        <w:t>because it is rushed through or skipped altogether</w:t>
      </w:r>
      <w:r w:rsidR="00795F6F">
        <w:t xml:space="preserve">. </w:t>
      </w:r>
      <w:r w:rsidR="0091113B">
        <w:t xml:space="preserve">Without a </w:t>
      </w:r>
      <w:r w:rsidR="00F00135">
        <w:t>defined frame around the effort</w:t>
      </w:r>
      <w:r w:rsidR="0091113B">
        <w:t xml:space="preserve">, </w:t>
      </w:r>
      <w:r w:rsidR="005407E3">
        <w:t xml:space="preserve">data collection will favor the convenient, analysis will uncover the obvious and conclusions, while perhaps interesting on the surface, will run the risk of being irrelevant.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w:t>
      </w:r>
      <w:r w:rsidR="00E10AC4">
        <w:lastRenderedPageBreak/>
        <w:t>are the result of a poor frame selection and/or skipping the frame selection altogether.</w:t>
      </w:r>
    </w:p>
    <w:p w14:paraId="41719025" w14:textId="7D9FBEFB" w:rsidR="00BC3D24" w:rsidRDefault="00E10AC4" w:rsidP="000B5007">
      <w:pPr>
        <w:pStyle w:val="Para"/>
      </w:pPr>
      <w:r>
        <w:t xml:space="preserve">Putting some thought towards the </w:t>
      </w:r>
      <w:r w:rsidR="00184009">
        <w:t>what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1"/>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1"/>
      <w:r w:rsidR="003316FB">
        <w:rPr>
          <w:rStyle w:val="CommentReference"/>
          <w:snapToGrid/>
        </w:rPr>
        <w:commentReference w:id="1"/>
      </w:r>
    </w:p>
    <w:p w14:paraId="29F508A1" w14:textId="4126D946" w:rsidR="00F00135" w:rsidRDefault="00F00135" w:rsidP="00235173">
      <w:pPr>
        <w:pStyle w:val="Para"/>
      </w:pPr>
      <w:r>
        <w:t>frames simplify and organize, frames put a limit on the complexity. a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frames,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What proportion of viruses are caught by AV?  (notice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(may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 xml:space="preserve">(from Wikipedia: </w:t>
      </w:r>
      <w:r w:rsidRPr="00F5756B">
        <w:t>The Research Question serves two purposes:</w:t>
      </w:r>
    </w:p>
    <w:p w14:paraId="0D152557" w14:textId="77777777" w:rsidR="00F5756B" w:rsidRPr="00F5756B" w:rsidRDefault="00F5756B" w:rsidP="00F5756B">
      <w:pPr>
        <w:pStyle w:val="Para"/>
        <w:numPr>
          <w:ilvl w:val="0"/>
          <w:numId w:val="30"/>
        </w:numPr>
      </w:pPr>
      <w:r w:rsidRPr="00F5756B">
        <w:t>it determines where and what kind of research the writer will be looking for and</w:t>
      </w:r>
    </w:p>
    <w:p w14:paraId="7F464442" w14:textId="77777777" w:rsidR="00F5756B" w:rsidRPr="00F5756B" w:rsidRDefault="00F5756B" w:rsidP="00F5756B">
      <w:pPr>
        <w:pStyle w:val="Para"/>
        <w:numPr>
          <w:ilvl w:val="0"/>
          <w:numId w:val="30"/>
        </w:numPr>
      </w:pPr>
      <w:r w:rsidRPr="00F5756B">
        <w:t>it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 xml:space="preserve">From “Constructin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“If we do not pose innovative research questions, it is less likely that our research oefforts will generate interesting and influential theories”</w:t>
      </w:r>
    </w:p>
    <w:p w14:paraId="5B6B57E8" w14:textId="24DD1647" w:rsidR="00F5756B" w:rsidRDefault="0017000E" w:rsidP="00F5756B">
      <w:pPr>
        <w:pStyle w:val="Para"/>
        <w:numPr>
          <w:ilvl w:val="0"/>
          <w:numId w:val="31"/>
        </w:numPr>
      </w:pPr>
      <w:r>
        <w:t xml:space="preserve">“the primary discussion revolves arouns how to formulate feasible research question in a particular sequential order.  We are advised to first define the topic (for example. leadership, adult vocationsl learning, diversity among male engineers, middle-class status ansxiety in UK higher ed ),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formaultion of research questions. </w:t>
      </w:r>
    </w:p>
    <w:p w14:paraId="7EC30490" w14:textId="3097B23A" w:rsidR="0017000E" w:rsidRDefault="0017000E" w:rsidP="00F5756B">
      <w:pPr>
        <w:pStyle w:val="Para"/>
        <w:numPr>
          <w:ilvl w:val="0"/>
          <w:numId w:val="31"/>
        </w:numPr>
      </w:pPr>
      <w:r>
        <w:t>“from gap-spotting to problemization”</w:t>
      </w:r>
    </w:p>
    <w:p w14:paraId="6CB17C54" w14:textId="2DC6DA49" w:rsidR="009C138B" w:rsidRDefault="009C138B" w:rsidP="00F5756B">
      <w:pPr>
        <w:pStyle w:val="Para"/>
        <w:numPr>
          <w:ilvl w:val="0"/>
          <w:numId w:val="31"/>
        </w:numPr>
      </w:pPr>
      <w:r>
        <w:t xml:space="preserve">“with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Quote: Gadamer “the path of all knowledge leads through the question” (1994, 363)  - follow up on this.</w:t>
      </w:r>
    </w:p>
    <w:p w14:paraId="4997893D" w14:textId="5578D79A" w:rsidR="00773DB3" w:rsidRDefault="00773DB3" w:rsidP="00773DB3">
      <w:pPr>
        <w:pStyle w:val="Para"/>
        <w:numPr>
          <w:ilvl w:val="1"/>
          <w:numId w:val="31"/>
        </w:numPr>
      </w:pPr>
      <w:r>
        <w:t>Gadamer, H.G. (1994) Truth and Method. New York: continuum. (first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provide the necessary starting point and path for all forms of knowledge development.  It is by asking questions that we are able to generate knowledge about things.  Similarily, asking questions forms the basis of every kind of research investigation.</w:t>
      </w:r>
    </w:p>
    <w:p w14:paraId="62F775F0" w14:textId="0E165D85" w:rsidR="009C138B" w:rsidRDefault="009C138B" w:rsidP="00F5756B">
      <w:pPr>
        <w:pStyle w:val="Para"/>
        <w:numPr>
          <w:ilvl w:val="0"/>
          <w:numId w:val="31"/>
        </w:numPr>
      </w:pPr>
      <w:r>
        <w:t>not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“however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“a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r>
        <w:t xml:space="preserve">comparative - relationships (relation, equiivalance, </w:t>
      </w:r>
      <w:r w:rsidR="0024564E">
        <w:t>difference)</w:t>
      </w:r>
    </w:p>
    <w:p w14:paraId="430212F5" w14:textId="5BEAD95B" w:rsidR="0024564E" w:rsidRDefault="0024564E" w:rsidP="009006CA">
      <w:pPr>
        <w:pStyle w:val="Para"/>
        <w:numPr>
          <w:ilvl w:val="1"/>
          <w:numId w:val="31"/>
        </w:numPr>
      </w:pPr>
      <w:r>
        <w:t>explanatory - correlation, conditionality, causality</w:t>
      </w:r>
    </w:p>
    <w:p w14:paraId="12E7A67E" w14:textId="5BA170FE" w:rsidR="0024564E" w:rsidRDefault="0024564E" w:rsidP="009006CA">
      <w:pPr>
        <w:pStyle w:val="Para"/>
        <w:numPr>
          <w:ilvl w:val="1"/>
          <w:numId w:val="31"/>
        </w:numPr>
      </w:pPr>
      <w:r>
        <w:t>normative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048714CE" w14:textId="1C8F3210" w:rsidR="00C75211"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xml:space="preserve">.  Usually in statistics classes the sample data has either been completely prepared and is free of defects, or there is a single step to prepare it (ya know, as an exercise).   </w:t>
      </w:r>
      <w:r w:rsidR="00820734">
        <w:t>In rea</w:t>
      </w:r>
      <w:r w:rsidR="004262C4">
        <w:t xml:space="preserve">l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r>
        <w:t>clean/munge the data</w:t>
      </w:r>
    </w:p>
    <w:p w14:paraId="1A3F6627" w14:textId="63DE4BBA" w:rsidR="00840147" w:rsidRDefault="00C75211" w:rsidP="001C057A">
      <w:pPr>
        <w:pStyle w:val="Para"/>
      </w:pPr>
      <w:r>
        <w:t xml:space="preserve">select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want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r>
        <w:t>clean data is essential</w:t>
      </w:r>
    </w:p>
    <w:p w14:paraId="08D89076" w14:textId="4A237CCB" w:rsidR="00AE2653" w:rsidRDefault="000A2564" w:rsidP="001C057A">
      <w:pPr>
        <w:pStyle w:val="Para"/>
      </w:pPr>
      <w:r>
        <w:t>protecting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What can I meaure/monitor/observe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r>
        <w:t>what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looking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of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019EBACD" w14:textId="6A9A2139"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Pr="007E3F71" w:rsidRDefault="005407E3" w:rsidP="007E3F71">
      <w:pPr>
        <w:pStyle w:val="Para"/>
      </w:pPr>
      <w:r>
        <w:t>Where is time spent?  (acquire)</w:t>
      </w:r>
    </w:p>
    <w:sectPr w:rsidR="003E747A"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09T20:13:00Z" w:initials="JJ">
    <w:p w14:paraId="20E22ACC" w14:textId="222E2D00" w:rsidR="00773DB3" w:rsidRDefault="00773DB3">
      <w:pPr>
        <w:pStyle w:val="CommentText"/>
      </w:pPr>
      <w:r>
        <w:rPr>
          <w:rStyle w:val="CommentReference"/>
        </w:rPr>
        <w:annotationRef/>
      </w:r>
      <w:r>
        <w:t>side bar, pull quote or some how emphasize this.  Or make the whole paragraph a call out and emphasize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8"/>
  </w:num>
  <w:num w:numId="7">
    <w:abstractNumId w:val="27"/>
  </w:num>
  <w:num w:numId="8">
    <w:abstractNumId w:val="21"/>
  </w:num>
  <w:num w:numId="9">
    <w:abstractNumId w:val="13"/>
  </w:num>
  <w:num w:numId="10">
    <w:abstractNumId w:val="30"/>
  </w:num>
  <w:num w:numId="11">
    <w:abstractNumId w:val="15"/>
  </w:num>
  <w:num w:numId="12">
    <w:abstractNumId w:val="14"/>
  </w:num>
  <w:num w:numId="13">
    <w:abstractNumId w:val="17"/>
  </w:num>
  <w:num w:numId="14">
    <w:abstractNumId w:val="26"/>
  </w:num>
  <w:num w:numId="15">
    <w:abstractNumId w:val="19"/>
  </w:num>
  <w:num w:numId="16">
    <w:abstractNumId w:val="0"/>
  </w:num>
  <w:num w:numId="17">
    <w:abstractNumId w:val="20"/>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5"/>
  </w:num>
  <w:num w:numId="31">
    <w:abstractNumId w:val="1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A2564"/>
    <w:rsid w:val="000B5007"/>
    <w:rsid w:val="00151726"/>
    <w:rsid w:val="00151BF3"/>
    <w:rsid w:val="001603BC"/>
    <w:rsid w:val="0017000E"/>
    <w:rsid w:val="00180979"/>
    <w:rsid w:val="00184009"/>
    <w:rsid w:val="001C057A"/>
    <w:rsid w:val="002161A8"/>
    <w:rsid w:val="00235173"/>
    <w:rsid w:val="0024564E"/>
    <w:rsid w:val="003316FB"/>
    <w:rsid w:val="003E747A"/>
    <w:rsid w:val="00401DDA"/>
    <w:rsid w:val="004262C4"/>
    <w:rsid w:val="00465F69"/>
    <w:rsid w:val="005407E3"/>
    <w:rsid w:val="005A7D98"/>
    <w:rsid w:val="00650059"/>
    <w:rsid w:val="00765039"/>
    <w:rsid w:val="00773DB3"/>
    <w:rsid w:val="00795F6F"/>
    <w:rsid w:val="007D3252"/>
    <w:rsid w:val="007E3F71"/>
    <w:rsid w:val="008051D0"/>
    <w:rsid w:val="00820734"/>
    <w:rsid w:val="00821FE5"/>
    <w:rsid w:val="00825B33"/>
    <w:rsid w:val="00840147"/>
    <w:rsid w:val="008A6EA5"/>
    <w:rsid w:val="009006CA"/>
    <w:rsid w:val="0091113B"/>
    <w:rsid w:val="009C138B"/>
    <w:rsid w:val="009E3FEF"/>
    <w:rsid w:val="00A43A80"/>
    <w:rsid w:val="00AC0165"/>
    <w:rsid w:val="00AE2653"/>
    <w:rsid w:val="00AF4A3B"/>
    <w:rsid w:val="00B41989"/>
    <w:rsid w:val="00B67484"/>
    <w:rsid w:val="00BB701D"/>
    <w:rsid w:val="00BC3D24"/>
    <w:rsid w:val="00BC6A49"/>
    <w:rsid w:val="00C75211"/>
    <w:rsid w:val="00D32C74"/>
    <w:rsid w:val="00E10AC4"/>
    <w:rsid w:val="00E72FF7"/>
    <w:rsid w:val="00E95CC3"/>
    <w:rsid w:val="00F00135"/>
    <w:rsid w:val="00F13E3E"/>
    <w:rsid w:val="00F260B6"/>
    <w:rsid w:val="00F5756B"/>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587</TotalTime>
  <Pages>7</Pages>
  <Words>1920</Words>
  <Characters>10948</Characters>
  <Application>Microsoft Macintosh Word</Application>
  <DocSecurity>0</DocSecurity>
  <Lines>91</Lines>
  <Paragraphs>25</Paragraphs>
  <ScaleCrop>false</ScaleCrop>
  <Company>Verizon</Company>
  <LinksUpToDate>false</LinksUpToDate>
  <CharactersWithSpaces>12843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22</cp:revision>
  <dcterms:created xsi:type="dcterms:W3CDTF">2013-06-09T15:05:00Z</dcterms:created>
  <dcterms:modified xsi:type="dcterms:W3CDTF">2013-06-13T04:08:00Z</dcterms:modified>
</cp:coreProperties>
</file>