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工大圈子项目 需求分析</w:t>
      </w:r>
    </w:p>
    <w:p>
      <w:pPr>
        <w:pStyle w:val="3"/>
        <w:rPr>
          <w:rFonts w:hint="eastAsia"/>
        </w:rPr>
      </w:pPr>
      <w:r>
        <w:rPr>
          <w:rFonts w:hint="eastAsia"/>
        </w:rPr>
        <w:t>项目目标</w:t>
      </w:r>
      <w:r>
        <w:rPr>
          <w:rFonts w:hint="default"/>
        </w:rPr>
        <w:t>概述</w:t>
      </w:r>
    </w:p>
    <w:p>
      <w:pPr>
        <w:numPr>
          <w:ilvl w:val="0"/>
          <w:numId w:val="1"/>
        </w:num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实现today.hit.edu.cn网页的定时数据采集，存入数据库</w:t>
      </w:r>
    </w:p>
    <w:p>
      <w:pPr>
        <w:numPr>
          <w:ilvl w:val="0"/>
          <w:numId w:val="1"/>
        </w:num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根据时间和分类，选出采集得到的热点新闻，并在主页展示标题和部分内容，超链接点入显示全文，下方有简单的线性用户评论功能</w:t>
      </w:r>
    </w:p>
    <w:p>
      <w:pPr>
        <w:numPr>
          <w:ilvl w:val="0"/>
          <w:numId w:val="1"/>
        </w:num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针对每一个用户，通过注册信息生成个人主页，个人主页展示用户详细信息和近期发帖，用户能够修改部分个人信息，用户有自己的等级，发帖越多等级越高，会员经验*2</w:t>
      </w:r>
    </w:p>
    <w:p>
      <w:pPr>
        <w:numPr>
          <w:ilvl w:val="0"/>
          <w:numId w:val="1"/>
        </w:num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校园用户讨论区，能自由发布主题，主题按最后修改时间排序，其他用户可以回复，展示公告功能，用户发布的主题可以自行删除</w:t>
      </w:r>
    </w:p>
    <w:p>
      <w:pPr>
        <w:numPr>
          <w:ilvl w:val="0"/>
          <w:numId w:val="1"/>
        </w:num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用户之间可以添加好友，具备关注功能，私信功能</w:t>
      </w:r>
    </w:p>
    <w:p>
      <w:pPr>
        <w:numPr>
          <w:ilvl w:val="0"/>
          <w:numId w:val="1"/>
        </w:numPr>
        <w:rPr>
          <w:rFonts w:ascii="文泉驿微米黑" w:hAnsi="文泉驿微米黑" w:eastAsia="文泉驿微米黑"/>
        </w:rPr>
      </w:pPr>
      <w:r>
        <w:rPr>
          <w:rFonts w:ascii="文泉驿微米黑" w:hAnsi="文泉驿微米黑" w:eastAsia="文泉驿微米黑"/>
        </w:rPr>
        <w:t>后台管理员可以管理用户，包括封禁用户登陆功能，删除用户发布的新闻回复，删除用户发布的讨论区主题，删除用户发布的讨论区回复，讨论区发布公告</w:t>
      </w:r>
    </w:p>
    <w:p>
      <w:pPr>
        <w:pStyle w:val="3"/>
      </w:pPr>
      <w:r>
        <w:t>系统结构概述</w:t>
      </w:r>
    </w:p>
    <w:p>
      <w:pPr>
        <w:numPr>
          <w:numId w:val="0"/>
        </w:numPr>
        <w:rPr>
          <w:rFonts w:ascii="文泉驿微米黑" w:hAnsi="文泉驿微米黑" w:eastAsia="文泉驿微米黑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2" o:spid="_x0000_s1026" type="#_x0000_t202" style="position:absolute;left:0;margin-left:320.55pt;margin-top:17.9pt;height:25.5pt;width:89.25pt;rotation:0f;z-index:25166336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新闻展示模块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rect id="矩形 11" o:spid="_x0000_s1027" style="position:absolute;left:0;margin-left:281.55pt;margin-top:8.9pt;height:53.25pt;width:164.25pt;rotation:0f;z-index:251662336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0" o:spid="_x0000_s1028" type="#_x0000_t202" style="position:absolute;left:0;margin-left:-13.2pt;margin-top:28.4pt;height:26.25pt;width:80.25pt;rotation:0f;z-index:25166131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数据采集模块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rect id="矩形 9" o:spid="_x0000_s1029" style="position:absolute;left:0;margin-left:-44.7pt;margin-top:17.9pt;height:53.25pt;width:134.25pt;rotation:0f;z-index:251660288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圆柱形 7" o:spid="_x0000_s1030" type="#_x0000_t22" style="position:absolute;left:0;margin-left:140.55pt;margin-top:24.65pt;height:119.25pt;width:112.5pt;rotation:0f;z-index:251658240;" o:ole="f" fillcolor="#9CBEE0" filled="t" o:preferrelative="t" stroked="t" coordorigin="0,0" coordsize="21600,21600" adj="54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numPr>
          <w:numId w:val="0"/>
        </w:numPr>
        <w:rPr>
          <w:rFonts w:ascii="文泉驿微米黑" w:hAnsi="文泉驿微米黑" w:eastAsia="文泉驿微米黑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line id="箭头 18" o:spid="_x0000_s1031" style="position:absolute;left:0;flip:y;margin-left:252.3pt;margin-top:3.95pt;height:21pt;width:27.75pt;rotation:0f;z-index:251669504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line id="箭头 17" o:spid="_x0000_s1032" style="position:absolute;left:0;margin-left:90.3pt;margin-top:27.2pt;height:33pt;width:48.75pt;rotation:0f;z-index:251668480;" o:ole="f" fillcolor="#FFFFFF" filled="f" o:preferrelative="t" stroked="t" coordsize="21600,21600">
            <v:fill on="f" color2="#FFFFFF" focus="0%"/>
            <v:stroke weight="1.25pt" color="#739CC3" color2="#FFFFFF" miterlimit="2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numPr>
          <w:numId w:val="0"/>
        </w:numPr>
        <w:rPr>
          <w:rFonts w:ascii="文泉驿微米黑" w:hAnsi="文泉驿微米黑" w:eastAsia="文泉驿微米黑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4" o:spid="_x0000_s1033" type="#_x0000_t202" style="position:absolute;left:0;margin-left:320.55pt;margin-top:30.5pt;height:30pt;width:92.25pt;rotation:0f;z-index:25166540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讨论区模块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rect id="矩形 13" o:spid="_x0000_s1034" style="position:absolute;left:0;margin-left:280.05pt;margin-top:24.5pt;height:45.75pt;width:166.5pt;rotation:0f;z-index:251664384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8" o:spid="_x0000_s1035" type="#_x0000_t202" style="position:absolute;left:0;margin-left:157.8pt;margin-top:4.25pt;height:39.75pt;width:84pt;rotation:0f;z-index:2516592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数据库</w:t>
                  </w:r>
                </w:p>
              </w:txbxContent>
            </v:textbox>
          </v:shape>
        </w:pict>
      </w:r>
    </w:p>
    <w:p>
      <w:pPr>
        <w:numPr>
          <w:numId w:val="0"/>
        </w:numPr>
        <w:rPr>
          <w:rFonts w:ascii="文泉驿微米黑" w:hAnsi="文泉驿微米黑" w:eastAsia="文泉驿微米黑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line id="双箭头 19" o:spid="_x0000_s1036" style="position:absolute;left:0;margin-left:252.3pt;margin-top:18.8pt;height:9pt;width:26.25pt;rotation:0f;z-index:251670528;" o:ole="f" fillcolor="#FFFFFF" filled="f" o:preferrelative="t" stroked="t" coordsize="21600,21600">
            <v:fill on="f" color2="#FFFFFF" focus="0%"/>
            <v:stroke weight="1.25pt" color="#739CC3" color2="#FFFFFF" miterlimit="2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numPr>
          <w:numId w:val="0"/>
        </w:numPr>
        <w:rPr>
          <w:rFonts w:ascii="文泉驿微米黑" w:hAnsi="文泉驿微米黑" w:eastAsia="文泉驿微米黑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line id="双箭头 20" o:spid="_x0000_s1037" style="position:absolute;left:0;margin-left:191.55pt;margin-top:19.5pt;height:25.5pt;width:0.05pt;rotation:0f;z-index:251671552;" o:ole="f" fillcolor="#FFFFFF" filled="f" o:preferrelative="t" stroked="t" coordsize="21600,21600">
            <v:fill on="f" color2="#FFFFFF" focus="0%"/>
            <v:stroke weight="1.25pt" color="#739CC3" color2="#FFFFFF" miterlimit="2" startarrow="block" endarrow="block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numPr>
          <w:numId w:val="0"/>
        </w:numPr>
        <w:rPr>
          <w:rFonts w:ascii="文泉驿微米黑" w:hAnsi="文泉驿微米黑" w:eastAsia="文泉驿微米黑"/>
        </w:rPr>
      </w:pP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文本框 16" o:spid="_x0000_s1038" type="#_x0000_t202" style="position:absolute;left:0;margin-left:145.05pt;margin-top:23.55pt;height:31.5pt;width:106.5pt;rotation:0f;z-index:2516674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r>
                    <w:t>后台管理模块</w: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rect id="矩形 15" o:spid="_x0000_s1039" style="position:absolute;left:0;margin-left:124.8pt;margin-top:15.3pt;height:55.5pt;width:146.25pt;rotation:0f;z-index:251666432;" o:ole="f" fillcolor="#9CBEE0" filled="t" o:preferrelative="t" stroked="t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rect>
        </w:pict>
      </w:r>
    </w:p>
    <w:p>
      <w:pPr>
        <w:numPr>
          <w:numId w:val="0"/>
        </w:numPr>
        <w:rPr>
          <w:rFonts w:ascii="文泉驿微米黑" w:hAnsi="文泉驿微米黑" w:eastAsia="文泉驿微米黑"/>
        </w:rPr>
      </w:pPr>
    </w:p>
    <w:p>
      <w:pPr>
        <w:numPr>
          <w:numId w:val="0"/>
        </w:numPr>
        <w:rPr>
          <w:rFonts w:ascii="文泉驿微米黑" w:hAnsi="文泉驿微米黑" w:eastAsia="文泉驿微米黑"/>
        </w:rPr>
      </w:pPr>
    </w:p>
    <w:p>
      <w:pPr>
        <w:numPr>
          <w:numId w:val="0"/>
        </w:numPr>
        <w:rPr>
          <w:rFonts w:ascii="文泉驿微米黑" w:hAnsi="文泉驿微米黑" w:eastAsia="文泉驿微米黑"/>
        </w:rPr>
      </w:pPr>
    </w:p>
    <w:p>
      <w:pPr>
        <w:pStyle w:val="3"/>
      </w:pPr>
      <w:r>
        <w:t>用例概述</w:t>
      </w:r>
    </w:p>
    <w:p>
      <w:pPr>
        <w:pStyle w:val="4"/>
        <w:rPr>
          <w:rFonts w:hint="default"/>
        </w:rPr>
      </w:pPr>
      <w:r>
        <w:rPr>
          <w:rFonts w:hint="default"/>
        </w:rPr>
        <w:t>普通用户</w:t>
      </w:r>
    </w:p>
    <w:p>
      <w:pPr>
        <w:numPr>
          <w:ilvl w:val="0"/>
          <w:numId w:val="2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填写表单注册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注册页面，由主页引入</w:t>
      </w:r>
    </w:p>
    <w:p>
      <w:pPr>
        <w:numPr>
          <w:ilvl w:val="0"/>
          <w:numId w:val="2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登陆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登陆模态对话框</w:t>
      </w:r>
      <w:r>
        <w:rPr>
          <w:rFonts w:hint="default" w:ascii="文泉驿微米黑" w:hAnsi="文泉驿微米黑" w:eastAsia="文泉驿微米黑" w:cs="文泉驿微米黑"/>
        </w:rPr>
        <w:t>（或页面）</w:t>
      </w:r>
    </w:p>
    <w:p>
      <w:pPr>
        <w:numPr>
          <w:ilvl w:val="0"/>
          <w:numId w:val="2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浏览首页展示的新闻标题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主页</w:t>
      </w:r>
    </w:p>
    <w:p>
      <w:pPr>
        <w:numPr>
          <w:ilvl w:val="0"/>
          <w:numId w:val="2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进入相应新闻页面，浏览，并发表回复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具体某一条的新闻页</w:t>
      </w:r>
    </w:p>
    <w:p>
      <w:pPr>
        <w:numPr>
          <w:ilvl w:val="0"/>
          <w:numId w:val="2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进入讨论区观看公告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讨论区主页</w:t>
      </w:r>
    </w:p>
    <w:p>
      <w:pPr>
        <w:numPr>
          <w:ilvl w:val="0"/>
          <w:numId w:val="2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进入讨论区发表主题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讨论区主页</w:t>
      </w:r>
    </w:p>
    <w:p>
      <w:pPr>
        <w:numPr>
          <w:ilvl w:val="0"/>
          <w:numId w:val="2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进入讨论区删除自己的主题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讨论区某一主题页</w:t>
      </w:r>
    </w:p>
    <w:p>
      <w:pPr>
        <w:numPr>
          <w:ilvl w:val="0"/>
          <w:numId w:val="2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进入讨论区回复主题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讨论区某一主题页</w:t>
      </w:r>
    </w:p>
    <w:p>
      <w:pPr>
        <w:numPr>
          <w:ilvl w:val="0"/>
          <w:numId w:val="2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进入讨论区删除自己的回复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讨论区某一主题页</w:t>
      </w:r>
    </w:p>
    <w:p>
      <w:pPr>
        <w:numPr>
          <w:ilvl w:val="0"/>
          <w:numId w:val="2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进入自己的个人主页浏览，并修改部分信息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个人主页</w:t>
      </w:r>
    </w:p>
    <w:p>
      <w:pPr>
        <w:numPr>
          <w:ilvl w:val="0"/>
          <w:numId w:val="2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进入别人的个人主页浏览，添加好友，发私信，关注，充值为会员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浏览：别人的个人主页，浏览别人的详细信息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添加好友：别人的个人主页，添加好友功能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私信：私信表单页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关注：对方粉丝数+1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会员：不做支付网关对接</w:t>
      </w:r>
      <w:r>
        <w:rPr>
          <w:rFonts w:hint="default" w:ascii="文泉驿微米黑" w:hAnsi="文泉驿微米黑" w:eastAsia="文泉驿微米黑" w:cs="文泉驿微米黑"/>
        </w:rPr>
        <w:t>，假的</w:t>
      </w:r>
    </w:p>
    <w:p>
      <w:pPr>
        <w:numPr>
          <w:ilvl w:val="0"/>
          <w:numId w:val="2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好友通讯录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展示好友列表，包括好友个人主页和私信表单页入口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包括搜索用户功能</w:t>
      </w:r>
    </w:p>
    <w:p>
      <w:pPr>
        <w:pStyle w:val="4"/>
        <w:rPr>
          <w:rFonts w:hint="default"/>
        </w:rPr>
      </w:pPr>
      <w:r>
        <w:rPr>
          <w:rFonts w:hint="default"/>
        </w:rPr>
        <w:t>管理员用户（管理员用户具有普通用户权限）</w:t>
      </w:r>
    </w:p>
    <w:p>
      <w:pPr>
        <w:numPr>
          <w:ilvl w:val="0"/>
          <w:numId w:val="3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查看用户列表</w:t>
      </w:r>
    </w:p>
    <w:p>
      <w:pPr>
        <w:numPr>
          <w:numId w:val="0"/>
        </w:numPr>
        <w:rPr>
          <w:rFonts w:hint="default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管理后台主页，分页展示</w:t>
      </w:r>
    </w:p>
    <w:p>
      <w:pPr>
        <w:numPr>
          <w:ilvl w:val="0"/>
          <w:numId w:val="3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查看用户详细信息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管理后台具体用户管理操作页</w:t>
      </w:r>
    </w:p>
    <w:p>
      <w:pPr>
        <w:numPr>
          <w:ilvl w:val="0"/>
          <w:numId w:val="3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封禁</w:t>
      </w:r>
      <w:r>
        <w:rPr>
          <w:rFonts w:hint="default" w:ascii="文泉驿微米黑" w:hAnsi="文泉驿微米黑" w:eastAsia="文泉驿微米黑" w:cs="文泉驿微米黑"/>
        </w:rPr>
        <w:t>/解除</w:t>
      </w:r>
      <w:bookmarkStart w:id="0" w:name="_GoBack"/>
      <w:bookmarkEnd w:id="0"/>
      <w:r>
        <w:rPr>
          <w:rFonts w:hint="default" w:ascii="文泉驿微米黑" w:hAnsi="文泉驿微米黑" w:eastAsia="文泉驿微米黑" w:cs="文泉驿微米黑"/>
        </w:rPr>
        <w:t>封禁</w:t>
      </w:r>
      <w:r>
        <w:rPr>
          <w:rFonts w:hint="default" w:ascii="文泉驿微米黑" w:hAnsi="文泉驿微米黑" w:eastAsia="文泉驿微米黑" w:cs="文泉驿微米黑"/>
        </w:rPr>
        <w:t>用户登陆功能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管理后台具体用户管理操作页</w:t>
      </w:r>
    </w:p>
    <w:p>
      <w:pPr>
        <w:numPr>
          <w:ilvl w:val="0"/>
          <w:numId w:val="3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发布讨论区公告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管理后台发布公告页</w:t>
      </w:r>
    </w:p>
    <w:p>
      <w:pPr>
        <w:numPr>
          <w:ilvl w:val="0"/>
          <w:numId w:val="3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查看讨论区全部主题，删除任意一个主题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讨论区某一主题页</w:t>
      </w:r>
    </w:p>
    <w:p>
      <w:pPr>
        <w:numPr>
          <w:ilvl w:val="0"/>
          <w:numId w:val="3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删除任意一个主题的回复</w:t>
      </w:r>
    </w:p>
    <w:p>
      <w:pPr>
        <w:numPr>
          <w:numId w:val="0"/>
        </w:numPr>
        <w:rPr>
          <w:rFonts w:hint="eastAsia" w:ascii="文泉驿微米黑" w:hAnsi="文泉驿微米黑" w:eastAsia="文泉驿微米黑" w:cs="文泉驿微米黑"/>
        </w:rPr>
      </w:pPr>
      <w:r>
        <w:rPr>
          <w:rFonts w:hint="default" w:ascii="文泉驿微米黑" w:hAnsi="文泉驿微米黑" w:eastAsia="文泉驿微米黑" w:cs="文泉驿微米黑"/>
        </w:rPr>
        <w:t>讨论区某一主题页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3167486">
    <w:nsid w:val="57CEC07E"/>
    <w:multiLevelType w:val="singleLevel"/>
    <w:tmpl w:val="57CEC07E"/>
    <w:lvl w:ilvl="0" w:tentative="1">
      <w:start w:val="1"/>
      <w:numFmt w:val="decimal"/>
      <w:suff w:val="nothing"/>
      <w:lvlText w:val="%1."/>
      <w:lvlJc w:val="left"/>
    </w:lvl>
  </w:abstractNum>
  <w:abstractNum w:abstractNumId="1473169570">
    <w:nsid w:val="57CEC8A2"/>
    <w:multiLevelType w:val="singleLevel"/>
    <w:tmpl w:val="57CEC8A2"/>
    <w:lvl w:ilvl="0" w:tentative="1">
      <w:start w:val="1"/>
      <w:numFmt w:val="decimal"/>
      <w:suff w:val="nothing"/>
      <w:lvlText w:val="%1."/>
      <w:lvlJc w:val="left"/>
    </w:lvl>
  </w:abstractNum>
  <w:abstractNum w:abstractNumId="1473169850">
    <w:nsid w:val="57CEC9BA"/>
    <w:multiLevelType w:val="singleLevel"/>
    <w:tmpl w:val="57CEC9B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73167486"/>
  </w:num>
  <w:num w:numId="2">
    <w:abstractNumId w:val="1473169570"/>
  </w:num>
  <w:num w:numId="3">
    <w:abstractNumId w:val="14731698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FF5315E"/>
    <w:rsid w:val="33E6567F"/>
    <w:rsid w:val="35FE9C2E"/>
    <w:rsid w:val="37CBF002"/>
    <w:rsid w:val="3A7BEA70"/>
    <w:rsid w:val="3B7E42A4"/>
    <w:rsid w:val="3C7B022C"/>
    <w:rsid w:val="3DF65A7B"/>
    <w:rsid w:val="5EB7D2D2"/>
    <w:rsid w:val="61BF7F90"/>
    <w:rsid w:val="66AB6E84"/>
    <w:rsid w:val="6BEAE6D2"/>
    <w:rsid w:val="6EF7E6A3"/>
    <w:rsid w:val="6F7E8CF7"/>
    <w:rsid w:val="6FDC4466"/>
    <w:rsid w:val="73BBE2C8"/>
    <w:rsid w:val="76FB8FEA"/>
    <w:rsid w:val="77E39FCE"/>
    <w:rsid w:val="77FC4161"/>
    <w:rsid w:val="7AD7F73A"/>
    <w:rsid w:val="7DEF8A44"/>
    <w:rsid w:val="7FBED479"/>
    <w:rsid w:val="7FDF4475"/>
    <w:rsid w:val="7FF5315E"/>
    <w:rsid w:val="7FF70180"/>
    <w:rsid w:val="BFEFEFFF"/>
    <w:rsid w:val="BFF3CBAC"/>
    <w:rsid w:val="C5FF9B63"/>
    <w:rsid w:val="CF7B6B72"/>
    <w:rsid w:val="DDEF89F5"/>
    <w:rsid w:val="DFEFBA4E"/>
    <w:rsid w:val="E3FC8CB5"/>
    <w:rsid w:val="F3FBE1D6"/>
    <w:rsid w:val="F7672658"/>
    <w:rsid w:val="F77B2A82"/>
    <w:rsid w:val="F7FA97E2"/>
    <w:rsid w:val="FD6DE7D7"/>
    <w:rsid w:val="FFFB269D"/>
    <w:rsid w:val="FFFB89D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nhideWhenUsed/>
    <w:uiPriority w:val="0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3985-01-08T05:01:00Z</dcterms:created>
  <dc:creator>gaoshuhang</dc:creator>
  <cp:lastModifiedBy>gaoshuhang</cp:lastModifiedBy>
  <dc:title>工大圈子项目 需求分析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