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 FAILURE MANAGEMENT PROTOCOL</w:t>
      </w:r>
    </w:p>
    <w:p>
      <w:r>
        <w:t>Document code: CF-CARD-HF-05. Version 2. Owner: Department of Cardiology.</w:t>
      </w:r>
    </w:p>
    <w:p>
      <w:r>
        <w:t>SYNTHETIC DEMONSTRATION DOCUMENT. Written for the CareFlow AI portfolio project; fictional protocol.</w:t>
      </w:r>
    </w:p>
    <w:p>
      <w:pPr>
        <w:pStyle w:val="Heading1"/>
      </w:pPr>
      <w:r>
        <w:t>1. Scope</w:t>
      </w:r>
    </w:p>
    <w:p>
      <w:r>
        <w:t>Adults admitted with acute decompensated heart failure (ADHF) or followed in the heart failure clinic.</w:t>
      </w:r>
    </w:p>
    <w:p>
      <w:pPr>
        <w:pStyle w:val="Heading1"/>
      </w:pPr>
      <w:r>
        <w:t>2. Assessment on Admission</w:t>
      </w:r>
    </w:p>
    <w:p>
      <w:r>
        <w:t>Measure B-type natriuretic peptide (BNP), renal function, electrolytes and a full blood count. Record weight on admission and daily at the same time each morning using the same scale.</w:t>
      </w:r>
    </w:p>
    <w:p>
      <w:pPr>
        <w:pStyle w:val="Heading1"/>
      </w:pPr>
      <w:r>
        <w:t>3. Decongestion</w:t>
      </w:r>
    </w:p>
    <w:p>
      <w:r>
        <w:t>Give intravenous furosemide at 1 to 2.5 times the patient's total daily oral dose. Monitor fluid balance, daily weight, potassium and creatinine daily during intravenous diuresis. Aim for a net negative fluid balance of 1 to 2 litres per day until euvolemic. Restrict fluid to 1.5 to 2 litres per day when there is hyponatremia or severe congestion.</w:t>
      </w:r>
    </w:p>
    <w:p>
      <w:pPr>
        <w:pStyle w:val="Heading1"/>
      </w:pPr>
      <w:r>
        <w:t>4. Guideline-Directed Medical Therapy</w:t>
      </w:r>
    </w:p>
    <w:p>
      <w:r>
        <w:t>For heart failure with reduced ejection fraction, the four foundational medicine groups are: an ACE inhibitor, angiotensin receptor blocker or ARNI; an evidence-based beta blocker such as metoprolol succinate; a mineralocorticoid receptor antagonist such as spironolactone; and an SGLT2 inhibitor. Continue these during admission when blood pressure and renal function allow, and do not stop the beta blocker unless there is cardiogenic shock.</w:t>
      </w:r>
    </w:p>
    <w:p>
      <w:pPr>
        <w:pStyle w:val="Heading1"/>
      </w:pPr>
      <w:r>
        <w:t>5. Potassium Monitoring</w:t>
      </w:r>
    </w:p>
    <w:p>
      <w:r>
        <w:t>When spironolactone is used with an ACE inhibitor or angiotensin receptor blocker, check potassium within 3 days of starting and at 1 week. Hold spironolactone if potassium exceeds 5.5 mmol/L.</w:t>
      </w:r>
    </w:p>
    <w:p>
      <w:pPr>
        <w:pStyle w:val="Heading1"/>
      </w:pPr>
      <w:r>
        <w:t>6. Discharge Criteria</w:t>
      </w:r>
    </w:p>
    <w:p>
      <w:r>
        <w:t>The patient is ready for discharge when euvolemic on oral diuretics for at least 24 hours, renal function is stable, and they have been educated on daily weights, fluid and salt restriction, and when to seek help (weight gain of more than 2 kg in 3 days).</w:t>
      </w:r>
    </w:p>
    <w:p>
      <w:pPr>
        <w:pStyle w:val="Heading1"/>
      </w:pPr>
      <w:r>
        <w:t>7. Follow-up</w:t>
      </w:r>
    </w:p>
    <w:p>
      <w:r>
        <w:t>Book a heart failure clinic or telephone follow-up within 7 days of discharge. Patients with heart failure are always considered high risk for readmission under the Discharge Planning Policy CF-POL-DC-07.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