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Capstone Checkpoint 5.1: Multi-Agent Architecture Design</w:t>
      </w:r>
    </w:p>
    <w:p>
      <w:r>
        <w:rPr>
          <w:b/>
          <w:color w:val="1F3864"/>
          <w:sz w:val="24"/>
        </w:rPr>
        <w:t>Omnichannel Retail Analytics Assistant</w:t>
      </w:r>
    </w:p>
    <w:p>
      <w:pPr>
        <w:spacing w:after="120"/>
        <w:jc w:val="both"/>
      </w:pPr>
      <w:r>
        <w:t>This checkpoint refines the agent concept into a deliberate multi-agent architecture for the Omnichannel Retail Analytics Assistant — a governed, read-only analytics assistant that investigates retail performance questions over a modern data platform. All data is fully synthetic with no PII; the system is read-only and produces human-reviewed recommendations only. The design below reflects the architecture already realized in the working prototype (LangGraph orchestration, a specialized analyst team, a critic/evaluator, and a synthesis stage).</w:t>
      </w:r>
    </w:p>
    <w:p>
      <w:pPr>
        <w:spacing w:before="160" w:after="40"/>
      </w:pPr>
      <w:r>
        <w:rPr>
          <w:b/>
          <w:color w:val="1F3864"/>
          <w:sz w:val="24"/>
        </w:rPr>
        <w:t>1. Problem and Why a Multi-Agent Approach</w:t>
      </w:r>
    </w:p>
    <w:p>
      <w:pPr>
        <w:spacing w:after="120"/>
        <w:jc w:val="both"/>
      </w:pPr>
      <w:r>
        <w:t>The assistant answers cross-domain performance questions — e.g., “why did digital conversion drop yesterday versus the prior 7-day average?” A correct answer may depend on campaign mix, inventory availability, fulfillment constraints, on-site funnel behavior, customer-service signals, finance reconciliation, and vendor/category effects, each governed by its own certified metric, tables, grain, and owner. A single agent would either overload one prompt/context with every domain’s rules (hurting reliability and traceability) or commit early to the first plausible cause. A multi-agent design is appropriate because the work is naturally specialized (each domain needs its own definitions and read pattern) and parallelizable (independent read-only queries). Specialized agents keep each investigation focused and auditable, and an orchestrator coordinates them so the final answer is evidence-backed and owner-routed rather than a single model’s opinion.</w:t>
      </w:r>
    </w:p>
    <w:p>
      <w:pPr>
        <w:spacing w:before="160" w:after="40"/>
      </w:pPr>
      <w:r>
        <w:rPr>
          <w:b/>
          <w:color w:val="1F3864"/>
          <w:sz w:val="24"/>
        </w:rPr>
        <w:t>2. Number of Agents and How It Was Determined</w:t>
      </w:r>
    </w:p>
    <w:p>
      <w:pPr>
        <w:spacing w:after="120"/>
        <w:jc w:val="both"/>
      </w:pPr>
      <w:r>
        <w:t>The system uses roughly twelve agents: one Orchestrator, two knowledge agents (Semantic retrieval and Graph reasoning), seven specialized domain analysts, one Critic/Evaluator, and one Synthesis/Executive-Summary agent. The count is driven by role separation rather than volume: there is exactly one domain analyst per governed business area (mirroring real organizational ownership), and one supporting agent per distinct capability (retrieval, graph traversal, evaluation, synthesis). Diminishing returns are controlled deliberately — the conditional Tree-of-Thought beam search keeps only the top two driver branches, and a fixed query budget (one baseline + up to three driver-path + one follow-up) bounds how many agents materially contribute. Adding more agents without a new governed domain would add coordination cost without new evidence, so the team size is capped at the governed domains.</w:t>
      </w:r>
    </w:p>
    <w:p>
      <w:pPr>
        <w:spacing w:before="160" w:after="40"/>
      </w:pPr>
      <w:r>
        <w:rPr>
          <w:b/>
          <w:color w:val="1F3864"/>
          <w:sz w:val="24"/>
        </w:rPr>
        <w:t>3. Agent Roles and Responsibilities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864"/>
          </w:tcPr>
          <w:p>
            <w:r/>
            <w:r>
              <w:rPr>
                <w:b/>
                <w:color w:val="FFFFFF"/>
                <w:sz w:val="19"/>
              </w:rPr>
              <w:t>Agent</w:t>
            </w:r>
          </w:p>
        </w:tc>
        <w:tc>
          <w:tcPr>
            <w:tcW w:type="dxa" w:w="2160"/>
            <w:shd w:fill="1F3864"/>
          </w:tcPr>
          <w:p>
            <w:r/>
            <w:r>
              <w:rPr>
                <w:b/>
                <w:color w:val="FFFFFF"/>
                <w:sz w:val="19"/>
              </w:rPr>
              <w:t>Type</w:t>
            </w:r>
          </w:p>
        </w:tc>
        <w:tc>
          <w:tcPr>
            <w:tcW w:type="dxa" w:w="2160"/>
            <w:shd w:fill="1F3864"/>
          </w:tcPr>
          <w:p>
            <w:r/>
            <w:r>
              <w:rPr>
                <w:b/>
                <w:color w:val="FFFFFF"/>
                <w:sz w:val="19"/>
              </w:rPr>
              <w:t>Responsibility</w:t>
            </w:r>
          </w:p>
        </w:tc>
        <w:tc>
          <w:tcPr>
            <w:tcW w:type="dxa" w:w="2160"/>
            <w:shd w:fill="1F3864"/>
          </w:tcPr>
          <w:p>
            <w:r/>
            <w:r>
              <w:rPr>
                <w:b/>
                <w:color w:val="FFFFFF"/>
                <w:sz w:val="19"/>
              </w:rPr>
              <w:t>Scoped tools</w:t>
            </w:r>
          </w:p>
        </w:tc>
      </w:tr>
      <w:tr>
        <w:tc>
          <w:tcPr>
            <w:tcW w:type="dxa" w:w="2160"/>
          </w:tcPr>
          <w:p>
            <w:r/>
            <w:r>
              <w:rPr>
                <w:sz w:val="19"/>
              </w:rPr>
              <w:t>Analytics Orchestrator</w:t>
            </w:r>
          </w:p>
        </w:tc>
        <w:tc>
          <w:tcPr>
            <w:tcW w:type="dxa" w:w="2160"/>
          </w:tcPr>
          <w:p>
            <w:r/>
            <w:r>
              <w:rPr>
                <w:sz w:val="19"/>
              </w:rPr>
              <w:t>Controller</w:t>
            </w:r>
          </w:p>
        </w:tc>
        <w:tc>
          <w:tcPr>
            <w:tcW w:type="dxa" w:w="2160"/>
          </w:tcPr>
          <w:p>
            <w:r/>
            <w:r>
              <w:rPr>
                <w:sz w:val="19"/>
              </w:rPr>
              <w:t>Classifies the question and routes it (investigation / direct analytics / themed review); manages state, query budget, stopping condition, and final synthesis.</w:t>
            </w:r>
          </w:p>
        </w:tc>
        <w:tc>
          <w:tcPr>
            <w:tcW w:type="dxa" w:w="2160"/>
          </w:tcPr>
          <w:p>
            <w:r/>
            <w:r>
              <w:rPr>
                <w:sz w:val="19"/>
              </w:rPr>
              <w:t>LangGraph state machine</w:t>
            </w:r>
          </w:p>
        </w:tc>
      </w:tr>
      <w:tr>
        <w:tc>
          <w:tcPr>
            <w:tcW w:type="dxa" w:w="2160"/>
          </w:tcPr>
          <w:p>
            <w:r/>
            <w:r>
              <w:rPr>
                <w:sz w:val="19"/>
              </w:rPr>
              <w:t>Semantic Agent</w:t>
            </w:r>
          </w:p>
        </w:tc>
        <w:tc>
          <w:tcPr>
            <w:tcW w:type="dxa" w:w="2160"/>
          </w:tcPr>
          <w:p>
            <w:r/>
            <w:r>
              <w:rPr>
                <w:sz w:val="19"/>
              </w:rPr>
              <w:t>Knowledge</w:t>
            </w:r>
          </w:p>
        </w:tc>
        <w:tc>
          <w:tcPr>
            <w:tcW w:type="dxa" w:w="2160"/>
          </w:tcPr>
          <w:p>
            <w:r/>
            <w:r>
              <w:rPr>
                <w:sz w:val="19"/>
              </w:rPr>
              <w:t>Retrieves certified definitions, caveats, SQL templates; validates retrieved context against the YAML catalog before it can influence SQL.</w:t>
            </w:r>
          </w:p>
        </w:tc>
        <w:tc>
          <w:tcPr>
            <w:tcW w:type="dxa" w:w="2160"/>
          </w:tcPr>
          <w:p>
            <w:r/>
            <w:r>
              <w:rPr>
                <w:sz w:val="19"/>
              </w:rPr>
              <w:t>ChromaDB + sentence-transformers, YAML</w:t>
            </w:r>
          </w:p>
        </w:tc>
      </w:tr>
      <w:tr>
        <w:tc>
          <w:tcPr>
            <w:tcW w:type="dxa" w:w="2160"/>
          </w:tcPr>
          <w:p>
            <w:r/>
            <w:r>
              <w:rPr>
                <w:sz w:val="19"/>
              </w:rPr>
              <w:t>Graph Reasoning Agent</w:t>
            </w:r>
          </w:p>
        </w:tc>
        <w:tc>
          <w:tcPr>
            <w:tcW w:type="dxa" w:w="2160"/>
          </w:tcPr>
          <w:p>
            <w:r/>
            <w:r>
              <w:rPr>
                <w:sz w:val="19"/>
              </w:rPr>
              <w:t>Knowledge</w:t>
            </w:r>
          </w:p>
        </w:tc>
        <w:tc>
          <w:tcPr>
            <w:tcW w:type="dxa" w:w="2160"/>
          </w:tcPr>
          <w:p>
            <w:r/>
            <w:r>
              <w:rPr>
                <w:sz w:val="19"/>
              </w:rPr>
              <w:t>Traverses metric → driver → table → owner relationships and supplies the approved evidence path and routing owner.</w:t>
            </w:r>
          </w:p>
        </w:tc>
        <w:tc>
          <w:tcPr>
            <w:tcW w:type="dxa" w:w="2160"/>
          </w:tcPr>
          <w:p>
            <w:r/>
            <w:r>
              <w:rPr>
                <w:sz w:val="19"/>
              </w:rPr>
              <w:t>NetworkX (generated from YAML)</w:t>
            </w:r>
          </w:p>
        </w:tc>
      </w:tr>
      <w:tr>
        <w:tc>
          <w:tcPr>
            <w:tcW w:type="dxa" w:w="2160"/>
          </w:tcPr>
          <w:p>
            <w:r/>
            <w:r>
              <w:rPr>
                <w:sz w:val="19"/>
              </w:rPr>
              <w:t>Domain analysts (×7)</w:t>
            </w:r>
          </w:p>
        </w:tc>
        <w:tc>
          <w:tcPr>
            <w:tcW w:type="dxa" w:w="2160"/>
          </w:tcPr>
          <w:p>
            <w:r/>
            <w:r>
              <w:rPr>
                <w:sz w:val="19"/>
              </w:rPr>
              <w:t>Specialist (parallel)</w:t>
            </w:r>
          </w:p>
        </w:tc>
        <w:tc>
          <w:tcPr>
            <w:tcW w:type="dxa" w:w="2160"/>
          </w:tcPr>
          <w:p>
            <w:r/>
            <w:r>
              <w:rPr>
                <w:sz w:val="19"/>
              </w:rPr>
              <w:t>Marketing, Merchandising, Fulfillment, Digital Analytics, Customer Service, Finance, Vendor/Category. Each runs one read-only query for its driver and returns a finding plus a signal magnitude.</w:t>
            </w:r>
          </w:p>
        </w:tc>
        <w:tc>
          <w:tcPr>
            <w:tcW w:type="dxa" w:w="2160"/>
          </w:tcPr>
          <w:p>
            <w:r/>
            <w:r>
              <w:rPr>
                <w:sz w:val="19"/>
              </w:rPr>
              <w:t>DuckDB (read-only SELECT), scoped tables</w:t>
            </w:r>
          </w:p>
        </w:tc>
      </w:tr>
      <w:tr>
        <w:tc>
          <w:tcPr>
            <w:tcW w:type="dxa" w:w="2160"/>
          </w:tcPr>
          <w:p>
            <w:r/>
            <w:r>
              <w:rPr>
                <w:sz w:val="19"/>
              </w:rPr>
              <w:t>Critic / Evaluator</w:t>
            </w:r>
          </w:p>
        </w:tc>
        <w:tc>
          <w:tcPr>
            <w:tcW w:type="dxa" w:w="2160"/>
          </w:tcPr>
          <w:p>
            <w:r/>
            <w:r>
              <w:rPr>
                <w:sz w:val="19"/>
              </w:rPr>
              <w:t>Evaluator</w:t>
            </w:r>
          </w:p>
        </w:tc>
        <w:tc>
          <w:tcPr>
            <w:tcW w:type="dxa" w:w="2160"/>
          </w:tcPr>
          <w:p>
            <w:r/>
            <w:r>
              <w:rPr>
                <w:sz w:val="19"/>
              </w:rPr>
              <w:t>Scores each branch on the 0–14 rubric (metric, graph, SQL safety, evidence strength, freshness, actionability, caveats), prunes weak paths, and selects the beam.</w:t>
            </w:r>
          </w:p>
        </w:tc>
        <w:tc>
          <w:tcPr>
            <w:tcW w:type="dxa" w:w="2160"/>
          </w:tcPr>
          <w:p>
            <w:r/>
            <w:r>
              <w:rPr>
                <w:sz w:val="19"/>
              </w:rPr>
              <w:t>Guardrails, NetworkX, DuckDB profiler, YAML</w:t>
            </w:r>
          </w:p>
        </w:tc>
      </w:tr>
      <w:tr>
        <w:tc>
          <w:tcPr>
            <w:tcW w:type="dxa" w:w="2160"/>
          </w:tcPr>
          <w:p>
            <w:r/>
            <w:r>
              <w:rPr>
                <w:sz w:val="19"/>
              </w:rPr>
              <w:t>Synthesis &amp; Executive Summary</w:t>
            </w:r>
          </w:p>
        </w:tc>
        <w:tc>
          <w:tcPr>
            <w:tcW w:type="dxa" w:w="2160"/>
          </w:tcPr>
          <w:p>
            <w:r/>
            <w:r>
              <w:rPr>
                <w:sz w:val="19"/>
              </w:rPr>
              <w:t>Writer</w:t>
            </w:r>
          </w:p>
        </w:tc>
        <w:tc>
          <w:tcPr>
            <w:tcW w:type="dxa" w:w="2160"/>
          </w:tcPr>
          <w:p>
            <w:r/>
            <w:r>
              <w:rPr>
                <w:sz w:val="19"/>
              </w:rPr>
              <w:t>Ranks supported drivers, composes the grounded answer with caveats/confidence, and produces owner-routed recommended actions.</w:t>
            </w:r>
          </w:p>
        </w:tc>
        <w:tc>
          <w:tcPr>
            <w:tcW w:type="dxa" w:w="2160"/>
          </w:tcPr>
          <w:p>
            <w:r/>
            <w:r>
              <w:rPr>
                <w:sz w:val="19"/>
              </w:rPr>
              <w:t>Result summaries, Ollama (optional)</w:t>
            </w:r>
          </w:p>
        </w:tc>
      </w:tr>
    </w:tbl>
    <w:p>
      <w:pPr>
        <w:spacing w:after="40"/>
      </w:pPr>
    </w:p>
    <w:p>
      <w:pPr>
        <w:spacing w:before="160" w:after="40"/>
      </w:pPr>
      <w:r>
        <w:rPr>
          <w:b/>
          <w:color w:val="1F3864"/>
          <w:sz w:val="24"/>
        </w:rPr>
        <w:t>4. Coordination Strategy</w:t>
      </w:r>
    </w:p>
    <w:p>
      <w:pPr>
        <w:spacing w:after="120"/>
        <w:jc w:val="both"/>
      </w:pPr>
      <w:r>
        <w:t>Coordination is graph-based, implemented as a LangGraph state machine, which fits a problem with branching and dependencies better than a fixed assembly line. The Orchestrator first runs a conditional router: simple lookups and themed reviews take short, mostly sequential paths, while a cross-domain investigation activates the full graph. Within an investigation the shape is hybrid: governed stages run sequentially (sync gate → retrieve → validate → relate → baseline), then the Orchestrator fans out to the domain analysts in parallel, fans in to the Critic for scoring and beam selection, and finishes with synthesis. The Tree-of-Thought beam search (width 2, depth 2) is the deliberate branch-and-prune layer, activated only when multiple driver paths compete.</w:t>
      </w:r>
    </w:p>
    <w:p>
      <w:pPr>
        <w:spacing w:before="160" w:after="40"/>
      </w:pPr>
      <w:r>
        <w:rPr>
          <w:b/>
          <w:color w:val="1F3864"/>
          <w:sz w:val="24"/>
        </w:rPr>
        <w:t>5. Communication and Information Exchange</w:t>
      </w:r>
    </w:p>
    <w:p>
      <w:pPr>
        <w:spacing w:after="120"/>
        <w:jc w:val="both"/>
      </w:pPr>
      <w:r>
        <w:t>Agents communicate through a shared, typed workflow state rather than free-form chatter, which keeps the exchange auditable. The Orchestrator dispatches scoped, one-way instructions to each domain analyst (efficient, isolated, read-only). Analysts return structured findings; the Critic provides two-way evaluative feedback to the Tree-of-Thought controller (scores and prune/keep decisions feed back into branch selection), which is the validation loop. Conflicts are resolved by deterministic source-priority rules — the YAML catalog wins on definitions and DuckDB evidence controls whether a hypothesis becomes a finding — so no agent’s opinion can override governance. Every message and decision is written to an append-only audit log for traceability.</w:t>
      </w:r>
    </w:p>
    <w:p>
      <w:pPr>
        <w:spacing w:before="160" w:after="40"/>
      </w:pPr>
      <w:r>
        <w:rPr>
          <w:b/>
          <w:color w:val="1F3864"/>
          <w:sz w:val="24"/>
        </w:rPr>
        <w:t>6. Trade-offs: Reliability, Complexity, and Coordination Overhead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864"/>
          </w:tcPr>
          <w:p>
            <w:r/>
            <w:r>
              <w:rPr>
                <w:b/>
                <w:color w:val="FFFFFF"/>
                <w:sz w:val="19"/>
              </w:rPr>
              <w:t>Design decision</w:t>
            </w:r>
          </w:p>
        </w:tc>
        <w:tc>
          <w:tcPr>
            <w:tcW w:type="dxa" w:w="2160"/>
            <w:shd w:fill="1F3864"/>
          </w:tcPr>
          <w:p>
            <w:r/>
            <w:r>
              <w:rPr>
                <w:b/>
                <w:color w:val="FFFFFF"/>
                <w:sz w:val="19"/>
              </w:rPr>
              <w:t>Benefit</w:t>
            </w:r>
          </w:p>
        </w:tc>
        <w:tc>
          <w:tcPr>
            <w:tcW w:type="dxa" w:w="2160"/>
            <w:shd w:fill="1F3864"/>
          </w:tcPr>
          <w:p>
            <w:r/>
            <w:r>
              <w:rPr>
                <w:b/>
                <w:color w:val="FFFFFF"/>
                <w:sz w:val="19"/>
              </w:rPr>
              <w:t>Cost / risk</w:t>
            </w:r>
          </w:p>
        </w:tc>
        <w:tc>
          <w:tcPr>
            <w:tcW w:type="dxa" w:w="2160"/>
            <w:shd w:fill="1F3864"/>
          </w:tcPr>
          <w:p>
            <w:r/>
            <w:r>
              <w:rPr>
                <w:b/>
                <w:color w:val="FFFFFF"/>
                <w:sz w:val="19"/>
              </w:rPr>
              <w:t>Mitigation</w:t>
            </w:r>
          </w:p>
        </w:tc>
      </w:tr>
      <w:tr>
        <w:tc>
          <w:tcPr>
            <w:tcW w:type="dxa" w:w="2160"/>
          </w:tcPr>
          <w:p>
            <w:r/>
            <w:r>
              <w:rPr>
                <w:sz w:val="19"/>
              </w:rPr>
              <w:t>Specialized parallel analysts</w:t>
            </w:r>
          </w:p>
        </w:tc>
        <w:tc>
          <w:tcPr>
            <w:tcW w:type="dxa" w:w="2160"/>
          </w:tcPr>
          <w:p>
            <w:r/>
            <w:r>
              <w:rPr>
                <w:sz w:val="19"/>
              </w:rPr>
              <w:t>Focus, auditability, lower latency</w:t>
            </w:r>
          </w:p>
        </w:tc>
        <w:tc>
          <w:tcPr>
            <w:tcW w:type="dxa" w:w="2160"/>
          </w:tcPr>
          <w:p>
            <w:r/>
            <w:r>
              <w:rPr>
                <w:sz w:val="19"/>
              </w:rPr>
              <w:t>Coordination overhead; new failure modes</w:t>
            </w:r>
          </w:p>
        </w:tc>
        <w:tc>
          <w:tcPr>
            <w:tcW w:type="dxa" w:w="2160"/>
          </w:tcPr>
          <w:p>
            <w:r/>
            <w:r>
              <w:rPr>
                <w:sz w:val="19"/>
              </w:rPr>
              <w:t>Bounded thread pool, per-agent timeout, one read-only query each; isolated failures degrade to an excluded result</w:t>
            </w:r>
          </w:p>
        </w:tc>
      </w:tr>
      <w:tr>
        <w:tc>
          <w:tcPr>
            <w:tcW w:type="dxa" w:w="2160"/>
          </w:tcPr>
          <w:p>
            <w:r/>
            <w:r>
              <w:rPr>
                <w:sz w:val="19"/>
              </w:rPr>
              <w:t>Critic feedback loop (ToT)</w:t>
            </w:r>
          </w:p>
        </w:tc>
        <w:tc>
          <w:tcPr>
            <w:tcW w:type="dxa" w:w="2160"/>
          </w:tcPr>
          <w:p>
            <w:r/>
            <w:r>
              <w:rPr>
                <w:sz w:val="19"/>
              </w:rPr>
              <w:t>Higher reliability; avoids early commitment</w:t>
            </w:r>
          </w:p>
        </w:tc>
        <w:tc>
          <w:tcPr>
            <w:tcW w:type="dxa" w:w="2160"/>
          </w:tcPr>
          <w:p>
            <w:r/>
            <w:r>
              <w:rPr>
                <w:sz w:val="19"/>
              </w:rPr>
              <w:t>Extra step and latency</w:t>
            </w:r>
          </w:p>
        </w:tc>
        <w:tc>
          <w:tcPr>
            <w:tcW w:type="dxa" w:w="2160"/>
          </w:tcPr>
          <w:p>
            <w:r/>
            <w:r>
              <w:rPr>
                <w:sz w:val="19"/>
              </w:rPr>
              <w:t>Beam width 2, depth 2, fixed query budget keep it bounded; ToT only fires for competing drivers</w:t>
            </w:r>
          </w:p>
        </w:tc>
      </w:tr>
      <w:tr>
        <w:tc>
          <w:tcPr>
            <w:tcW w:type="dxa" w:w="2160"/>
          </w:tcPr>
          <w:p>
            <w:r/>
            <w:r>
              <w:rPr>
                <w:sz w:val="19"/>
              </w:rPr>
              <w:t>Shared governed state + source priority</w:t>
            </w:r>
          </w:p>
        </w:tc>
        <w:tc>
          <w:tcPr>
            <w:tcW w:type="dxa" w:w="2160"/>
          </w:tcPr>
          <w:p>
            <w:r/>
            <w:r>
              <w:rPr>
                <w:sz w:val="19"/>
              </w:rPr>
              <w:t>Consistent, conflict-free decisions</w:t>
            </w:r>
          </w:p>
        </w:tc>
        <w:tc>
          <w:tcPr>
            <w:tcW w:type="dxa" w:w="2160"/>
          </w:tcPr>
          <w:p>
            <w:r/>
            <w:r>
              <w:rPr>
                <w:sz w:val="19"/>
              </w:rPr>
              <w:t>Up-front governance/complexity</w:t>
            </w:r>
          </w:p>
        </w:tc>
        <w:tc>
          <w:tcPr>
            <w:tcW w:type="dxa" w:w="2160"/>
          </w:tcPr>
          <w:p>
            <w:r/>
            <w:r>
              <w:rPr>
                <w:sz w:val="19"/>
              </w:rPr>
              <w:t>Single YAML source of truth; one shared agent contract keeps behavior uniform</w:t>
            </w:r>
          </w:p>
        </w:tc>
      </w:tr>
      <w:tr>
        <w:tc>
          <w:tcPr>
            <w:tcW w:type="dxa" w:w="2160"/>
          </w:tcPr>
          <w:p>
            <w:r/>
            <w:r>
              <w:rPr>
                <w:sz w:val="19"/>
              </w:rPr>
              <w:t>Parallelism</w:t>
            </w:r>
          </w:p>
        </w:tc>
        <w:tc>
          <w:tcPr>
            <w:tcW w:type="dxa" w:w="2160"/>
          </w:tcPr>
          <w:p>
            <w:r/>
            <w:r>
              <w:rPr>
                <w:sz w:val="19"/>
              </w:rPr>
              <w:t>Speed</w:t>
            </w:r>
          </w:p>
        </w:tc>
        <w:tc>
          <w:tcPr>
            <w:tcW w:type="dxa" w:w="2160"/>
          </w:tcPr>
          <w:p>
            <w:r/>
            <w:r>
              <w:rPr>
                <w:sz w:val="19"/>
              </w:rPr>
              <w:t>Non-deterministic completion order</w:t>
            </w:r>
          </w:p>
        </w:tc>
        <w:tc>
          <w:tcPr>
            <w:tcW w:type="dxa" w:w="2160"/>
          </w:tcPr>
          <w:p>
            <w:r/>
            <w:r>
              <w:rPr>
                <w:sz w:val="19"/>
              </w:rPr>
              <w:t>Critic re-sorts deterministically (score, then evidence strength)</w:t>
            </w:r>
          </w:p>
        </w:tc>
      </w:tr>
    </w:tbl>
    <w:p>
      <w:pPr>
        <w:spacing w:after="40"/>
      </w:pPr>
    </w:p>
    <w:p>
      <w:pPr>
        <w:spacing w:before="160" w:after="40"/>
      </w:pPr>
      <w:r>
        <w:rPr>
          <w:b/>
          <w:color w:val="1F3864"/>
          <w:sz w:val="24"/>
        </w:rPr>
        <w:t>7. How the Architecture Supports Effective, Scalable Problem Solving</w:t>
      </w:r>
    </w:p>
    <w:p>
      <w:pPr>
        <w:spacing w:after="120"/>
        <w:jc w:val="both"/>
      </w:pPr>
      <w:r>
        <w:t>The design scales by addition, not rewrite. A new business area is onboarded by adding one governed driver to the YAML catalog and one domain analyst that follows the shared contract — the Orchestrator, Critic, and Synthesis stages are unchanged. The conditional router lets the same team serve three question families (root-cause investigations, direct analytics lookups, and themed reviews) without bespoke flows. Bounded beam width and query budget keep latency and compute stable as domains grow, and read-only governance keeps the system safe to extend. The result is effective problem solving (evidence-backed, owner-routed, guarded answers) that scales cleanly with the organization’s domains.</w:t>
      </w:r>
    </w:p>
    <w:p>
      <w:pPr>
        <w:spacing w:before="160" w:after="40"/>
      </w:pPr>
      <w:r>
        <w:rPr>
          <w:b/>
          <w:color w:val="1F3864"/>
          <w:sz w:val="24"/>
        </w:rPr>
        <w:t>8. Response to Checkpoint 4.1 Instructor Feedback</w:t>
      </w:r>
    </w:p>
    <w:p>
      <w:pPr>
        <w:spacing w:after="120"/>
        <w:jc w:val="both"/>
      </w:pPr>
      <w:r>
        <w:t>Feedback on Checkpoint 4.1 noted that the scoring rubric was well specified, but observed that DuckDB evidence strength (0–3) carries the most weight and could effectively override the other checks even when they signal problems. The architecture addresses this with a structural gate in the Critic: evidence strength only counts when the governance checks (metric validated + approved graph path + SQL safety, max 6) clear a minimum bar. If a branch fails those structural checks, its evidence contribution is forced to zero, so strong evidence cannot lift a branch that fails governance to “likely driver.” Combined with the existing rule that unsafe SQL never executes (yielding no evidence at all), this makes the governance checks effective gates rather than out-votable points, and the gate is surfaced in the trace for transparency. This also reflects the 3.1 feedback already incorporated: catalog versioning with content hashes prevents stale ChromaDB chunks or graph paths from being used.</w:t>
      </w:r>
    </w:p>
    <w:p>
      <w:r>
        <w:rPr>
          <w:i/>
          <w:color w:val="555555"/>
          <w:sz w:val="18"/>
        </w:rPr>
        <w:t>Figure 1. Multi-agent coordination: the Orchestrator (LangGraph) routes the question, dispatches the specialized domain analysts in parallel, and fans in to the Critic, which scores and prunes branches and returns feedback to the Tree-of-Thought controller before the Synthesis agent composes the evidence-backed, owner-routed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