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251052" w:rsidP="0051118F">
      <w:pPr>
        <w:pStyle w:val="ByLine"/>
        <w:spacing w:before="120" w:after="0"/>
      </w:pPr>
      <w:r>
        <w:t>Version 2.2</w:t>
      </w:r>
      <w:bookmarkStart w:id="0" w:name="_GoBack"/>
      <w:bookmarkEnd w:id="0"/>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27172C" w:rsidRPr="0027172C">
        <w:rPr>
          <w:rFonts w:ascii="Arial" w:hAnsi="Arial" w:cs="Arial"/>
        </w:rPr>
        <w:fldChar w:fldCharType="begin"/>
      </w:r>
      <w:r w:rsidRPr="00CA4172">
        <w:rPr>
          <w:rFonts w:ascii="Arial" w:hAnsi="Arial" w:cs="Arial"/>
        </w:rPr>
        <w:instrText xml:space="preserve"> TOC \o "1-2" \t "TOCentry,1" </w:instrText>
      </w:r>
      <w:r w:rsidR="0027172C" w:rsidRPr="0027172C">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_Toc113291686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iii</w:t>
      </w:r>
      <w:r w:rsidR="0027172C"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_Toc113291689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1</w:t>
      </w:r>
      <w:r w:rsidR="0027172C"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_Toc113291690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1</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_Toc113291691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1</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_Toc113291692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1</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_Toc113291693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1</w:t>
      </w:r>
      <w:r w:rsidR="0027172C"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27172C"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2</w:t>
      </w:r>
      <w:r w:rsidR="0027172C"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_Toc113291695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2</w:t>
      </w:r>
      <w:r w:rsidR="0027172C"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_Toc113291697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2</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_Toc113291698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2</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_Toc113291699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3</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_Toc113291700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3</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_Toc113291701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3</w:t>
      </w:r>
      <w:r w:rsidR="0027172C"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_Toc113291702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4</w:t>
      </w:r>
      <w:r w:rsidR="0027172C"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27172C" w:rsidRPr="00CA4172">
        <w:rPr>
          <w:rFonts w:ascii="Arial" w:hAnsi="Arial" w:cs="Arial"/>
          <w:noProof/>
        </w:rPr>
        <w:fldChar w:fldCharType="begin"/>
      </w:r>
      <w:r w:rsidRPr="00CA4172">
        <w:rPr>
          <w:rFonts w:ascii="Arial" w:hAnsi="Arial" w:cs="Arial"/>
          <w:noProof/>
        </w:rPr>
        <w:instrText xml:space="preserve"> PAGEREF _Toc113291711 \h </w:instrText>
      </w:r>
      <w:r w:rsidR="0027172C" w:rsidRPr="00CA4172">
        <w:rPr>
          <w:rFonts w:ascii="Arial" w:hAnsi="Arial" w:cs="Arial"/>
          <w:noProof/>
        </w:rPr>
      </w:r>
      <w:r w:rsidR="0027172C" w:rsidRPr="00CA4172">
        <w:rPr>
          <w:rFonts w:ascii="Arial" w:hAnsi="Arial" w:cs="Arial"/>
          <w:noProof/>
        </w:rPr>
        <w:fldChar w:fldCharType="separate"/>
      </w:r>
      <w:r w:rsidR="0009643E">
        <w:rPr>
          <w:rFonts w:ascii="Arial" w:hAnsi="Arial" w:cs="Arial"/>
          <w:noProof/>
        </w:rPr>
        <w:t>8</w:t>
      </w:r>
      <w:r w:rsidR="0027172C"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27172C" w:rsidRPr="00CA4172">
        <w:rPr>
          <w:rFonts w:ascii="Arial" w:hAnsi="Arial" w:cs="Arial"/>
        </w:rPr>
        <w:fldChar w:fldCharType="end"/>
      </w:r>
      <w:r w:rsidR="00E101B9">
        <w:rPr>
          <w:rFonts w:ascii="Arial" w:hAnsi="Arial" w:cs="Arial"/>
        </w:rPr>
        <w:t>1</w:t>
      </w:r>
      <w:r w:rsidR="00B344CE">
        <w:rPr>
          <w:rFonts w:ascii="Arial" w:hAnsi="Arial" w:cs="Arial"/>
        </w:rPr>
        <w:t>2</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4D3FC8">
        <w:rPr>
          <w:rFonts w:ascii="Arial" w:hAnsi="Arial" w:cs="Arial"/>
          <w:noProof/>
        </w:rPr>
        <w:t>18</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A</w:t>
      </w:r>
      <w:r w:rsidR="004D3FC8">
        <w:rPr>
          <w:i w:val="0"/>
        </w:rPr>
        <w:t xml:space="preserve"> figure 7</w:t>
      </w:r>
      <w:r w:rsidR="00FE2825">
        <w:rPr>
          <w:i w:val="0"/>
        </w:rPr>
        <w:t>.</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lastRenderedPageBreak/>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The final exam times will be first selected and then swapped. The final exam times to swap will be highlighted.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lastRenderedPageBreak/>
        <w:t xml:space="preserve">        </w:t>
      </w:r>
      <w:r w:rsidR="00713D51" w:rsidRPr="00364F28">
        <w:rPr>
          <w:rFonts w:ascii="Arial" w:hAnsi="Arial" w:cs="Arial"/>
          <w:sz w:val="22"/>
          <w:szCs w:val="22"/>
        </w:rPr>
        <w:t>The General User will be able to print the generated schedule in portrait</w:t>
      </w:r>
      <w:r w:rsidR="00FE2825">
        <w:rPr>
          <w:rFonts w:ascii="Arial" w:hAnsi="Arial" w:cs="Arial"/>
          <w:sz w:val="22"/>
          <w:szCs w:val="22"/>
        </w:rPr>
        <w:t xml:space="preserve"> or landscape</w:t>
      </w:r>
      <w:r w:rsidR="00713D51"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85055E" w:rsidRDefault="0085055E" w:rsidP="0085055E">
      <w:pPr>
        <w:rPr>
          <w:rFonts w:ascii="Arial" w:hAnsi="Arial" w:cs="Arial"/>
          <w:sz w:val="22"/>
          <w:szCs w:val="22"/>
        </w:rPr>
      </w:pPr>
    </w:p>
    <w:p w:rsidR="0085055E" w:rsidRDefault="0085055E" w:rsidP="0085055E">
      <w:pPr>
        <w:rPr>
          <w:rFonts w:ascii="Arial" w:hAnsi="Arial" w:cs="Arial"/>
          <w:b/>
          <w:sz w:val="22"/>
          <w:szCs w:val="22"/>
        </w:rPr>
      </w:pPr>
      <w:r w:rsidRPr="0085055E">
        <w:rPr>
          <w:rFonts w:ascii="Arial" w:hAnsi="Arial" w:cs="Arial"/>
          <w:b/>
          <w:sz w:val="22"/>
          <w:szCs w:val="22"/>
        </w:rPr>
        <w:t>3.2.10</w:t>
      </w:r>
      <w:r w:rsidR="002320E4">
        <w:rPr>
          <w:rFonts w:ascii="Arial" w:hAnsi="Arial" w:cs="Arial"/>
          <w:b/>
          <w:sz w:val="22"/>
          <w:szCs w:val="22"/>
        </w:rPr>
        <w:t xml:space="preserve"> </w:t>
      </w:r>
      <w:r w:rsidRPr="0085055E">
        <w:rPr>
          <w:rFonts w:ascii="Arial" w:hAnsi="Arial" w:cs="Arial"/>
          <w:b/>
          <w:sz w:val="22"/>
          <w:szCs w:val="22"/>
        </w:rPr>
        <w:t xml:space="preserve">Manual </w:t>
      </w:r>
      <w:r w:rsidR="002320E4">
        <w:rPr>
          <w:rFonts w:ascii="Arial" w:hAnsi="Arial" w:cs="Arial"/>
          <w:b/>
          <w:sz w:val="22"/>
          <w:szCs w:val="22"/>
        </w:rPr>
        <w:t>Data I</w:t>
      </w:r>
      <w:r w:rsidRPr="0085055E">
        <w:rPr>
          <w:rFonts w:ascii="Arial" w:hAnsi="Arial" w:cs="Arial"/>
          <w:b/>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lastRenderedPageBreak/>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lastRenderedPageBreak/>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lastRenderedPageBreak/>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w:t>
      </w:r>
      <w:r w:rsidR="00647A75">
        <w:rPr>
          <w:i w:val="0"/>
        </w:rPr>
        <w:t xml:space="preserve"> and digital</w:t>
      </w:r>
      <w:r w:rsidR="004F3935">
        <w:rPr>
          <w:i w:val="0"/>
        </w:rPr>
        <w:t xml:space="preserve"> u</w:t>
      </w:r>
      <w:r w:rsidR="00647A75">
        <w:rPr>
          <w:i w:val="0"/>
        </w:rPr>
        <w:t>ser manual</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r w:rsidR="00647A75">
        <w:rPr>
          <w:i w:val="0"/>
        </w:rPr>
        <w:t xml:space="preserve"> versions</w:t>
      </w:r>
    </w:p>
    <w:p w:rsidR="00FE2825" w:rsidRDefault="00FE2825" w:rsidP="005C1583">
      <w:pPr>
        <w:pStyle w:val="template"/>
        <w:tabs>
          <w:tab w:val="left" w:pos="450"/>
        </w:tabs>
        <w:rPr>
          <w:i w:val="0"/>
        </w:rPr>
      </w:pPr>
      <w:r>
        <w:rPr>
          <w:i w:val="0"/>
        </w:rPr>
        <w:tab/>
        <w:t>(10) Team meeting minuets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647A75" w:rsidRDefault="00647A75" w:rsidP="005C1583">
      <w:pPr>
        <w:pStyle w:val="template"/>
        <w:tabs>
          <w:tab w:val="left" w:pos="450"/>
        </w:tabs>
        <w:rPr>
          <w:i w:val="0"/>
        </w:rPr>
      </w:pPr>
      <w:r>
        <w:rPr>
          <w:i w:val="0"/>
        </w:rPr>
        <w:tab/>
        <w:t>(13)Test files</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Default="00CA4172" w:rsidP="00467F0D">
      <w:pPr>
        <w:suppressLineNumbers/>
        <w:ind w:left="432"/>
        <w:rPr>
          <w:rFonts w:ascii="Arial" w:hAnsi="Arial" w:cs="Arial"/>
        </w:rPr>
      </w:pPr>
      <w:bookmarkStart w:id="49" w:name="_Toc439994698"/>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Default="00B01112" w:rsidP="00467F0D">
      <w:pPr>
        <w:suppressLineNumbers/>
        <w:ind w:left="432"/>
        <w:rPr>
          <w:rFonts w:ascii="Arial" w:hAnsi="Arial" w:cs="Arial"/>
        </w:rPr>
      </w:pPr>
    </w:p>
    <w:p w:rsidR="00B01112" w:rsidRPr="00CA4172" w:rsidRDefault="00B01112" w:rsidP="00467F0D">
      <w:pPr>
        <w:suppressLineNumbers/>
        <w:ind w:left="432"/>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514E27" w:rsidRPr="002B6F74" w:rsidRDefault="00E31F9B" w:rsidP="002B6F74">
      <w:pPr>
        <w:pStyle w:val="Caption"/>
        <w:keepNext/>
        <w:jc w:val="center"/>
        <w:rPr>
          <w:b w:val="0"/>
          <w:bCs w:val="0"/>
          <w:color w:val="auto"/>
          <w:sz w:val="24"/>
          <w:szCs w:val="24"/>
        </w:rPr>
      </w:pPr>
      <w:r w:rsidRPr="0027172C">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530pt">
            <v:imagedata r:id="rId14" o:title="SampleOutputFile"/>
            <v:shadow on="t" offset=".99781mm,.99781mm"/>
          </v:shape>
        </w:pict>
      </w:r>
      <w:r w:rsidR="00514E27">
        <w:br w:type="page"/>
      </w:r>
    </w:p>
    <w:p w:rsidR="00514E27" w:rsidRPr="00514E27" w:rsidRDefault="00514E27" w:rsidP="009A7A0D">
      <w:pPr>
        <w:pStyle w:val="Caption"/>
        <w:keepNext/>
        <w:ind w:left="1440" w:firstLine="720"/>
        <w:rPr>
          <w:rFonts w:ascii="Arial" w:hAnsi="Arial" w:cs="Arial"/>
          <w:sz w:val="22"/>
          <w:szCs w:val="22"/>
        </w:rPr>
      </w:pPr>
      <w:r w:rsidRPr="00514E27">
        <w:rPr>
          <w:rFonts w:ascii="Arial" w:hAnsi="Arial" w:cs="Arial"/>
          <w:sz w:val="22"/>
          <w:szCs w:val="22"/>
        </w:rPr>
        <w:lastRenderedPageBreak/>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Pr="00E31F9B" w:rsidRDefault="00E31F9B" w:rsidP="00C86DE7">
      <w:pPr>
        <w:suppressLineNumbers/>
        <w:spacing w:line="240" w:lineRule="auto"/>
        <w:jc w:val="center"/>
        <w:rPr>
          <w:rFonts w:ascii="Arial" w:hAnsi="Arial" w:cs="Arial"/>
          <w:noProof/>
          <w:sz w:val="22"/>
          <w:lang w:val="en-US" w:bidi="ar-SA"/>
        </w:rPr>
      </w:pP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Pr="00E31F9B" w:rsidRDefault="00E31F9B" w:rsidP="00E31F9B">
      <w:pPr>
        <w:pStyle w:val="Caption"/>
        <w:keepNext/>
        <w:ind w:left="2160" w:firstLine="720"/>
        <w:rPr>
          <w:rFonts w:ascii="Arial" w:hAnsi="Arial" w:cs="Arial"/>
          <w:sz w:val="22"/>
          <w:szCs w:val="22"/>
        </w:rPr>
      </w:pPr>
      <w:r w:rsidRPr="00514E27">
        <w:rPr>
          <w:rFonts w:ascii="Arial" w:hAnsi="Arial" w:cs="Arial"/>
          <w:sz w:val="22"/>
          <w:szCs w:val="22"/>
        </w:rPr>
        <w:lastRenderedPageBreak/>
        <w:t xml:space="preserve">Figure </w:t>
      </w:r>
      <w:r>
        <w:rPr>
          <w:rFonts w:ascii="Arial" w:hAnsi="Arial" w:cs="Arial"/>
          <w:sz w:val="22"/>
          <w:szCs w:val="22"/>
        </w:rPr>
        <w:t>7 – Manual Data Input</w:t>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r>
        <w:rPr>
          <w:rFonts w:ascii="Arial" w:hAnsi="Arial" w:cs="Arial"/>
          <w:i/>
          <w:noProof/>
          <w:sz w:val="22"/>
          <w:lang w:val="en-US" w:bidi="ar-SA"/>
        </w:rPr>
        <w:drawing>
          <wp:inline distT="0" distB="0" distL="0" distR="0">
            <wp:extent cx="6126480" cy="4826303"/>
            <wp:effectExtent l="19050" t="0" r="7620" b="0"/>
            <wp:docPr id="6" name="Picture 2" descr="C:\Users\Scott\Documents\GitHub\tune_squad\Documents\DesignDocuments\Mockups\Sceenshots\Time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GitHub\tune_squad\Documents\DesignDocuments\Mockups\Sceenshots\TimeConstraints.png"/>
                    <pic:cNvPicPr>
                      <a:picLocks noChangeAspect="1" noChangeArrowheads="1"/>
                    </pic:cNvPicPr>
                  </pic:nvPicPr>
                  <pic:blipFill>
                    <a:blip r:embed="rId17"/>
                    <a:srcRect/>
                    <a:stretch>
                      <a:fillRect/>
                    </a:stretch>
                  </pic:blipFill>
                  <pic:spPr bwMode="auto">
                    <a:xfrm>
                      <a:off x="0" y="0"/>
                      <a:ext cx="6126480" cy="4826303"/>
                    </a:xfrm>
                    <a:prstGeom prst="rect">
                      <a:avLst/>
                    </a:prstGeom>
                    <a:noFill/>
                    <a:ln w="9525">
                      <a:noFill/>
                      <a:miter lim="800000"/>
                      <a:headEnd/>
                      <a:tailEnd/>
                    </a:ln>
                  </pic:spPr>
                </pic:pic>
              </a:graphicData>
            </a:graphic>
          </wp:inline>
        </w:drawing>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F40" w:rsidRDefault="00EE7F40">
      <w:r>
        <w:separator/>
      </w:r>
    </w:p>
  </w:endnote>
  <w:endnote w:type="continuationSeparator" w:id="0">
    <w:p w:rsidR="00EE7F40" w:rsidRDefault="00EE7F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F40" w:rsidRDefault="00EE7F40">
      <w:r>
        <w:separator/>
      </w:r>
    </w:p>
  </w:footnote>
  <w:footnote w:type="continuationSeparator" w:id="0">
    <w:p w:rsidR="00EE7F40" w:rsidRDefault="00EE7F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r w:rsidR="0027172C">
      <w:fldChar w:fldCharType="begin"/>
    </w:r>
    <w:r w:rsidR="00607DE8">
      <w:instrText xml:space="preserve"> PAGE  \* MERGEFORMAT </w:instrText>
    </w:r>
    <w:r w:rsidR="0027172C">
      <w:fldChar w:fldCharType="separate"/>
    </w:r>
    <w:r w:rsidR="00647A75">
      <w:rPr>
        <w:noProof/>
      </w:rPr>
      <w:t>iv</w:t>
    </w:r>
    <w:r w:rsidR="0027172C">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r w:rsidR="0027172C">
      <w:fldChar w:fldCharType="begin"/>
    </w:r>
    <w:r w:rsidR="00607DE8">
      <w:instrText xml:space="preserve"> PAGE  \* MERGEFORMAT </w:instrText>
    </w:r>
    <w:r w:rsidR="0027172C">
      <w:fldChar w:fldCharType="separate"/>
    </w:r>
    <w:r w:rsidR="00647A75">
      <w:rPr>
        <w:noProof/>
      </w:rPr>
      <w:t>10</w:t>
    </w:r>
    <w:r w:rsidR="0027172C">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4"/>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86D9D"/>
    <w:rsid w:val="00190829"/>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1052"/>
    <w:rsid w:val="00254BEE"/>
    <w:rsid w:val="002610A1"/>
    <w:rsid w:val="0027033F"/>
    <w:rsid w:val="00270E9A"/>
    <w:rsid w:val="002714DB"/>
    <w:rsid w:val="0027172C"/>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3FC8"/>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47A75"/>
    <w:rsid w:val="00650DA5"/>
    <w:rsid w:val="00652501"/>
    <w:rsid w:val="0066076B"/>
    <w:rsid w:val="00660A6E"/>
    <w:rsid w:val="006617E5"/>
    <w:rsid w:val="00664CC0"/>
    <w:rsid w:val="006704F3"/>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73CA"/>
    <w:rsid w:val="00AF0365"/>
    <w:rsid w:val="00AF72D8"/>
    <w:rsid w:val="00B007D9"/>
    <w:rsid w:val="00B01112"/>
    <w:rsid w:val="00B01AF7"/>
    <w:rsid w:val="00B109EE"/>
    <w:rsid w:val="00B129D0"/>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1F9B"/>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E7F40"/>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4A088-4F80-4F57-BBEC-72611E7E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27</Pages>
  <Words>4286</Words>
  <Characters>24431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28660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cp:lastModifiedBy>
  <cp:revision>786</cp:revision>
  <cp:lastPrinted>2015-03-06T17:37:00Z</cp:lastPrinted>
  <dcterms:created xsi:type="dcterms:W3CDTF">2015-02-15T21:12:00Z</dcterms:created>
  <dcterms:modified xsi:type="dcterms:W3CDTF">2015-03-14T04:46:00Z</dcterms:modified>
</cp:coreProperties>
</file>