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Calibri" w:hAnsi="Calibri" w:cs="Calibri"/>
          <w:color w:val="000000" w:themeColor="text1"/>
        </w:rPr>
        <w:id w:val="-845781641"/>
        <w:docPartObj>
          <w:docPartGallery w:val="Cover Pages"/>
          <w:docPartUnique/>
        </w:docPartObj>
      </w:sdtPr>
      <w:sdtEndPr/>
      <w:sdtContent>
        <w:p w14:paraId="0E8DEF39" w14:textId="4CA49C5C" w:rsidR="00CE38A1" w:rsidRPr="0000577A" w:rsidRDefault="00D33F95" w:rsidP="006069F1">
          <w:pPr>
            <w:spacing w:line="240" w:lineRule="auto"/>
            <w:jc w:val="both"/>
            <w:rPr>
              <w:rFonts w:ascii="Calibri" w:hAnsi="Calibri" w:cs="Calibri"/>
              <w:color w:val="000000" w:themeColor="text1"/>
            </w:rPr>
          </w:pPr>
          <w:r w:rsidRPr="0000577A">
            <w:rPr>
              <w:rFonts w:ascii="Calibri" w:hAnsi="Calibri" w:cs="Calibri"/>
              <w:noProof/>
              <w:color w:val="000000" w:themeColor="text1"/>
            </w:rPr>
            <w:drawing>
              <wp:anchor distT="0" distB="0" distL="114300" distR="114300" simplePos="0" relativeHeight="251658241" behindDoc="0" locked="0" layoutInCell="1" allowOverlap="1" wp14:anchorId="620F4C0A" wp14:editId="68F4D095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769110" cy="319405"/>
                <wp:effectExtent l="0" t="0" r="2540" b="4445"/>
                <wp:wrapSquare wrapText="bothSides"/>
                <wp:docPr id="200298666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9110" cy="319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5ECFF598" w14:textId="2A41C2C8" w:rsidR="00CE38A1" w:rsidRPr="0000577A" w:rsidRDefault="00D33F95" w:rsidP="006069F1">
          <w:pPr>
            <w:spacing w:line="240" w:lineRule="auto"/>
            <w:jc w:val="both"/>
            <w:rPr>
              <w:rFonts w:ascii="Calibri" w:hAnsi="Calibri" w:cs="Calibri"/>
              <w:color w:val="000000" w:themeColor="text1"/>
            </w:rPr>
          </w:pPr>
          <w:r w:rsidRPr="0000577A">
            <w:rPr>
              <w:rFonts w:ascii="Calibri" w:hAnsi="Calibri" w:cs="Calibri"/>
              <w:noProof/>
              <w:color w:val="000000" w:themeColor="text1"/>
            </w:rPr>
            <mc:AlternateContent>
              <mc:Choice Requires="wps">
                <w:drawing>
                  <wp:anchor distT="45720" distB="45720" distL="114300" distR="114300" simplePos="0" relativeHeight="251658240" behindDoc="0" locked="0" layoutInCell="1" allowOverlap="1" wp14:anchorId="0A799393" wp14:editId="186EAD23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3733800</wp:posOffset>
                    </wp:positionV>
                    <wp:extent cx="4857750" cy="1404620"/>
                    <wp:effectExtent l="19050" t="19050" r="19050" b="1206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85775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8100">
                              <a:solidFill>
                                <a:srgbClr val="C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150B520" w14:textId="3599DC64" w:rsidR="00914110" w:rsidRPr="007E4B21" w:rsidRDefault="00AA1D0D" w:rsidP="00726298">
                                <w:pPr>
                                  <w:jc w:val="center"/>
                                  <w:rPr>
                                    <w:rFonts w:ascii="Calibri" w:hAnsi="Calibri" w:cs="Calibri"/>
                                    <w:b/>
                                    <w:bCs/>
                                    <w:sz w:val="44"/>
                                    <w:szCs w:val="44"/>
                                  </w:rPr>
                                </w:pPr>
                                <w:r w:rsidRPr="00B63DE0">
                                  <w:rPr>
                                    <w:rFonts w:ascii="Calibri" w:hAnsi="Calibri" w:cs="Calibri"/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DOCUMENTO FRAMEWORK</w:t>
                                </w:r>
                                <w:r w:rsidR="00500793">
                                  <w:rPr>
                                    <w:rFonts w:ascii="Calibri" w:hAnsi="Calibri" w:cs="Calibri"/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 xml:space="preserve"> </w:t>
                                </w:r>
                              </w:p>
                              <w:p w14:paraId="5A2348D7" w14:textId="1749DB2E" w:rsidR="006C262D" w:rsidRPr="003B15B7" w:rsidRDefault="003A64F9" w:rsidP="006C262D">
                                <w:pPr>
                                  <w:jc w:val="center"/>
                                  <w:rPr>
                                    <w:rFonts w:ascii="Calibri" w:hAnsi="Calibri" w:cs="Calibri"/>
                                    <w:sz w:val="40"/>
                                    <w:szCs w:val="4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alibri" w:hAnsi="Calibri" w:cs="Calibri"/>
                                    <w:sz w:val="40"/>
                                    <w:szCs w:val="40"/>
                                  </w:rPr>
                                  <w:t>Micro-c</w:t>
                                </w:r>
                                <w:r w:rsidRPr="003A64F9">
                                  <w:rPr>
                                    <w:rFonts w:ascii="Calibri" w:hAnsi="Calibri" w:cs="Calibri"/>
                                    <w:sz w:val="40"/>
                                    <w:szCs w:val="40"/>
                                  </w:rPr>
                                  <w:t>oberturas</w:t>
                                </w:r>
                                <w:proofErr w:type="spellEnd"/>
                                <w:r w:rsidR="006C262D" w:rsidRPr="003B15B7">
                                  <w:rPr>
                                    <w:rFonts w:ascii="Calibri" w:hAnsi="Calibri" w:cs="Calibri"/>
                                    <w:sz w:val="40"/>
                                    <w:szCs w:val="40"/>
                                  </w:rPr>
                                  <w:t xml:space="preserve"> de </w:t>
                                </w:r>
                                <w:r w:rsidR="00A45B95" w:rsidRPr="00726298">
                                  <w:rPr>
                                    <w:rFonts w:ascii="Calibri" w:hAnsi="Calibri" w:cs="Calibri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Cash-Flow</w:t>
                                </w:r>
                                <w:r w:rsidR="006C262D" w:rsidRPr="003E367F">
                                  <w:rPr>
                                    <w:rFonts w:ascii="Calibri" w:hAnsi="Calibri" w:cs="Calibri"/>
                                    <w:sz w:val="40"/>
                                    <w:szCs w:val="40"/>
                                  </w:rPr>
                                  <w:t xml:space="preserve"> – </w:t>
                                </w:r>
                                <w:r w:rsidR="0024432C" w:rsidRPr="00726298">
                                  <w:rPr>
                                    <w:rFonts w:ascii="Calibri" w:hAnsi="Calibri" w:cs="Calibri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Pools</w:t>
                                </w:r>
                                <w:r w:rsidR="0024432C">
                                  <w:rPr>
                                    <w:rFonts w:ascii="Calibri" w:hAnsi="Calibri" w:cs="Calibri"/>
                                    <w:sz w:val="40"/>
                                    <w:szCs w:val="40"/>
                                  </w:rPr>
                                  <w:t xml:space="preserve"> de crédito hipotecário</w:t>
                                </w:r>
                                <w:r w:rsidR="003B15B7">
                                  <w:rPr>
                                    <w:rFonts w:ascii="Calibri" w:hAnsi="Calibri" w:cs="Calibri"/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  <w:r w:rsidR="006C262D" w:rsidRPr="003B15B7">
                                  <w:rPr>
                                    <w:rFonts w:ascii="Calibri" w:hAnsi="Calibri" w:cs="Calibri"/>
                                    <w:sz w:val="40"/>
                                    <w:szCs w:val="40"/>
                                  </w:rPr>
                                  <w:t>– IRS – Risco de taxa de juro</w:t>
                                </w:r>
                              </w:p>
                              <w:p w14:paraId="5E1B589C" w14:textId="77777777" w:rsidR="006C262D" w:rsidRPr="006C262D" w:rsidRDefault="006C262D" w:rsidP="007B3C02">
                                <w:pPr>
                                  <w:jc w:val="center"/>
                                  <w:rPr>
                                    <w:rFonts w:ascii="Calibri" w:hAnsi="Calibri" w:cs="Calibri"/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0A79939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0;margin-top:294pt;width:382.5pt;height:110.6pt;z-index:25165824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" strokecolor="#c00000" strokeweight="3pt">
                    <v:textbox style="mso-fit-shape-to-text:t">
                      <w:txbxContent>
                        <w:p w14:paraId="7150B520" w14:textId="3599DC64" w:rsidR="00914110" w:rsidRPr="007E4B21" w:rsidRDefault="00AA1D0D" w:rsidP="00726298">
                          <w:pPr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sz w:val="44"/>
                              <w:szCs w:val="44"/>
                            </w:rPr>
                          </w:pPr>
                          <w:r w:rsidRPr="00B63DE0">
                            <w:rPr>
                              <w:rFonts w:ascii="Calibri" w:hAnsi="Calibri" w:cs="Calibri"/>
                              <w:b/>
                              <w:bCs/>
                              <w:sz w:val="44"/>
                              <w:szCs w:val="44"/>
                            </w:rPr>
                            <w:t>DOCUMENTO FRAMEWORK</w:t>
                          </w:r>
                          <w:r w:rsidR="00500793">
                            <w:rPr>
                              <w:rFonts w:ascii="Calibri" w:hAnsi="Calibri" w:cs="Calibri"/>
                              <w:b/>
                              <w:bCs/>
                              <w:sz w:val="44"/>
                              <w:szCs w:val="44"/>
                            </w:rPr>
                            <w:t xml:space="preserve"> </w:t>
                          </w:r>
                        </w:p>
                        <w:p w14:paraId="5A2348D7" w14:textId="1749DB2E" w:rsidR="006C262D" w:rsidRPr="003B15B7" w:rsidRDefault="003A64F9" w:rsidP="006C262D">
                          <w:pPr>
                            <w:jc w:val="center"/>
                            <w:rPr>
                              <w:rFonts w:ascii="Calibri" w:hAnsi="Calibri" w:cs="Calibri"/>
                              <w:sz w:val="40"/>
                              <w:szCs w:val="40"/>
                            </w:rPr>
                          </w:pPr>
                          <w:proofErr w:type="spellStart"/>
                          <w:r>
                            <w:rPr>
                              <w:rFonts w:ascii="Calibri" w:hAnsi="Calibri" w:cs="Calibri"/>
                              <w:sz w:val="40"/>
                              <w:szCs w:val="40"/>
                            </w:rPr>
                            <w:t>Micro-c</w:t>
                          </w:r>
                          <w:r w:rsidRPr="003A64F9">
                            <w:rPr>
                              <w:rFonts w:ascii="Calibri" w:hAnsi="Calibri" w:cs="Calibri"/>
                              <w:sz w:val="40"/>
                              <w:szCs w:val="40"/>
                            </w:rPr>
                            <w:t>oberturas</w:t>
                          </w:r>
                          <w:proofErr w:type="spellEnd"/>
                          <w:r w:rsidR="006C262D" w:rsidRPr="003B15B7">
                            <w:rPr>
                              <w:rFonts w:ascii="Calibri" w:hAnsi="Calibri" w:cs="Calibri"/>
                              <w:sz w:val="40"/>
                              <w:szCs w:val="40"/>
                            </w:rPr>
                            <w:t xml:space="preserve"> de </w:t>
                          </w:r>
                          <w:r w:rsidR="00A45B95" w:rsidRPr="00726298">
                            <w:rPr>
                              <w:rFonts w:ascii="Calibri" w:hAnsi="Calibri" w:cs="Calibri"/>
                              <w:i/>
                              <w:iCs/>
                              <w:sz w:val="40"/>
                              <w:szCs w:val="40"/>
                            </w:rPr>
                            <w:t>Cash-Flow</w:t>
                          </w:r>
                          <w:r w:rsidR="006C262D" w:rsidRPr="003E367F">
                            <w:rPr>
                              <w:rFonts w:ascii="Calibri" w:hAnsi="Calibri" w:cs="Calibri"/>
                              <w:sz w:val="40"/>
                              <w:szCs w:val="40"/>
                            </w:rPr>
                            <w:t xml:space="preserve"> – </w:t>
                          </w:r>
                          <w:r w:rsidR="0024432C" w:rsidRPr="00726298">
                            <w:rPr>
                              <w:rFonts w:ascii="Calibri" w:hAnsi="Calibri" w:cs="Calibri"/>
                              <w:i/>
                              <w:iCs/>
                              <w:sz w:val="40"/>
                              <w:szCs w:val="40"/>
                            </w:rPr>
                            <w:t>Pools</w:t>
                          </w:r>
                          <w:r w:rsidR="0024432C">
                            <w:rPr>
                              <w:rFonts w:ascii="Calibri" w:hAnsi="Calibri" w:cs="Calibri"/>
                              <w:sz w:val="40"/>
                              <w:szCs w:val="40"/>
                            </w:rPr>
                            <w:t xml:space="preserve"> de crédito hipotecário</w:t>
                          </w:r>
                          <w:r w:rsidR="003B15B7">
                            <w:rPr>
                              <w:rFonts w:ascii="Calibri" w:hAnsi="Calibri" w:cs="Calibri"/>
                              <w:sz w:val="40"/>
                              <w:szCs w:val="40"/>
                            </w:rPr>
                            <w:t xml:space="preserve"> </w:t>
                          </w:r>
                          <w:r w:rsidR="006C262D" w:rsidRPr="003B15B7">
                            <w:rPr>
                              <w:rFonts w:ascii="Calibri" w:hAnsi="Calibri" w:cs="Calibri"/>
                              <w:sz w:val="40"/>
                              <w:szCs w:val="40"/>
                            </w:rPr>
                            <w:t>– IRS – Risco de taxa de juro</w:t>
                          </w:r>
                        </w:p>
                        <w:p w14:paraId="5E1B589C" w14:textId="77777777" w:rsidR="006C262D" w:rsidRPr="006C262D" w:rsidRDefault="006C262D" w:rsidP="007B3C02">
                          <w:pPr>
                            <w:jc w:val="center"/>
                            <w:rPr>
                              <w:rFonts w:ascii="Calibri" w:hAnsi="Calibri" w:cs="Calibri"/>
                              <w:sz w:val="40"/>
                              <w:szCs w:val="40"/>
                            </w:rPr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CE38A1" w:rsidRPr="0000577A">
            <w:rPr>
              <w:rFonts w:ascii="Calibri" w:hAnsi="Calibri" w:cs="Calibri"/>
              <w:color w:val="000000" w:themeColor="text1"/>
            </w:rPr>
            <w:br w:type="page"/>
          </w:r>
        </w:p>
      </w:sdtContent>
    </w:sdt>
    <w:p w14:paraId="6B0D9EC1" w14:textId="59543664" w:rsidR="00CE38A1" w:rsidRPr="00C82F79" w:rsidRDefault="00D33F95" w:rsidP="00C82F79">
      <w:pPr>
        <w:pStyle w:val="Corpo"/>
        <w:rPr>
          <w:b/>
          <w:bCs/>
          <w:sz w:val="32"/>
          <w:szCs w:val="32"/>
        </w:rPr>
      </w:pPr>
      <w:bookmarkStart w:id="0" w:name="_Toc201680721"/>
      <w:r w:rsidRPr="00C82F79">
        <w:rPr>
          <w:b/>
          <w:bCs/>
          <w:sz w:val="32"/>
          <w:szCs w:val="32"/>
        </w:rPr>
        <w:lastRenderedPageBreak/>
        <w:t>Controlo de Versões</w:t>
      </w:r>
      <w:bookmarkEnd w:id="0"/>
    </w:p>
    <w:p w14:paraId="4C6A5C1B" w14:textId="77777777" w:rsidR="00CE38A1" w:rsidRPr="0000577A" w:rsidRDefault="00CE38A1" w:rsidP="006069F1">
      <w:pPr>
        <w:spacing w:line="240" w:lineRule="auto"/>
        <w:jc w:val="both"/>
        <w:rPr>
          <w:rFonts w:ascii="Calibri" w:hAnsi="Calibri" w:cs="Calibri"/>
          <w:color w:val="000000" w:themeColor="text1"/>
        </w:rPr>
      </w:pPr>
    </w:p>
    <w:tbl>
      <w:tblPr>
        <w:tblStyle w:val="TableGrid"/>
        <w:tblW w:w="9351" w:type="dxa"/>
        <w:tblBorders>
          <w:insideH w:val="dotted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2721"/>
        <w:gridCol w:w="5670"/>
      </w:tblGrid>
      <w:tr w:rsidR="0000577A" w:rsidRPr="0000577A" w14:paraId="76935D4E" w14:textId="77777777" w:rsidTr="000F2D5B"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59E526" w14:textId="77777777" w:rsidR="000F2D5B" w:rsidRPr="00334B32" w:rsidRDefault="000F2D5B" w:rsidP="006069F1">
            <w:pPr>
              <w:rPr>
                <w:rFonts w:ascii="Calibri" w:hAnsi="Calibri" w:cs="Calibri"/>
                <w:b/>
                <w:color w:val="000000" w:themeColor="text1"/>
                <w:lang w:val="pt-PT"/>
              </w:rPr>
            </w:pPr>
            <w:r w:rsidRPr="00334B32">
              <w:rPr>
                <w:rFonts w:ascii="Calibri" w:hAnsi="Calibri" w:cs="Calibri"/>
                <w:b/>
                <w:color w:val="000000" w:themeColor="text1"/>
                <w:lang w:val="pt-PT"/>
              </w:rPr>
              <w:t>Versão</w:t>
            </w:r>
          </w:p>
        </w:tc>
        <w:tc>
          <w:tcPr>
            <w:tcW w:w="2721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4B8923B" w14:textId="77777777" w:rsidR="000F2D5B" w:rsidRPr="0000577A" w:rsidRDefault="000F2D5B" w:rsidP="006069F1">
            <w:pPr>
              <w:rPr>
                <w:rFonts w:ascii="Calibri" w:hAnsi="Calibri" w:cs="Calibri"/>
                <w:b/>
                <w:color w:val="000000" w:themeColor="text1"/>
              </w:rPr>
            </w:pPr>
            <w:r w:rsidRPr="0000577A">
              <w:rPr>
                <w:rFonts w:ascii="Calibri" w:hAnsi="Calibri" w:cs="Calibri"/>
                <w:b/>
                <w:color w:val="000000" w:themeColor="text1"/>
              </w:rPr>
              <w:t>Data</w:t>
            </w: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7CEE0D1" w14:textId="77777777" w:rsidR="000F2D5B" w:rsidRPr="0000577A" w:rsidRDefault="000F2D5B" w:rsidP="006069F1">
            <w:pPr>
              <w:rPr>
                <w:rFonts w:ascii="Calibri" w:hAnsi="Calibri" w:cs="Calibri"/>
                <w:b/>
                <w:color w:val="000000" w:themeColor="text1"/>
              </w:rPr>
            </w:pPr>
            <w:proofErr w:type="spellStart"/>
            <w:r w:rsidRPr="0000577A">
              <w:rPr>
                <w:rFonts w:ascii="Calibri" w:hAnsi="Calibri" w:cs="Calibri"/>
                <w:b/>
                <w:color w:val="000000" w:themeColor="text1"/>
              </w:rPr>
              <w:t>Alterações</w:t>
            </w:r>
            <w:proofErr w:type="spellEnd"/>
          </w:p>
        </w:tc>
      </w:tr>
      <w:tr w:rsidR="000F2D5B" w:rsidRPr="0000577A" w14:paraId="4716E037" w14:textId="77777777"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BEDFDE" w14:textId="59F8D95F" w:rsidR="000F2D5B" w:rsidRPr="009566CC" w:rsidRDefault="00A53B88" w:rsidP="006069F1">
            <w:pPr>
              <w:rPr>
                <w:rFonts w:ascii="Calibri" w:hAnsi="Calibri" w:cs="Calibri"/>
                <w:color w:val="000000" w:themeColor="text1"/>
                <w:lang w:val="pt-PT"/>
              </w:rPr>
            </w:pPr>
            <w:r>
              <w:rPr>
                <w:rFonts w:ascii="Calibri" w:hAnsi="Calibri" w:cs="Calibri"/>
                <w:color w:val="000000" w:themeColor="text1"/>
                <w:lang w:val="pt-PT"/>
              </w:rPr>
              <w:t>0</w:t>
            </w:r>
            <w:r w:rsidR="00AA659D">
              <w:rPr>
                <w:rFonts w:ascii="Calibri" w:hAnsi="Calibri" w:cs="Calibri"/>
                <w:color w:val="000000" w:themeColor="text1"/>
                <w:lang w:val="pt-PT"/>
              </w:rPr>
              <w:t>1</w:t>
            </w:r>
          </w:p>
        </w:tc>
        <w:tc>
          <w:tcPr>
            <w:tcW w:w="27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9F3D5C" w14:textId="002BA14E" w:rsidR="000F2D5B" w:rsidRPr="009566CC" w:rsidRDefault="00A53B88" w:rsidP="006069F1">
            <w:pPr>
              <w:rPr>
                <w:rFonts w:ascii="Calibri" w:hAnsi="Calibri" w:cs="Calibri"/>
                <w:color w:val="000000" w:themeColor="text1"/>
                <w:lang w:val="pt-PT"/>
              </w:rPr>
            </w:pPr>
            <w:r>
              <w:rPr>
                <w:rFonts w:ascii="Calibri" w:hAnsi="Calibri" w:cs="Calibri"/>
                <w:color w:val="000000" w:themeColor="text1"/>
                <w:lang w:val="pt-PT"/>
              </w:rPr>
              <w:t xml:space="preserve">08 </w:t>
            </w:r>
            <w:proofErr w:type="gramStart"/>
            <w:r>
              <w:rPr>
                <w:rFonts w:ascii="Calibri" w:hAnsi="Calibri" w:cs="Calibri"/>
                <w:color w:val="000000" w:themeColor="text1"/>
                <w:lang w:val="pt-PT"/>
              </w:rPr>
              <w:t>Agosto</w:t>
            </w:r>
            <w:proofErr w:type="gramEnd"/>
            <w:r>
              <w:rPr>
                <w:rFonts w:ascii="Calibri" w:hAnsi="Calibri" w:cs="Calibri"/>
                <w:color w:val="000000" w:themeColor="text1"/>
                <w:lang w:val="pt-PT"/>
              </w:rPr>
              <w:t xml:space="preserve"> 2025</w:t>
            </w: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01DA0D" w14:textId="0DDA239A" w:rsidR="000F2D5B" w:rsidRPr="0000577A" w:rsidRDefault="00A53B88" w:rsidP="006069F1">
            <w:pPr>
              <w:rPr>
                <w:rFonts w:ascii="Calibri" w:hAnsi="Calibri" w:cs="Calibri"/>
                <w:color w:val="000000" w:themeColor="text1"/>
                <w:lang w:val="pt-PT"/>
              </w:rPr>
            </w:pPr>
            <w:r>
              <w:rPr>
                <w:rFonts w:ascii="Calibri" w:hAnsi="Calibri" w:cs="Calibri"/>
                <w:color w:val="000000" w:themeColor="text1"/>
                <w:lang w:val="pt-PT"/>
              </w:rPr>
              <w:t xml:space="preserve">Versão </w:t>
            </w:r>
            <w:r w:rsidR="00AA659D">
              <w:rPr>
                <w:rFonts w:ascii="Calibri" w:hAnsi="Calibri" w:cs="Calibri"/>
                <w:color w:val="000000" w:themeColor="text1"/>
                <w:lang w:val="pt-PT"/>
              </w:rPr>
              <w:t>Inicial</w:t>
            </w:r>
          </w:p>
        </w:tc>
      </w:tr>
    </w:tbl>
    <w:p w14:paraId="6CF6BF5A" w14:textId="77777777" w:rsidR="00CE38A1" w:rsidRPr="0000577A" w:rsidRDefault="00CE38A1" w:rsidP="006069F1">
      <w:pPr>
        <w:pStyle w:val="Corpo"/>
        <w:spacing w:line="240" w:lineRule="auto"/>
        <w:ind w:left="0"/>
        <w:jc w:val="both"/>
        <w:rPr>
          <w:rFonts w:cs="Calibri"/>
          <w:color w:val="000000" w:themeColor="text1"/>
        </w:rPr>
      </w:pPr>
    </w:p>
    <w:p w14:paraId="10D0D1AC" w14:textId="1BE3803D" w:rsidR="000F2D5B" w:rsidRPr="00AE7C00" w:rsidRDefault="000F2D5B" w:rsidP="00AE7C00">
      <w:pPr>
        <w:pStyle w:val="Corpo"/>
        <w:spacing w:line="240" w:lineRule="auto"/>
        <w:jc w:val="both"/>
        <w:rPr>
          <w:rFonts w:cs="Calibri"/>
          <w:color w:val="000000" w:themeColor="text1"/>
        </w:rPr>
      </w:pPr>
      <w:r w:rsidRPr="0000577A">
        <w:rPr>
          <w:rFonts w:cs="Calibri"/>
          <w:color w:val="000000" w:themeColor="text1"/>
        </w:rPr>
        <w:br w:type="page"/>
      </w:r>
    </w:p>
    <w:sdt>
      <w:sdtPr>
        <w:rPr>
          <w:rFonts w:ascii="Calibri" w:eastAsiaTheme="minorEastAsia" w:hAnsi="Calibri" w:cs="Calibri"/>
          <w:color w:val="000000" w:themeColor="text1"/>
        </w:rPr>
        <w:id w:val="-771246668"/>
        <w:docPartObj>
          <w:docPartGallery w:val="Table of Contents"/>
          <w:docPartUnique/>
        </w:docPartObj>
      </w:sdtPr>
      <w:sdtEndPr>
        <w:rPr>
          <w:b/>
          <w:sz w:val="24"/>
          <w:szCs w:val="24"/>
        </w:rPr>
      </w:sdtEndPr>
      <w:sdtContent>
        <w:p w14:paraId="6ED66507" w14:textId="77777777" w:rsidR="00A53B88" w:rsidRDefault="00AD0C64">
          <w:pPr>
            <w:pStyle w:val="TOC1"/>
            <w:tabs>
              <w:tab w:val="left" w:pos="440"/>
              <w:tab w:val="right" w:leader="dot" w:pos="9016"/>
            </w:tabs>
            <w:rPr>
              <w:rFonts w:ascii="Calibri" w:hAnsi="Calibri" w:cs="Calibri"/>
              <w:b/>
              <w:bCs/>
              <w:color w:val="000000" w:themeColor="text1"/>
            </w:rPr>
          </w:pPr>
          <w:r w:rsidRPr="0000577A">
            <w:rPr>
              <w:rFonts w:ascii="Calibri" w:hAnsi="Calibri" w:cs="Calibri"/>
              <w:b/>
              <w:bCs/>
              <w:color w:val="000000" w:themeColor="text1"/>
            </w:rPr>
            <w:t>Índice</w:t>
          </w:r>
        </w:p>
        <w:p w14:paraId="0F01B38B" w14:textId="5B08EC21" w:rsidR="0097360A" w:rsidRDefault="00AD0C6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r w:rsidRPr="00C82F79">
            <w:rPr>
              <w:rFonts w:ascii="Calibri" w:eastAsiaTheme="majorEastAsia" w:hAnsi="Calibri" w:cs="Calibri"/>
              <w:b/>
              <w:bCs/>
              <w:color w:val="000000" w:themeColor="text1"/>
              <w:kern w:val="0"/>
              <w:sz w:val="24"/>
              <w:szCs w:val="24"/>
              <w:lang w:val="en-US"/>
              <w14:ligatures w14:val="none"/>
            </w:rPr>
            <w:fldChar w:fldCharType="begin"/>
          </w:r>
          <w:r w:rsidRPr="00C82F79">
            <w:rPr>
              <w:rFonts w:ascii="Calibri" w:hAnsi="Calibri" w:cs="Calibri"/>
              <w:b/>
              <w:bCs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C82F79">
            <w:rPr>
              <w:rFonts w:ascii="Calibri" w:eastAsiaTheme="majorEastAsia" w:hAnsi="Calibri" w:cs="Calibri"/>
              <w:b/>
              <w:bCs/>
              <w:color w:val="000000" w:themeColor="text1"/>
              <w:kern w:val="0"/>
              <w:sz w:val="24"/>
              <w:szCs w:val="24"/>
              <w:lang w:val="en-US"/>
              <w14:ligatures w14:val="none"/>
            </w:rPr>
            <w:fldChar w:fldCharType="separate"/>
          </w:r>
          <w:hyperlink w:anchor="_Toc205551739" w:history="1">
            <w:r w:rsidR="0097360A" w:rsidRPr="00702005">
              <w:rPr>
                <w:rStyle w:val="Hyperlink"/>
                <w:noProof/>
              </w:rPr>
              <w:t>1.</w:t>
            </w:r>
            <w:r w:rsidR="0097360A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97360A" w:rsidRPr="00702005">
              <w:rPr>
                <w:rStyle w:val="Hyperlink"/>
                <w:noProof/>
              </w:rPr>
              <w:t>Introdução</w:t>
            </w:r>
            <w:r w:rsidR="0097360A">
              <w:rPr>
                <w:noProof/>
                <w:webHidden/>
              </w:rPr>
              <w:tab/>
            </w:r>
            <w:r w:rsidR="0097360A">
              <w:rPr>
                <w:noProof/>
                <w:webHidden/>
              </w:rPr>
              <w:fldChar w:fldCharType="begin"/>
            </w:r>
            <w:r w:rsidR="0097360A">
              <w:rPr>
                <w:noProof/>
                <w:webHidden/>
              </w:rPr>
              <w:instrText xml:space="preserve"> PAGEREF _Toc205551739 \h </w:instrText>
            </w:r>
            <w:r w:rsidR="0097360A">
              <w:rPr>
                <w:noProof/>
                <w:webHidden/>
              </w:rPr>
            </w:r>
            <w:r w:rsidR="0097360A">
              <w:rPr>
                <w:noProof/>
                <w:webHidden/>
              </w:rPr>
              <w:fldChar w:fldCharType="separate"/>
            </w:r>
            <w:r w:rsidR="0097360A">
              <w:rPr>
                <w:noProof/>
                <w:webHidden/>
              </w:rPr>
              <w:t>3</w:t>
            </w:r>
            <w:r w:rsidR="0097360A">
              <w:rPr>
                <w:noProof/>
                <w:webHidden/>
              </w:rPr>
              <w:fldChar w:fldCharType="end"/>
            </w:r>
          </w:hyperlink>
        </w:p>
        <w:p w14:paraId="4F519EC8" w14:textId="3C97986F" w:rsidR="0097360A" w:rsidRDefault="0097360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205551740" w:history="1">
            <w:r w:rsidRPr="00702005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Pr="00702005">
              <w:rPr>
                <w:rStyle w:val="Hyperlink"/>
                <w:noProof/>
              </w:rPr>
              <w:t>Tipo de Cobertura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_Toc205551740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53CD8" w14:textId="39D481CF" w:rsidR="0097360A" w:rsidRDefault="0097360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205551756" w:history="1">
            <w:r w:rsidRPr="00702005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Pr="00702005">
              <w:rPr>
                <w:rStyle w:val="Hyperlink"/>
                <w:noProof/>
              </w:rPr>
              <w:t>Contabilização de coberturas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_Toc205551756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BEA4F" w14:textId="08792E70" w:rsidR="0097360A" w:rsidRDefault="0097360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205551764" w:history="1">
            <w:r w:rsidRPr="00702005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Pr="00702005">
              <w:rPr>
                <w:rStyle w:val="Hyperlink"/>
                <w:noProof/>
              </w:rPr>
              <w:t>Objetivo de Gestão de Risco e Estratégia de Cobertura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_Toc205551764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8A93F" w14:textId="4332BF1D" w:rsidR="0097360A" w:rsidRDefault="0097360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205551765" w:history="1">
            <w:r w:rsidRPr="00702005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Pr="00702005">
              <w:rPr>
                <w:rStyle w:val="Hyperlink"/>
                <w:rFonts w:cstheme="majorBidi"/>
                <w:bCs/>
                <w:noProof/>
              </w:rPr>
              <w:t>Risco Coberto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_Toc205551765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1B9D7" w14:textId="39117081" w:rsidR="0097360A" w:rsidRDefault="0097360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205551768" w:history="1">
            <w:r w:rsidRPr="00702005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Pr="00702005">
              <w:rPr>
                <w:rStyle w:val="Hyperlink"/>
                <w:noProof/>
              </w:rPr>
              <w:t>Instrumento de Cobertura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_Toc205551768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352C9" w14:textId="79E55E61" w:rsidR="0097360A" w:rsidRDefault="0097360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205551769" w:history="1">
            <w:r w:rsidRPr="00702005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Pr="00702005">
              <w:rPr>
                <w:rStyle w:val="Hyperlink"/>
                <w:noProof/>
              </w:rPr>
              <w:t>Item Coberto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_Toc205551769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BAF27" w14:textId="3841D02D" w:rsidR="0097360A" w:rsidRDefault="0097360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205551770" w:history="1">
            <w:r w:rsidRPr="00702005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Pr="00702005">
              <w:rPr>
                <w:rStyle w:val="Hyperlink"/>
                <w:noProof/>
              </w:rPr>
              <w:t>Eficácia das Coberturas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_Toc205551770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B459B" w14:textId="4CF0003F" w:rsidR="0097360A" w:rsidRDefault="0097360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205551771" w:history="1">
            <w:r w:rsidRPr="00702005">
              <w:rPr>
                <w:rStyle w:val="Hyperlink"/>
                <w:bCs/>
                <w:noProof/>
              </w:rPr>
              <w:t>8</w:t>
            </w:r>
            <w:r w:rsidRPr="00702005">
              <w:rPr>
                <w:rStyle w:val="Hyperlink"/>
                <w:noProof/>
              </w:rPr>
              <w:t>.1 Relação Económica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_Toc205551771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A2E5E" w14:textId="5979D592" w:rsidR="0097360A" w:rsidRDefault="0097360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205551772" w:history="1">
            <w:r w:rsidRPr="00702005">
              <w:rPr>
                <w:rStyle w:val="Hyperlink"/>
                <w:bCs/>
                <w:noProof/>
              </w:rPr>
              <w:t>8.2. Não Existência de Dominância de Risco de Crédito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_Toc205551772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18492" w14:textId="3BDE5D95" w:rsidR="0097360A" w:rsidRDefault="0097360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205551773" w:history="1">
            <w:r w:rsidRPr="00702005">
              <w:rPr>
                <w:rStyle w:val="Hyperlink"/>
                <w:bCs/>
                <w:noProof/>
              </w:rPr>
              <w:t>8.3 Rácio de Cobertura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_Toc205551773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7A644" w14:textId="408B06E2" w:rsidR="0097360A" w:rsidRDefault="0097360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205551774" w:history="1">
            <w:r w:rsidRPr="00702005">
              <w:rPr>
                <w:rStyle w:val="Hyperlink"/>
                <w:bCs/>
                <w:noProof/>
              </w:rPr>
              <w:t>8.4 Medição da ineficácia observada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_Toc205551774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22E49" w14:textId="36A98C0C" w:rsidR="0097360A" w:rsidRDefault="0097360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205551775" w:history="1">
            <w:r w:rsidRPr="00702005">
              <w:rPr>
                <w:rStyle w:val="Hyperlink"/>
                <w:bCs/>
                <w:noProof/>
              </w:rPr>
              <w:t>8.5 Fontes de Ineficácia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_Toc205551775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6671D" w14:textId="28D8E0F1" w:rsidR="0097360A" w:rsidRDefault="0097360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205551776" w:history="1">
            <w:r w:rsidRPr="00702005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Pr="00702005">
              <w:rPr>
                <w:rStyle w:val="Hyperlink"/>
                <w:i/>
                <w:iCs/>
                <w:noProof/>
              </w:rPr>
              <w:t>Rebalacing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_Toc205551776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E7DAF" w14:textId="0C439687" w:rsidR="0097360A" w:rsidRDefault="0097360A">
          <w:pPr>
            <w:pStyle w:val="TOC1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205551777" w:history="1">
            <w:r w:rsidRPr="00702005">
              <w:rPr>
                <w:rStyle w:val="Hyperlink"/>
                <w:noProof/>
              </w:rPr>
              <w:t>10.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Pr="00702005">
              <w:rPr>
                <w:rStyle w:val="Hyperlink"/>
                <w:noProof/>
              </w:rPr>
              <w:t>Descontinuação da Cobertura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_Toc205551777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8B272" w14:textId="1CD35056" w:rsidR="00AE7C00" w:rsidRDefault="00AD0C64" w:rsidP="00AE7C00">
          <w:pPr>
            <w:rPr>
              <w:rFonts w:ascii="Calibri" w:hAnsi="Calibri" w:cs="Calibri"/>
              <w:b/>
              <w:bCs/>
              <w:noProof/>
              <w:color w:val="000000" w:themeColor="text1"/>
              <w:sz w:val="24"/>
              <w:szCs w:val="24"/>
            </w:rPr>
          </w:pPr>
          <w:r w:rsidRPr="00C82F79">
            <w:rPr>
              <w:rFonts w:ascii="Calibri" w:hAnsi="Calibri" w:cs="Calibri"/>
              <w:b/>
              <w:bCs/>
              <w:noProof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066028F2" w14:textId="5CB05564" w:rsidR="000F2D5B" w:rsidRPr="00AE7C00" w:rsidRDefault="000F2D5B" w:rsidP="00AE7C00">
      <w:pPr>
        <w:rPr>
          <w:rFonts w:ascii="Calibri" w:hAnsi="Calibri" w:cs="Calibri"/>
          <w:color w:val="000000" w:themeColor="text1"/>
          <w:sz w:val="24"/>
          <w:szCs w:val="24"/>
        </w:rPr>
      </w:pPr>
      <w:r w:rsidRPr="0000577A">
        <w:rPr>
          <w:rFonts w:ascii="Calibri" w:hAnsi="Calibri" w:cs="Calibri"/>
          <w:color w:val="000000" w:themeColor="text1"/>
        </w:rPr>
        <w:br w:type="page"/>
      </w:r>
    </w:p>
    <w:p w14:paraId="16DEF948" w14:textId="4CC16668" w:rsidR="006C18D8" w:rsidRPr="0000577A" w:rsidRDefault="007951B1" w:rsidP="002464C2">
      <w:pPr>
        <w:pStyle w:val="Ttulo11"/>
        <w:numPr>
          <w:ilvl w:val="0"/>
          <w:numId w:val="6"/>
        </w:numPr>
        <w:spacing w:line="240" w:lineRule="auto"/>
      </w:pPr>
      <w:bookmarkStart w:id="1" w:name="_Toc205551739"/>
      <w:bookmarkStart w:id="2" w:name="_Hlk201652266"/>
      <w:r w:rsidRPr="0000577A">
        <w:lastRenderedPageBreak/>
        <w:t>Introdução</w:t>
      </w:r>
      <w:bookmarkEnd w:id="1"/>
      <w:r w:rsidRPr="0000577A">
        <w:t xml:space="preserve"> </w:t>
      </w:r>
    </w:p>
    <w:p w14:paraId="0100A6DB" w14:textId="0EE64A71" w:rsidR="00F2336B" w:rsidRDefault="00F2336B" w:rsidP="00F2336B">
      <w:pPr>
        <w:pStyle w:val="Corpo"/>
        <w:spacing w:after="240" w:line="240" w:lineRule="auto"/>
        <w:jc w:val="both"/>
        <w:rPr>
          <w:rFonts w:cs="Calibri"/>
          <w:color w:val="000000" w:themeColor="text1"/>
        </w:rPr>
      </w:pPr>
      <w:r w:rsidRPr="00726298">
        <w:rPr>
          <w:rFonts w:cs="Calibri"/>
          <w:color w:val="000000" w:themeColor="text1"/>
        </w:rPr>
        <w:t xml:space="preserve">Este documento serve como </w:t>
      </w:r>
      <w:proofErr w:type="spellStart"/>
      <w:r w:rsidRPr="00726298">
        <w:rPr>
          <w:rFonts w:cs="Calibri"/>
          <w:i/>
          <w:iCs/>
          <w:color w:val="000000" w:themeColor="text1"/>
        </w:rPr>
        <w:t>framework</w:t>
      </w:r>
      <w:proofErr w:type="spellEnd"/>
      <w:r w:rsidRPr="00726298">
        <w:rPr>
          <w:rFonts w:cs="Calibri"/>
          <w:color w:val="000000" w:themeColor="text1"/>
        </w:rPr>
        <w:t xml:space="preserve"> de todas as </w:t>
      </w:r>
      <w:proofErr w:type="spellStart"/>
      <w:r w:rsidRPr="00726298">
        <w:rPr>
          <w:rFonts w:cs="Calibri"/>
          <w:color w:val="000000" w:themeColor="text1"/>
        </w:rPr>
        <w:t>micro-coberturas</w:t>
      </w:r>
      <w:proofErr w:type="spellEnd"/>
      <w:r w:rsidRPr="00726298">
        <w:rPr>
          <w:rFonts w:cs="Calibri"/>
          <w:color w:val="000000" w:themeColor="text1"/>
        </w:rPr>
        <w:t xml:space="preserve"> de </w:t>
      </w:r>
      <w:r w:rsidRPr="00726298">
        <w:rPr>
          <w:rFonts w:cs="Calibri"/>
          <w:i/>
          <w:iCs/>
          <w:color w:val="000000" w:themeColor="text1"/>
        </w:rPr>
        <w:t xml:space="preserve">cash </w:t>
      </w:r>
      <w:proofErr w:type="spellStart"/>
      <w:r w:rsidRPr="00726298">
        <w:rPr>
          <w:rFonts w:cs="Calibri"/>
          <w:i/>
          <w:iCs/>
          <w:color w:val="000000" w:themeColor="text1"/>
        </w:rPr>
        <w:t>flow</w:t>
      </w:r>
      <w:proofErr w:type="spellEnd"/>
      <w:r w:rsidRPr="00726298">
        <w:rPr>
          <w:rFonts w:cs="Calibri"/>
          <w:color w:val="000000" w:themeColor="text1"/>
        </w:rPr>
        <w:t xml:space="preserve"> sobre </w:t>
      </w:r>
      <w:r w:rsidRPr="00726298">
        <w:rPr>
          <w:rFonts w:cs="Calibri"/>
          <w:i/>
          <w:iCs/>
          <w:color w:val="000000" w:themeColor="text1"/>
        </w:rPr>
        <w:t>pools</w:t>
      </w:r>
      <w:r w:rsidRPr="00726298">
        <w:rPr>
          <w:rFonts w:cs="Calibri"/>
          <w:color w:val="000000" w:themeColor="text1"/>
        </w:rPr>
        <w:t xml:space="preserve"> de crédito hipotecário HTC, estabelecidas pelo Banco Santander </w:t>
      </w:r>
      <w:proofErr w:type="spellStart"/>
      <w:r w:rsidRPr="00726298">
        <w:rPr>
          <w:rFonts w:cs="Calibri"/>
          <w:color w:val="000000" w:themeColor="text1"/>
        </w:rPr>
        <w:t>Totta</w:t>
      </w:r>
      <w:proofErr w:type="spellEnd"/>
      <w:r w:rsidRPr="00726298">
        <w:rPr>
          <w:rFonts w:cs="Calibri"/>
          <w:color w:val="000000" w:themeColor="text1"/>
        </w:rPr>
        <w:t xml:space="preserve"> (adiante também designado por "Banco").</w:t>
      </w:r>
    </w:p>
    <w:p w14:paraId="4A0F0A4C" w14:textId="29D54F9F" w:rsidR="00DD7BEE" w:rsidRDefault="00055A79" w:rsidP="00DD7BEE">
      <w:pPr>
        <w:pStyle w:val="Corpo"/>
        <w:spacing w:after="240" w:line="240" w:lineRule="auto"/>
        <w:jc w:val="both"/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>As</w:t>
      </w:r>
      <w:r w:rsidR="00295124">
        <w:rPr>
          <w:rFonts w:cs="Calibri"/>
          <w:color w:val="000000" w:themeColor="text1"/>
        </w:rPr>
        <w:t xml:space="preserve"> fichas individuais</w:t>
      </w:r>
      <w:r>
        <w:rPr>
          <w:rFonts w:cs="Calibri"/>
          <w:color w:val="000000" w:themeColor="text1"/>
        </w:rPr>
        <w:t>, a matriz de coberturas</w:t>
      </w:r>
      <w:r w:rsidR="00804F95">
        <w:rPr>
          <w:rFonts w:cs="Calibri"/>
          <w:color w:val="000000" w:themeColor="text1"/>
        </w:rPr>
        <w:t xml:space="preserve"> e </w:t>
      </w:r>
      <w:r w:rsidR="00DD7BEE" w:rsidRPr="00DD7BEE">
        <w:rPr>
          <w:rFonts w:cs="Calibri"/>
          <w:color w:val="000000" w:themeColor="text1"/>
        </w:rPr>
        <w:t>este documento constitu</w:t>
      </w:r>
      <w:r>
        <w:rPr>
          <w:rFonts w:cs="Calibri"/>
          <w:color w:val="000000" w:themeColor="text1"/>
        </w:rPr>
        <w:t>em</w:t>
      </w:r>
      <w:r w:rsidR="00DD7BEE" w:rsidRPr="00DD7BEE">
        <w:rPr>
          <w:rFonts w:cs="Calibri"/>
          <w:color w:val="000000" w:themeColor="text1"/>
        </w:rPr>
        <w:t xml:space="preserve"> a documentação oficial de cada cobertura</w:t>
      </w:r>
      <w:r w:rsidR="00C803FA">
        <w:rPr>
          <w:rFonts w:cs="Calibri"/>
          <w:color w:val="000000" w:themeColor="text1"/>
        </w:rPr>
        <w:t xml:space="preserve"> </w:t>
      </w:r>
      <w:r w:rsidR="00DD7BEE" w:rsidRPr="00DD7BEE">
        <w:rPr>
          <w:rFonts w:cs="Calibri"/>
          <w:color w:val="000000" w:themeColor="text1"/>
        </w:rPr>
        <w:t>e estabelece</w:t>
      </w:r>
      <w:r w:rsidR="00804F95">
        <w:rPr>
          <w:rFonts w:cs="Calibri"/>
          <w:color w:val="000000" w:themeColor="text1"/>
        </w:rPr>
        <w:t>m</w:t>
      </w:r>
      <w:r w:rsidR="00DD7BEE" w:rsidRPr="00DD7BEE">
        <w:rPr>
          <w:rFonts w:cs="Calibri"/>
          <w:color w:val="000000" w:themeColor="text1"/>
        </w:rPr>
        <w:t xml:space="preserve"> as diretrizes seguidas pelo Banco para esta</w:t>
      </w:r>
      <w:r w:rsidR="00C803FA">
        <w:rPr>
          <w:rFonts w:cs="Calibri"/>
          <w:color w:val="000000" w:themeColor="text1"/>
        </w:rPr>
        <w:t xml:space="preserve"> tipologia de </w:t>
      </w:r>
      <w:r w:rsidR="00DD7BEE" w:rsidRPr="00DD7BEE">
        <w:rPr>
          <w:rFonts w:cs="Calibri"/>
          <w:color w:val="000000" w:themeColor="text1"/>
        </w:rPr>
        <w:t xml:space="preserve">coberturas. Este documento garante </w:t>
      </w:r>
      <w:r w:rsidR="00804F95">
        <w:rPr>
          <w:rFonts w:cs="Calibri"/>
          <w:color w:val="000000" w:themeColor="text1"/>
        </w:rPr>
        <w:t xml:space="preserve">ainda </w:t>
      </w:r>
      <w:r w:rsidR="00DD7BEE" w:rsidRPr="00DD7BEE">
        <w:rPr>
          <w:rFonts w:cs="Calibri"/>
          <w:color w:val="000000" w:themeColor="text1"/>
        </w:rPr>
        <w:t>a conformidade com os requisitos regulamentares da IFRS 9</w:t>
      </w:r>
      <w:r w:rsidR="008565B0">
        <w:rPr>
          <w:rStyle w:val="FootnoteReference"/>
          <w:rFonts w:cs="Calibri"/>
          <w:color w:val="000000" w:themeColor="text1"/>
        </w:rPr>
        <w:footnoteReference w:id="1"/>
      </w:r>
      <w:r w:rsidR="00DD7BEE" w:rsidRPr="00DD7BEE">
        <w:rPr>
          <w:rFonts w:cs="Calibri"/>
          <w:color w:val="000000" w:themeColor="text1"/>
        </w:rPr>
        <w:t xml:space="preserve"> e está alinhado com os objetivos de gestão d</w:t>
      </w:r>
      <w:r w:rsidR="00830416">
        <w:rPr>
          <w:rFonts w:cs="Calibri"/>
          <w:color w:val="000000" w:themeColor="text1"/>
        </w:rPr>
        <w:t>e</w:t>
      </w:r>
      <w:r w:rsidR="00DD7BEE" w:rsidRPr="00DD7BEE">
        <w:rPr>
          <w:rFonts w:cs="Calibri"/>
          <w:color w:val="000000" w:themeColor="text1"/>
        </w:rPr>
        <w:t xml:space="preserve"> risco do Banco.</w:t>
      </w:r>
    </w:p>
    <w:p w14:paraId="07A9F6EB" w14:textId="476E6D3C" w:rsidR="000F30A1" w:rsidRDefault="00C76F87" w:rsidP="00726298">
      <w:pPr>
        <w:pStyle w:val="Corpo"/>
        <w:spacing w:after="240" w:line="240" w:lineRule="auto"/>
        <w:jc w:val="both"/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>A IFRS9 estabelece o</w:t>
      </w:r>
      <w:r w:rsidR="00DD7BEE" w:rsidRPr="00DD7BEE">
        <w:rPr>
          <w:rFonts w:cs="Calibri"/>
          <w:color w:val="000000" w:themeColor="text1"/>
        </w:rPr>
        <w:t xml:space="preserve"> quadro regulamentar aplicável às coberturas de justo valor, que permite a cobertura da exposição a flutuações de justo valor devido ao risco de taxa de juro.</w:t>
      </w:r>
    </w:p>
    <w:p w14:paraId="6E03D38F" w14:textId="0360AADC" w:rsidR="007951B1" w:rsidRDefault="00AE3B8A" w:rsidP="002464C2">
      <w:pPr>
        <w:pStyle w:val="Ttulo11"/>
        <w:numPr>
          <w:ilvl w:val="0"/>
          <w:numId w:val="6"/>
        </w:numPr>
        <w:spacing w:line="240" w:lineRule="auto"/>
      </w:pPr>
      <w:bookmarkStart w:id="3" w:name="_Toc205551740"/>
      <w:r>
        <w:t xml:space="preserve">Tipo de </w:t>
      </w:r>
      <w:r w:rsidR="00F63401" w:rsidRPr="00F63401">
        <w:t>Cobertura</w:t>
      </w:r>
      <w:bookmarkEnd w:id="3"/>
    </w:p>
    <w:p w14:paraId="049BBB52" w14:textId="7305AED4" w:rsidR="006B11A9" w:rsidRPr="001B3096" w:rsidRDefault="006B11A9" w:rsidP="00726298">
      <w:pPr>
        <w:pStyle w:val="Corpo"/>
        <w:spacing w:after="240" w:line="240" w:lineRule="auto"/>
        <w:ind w:left="-284"/>
        <w:jc w:val="both"/>
      </w:pPr>
      <w:r>
        <w:rPr>
          <w:rFonts w:cs="Calibri"/>
          <w:color w:val="000000" w:themeColor="text1"/>
        </w:rPr>
        <w:t xml:space="preserve">A IFRS9 estabelece </w:t>
      </w:r>
      <w:r w:rsidRPr="00726298">
        <w:rPr>
          <w:rFonts w:cs="Calibri"/>
          <w:color w:val="000000" w:themeColor="text1"/>
        </w:rPr>
        <w:t xml:space="preserve">o quadro regulamentar aplicável às coberturas </w:t>
      </w:r>
      <w:r w:rsidRPr="00726298">
        <w:rPr>
          <w:rFonts w:cs="Calibri"/>
          <w:i/>
          <w:iCs/>
          <w:color w:val="000000" w:themeColor="text1"/>
        </w:rPr>
        <w:t xml:space="preserve">cash </w:t>
      </w:r>
      <w:proofErr w:type="spellStart"/>
      <w:r w:rsidRPr="00726298">
        <w:rPr>
          <w:rFonts w:cs="Calibri"/>
          <w:i/>
          <w:iCs/>
          <w:color w:val="000000" w:themeColor="text1"/>
        </w:rPr>
        <w:t>flow</w:t>
      </w:r>
      <w:proofErr w:type="spellEnd"/>
      <w:r w:rsidRPr="00726298">
        <w:rPr>
          <w:rFonts w:cs="Calibri"/>
          <w:color w:val="000000" w:themeColor="text1"/>
        </w:rPr>
        <w:t xml:space="preserve">, que permite a cobertura da exposição a flutuações de </w:t>
      </w:r>
      <w:r w:rsidRPr="00726298">
        <w:rPr>
          <w:rFonts w:cs="Calibri"/>
          <w:i/>
          <w:iCs/>
          <w:color w:val="000000" w:themeColor="text1"/>
        </w:rPr>
        <w:t xml:space="preserve">cash </w:t>
      </w:r>
      <w:proofErr w:type="spellStart"/>
      <w:r w:rsidRPr="00726298">
        <w:rPr>
          <w:rFonts w:cs="Calibri"/>
          <w:i/>
          <w:iCs/>
          <w:color w:val="000000" w:themeColor="text1"/>
        </w:rPr>
        <w:t>flow</w:t>
      </w:r>
      <w:proofErr w:type="spellEnd"/>
      <w:r w:rsidRPr="00726298">
        <w:rPr>
          <w:rFonts w:cs="Calibri"/>
          <w:color w:val="000000" w:themeColor="text1"/>
        </w:rPr>
        <w:t xml:space="preserve"> devido ao risco de taxa de juro.</w:t>
      </w:r>
    </w:p>
    <w:tbl>
      <w:tblPr>
        <w:tblStyle w:val="TableGrid"/>
        <w:tblW w:w="9804" w:type="dxa"/>
        <w:tblInd w:w="-170" w:type="dxa"/>
        <w:tblLayout w:type="fixed"/>
        <w:tblLook w:val="04A0" w:firstRow="1" w:lastRow="0" w:firstColumn="1" w:lastColumn="0" w:noHBand="0" w:noVBand="1"/>
      </w:tblPr>
      <w:tblGrid>
        <w:gridCol w:w="1285"/>
        <w:gridCol w:w="1235"/>
        <w:gridCol w:w="1473"/>
        <w:gridCol w:w="2551"/>
        <w:gridCol w:w="1401"/>
        <w:gridCol w:w="1859"/>
      </w:tblGrid>
      <w:tr w:rsidR="00D8297E" w:rsidRPr="00073698" w14:paraId="7D5CA5C9" w14:textId="77777777" w:rsidTr="00726298">
        <w:trPr>
          <w:trHeight w:val="624"/>
        </w:trPr>
        <w:tc>
          <w:tcPr>
            <w:tcW w:w="1285" w:type="dxa"/>
            <w:shd w:val="clear" w:color="auto" w:fill="FF0000"/>
            <w:vAlign w:val="center"/>
          </w:tcPr>
          <w:p w14:paraId="12BD3816" w14:textId="2C682A3A" w:rsidR="00857AD1" w:rsidRPr="00073698" w:rsidRDefault="00857AD1" w:rsidP="00FE24BF">
            <w:pPr>
              <w:pStyle w:val="Corpo"/>
              <w:ind w:left="0" w:right="0"/>
              <w:jc w:val="center"/>
              <w:rPr>
                <w:b/>
                <w:bCs/>
                <w:i/>
                <w:iCs/>
                <w:color w:val="FFFFFF" w:themeColor="background1"/>
              </w:rPr>
            </w:pPr>
            <w:r w:rsidRPr="00073698">
              <w:rPr>
                <w:b/>
                <w:bCs/>
                <w:color w:val="FFFFFF" w:themeColor="background1"/>
              </w:rPr>
              <w:t xml:space="preserve">Tipo de </w:t>
            </w:r>
            <w:r w:rsidR="005751C6" w:rsidRPr="00073698">
              <w:rPr>
                <w:b/>
                <w:bCs/>
                <w:color w:val="FFFFFF" w:themeColor="background1"/>
              </w:rPr>
              <w:t xml:space="preserve">             </w:t>
            </w:r>
            <w:proofErr w:type="spellStart"/>
            <w:r w:rsidR="00C043A4" w:rsidRPr="00073698">
              <w:rPr>
                <w:b/>
                <w:bCs/>
                <w:color w:val="FFFFFF" w:themeColor="background1"/>
              </w:rPr>
              <w:t>cobertura</w:t>
            </w:r>
            <w:proofErr w:type="spellEnd"/>
          </w:p>
        </w:tc>
        <w:tc>
          <w:tcPr>
            <w:tcW w:w="1235" w:type="dxa"/>
            <w:shd w:val="clear" w:color="auto" w:fill="FF0000"/>
            <w:vAlign w:val="center"/>
          </w:tcPr>
          <w:p w14:paraId="001D5992" w14:textId="365194E0" w:rsidR="00857AD1" w:rsidRPr="00073698" w:rsidRDefault="00312C00" w:rsidP="00FE24BF">
            <w:pPr>
              <w:pStyle w:val="Corpo"/>
              <w:ind w:left="0" w:right="0"/>
              <w:jc w:val="center"/>
              <w:rPr>
                <w:b/>
                <w:bCs/>
                <w:color w:val="FFFFFF" w:themeColor="background1"/>
              </w:rPr>
            </w:pPr>
            <w:r w:rsidRPr="00073698">
              <w:rPr>
                <w:b/>
                <w:bCs/>
                <w:color w:val="FFFFFF" w:themeColor="background1"/>
              </w:rPr>
              <w:t xml:space="preserve">Total do </w:t>
            </w:r>
            <w:proofErr w:type="spellStart"/>
            <w:r w:rsidRPr="00073698">
              <w:rPr>
                <w:b/>
                <w:bCs/>
                <w:color w:val="FFFFFF" w:themeColor="background1"/>
              </w:rPr>
              <w:t>balanço</w:t>
            </w:r>
            <w:proofErr w:type="spellEnd"/>
          </w:p>
        </w:tc>
        <w:tc>
          <w:tcPr>
            <w:tcW w:w="1473" w:type="dxa"/>
            <w:shd w:val="clear" w:color="auto" w:fill="FF0000"/>
            <w:vAlign w:val="center"/>
          </w:tcPr>
          <w:p w14:paraId="0101E4A6" w14:textId="69E426EA" w:rsidR="00857AD1" w:rsidRPr="00073698" w:rsidRDefault="00312C00" w:rsidP="00FE24BF">
            <w:pPr>
              <w:pStyle w:val="Corpo"/>
              <w:ind w:left="0" w:right="0"/>
              <w:jc w:val="center"/>
              <w:rPr>
                <w:b/>
                <w:bCs/>
                <w:color w:val="FFFFFF" w:themeColor="background1"/>
              </w:rPr>
            </w:pPr>
            <w:proofErr w:type="spellStart"/>
            <w:r w:rsidRPr="00073698">
              <w:rPr>
                <w:b/>
                <w:bCs/>
                <w:color w:val="FFFFFF" w:themeColor="background1"/>
              </w:rPr>
              <w:t>Classificação</w:t>
            </w:r>
            <w:proofErr w:type="spellEnd"/>
            <w:r w:rsidRPr="00073698">
              <w:rPr>
                <w:b/>
                <w:bCs/>
                <w:color w:val="FFFFFF" w:themeColor="background1"/>
              </w:rPr>
              <w:t xml:space="preserve"> do </w:t>
            </w:r>
            <w:proofErr w:type="spellStart"/>
            <w:r w:rsidRPr="00073698">
              <w:rPr>
                <w:b/>
                <w:bCs/>
                <w:color w:val="FFFFFF" w:themeColor="background1"/>
              </w:rPr>
              <w:t>balanço</w:t>
            </w:r>
            <w:proofErr w:type="spellEnd"/>
          </w:p>
        </w:tc>
        <w:tc>
          <w:tcPr>
            <w:tcW w:w="2551" w:type="dxa"/>
            <w:shd w:val="clear" w:color="auto" w:fill="FF0000"/>
            <w:vAlign w:val="center"/>
          </w:tcPr>
          <w:p w14:paraId="40AD6708" w14:textId="25BE54BA" w:rsidR="00857AD1" w:rsidRPr="00073698" w:rsidRDefault="002B5D43" w:rsidP="00FE24BF">
            <w:pPr>
              <w:pStyle w:val="Corpo"/>
              <w:ind w:left="0" w:right="0"/>
              <w:jc w:val="center"/>
              <w:rPr>
                <w:b/>
                <w:bCs/>
                <w:color w:val="FFFFFF" w:themeColor="background1"/>
              </w:rPr>
            </w:pPr>
            <w:r w:rsidRPr="00073698">
              <w:rPr>
                <w:b/>
                <w:bCs/>
                <w:color w:val="FFFFFF" w:themeColor="background1"/>
              </w:rPr>
              <w:t xml:space="preserve">Risco </w:t>
            </w:r>
            <w:proofErr w:type="spellStart"/>
            <w:r w:rsidRPr="00073698">
              <w:rPr>
                <w:b/>
                <w:bCs/>
                <w:color w:val="FFFFFF" w:themeColor="background1"/>
              </w:rPr>
              <w:t>coberto</w:t>
            </w:r>
            <w:proofErr w:type="spellEnd"/>
          </w:p>
        </w:tc>
        <w:tc>
          <w:tcPr>
            <w:tcW w:w="1401" w:type="dxa"/>
            <w:shd w:val="clear" w:color="auto" w:fill="FF0000"/>
            <w:vAlign w:val="center"/>
          </w:tcPr>
          <w:p w14:paraId="575684FE" w14:textId="21828D4E" w:rsidR="00857AD1" w:rsidRPr="00073698" w:rsidRDefault="002B5D43" w:rsidP="00FE24BF">
            <w:pPr>
              <w:pStyle w:val="Corpo"/>
              <w:ind w:left="0" w:right="0"/>
              <w:jc w:val="center"/>
              <w:rPr>
                <w:b/>
                <w:bCs/>
                <w:color w:val="FFFFFF" w:themeColor="background1"/>
              </w:rPr>
            </w:pPr>
            <w:r w:rsidRPr="00073698">
              <w:rPr>
                <w:b/>
                <w:bCs/>
                <w:color w:val="FFFFFF" w:themeColor="background1"/>
              </w:rPr>
              <w:t xml:space="preserve">Item </w:t>
            </w:r>
            <w:proofErr w:type="spellStart"/>
            <w:r w:rsidRPr="00073698">
              <w:rPr>
                <w:b/>
                <w:bCs/>
                <w:color w:val="FFFFFF" w:themeColor="background1"/>
              </w:rPr>
              <w:t>coberto</w:t>
            </w:r>
            <w:proofErr w:type="spellEnd"/>
          </w:p>
        </w:tc>
        <w:tc>
          <w:tcPr>
            <w:tcW w:w="1859" w:type="dxa"/>
            <w:shd w:val="clear" w:color="auto" w:fill="FF0000"/>
            <w:vAlign w:val="center"/>
          </w:tcPr>
          <w:p w14:paraId="2D38F6B1" w14:textId="7261767A" w:rsidR="00857AD1" w:rsidRPr="00073698" w:rsidRDefault="002B5D43" w:rsidP="00FE24BF">
            <w:pPr>
              <w:pStyle w:val="Corpo"/>
              <w:ind w:left="0" w:right="0"/>
              <w:jc w:val="center"/>
              <w:rPr>
                <w:b/>
                <w:bCs/>
                <w:color w:val="FFFFFF" w:themeColor="background1"/>
              </w:rPr>
            </w:pPr>
            <w:proofErr w:type="spellStart"/>
            <w:r w:rsidRPr="00073698">
              <w:rPr>
                <w:b/>
                <w:bCs/>
                <w:color w:val="FFFFFF" w:themeColor="background1"/>
              </w:rPr>
              <w:t>I</w:t>
            </w:r>
            <w:r w:rsidR="00025CA8">
              <w:rPr>
                <w:b/>
                <w:bCs/>
                <w:color w:val="FFFFFF" w:themeColor="background1"/>
              </w:rPr>
              <w:t>nstrumento</w:t>
            </w:r>
            <w:proofErr w:type="spellEnd"/>
            <w:r w:rsidRPr="00073698">
              <w:rPr>
                <w:b/>
                <w:bCs/>
                <w:color w:val="FFFFFF" w:themeColor="background1"/>
              </w:rPr>
              <w:t xml:space="preserve"> de </w:t>
            </w:r>
            <w:proofErr w:type="spellStart"/>
            <w:r w:rsidRPr="00073698">
              <w:rPr>
                <w:b/>
                <w:bCs/>
                <w:color w:val="FFFFFF" w:themeColor="background1"/>
              </w:rPr>
              <w:t>cobertura</w:t>
            </w:r>
            <w:proofErr w:type="spellEnd"/>
          </w:p>
        </w:tc>
      </w:tr>
      <w:tr w:rsidR="000F44F3" w:rsidRPr="00073698" w14:paraId="02FF0727" w14:textId="77777777" w:rsidTr="00726298">
        <w:tc>
          <w:tcPr>
            <w:tcW w:w="1285" w:type="dxa"/>
            <w:vAlign w:val="center"/>
          </w:tcPr>
          <w:p w14:paraId="665106C7" w14:textId="513B529C" w:rsidR="000F44F3" w:rsidRPr="000F44F3" w:rsidRDefault="000F44F3" w:rsidP="000F44F3">
            <w:pPr>
              <w:pStyle w:val="Corpo"/>
              <w:spacing w:after="240"/>
              <w:ind w:left="0" w:right="0"/>
              <w:jc w:val="center"/>
              <w:rPr>
                <w:rFonts w:cs="Calibri"/>
                <w:color w:val="000000" w:themeColor="text1"/>
                <w:lang w:val="pt-PT"/>
              </w:rPr>
            </w:pPr>
            <w:r w:rsidRPr="00726298">
              <w:rPr>
                <w:rFonts w:cs="Calibri"/>
                <w:color w:val="000000" w:themeColor="text1"/>
                <w:lang w:val="pt-PT"/>
              </w:rPr>
              <w:t xml:space="preserve">Micro-coberturas de </w:t>
            </w:r>
            <w:r w:rsidRPr="00726298">
              <w:rPr>
                <w:rFonts w:cs="Calibri"/>
                <w:i/>
                <w:iCs/>
                <w:color w:val="000000" w:themeColor="text1"/>
                <w:lang w:val="pt-PT"/>
              </w:rPr>
              <w:t>cash flow</w:t>
            </w:r>
          </w:p>
        </w:tc>
        <w:tc>
          <w:tcPr>
            <w:tcW w:w="1235" w:type="dxa"/>
            <w:vAlign w:val="center"/>
          </w:tcPr>
          <w:p w14:paraId="4D7DFCC0" w14:textId="6BDD0435" w:rsidR="000F44F3" w:rsidRPr="000F44F3" w:rsidRDefault="000F44F3" w:rsidP="000F44F3">
            <w:pPr>
              <w:pStyle w:val="Corpo"/>
              <w:spacing w:after="240"/>
              <w:ind w:left="0" w:right="0"/>
              <w:jc w:val="center"/>
              <w:rPr>
                <w:rFonts w:cs="Calibri"/>
                <w:color w:val="000000" w:themeColor="text1"/>
                <w:lang w:val="pt-PT"/>
              </w:rPr>
            </w:pPr>
            <w:proofErr w:type="spellStart"/>
            <w:r w:rsidRPr="00726298">
              <w:rPr>
                <w:rFonts w:cs="Calibri"/>
                <w:color w:val="000000" w:themeColor="text1"/>
              </w:rPr>
              <w:t>Ativo</w:t>
            </w:r>
            <w:proofErr w:type="spellEnd"/>
          </w:p>
        </w:tc>
        <w:tc>
          <w:tcPr>
            <w:tcW w:w="1473" w:type="dxa"/>
            <w:vAlign w:val="center"/>
          </w:tcPr>
          <w:p w14:paraId="75562046" w14:textId="2513771B" w:rsidR="000F44F3" w:rsidRPr="000F44F3" w:rsidRDefault="000F44F3" w:rsidP="000F44F3">
            <w:pPr>
              <w:pStyle w:val="Corpo"/>
              <w:spacing w:after="240"/>
              <w:ind w:left="0" w:right="0"/>
              <w:jc w:val="center"/>
              <w:rPr>
                <w:rFonts w:cs="Calibri"/>
                <w:color w:val="000000" w:themeColor="text1"/>
                <w:lang w:val="pt-PT"/>
              </w:rPr>
            </w:pPr>
            <w:r w:rsidRPr="00726298">
              <w:rPr>
                <w:rFonts w:cs="Calibri"/>
                <w:color w:val="000000" w:themeColor="text1"/>
              </w:rPr>
              <w:t>HTC</w:t>
            </w:r>
          </w:p>
        </w:tc>
        <w:tc>
          <w:tcPr>
            <w:tcW w:w="2551" w:type="dxa"/>
            <w:vAlign w:val="center"/>
          </w:tcPr>
          <w:p w14:paraId="0421050F" w14:textId="54D1C0F2" w:rsidR="000F44F3" w:rsidRPr="000F44F3" w:rsidRDefault="000F44F3" w:rsidP="000F44F3">
            <w:pPr>
              <w:pStyle w:val="Corpo"/>
              <w:spacing w:after="240"/>
              <w:ind w:left="0" w:right="0"/>
              <w:jc w:val="center"/>
              <w:rPr>
                <w:rFonts w:cs="Calibri"/>
                <w:color w:val="000000" w:themeColor="text1"/>
                <w:lang w:val="pt-PT"/>
              </w:rPr>
            </w:pPr>
            <w:r w:rsidRPr="00726298">
              <w:rPr>
                <w:rFonts w:cs="Calibri"/>
                <w:color w:val="000000" w:themeColor="text1"/>
                <w:lang w:val="pt-PT"/>
              </w:rPr>
              <w:t xml:space="preserve">Risco de Taxa de Juro na variabilidade dos fluxos de caixa futuros de instrumentos financeiros com taxa de juro variável </w:t>
            </w:r>
          </w:p>
        </w:tc>
        <w:tc>
          <w:tcPr>
            <w:tcW w:w="1401" w:type="dxa"/>
            <w:vAlign w:val="center"/>
          </w:tcPr>
          <w:p w14:paraId="01CBCC05" w14:textId="5D2B8CBB" w:rsidR="000F44F3" w:rsidRPr="000F44F3" w:rsidRDefault="000F44F3" w:rsidP="000F44F3">
            <w:pPr>
              <w:pStyle w:val="Corpo"/>
              <w:spacing w:after="240"/>
              <w:ind w:left="0" w:right="0"/>
              <w:jc w:val="center"/>
              <w:rPr>
                <w:rFonts w:cs="Calibri"/>
                <w:color w:val="000000" w:themeColor="text1"/>
                <w:lang w:val="pt-PT"/>
              </w:rPr>
            </w:pPr>
            <w:r w:rsidRPr="00726298">
              <w:rPr>
                <w:rFonts w:cs="Calibri"/>
                <w:color w:val="000000" w:themeColor="text1"/>
              </w:rPr>
              <w:t xml:space="preserve">Pools de </w:t>
            </w:r>
            <w:proofErr w:type="spellStart"/>
            <w:r w:rsidRPr="00726298">
              <w:rPr>
                <w:rFonts w:cs="Calibri"/>
                <w:color w:val="000000" w:themeColor="text1"/>
              </w:rPr>
              <w:t>crédito</w:t>
            </w:r>
            <w:proofErr w:type="spellEnd"/>
            <w:r w:rsidRPr="00726298">
              <w:rPr>
                <w:rFonts w:cs="Calibri"/>
                <w:color w:val="000000" w:themeColor="text1"/>
              </w:rPr>
              <w:t xml:space="preserve"> </w:t>
            </w:r>
            <w:proofErr w:type="spellStart"/>
            <w:r w:rsidRPr="00726298">
              <w:rPr>
                <w:rFonts w:cs="Calibri"/>
                <w:color w:val="000000" w:themeColor="text1"/>
              </w:rPr>
              <w:t>hipotecário</w:t>
            </w:r>
            <w:proofErr w:type="spellEnd"/>
          </w:p>
        </w:tc>
        <w:tc>
          <w:tcPr>
            <w:tcW w:w="1859" w:type="dxa"/>
            <w:vAlign w:val="center"/>
          </w:tcPr>
          <w:p w14:paraId="025E9ECE" w14:textId="6E0CD0EC" w:rsidR="000F44F3" w:rsidRPr="000F44F3" w:rsidRDefault="000F44F3" w:rsidP="000F44F3">
            <w:pPr>
              <w:pStyle w:val="Corpo"/>
              <w:spacing w:after="240"/>
              <w:ind w:left="0" w:right="0"/>
              <w:jc w:val="center"/>
              <w:rPr>
                <w:rFonts w:cs="Calibri"/>
                <w:color w:val="000000" w:themeColor="text1"/>
                <w:lang w:val="pt-PT"/>
              </w:rPr>
            </w:pPr>
            <w:r w:rsidRPr="00726298">
              <w:rPr>
                <w:rFonts w:cs="Calibri"/>
                <w:color w:val="000000" w:themeColor="text1"/>
              </w:rPr>
              <w:t>IRS</w:t>
            </w:r>
            <w:r w:rsidRPr="000F44F3">
              <w:rPr>
                <w:rFonts w:cs="Calibri"/>
                <w:color w:val="000000" w:themeColor="text1"/>
                <w:lang w:val="pt-PT"/>
              </w:rPr>
              <w:t xml:space="preserve"> – </w:t>
            </w:r>
            <w:r w:rsidRPr="00726298">
              <w:rPr>
                <w:rFonts w:cs="Calibri"/>
                <w:color w:val="000000" w:themeColor="text1"/>
              </w:rPr>
              <w:t>Interest Rate Swap</w:t>
            </w:r>
          </w:p>
        </w:tc>
      </w:tr>
    </w:tbl>
    <w:p w14:paraId="5BA96662" w14:textId="2391DF69" w:rsidR="00710B1B" w:rsidRPr="00710B1B" w:rsidRDefault="00710B1B" w:rsidP="00726298">
      <w:pPr>
        <w:pStyle w:val="Corpo"/>
        <w:spacing w:after="240" w:line="240" w:lineRule="auto"/>
        <w:ind w:left="0"/>
        <w:jc w:val="both"/>
        <w:rPr>
          <w:rFonts w:cs="Calibri"/>
          <w:color w:val="000000" w:themeColor="text1"/>
          <w:highlight w:val="green"/>
        </w:rPr>
      </w:pPr>
    </w:p>
    <w:p w14:paraId="5C3E177C" w14:textId="136C4D8A" w:rsidR="00E158F6" w:rsidRDefault="00E158F6" w:rsidP="00732DBB">
      <w:pPr>
        <w:pStyle w:val="Ttulo11"/>
        <w:numPr>
          <w:ilvl w:val="0"/>
          <w:numId w:val="6"/>
        </w:numPr>
      </w:pPr>
      <w:bookmarkStart w:id="4" w:name="_Toc205551755"/>
      <w:bookmarkStart w:id="5" w:name="_Toc205551756"/>
      <w:bookmarkEnd w:id="4"/>
      <w:r>
        <w:lastRenderedPageBreak/>
        <w:t>Contabili</w:t>
      </w:r>
      <w:r w:rsidR="00723CC3">
        <w:t>z</w:t>
      </w:r>
      <w:r>
        <w:t>a</w:t>
      </w:r>
      <w:r w:rsidR="00723CC3">
        <w:t>ção</w:t>
      </w:r>
      <w:r>
        <w:t xml:space="preserve"> de cobertura</w:t>
      </w:r>
      <w:r w:rsidR="00723CC3">
        <w:t>s</w:t>
      </w:r>
      <w:bookmarkEnd w:id="5"/>
    </w:p>
    <w:p w14:paraId="7BF335A3" w14:textId="77777777" w:rsidR="004C3AE5" w:rsidRPr="00726298" w:rsidRDefault="004C3AE5" w:rsidP="00726298">
      <w:pPr>
        <w:pStyle w:val="Ttulo11"/>
        <w:outlineLvl w:val="9"/>
        <w:rPr>
          <w:rFonts w:eastAsiaTheme="minorHAnsi"/>
          <w:b w:val="0"/>
          <w:sz w:val="24"/>
          <w:szCs w:val="22"/>
        </w:rPr>
      </w:pPr>
      <w:r w:rsidRPr="00726298">
        <w:rPr>
          <w:rFonts w:eastAsiaTheme="minorHAnsi"/>
          <w:b w:val="0"/>
          <w:sz w:val="24"/>
          <w:szCs w:val="22"/>
        </w:rPr>
        <w:t xml:space="preserve">A aplicação da contabilidade de cobertura de fluxos de caixa implica os seguintes registos: </w:t>
      </w:r>
    </w:p>
    <w:p w14:paraId="3C5DA2A7" w14:textId="77777777" w:rsidR="004C3AE5" w:rsidRPr="00726298" w:rsidRDefault="004C3AE5" w:rsidP="00726298">
      <w:pPr>
        <w:pStyle w:val="Ttulo11"/>
        <w:ind w:left="76"/>
        <w:outlineLvl w:val="9"/>
        <w:rPr>
          <w:rFonts w:eastAsiaTheme="minorHAnsi"/>
          <w:b w:val="0"/>
          <w:sz w:val="24"/>
          <w:szCs w:val="22"/>
        </w:rPr>
      </w:pPr>
      <w:r w:rsidRPr="00726298">
        <w:rPr>
          <w:rFonts w:eastAsiaTheme="minorHAnsi"/>
          <w:b w:val="0"/>
          <w:sz w:val="24"/>
          <w:szCs w:val="22"/>
        </w:rPr>
        <w:t xml:space="preserve">− O ganho ou perda no instrumento de cobertura na parcela que seja considerada eficaz é reconhecido diretamente em rubrica específica do capital próprio; e </w:t>
      </w:r>
    </w:p>
    <w:p w14:paraId="4B182677" w14:textId="77777777" w:rsidR="004C3AE5" w:rsidRPr="00726298" w:rsidRDefault="004C3AE5" w:rsidP="004C3AE5">
      <w:pPr>
        <w:pStyle w:val="Ttulo11"/>
        <w:ind w:left="76"/>
        <w:outlineLvl w:val="9"/>
        <w:rPr>
          <w:rFonts w:eastAsiaTheme="minorHAnsi"/>
          <w:b w:val="0"/>
          <w:sz w:val="24"/>
          <w:szCs w:val="22"/>
        </w:rPr>
      </w:pPr>
      <w:r w:rsidRPr="00726298">
        <w:rPr>
          <w:rFonts w:eastAsiaTheme="minorHAnsi"/>
          <w:b w:val="0"/>
          <w:sz w:val="24"/>
          <w:szCs w:val="22"/>
        </w:rPr>
        <w:t>− A parte não eficaz é reconhecida em resultados.</w:t>
      </w:r>
    </w:p>
    <w:p w14:paraId="7CD34CCA" w14:textId="79EB1882" w:rsidR="004C3AE5" w:rsidRPr="00726298" w:rsidRDefault="004C3AE5" w:rsidP="00726298">
      <w:pPr>
        <w:pStyle w:val="Ttulo11"/>
        <w:outlineLvl w:val="9"/>
        <w:rPr>
          <w:rFonts w:eastAsiaTheme="minorHAnsi"/>
          <w:b w:val="0"/>
          <w:sz w:val="24"/>
          <w:szCs w:val="22"/>
        </w:rPr>
      </w:pPr>
      <w:r w:rsidRPr="00726298">
        <w:rPr>
          <w:rFonts w:eastAsiaTheme="minorHAnsi"/>
          <w:b w:val="0"/>
          <w:sz w:val="24"/>
          <w:szCs w:val="22"/>
        </w:rPr>
        <w:t xml:space="preserve">Adicionalmente, o ganho ou perda no instrumento de cobertura reconhecido em capitais próprios corresponde ao menor dos seguintes valores: </w:t>
      </w:r>
    </w:p>
    <w:p w14:paraId="5135DFC9" w14:textId="77777777" w:rsidR="004C3AE5" w:rsidRPr="00726298" w:rsidRDefault="004C3AE5" w:rsidP="00726298">
      <w:pPr>
        <w:pStyle w:val="Ttulo11"/>
        <w:ind w:left="76"/>
        <w:outlineLvl w:val="9"/>
        <w:rPr>
          <w:rFonts w:eastAsiaTheme="minorHAnsi"/>
          <w:b w:val="0"/>
          <w:sz w:val="24"/>
          <w:szCs w:val="22"/>
        </w:rPr>
      </w:pPr>
      <w:r w:rsidRPr="00726298">
        <w:rPr>
          <w:rFonts w:eastAsiaTheme="minorHAnsi"/>
          <w:b w:val="0"/>
          <w:sz w:val="24"/>
          <w:szCs w:val="22"/>
        </w:rPr>
        <w:t xml:space="preserve">− A variação acumulada no justo valor do instrumento de cobertura desde o início da cobertura; e </w:t>
      </w:r>
    </w:p>
    <w:p w14:paraId="4A3980E4" w14:textId="77777777" w:rsidR="004C3AE5" w:rsidRPr="00726298" w:rsidRDefault="004C3AE5" w:rsidP="004C3AE5">
      <w:pPr>
        <w:pStyle w:val="Ttulo11"/>
        <w:ind w:left="76"/>
        <w:outlineLvl w:val="9"/>
        <w:rPr>
          <w:rFonts w:eastAsiaTheme="minorHAnsi"/>
          <w:b w:val="0"/>
          <w:sz w:val="24"/>
          <w:szCs w:val="22"/>
        </w:rPr>
      </w:pPr>
      <w:r w:rsidRPr="00726298">
        <w:rPr>
          <w:rFonts w:eastAsiaTheme="minorHAnsi"/>
          <w:b w:val="0"/>
          <w:sz w:val="24"/>
          <w:szCs w:val="22"/>
        </w:rPr>
        <w:t xml:space="preserve">− A variação acumulada no justo valor do elemento coberto, relativo ao risco que está a ser coberto, desde o início da cobertura. </w:t>
      </w:r>
    </w:p>
    <w:p w14:paraId="47015C24" w14:textId="3E2C72B6" w:rsidR="004C3AE5" w:rsidRPr="004C3AE5" w:rsidRDefault="004C3AE5" w:rsidP="00726298">
      <w:pPr>
        <w:pStyle w:val="Ttulo11"/>
        <w:outlineLvl w:val="9"/>
        <w:rPr>
          <w:rFonts w:eastAsiaTheme="minorHAnsi"/>
          <w:b w:val="0"/>
          <w:sz w:val="24"/>
          <w:szCs w:val="22"/>
        </w:rPr>
      </w:pPr>
      <w:r w:rsidRPr="00726298">
        <w:rPr>
          <w:rFonts w:eastAsiaTheme="minorHAnsi"/>
          <w:b w:val="0"/>
          <w:sz w:val="24"/>
          <w:szCs w:val="22"/>
        </w:rPr>
        <w:t>Nesse sentido, e se aplicável, a parte não reconhecida em capitais próprios do ganho ou perda no instrumento de cobertura é refletida em resultados.</w:t>
      </w:r>
    </w:p>
    <w:p w14:paraId="4B18854E" w14:textId="2119221B" w:rsidR="00947DA2" w:rsidRDefault="007D08D5" w:rsidP="00732DBB">
      <w:pPr>
        <w:pStyle w:val="Ttulo11"/>
        <w:numPr>
          <w:ilvl w:val="0"/>
          <w:numId w:val="6"/>
        </w:numPr>
      </w:pPr>
      <w:bookmarkStart w:id="6" w:name="_Toc205551757"/>
      <w:bookmarkStart w:id="7" w:name="_Toc205551758"/>
      <w:bookmarkStart w:id="8" w:name="_Toc205551759"/>
      <w:bookmarkStart w:id="9" w:name="_Toc205551760"/>
      <w:bookmarkStart w:id="10" w:name="_Toc205551761"/>
      <w:bookmarkStart w:id="11" w:name="_Toc205551762"/>
      <w:bookmarkStart w:id="12" w:name="_Toc205551763"/>
      <w:bookmarkStart w:id="13" w:name="_Toc205551764"/>
      <w:bookmarkEnd w:id="6"/>
      <w:bookmarkEnd w:id="7"/>
      <w:bookmarkEnd w:id="8"/>
      <w:bookmarkEnd w:id="9"/>
      <w:bookmarkEnd w:id="10"/>
      <w:bookmarkEnd w:id="11"/>
      <w:bookmarkEnd w:id="12"/>
      <w:r>
        <w:t>Objetivo d</w:t>
      </w:r>
      <w:r w:rsidR="00FE24BF">
        <w:t>e</w:t>
      </w:r>
      <w:r>
        <w:t xml:space="preserve"> Gestão de Risco e </w:t>
      </w:r>
      <w:r w:rsidR="00FE24BF">
        <w:t>Estratégia de Cobertura</w:t>
      </w:r>
      <w:bookmarkEnd w:id="13"/>
    </w:p>
    <w:p w14:paraId="5A2348ED" w14:textId="519264BA" w:rsidR="00813350" w:rsidRPr="00015706" w:rsidRDefault="00015706" w:rsidP="00470C4C">
      <w:pPr>
        <w:pStyle w:val="Corpo"/>
        <w:spacing w:after="240"/>
        <w:jc w:val="both"/>
        <w:rPr>
          <w:rFonts w:cs="Calibri"/>
          <w:color w:val="000000" w:themeColor="text1"/>
        </w:rPr>
      </w:pPr>
      <w:r w:rsidRPr="00CA79F1">
        <w:rPr>
          <w:rFonts w:cs="Calibri"/>
          <w:color w:val="000000" w:themeColor="text1"/>
        </w:rPr>
        <w:t xml:space="preserve">O Banco detém no seu balanço diversos tipos de ativos e passivos, com diferentes periodicidades de </w:t>
      </w:r>
      <w:proofErr w:type="spellStart"/>
      <w:r w:rsidRPr="00CA79F1">
        <w:rPr>
          <w:rFonts w:cs="Calibri"/>
          <w:i/>
          <w:iCs/>
          <w:color w:val="000000" w:themeColor="text1"/>
        </w:rPr>
        <w:t>repricing</w:t>
      </w:r>
      <w:proofErr w:type="spellEnd"/>
      <w:r w:rsidRPr="00CA79F1">
        <w:rPr>
          <w:rFonts w:cs="Calibri"/>
          <w:i/>
          <w:iCs/>
          <w:color w:val="000000" w:themeColor="text1"/>
        </w:rPr>
        <w:t>,</w:t>
      </w:r>
      <w:r w:rsidRPr="00CA79F1">
        <w:rPr>
          <w:rFonts w:cs="Calibri"/>
          <w:color w:val="000000" w:themeColor="text1"/>
        </w:rPr>
        <w:t xml:space="preserve"> expondo-o ao risco de taxa de juro. O Banco dispõe de comités</w:t>
      </w:r>
      <w:r w:rsidR="00470C4C" w:rsidRPr="00CA79F1">
        <w:rPr>
          <w:rFonts w:cs="Calibri"/>
          <w:color w:val="000000" w:themeColor="text1"/>
        </w:rPr>
        <w:t xml:space="preserve">, </w:t>
      </w:r>
      <w:r w:rsidRPr="00CA79F1">
        <w:rPr>
          <w:rFonts w:cs="Calibri"/>
          <w:color w:val="000000" w:themeColor="text1"/>
        </w:rPr>
        <w:t>políticas estruturais de gestão de risco</w:t>
      </w:r>
      <w:r w:rsidR="00470C4C" w:rsidRPr="00CA79F1">
        <w:rPr>
          <w:rFonts w:cs="Calibri"/>
          <w:color w:val="000000" w:themeColor="text1"/>
        </w:rPr>
        <w:t>, assim como</w:t>
      </w:r>
      <w:r w:rsidR="003D6A38">
        <w:rPr>
          <w:rFonts w:cs="Calibri"/>
          <w:color w:val="000000" w:themeColor="text1"/>
        </w:rPr>
        <w:t xml:space="preserve"> tarefas definidas</w:t>
      </w:r>
      <w:r w:rsidRPr="00CA79F1">
        <w:rPr>
          <w:rFonts w:cs="Calibri"/>
          <w:color w:val="000000" w:themeColor="text1"/>
        </w:rPr>
        <w:t xml:space="preserve"> </w:t>
      </w:r>
      <w:r w:rsidR="003D6A38">
        <w:rPr>
          <w:rFonts w:cs="Calibri"/>
          <w:color w:val="000000" w:themeColor="text1"/>
        </w:rPr>
        <w:t>das</w:t>
      </w:r>
      <w:r w:rsidRPr="00CA79F1">
        <w:rPr>
          <w:rFonts w:cs="Calibri"/>
          <w:color w:val="000000" w:themeColor="text1"/>
        </w:rPr>
        <w:t xml:space="preserve"> unidade</w:t>
      </w:r>
      <w:r w:rsidR="003D6A38">
        <w:rPr>
          <w:rFonts w:cs="Calibri"/>
          <w:color w:val="000000" w:themeColor="text1"/>
        </w:rPr>
        <w:t>s</w:t>
      </w:r>
      <w:r w:rsidRPr="00CA79F1">
        <w:rPr>
          <w:rFonts w:cs="Calibri"/>
          <w:color w:val="000000" w:themeColor="text1"/>
        </w:rPr>
        <w:t xml:space="preserve"> de </w:t>
      </w:r>
      <w:r w:rsidR="00D90B8A" w:rsidRPr="00CA79F1">
        <w:rPr>
          <w:rFonts w:cs="Calibri"/>
          <w:color w:val="000000" w:themeColor="text1"/>
        </w:rPr>
        <w:t>negócio</w:t>
      </w:r>
      <w:r w:rsidRPr="00CA79F1">
        <w:rPr>
          <w:rFonts w:cs="Calibri"/>
          <w:color w:val="000000" w:themeColor="text1"/>
        </w:rPr>
        <w:t xml:space="preserve"> </w:t>
      </w:r>
      <w:r w:rsidR="00444E2D">
        <w:rPr>
          <w:rFonts w:cs="Calibri"/>
          <w:color w:val="000000" w:themeColor="text1"/>
        </w:rPr>
        <w:t xml:space="preserve">que ajudam na definição de </w:t>
      </w:r>
      <w:r w:rsidR="00C115DB">
        <w:rPr>
          <w:rFonts w:cs="Calibri"/>
          <w:color w:val="000000" w:themeColor="text1"/>
        </w:rPr>
        <w:t xml:space="preserve">novas </w:t>
      </w:r>
      <w:r w:rsidRPr="00CA79F1">
        <w:rPr>
          <w:rFonts w:cs="Calibri"/>
          <w:color w:val="000000" w:themeColor="text1"/>
        </w:rPr>
        <w:t>cobertura</w:t>
      </w:r>
      <w:r w:rsidR="00906DA3">
        <w:rPr>
          <w:rFonts w:cs="Calibri"/>
          <w:color w:val="000000" w:themeColor="text1"/>
        </w:rPr>
        <w:t>s</w:t>
      </w:r>
      <w:r w:rsidR="00444E2D">
        <w:rPr>
          <w:rFonts w:cs="Calibri"/>
          <w:color w:val="000000" w:themeColor="text1"/>
        </w:rPr>
        <w:t xml:space="preserve"> em linha com </w:t>
      </w:r>
      <w:r w:rsidRPr="00CA79F1">
        <w:rPr>
          <w:rFonts w:cs="Calibri"/>
          <w:color w:val="000000" w:themeColor="text1"/>
        </w:rPr>
        <w:t>a estratégia de gestão do risco de taxa de juro. Esta estratégia abrange quer as posições geridas</w:t>
      </w:r>
      <w:r w:rsidR="00470C4C" w:rsidRPr="00CA79F1">
        <w:rPr>
          <w:rFonts w:cs="Calibri"/>
          <w:color w:val="000000" w:themeColor="text1"/>
        </w:rPr>
        <w:t xml:space="preserve"> em comité pelo </w:t>
      </w:r>
      <w:r w:rsidR="00F73094">
        <w:rPr>
          <w:rFonts w:cs="Calibri"/>
          <w:color w:val="000000" w:themeColor="text1"/>
        </w:rPr>
        <w:t>C</w:t>
      </w:r>
      <w:r w:rsidR="00470C4C" w:rsidRPr="00CA79F1">
        <w:rPr>
          <w:rFonts w:cs="Calibri"/>
          <w:color w:val="000000" w:themeColor="text1"/>
        </w:rPr>
        <w:t>ALCO</w:t>
      </w:r>
      <w:r w:rsidRPr="00CA79F1">
        <w:rPr>
          <w:rFonts w:cs="Calibri"/>
          <w:color w:val="000000" w:themeColor="text1"/>
        </w:rPr>
        <w:t xml:space="preserve">, quer as coberturas </w:t>
      </w:r>
      <w:r w:rsidR="00470C4C" w:rsidRPr="00CA79F1">
        <w:rPr>
          <w:rFonts w:cs="Calibri"/>
          <w:color w:val="000000" w:themeColor="text1"/>
        </w:rPr>
        <w:t xml:space="preserve">que são formalizadas em fórum via </w:t>
      </w:r>
      <w:r w:rsidR="00470C4C" w:rsidRPr="006C49E4">
        <w:rPr>
          <w:rFonts w:cs="Calibri"/>
          <w:i/>
          <w:iCs/>
          <w:color w:val="000000" w:themeColor="text1"/>
        </w:rPr>
        <w:t>e-mail</w:t>
      </w:r>
      <w:r w:rsidR="00470C4C" w:rsidRPr="00CA79F1">
        <w:rPr>
          <w:rFonts w:cs="Calibri"/>
          <w:color w:val="000000" w:themeColor="text1"/>
        </w:rPr>
        <w:t xml:space="preserve"> e enviadas para </w:t>
      </w:r>
      <w:r w:rsidR="00281873">
        <w:rPr>
          <w:rFonts w:cs="Calibri"/>
          <w:color w:val="000000" w:themeColor="text1"/>
        </w:rPr>
        <w:t>os restantes interlocutores do processo (</w:t>
      </w:r>
      <w:r w:rsidR="0067522E">
        <w:rPr>
          <w:rFonts w:cs="Calibri"/>
          <w:color w:val="000000" w:themeColor="text1"/>
        </w:rPr>
        <w:t>nomeadamente</w:t>
      </w:r>
      <w:r w:rsidR="00F82DEA">
        <w:rPr>
          <w:rFonts w:cs="Calibri"/>
          <w:color w:val="000000" w:themeColor="text1"/>
        </w:rPr>
        <w:t xml:space="preserve">: </w:t>
      </w:r>
      <w:r w:rsidR="00F82DEA" w:rsidRPr="00A12FE7">
        <w:rPr>
          <w:rFonts w:cs="Calibri"/>
          <w:color w:val="000000" w:themeColor="text1"/>
        </w:rPr>
        <w:t>Financeira</w:t>
      </w:r>
      <w:r w:rsidR="00F82DEA">
        <w:rPr>
          <w:rFonts w:cs="Calibri"/>
          <w:color w:val="000000" w:themeColor="text1"/>
        </w:rPr>
        <w:t xml:space="preserve">, </w:t>
      </w:r>
      <w:r w:rsidR="00F82DEA" w:rsidRPr="00CA79F1">
        <w:rPr>
          <w:rFonts w:cs="Calibri"/>
          <w:color w:val="000000" w:themeColor="text1"/>
        </w:rPr>
        <w:t>Contabilidade</w:t>
      </w:r>
      <w:r w:rsidR="00470C4C" w:rsidRPr="00CA79F1">
        <w:rPr>
          <w:rFonts w:cs="Calibri"/>
          <w:color w:val="000000" w:themeColor="text1"/>
        </w:rPr>
        <w:t xml:space="preserve">, </w:t>
      </w:r>
      <w:r w:rsidR="00F82DEA">
        <w:rPr>
          <w:rFonts w:cs="Calibri"/>
          <w:color w:val="000000" w:themeColor="text1"/>
        </w:rPr>
        <w:t>R</w:t>
      </w:r>
      <w:r w:rsidR="00470C4C" w:rsidRPr="00CA79F1">
        <w:rPr>
          <w:rFonts w:cs="Calibri"/>
          <w:color w:val="000000" w:themeColor="text1"/>
        </w:rPr>
        <w:t xml:space="preserve">isco de </w:t>
      </w:r>
      <w:r w:rsidR="00F82DEA">
        <w:rPr>
          <w:rFonts w:cs="Calibri"/>
          <w:color w:val="000000" w:themeColor="text1"/>
        </w:rPr>
        <w:t>M</w:t>
      </w:r>
      <w:r w:rsidR="00470C4C" w:rsidRPr="00CA79F1">
        <w:rPr>
          <w:rFonts w:cs="Calibri"/>
          <w:color w:val="000000" w:themeColor="text1"/>
        </w:rPr>
        <w:t>ercado</w:t>
      </w:r>
      <w:r w:rsidR="00BB2D9A">
        <w:rPr>
          <w:rFonts w:cs="Calibri"/>
          <w:color w:val="000000" w:themeColor="text1"/>
        </w:rPr>
        <w:t>,</w:t>
      </w:r>
      <w:r w:rsidR="00F82DEA">
        <w:rPr>
          <w:rFonts w:cs="Calibri"/>
          <w:color w:val="000000" w:themeColor="text1"/>
        </w:rPr>
        <w:t xml:space="preserve"> Operações</w:t>
      </w:r>
      <w:r w:rsidR="00BB2D9A">
        <w:rPr>
          <w:rFonts w:cs="Calibri"/>
          <w:color w:val="000000" w:themeColor="text1"/>
        </w:rPr>
        <w:t xml:space="preserve"> e outras áreas relevantes dependendo da contratação</w:t>
      </w:r>
      <w:r w:rsidR="00281873">
        <w:rPr>
          <w:rFonts w:cs="Calibri"/>
          <w:color w:val="000000" w:themeColor="text1"/>
        </w:rPr>
        <w:t>)</w:t>
      </w:r>
      <w:r w:rsidR="00470C4C" w:rsidRPr="00CA79F1">
        <w:rPr>
          <w:rFonts w:cs="Calibri"/>
          <w:color w:val="000000" w:themeColor="text1"/>
        </w:rPr>
        <w:t>.</w:t>
      </w:r>
    </w:p>
    <w:p w14:paraId="550CE471" w14:textId="77777777" w:rsidR="00E36581" w:rsidRPr="00015706" w:rsidRDefault="00E36581" w:rsidP="00E36581">
      <w:pPr>
        <w:pStyle w:val="Corpo"/>
        <w:spacing w:after="240"/>
        <w:jc w:val="both"/>
        <w:rPr>
          <w:rFonts w:cs="Calibri"/>
          <w:color w:val="000000" w:themeColor="text1"/>
        </w:rPr>
      </w:pPr>
      <w:r w:rsidRPr="00726298">
        <w:rPr>
          <w:rFonts w:cs="Calibri"/>
          <w:color w:val="000000" w:themeColor="text1"/>
        </w:rPr>
        <w:t xml:space="preserve">Especificamente, para mitigar a exposição à variabilidade de fluxos futuros de juros de operações de créditos a taxa variável provocadas por alterações das taxas de juro, o Banco recorre a coberturas de </w:t>
      </w:r>
      <w:r w:rsidRPr="00726298">
        <w:rPr>
          <w:rFonts w:cs="Calibri"/>
          <w:i/>
          <w:iCs/>
          <w:color w:val="000000" w:themeColor="text1"/>
        </w:rPr>
        <w:t xml:space="preserve">cash </w:t>
      </w:r>
      <w:proofErr w:type="spellStart"/>
      <w:r w:rsidRPr="00726298">
        <w:rPr>
          <w:rFonts w:cs="Calibri"/>
          <w:i/>
          <w:iCs/>
          <w:color w:val="000000" w:themeColor="text1"/>
        </w:rPr>
        <w:t>flow</w:t>
      </w:r>
      <w:proofErr w:type="spellEnd"/>
      <w:r w:rsidRPr="00726298">
        <w:rPr>
          <w:rFonts w:cs="Calibri"/>
          <w:color w:val="000000" w:themeColor="text1"/>
        </w:rPr>
        <w:t xml:space="preserve">. Estas coberturas são efetuadas através de contratos de </w:t>
      </w:r>
      <w:proofErr w:type="spellStart"/>
      <w:r w:rsidRPr="00726298">
        <w:rPr>
          <w:rFonts w:cs="Calibri"/>
          <w:i/>
          <w:iCs/>
          <w:color w:val="000000" w:themeColor="text1"/>
        </w:rPr>
        <w:t>swap</w:t>
      </w:r>
      <w:proofErr w:type="spellEnd"/>
      <w:r w:rsidRPr="00726298">
        <w:rPr>
          <w:rFonts w:cs="Calibri"/>
          <w:color w:val="000000" w:themeColor="text1"/>
        </w:rPr>
        <w:t xml:space="preserve"> de taxa de juro, em que o Banco paga uma taxa variável e recebe uma taxa fixa. O racional económico e características de cada cobertura são documentados nas respetivas fichas individuais.</w:t>
      </w:r>
    </w:p>
    <w:p w14:paraId="1057AE78" w14:textId="57260E86" w:rsidR="00015706" w:rsidRPr="002338C4" w:rsidRDefault="00212D6D" w:rsidP="002338C4">
      <w:pPr>
        <w:pStyle w:val="Corpo"/>
        <w:spacing w:after="240" w:line="240" w:lineRule="auto"/>
        <w:jc w:val="both"/>
        <w:rPr>
          <w:rFonts w:cs="Calibri"/>
          <w:color w:val="000000" w:themeColor="text1"/>
        </w:rPr>
      </w:pPr>
      <w:r w:rsidRPr="00726298">
        <w:rPr>
          <w:rFonts w:cs="Calibri"/>
          <w:color w:val="000000" w:themeColor="text1"/>
        </w:rPr>
        <w:t>O Banco utiliza estas coberturas de acordo com a sua estratégia estrutural de gestão de risco</w:t>
      </w:r>
      <w:r w:rsidR="00EE6D21" w:rsidRPr="00726298">
        <w:rPr>
          <w:rFonts w:cs="Calibri"/>
          <w:color w:val="000000" w:themeColor="text1"/>
        </w:rPr>
        <w:t xml:space="preserve"> prevista</w:t>
      </w:r>
      <w:r w:rsidR="00822FF3" w:rsidRPr="00726298">
        <w:rPr>
          <w:rFonts w:cs="Calibri"/>
          <w:color w:val="000000" w:themeColor="text1"/>
        </w:rPr>
        <w:t xml:space="preserve"> na política de </w:t>
      </w:r>
      <w:r w:rsidR="00DF0E9C" w:rsidRPr="00726298">
        <w:rPr>
          <w:rFonts w:cs="Calibri"/>
          <w:color w:val="000000" w:themeColor="text1"/>
        </w:rPr>
        <w:t>gestão de balanço</w:t>
      </w:r>
      <w:r w:rsidRPr="001B3096">
        <w:rPr>
          <w:rFonts w:cs="Calibri"/>
          <w:color w:val="000000" w:themeColor="text1"/>
        </w:rPr>
        <w:t>. A</w:t>
      </w:r>
      <w:r w:rsidRPr="00212D6D">
        <w:rPr>
          <w:rFonts w:cs="Calibri"/>
          <w:color w:val="000000" w:themeColor="text1"/>
        </w:rPr>
        <w:t xml:space="preserve"> coerência entre a utilização destas coberturas e a estratégia de gestão d</w:t>
      </w:r>
      <w:r w:rsidR="00EE6D21">
        <w:rPr>
          <w:rFonts w:cs="Calibri"/>
          <w:color w:val="000000" w:themeColor="text1"/>
        </w:rPr>
        <w:t>e</w:t>
      </w:r>
      <w:r w:rsidRPr="00212D6D">
        <w:rPr>
          <w:rFonts w:cs="Calibri"/>
          <w:color w:val="000000" w:themeColor="text1"/>
        </w:rPr>
        <w:t xml:space="preserve"> risco garante uma gestão eficaz das flutuações do valor dos ativos e dos passivos, mantendo um equilíbrio entre o risco assumido e as estratégias de mitigação implementadas.</w:t>
      </w:r>
    </w:p>
    <w:p w14:paraId="5964CA84" w14:textId="2A87E09B" w:rsidR="00B73B3A" w:rsidRPr="00B73B3A" w:rsidRDefault="006A1C17" w:rsidP="00AE7C00">
      <w:pPr>
        <w:pStyle w:val="Ttulo11"/>
        <w:numPr>
          <w:ilvl w:val="0"/>
          <w:numId w:val="6"/>
        </w:numPr>
      </w:pPr>
      <w:bookmarkStart w:id="14" w:name="_Toc205551765"/>
      <w:r>
        <w:rPr>
          <w:rStyle w:val="Ttulo2Char"/>
          <w:b/>
          <w:bCs/>
          <w:sz w:val="32"/>
        </w:rPr>
        <w:lastRenderedPageBreak/>
        <w:t>Risco Coberto</w:t>
      </w:r>
      <w:bookmarkEnd w:id="14"/>
    </w:p>
    <w:p w14:paraId="354364DF" w14:textId="72C96331" w:rsidR="003A5D83" w:rsidRPr="00726298" w:rsidRDefault="003A5D83" w:rsidP="003A5D83">
      <w:pPr>
        <w:pStyle w:val="Corpo"/>
        <w:spacing w:after="240"/>
        <w:jc w:val="both"/>
        <w:rPr>
          <w:rFonts w:cs="Calibri"/>
          <w:color w:val="000000" w:themeColor="text1"/>
        </w:rPr>
      </w:pPr>
      <w:r w:rsidRPr="00726298">
        <w:rPr>
          <w:rFonts w:cs="Calibri"/>
          <w:color w:val="000000" w:themeColor="text1"/>
        </w:rPr>
        <w:t xml:space="preserve">O risco coberto refere-se às flutuações nos </w:t>
      </w:r>
      <w:r w:rsidRPr="00726298">
        <w:rPr>
          <w:rFonts w:cs="Calibri"/>
          <w:i/>
          <w:iCs/>
          <w:color w:val="000000" w:themeColor="text1"/>
        </w:rPr>
        <w:t xml:space="preserve">cash </w:t>
      </w:r>
      <w:proofErr w:type="spellStart"/>
      <w:r w:rsidRPr="00726298">
        <w:rPr>
          <w:rFonts w:cs="Calibri"/>
          <w:i/>
          <w:iCs/>
          <w:color w:val="000000" w:themeColor="text1"/>
        </w:rPr>
        <w:t>flow</w:t>
      </w:r>
      <w:r w:rsidR="00317A96">
        <w:rPr>
          <w:rFonts w:cs="Calibri"/>
          <w:i/>
          <w:iCs/>
          <w:color w:val="000000" w:themeColor="text1"/>
        </w:rPr>
        <w:t>s</w:t>
      </w:r>
      <w:proofErr w:type="spellEnd"/>
      <w:r w:rsidRPr="00726298">
        <w:rPr>
          <w:rFonts w:cs="Calibri"/>
          <w:color w:val="000000" w:themeColor="text1"/>
        </w:rPr>
        <w:t xml:space="preserve"> de juros futuros do item coberto causadas por alterações nas taxas de juro do mercado. Estas variações têm um impacto direto nos fluxos de juros do item coberto quando o mesmo está associado a uma taxa variável.</w:t>
      </w:r>
    </w:p>
    <w:p w14:paraId="02140CCD" w14:textId="32EB79C0" w:rsidR="003A5D83" w:rsidRDefault="003A5D83" w:rsidP="003A5D83">
      <w:pPr>
        <w:pStyle w:val="Corpo"/>
        <w:spacing w:after="240"/>
        <w:jc w:val="both"/>
        <w:rPr>
          <w:rFonts w:cs="Calibri"/>
          <w:color w:val="000000" w:themeColor="text1"/>
        </w:rPr>
      </w:pPr>
      <w:r w:rsidRPr="00726298">
        <w:rPr>
          <w:rFonts w:cs="Calibri"/>
          <w:color w:val="000000" w:themeColor="text1"/>
        </w:rPr>
        <w:t xml:space="preserve">Ao implementar coberturas de </w:t>
      </w:r>
      <w:r w:rsidRPr="00726298">
        <w:rPr>
          <w:rFonts w:cs="Calibri"/>
          <w:i/>
          <w:iCs/>
          <w:color w:val="000000" w:themeColor="text1"/>
        </w:rPr>
        <w:t xml:space="preserve">cash </w:t>
      </w:r>
      <w:proofErr w:type="spellStart"/>
      <w:r w:rsidRPr="00726298">
        <w:rPr>
          <w:rFonts w:cs="Calibri"/>
          <w:i/>
          <w:iCs/>
          <w:color w:val="000000" w:themeColor="text1"/>
        </w:rPr>
        <w:t>flow</w:t>
      </w:r>
      <w:proofErr w:type="spellEnd"/>
      <w:r w:rsidRPr="00726298">
        <w:rPr>
          <w:rFonts w:cs="Calibri"/>
          <w:color w:val="000000" w:themeColor="text1"/>
        </w:rPr>
        <w:t xml:space="preserve"> o Banco procura mitigar este risco, garantindo que a variabilidade dos fluxos de caixa do item coberto é compensada por uma variação simétrica equivalente no item de cobertura. Deste modo, neutraliza-se o risco associado às taxas de juro variáveis desses </w:t>
      </w:r>
      <w:proofErr w:type="spellStart"/>
      <w:r w:rsidRPr="00726298">
        <w:rPr>
          <w:rFonts w:cs="Calibri"/>
          <w:color w:val="000000" w:themeColor="text1"/>
        </w:rPr>
        <w:t>items</w:t>
      </w:r>
      <w:proofErr w:type="spellEnd"/>
      <w:r w:rsidRPr="00726298">
        <w:rPr>
          <w:rFonts w:cs="Calibri"/>
          <w:color w:val="000000" w:themeColor="text1"/>
        </w:rPr>
        <w:t xml:space="preserve"> no balanço do Banco.</w:t>
      </w:r>
    </w:p>
    <w:p w14:paraId="220DEE82" w14:textId="580A4D9C" w:rsidR="00947DA2" w:rsidRDefault="004F7F55" w:rsidP="00AE7C00">
      <w:pPr>
        <w:pStyle w:val="Ttulo11"/>
        <w:numPr>
          <w:ilvl w:val="0"/>
          <w:numId w:val="6"/>
        </w:numPr>
      </w:pPr>
      <w:bookmarkStart w:id="15" w:name="_Toc205551766"/>
      <w:bookmarkStart w:id="16" w:name="_Toc205551767"/>
      <w:bookmarkStart w:id="17" w:name="_Toc205551768"/>
      <w:bookmarkEnd w:id="15"/>
      <w:bookmarkEnd w:id="16"/>
      <w:r>
        <w:t xml:space="preserve">Instrumento </w:t>
      </w:r>
      <w:r w:rsidR="00F93EA5">
        <w:t>de Cobertura</w:t>
      </w:r>
      <w:bookmarkEnd w:id="17"/>
    </w:p>
    <w:p w14:paraId="570C714A" w14:textId="07F441D3" w:rsidR="002870DD" w:rsidRPr="002870DD" w:rsidRDefault="002870DD" w:rsidP="002870DD">
      <w:pPr>
        <w:pStyle w:val="Corpo"/>
        <w:spacing w:after="240"/>
        <w:jc w:val="both"/>
        <w:rPr>
          <w:rFonts w:cs="Calibri"/>
          <w:color w:val="000000" w:themeColor="text1"/>
        </w:rPr>
      </w:pPr>
      <w:r w:rsidRPr="002870DD">
        <w:rPr>
          <w:rFonts w:cs="Calibri"/>
          <w:color w:val="000000" w:themeColor="text1"/>
        </w:rPr>
        <w:t xml:space="preserve">Os </w:t>
      </w:r>
      <w:r w:rsidR="004F7F55">
        <w:rPr>
          <w:rFonts w:cs="Calibri"/>
          <w:color w:val="000000" w:themeColor="text1"/>
        </w:rPr>
        <w:t xml:space="preserve">instrumentos </w:t>
      </w:r>
      <w:r w:rsidRPr="002870DD">
        <w:rPr>
          <w:rFonts w:cs="Calibri"/>
          <w:color w:val="000000" w:themeColor="text1"/>
        </w:rPr>
        <w:t xml:space="preserve">de cobertura são instrumentos financeiros utilizados para </w:t>
      </w:r>
      <w:r w:rsidR="009A139E">
        <w:rPr>
          <w:rFonts w:cs="Calibri"/>
          <w:color w:val="000000" w:themeColor="text1"/>
        </w:rPr>
        <w:t>mitigar</w:t>
      </w:r>
      <w:r w:rsidR="009A139E" w:rsidRPr="002870DD">
        <w:rPr>
          <w:rFonts w:cs="Calibri"/>
          <w:color w:val="000000" w:themeColor="text1"/>
        </w:rPr>
        <w:t xml:space="preserve"> </w:t>
      </w:r>
      <w:r w:rsidRPr="002870DD">
        <w:rPr>
          <w:rFonts w:cs="Calibri"/>
          <w:color w:val="000000" w:themeColor="text1"/>
        </w:rPr>
        <w:t xml:space="preserve">o risco de taxa de juro que afeta os </w:t>
      </w:r>
      <w:r w:rsidR="00403557">
        <w:rPr>
          <w:rFonts w:cs="Calibri"/>
          <w:color w:val="000000" w:themeColor="text1"/>
        </w:rPr>
        <w:t>itens</w:t>
      </w:r>
      <w:r w:rsidRPr="002870DD">
        <w:rPr>
          <w:rFonts w:cs="Calibri"/>
          <w:color w:val="000000" w:themeColor="text1"/>
        </w:rPr>
        <w:t xml:space="preserve"> cobertos.</w:t>
      </w:r>
    </w:p>
    <w:p w14:paraId="13630584" w14:textId="0CF93E9A" w:rsidR="002870DD" w:rsidRDefault="002870DD" w:rsidP="002870DD">
      <w:pPr>
        <w:pStyle w:val="Corpo"/>
        <w:spacing w:after="240"/>
        <w:jc w:val="both"/>
        <w:rPr>
          <w:rFonts w:cs="Calibri"/>
          <w:color w:val="000000" w:themeColor="text1"/>
        </w:rPr>
      </w:pPr>
      <w:r w:rsidRPr="002870DD">
        <w:rPr>
          <w:rFonts w:cs="Calibri"/>
          <w:color w:val="000000" w:themeColor="text1"/>
        </w:rPr>
        <w:t xml:space="preserve">Nas relações de cobertura abrangidas pelo presente documento de enquadramento, os </w:t>
      </w:r>
      <w:r w:rsidR="009A139E">
        <w:rPr>
          <w:rFonts w:cs="Calibri"/>
          <w:color w:val="000000" w:themeColor="text1"/>
        </w:rPr>
        <w:t xml:space="preserve">instrumentos </w:t>
      </w:r>
      <w:r w:rsidRPr="002870DD">
        <w:rPr>
          <w:rFonts w:cs="Calibri"/>
          <w:color w:val="000000" w:themeColor="text1"/>
        </w:rPr>
        <w:t xml:space="preserve">de cobertura </w:t>
      </w:r>
      <w:r w:rsidR="009A139E">
        <w:rPr>
          <w:rFonts w:cs="Calibri"/>
          <w:color w:val="000000" w:themeColor="text1"/>
        </w:rPr>
        <w:t>são derivados, incluindo</w:t>
      </w:r>
      <w:r w:rsidR="009A139E" w:rsidRPr="002870DD">
        <w:rPr>
          <w:rFonts w:cs="Calibri"/>
          <w:color w:val="000000" w:themeColor="text1"/>
        </w:rPr>
        <w:t xml:space="preserve"> </w:t>
      </w:r>
      <w:r w:rsidRPr="002870DD">
        <w:rPr>
          <w:rFonts w:cs="Calibri"/>
          <w:color w:val="000000" w:themeColor="text1"/>
        </w:rPr>
        <w:t xml:space="preserve">os </w:t>
      </w:r>
      <w:proofErr w:type="spellStart"/>
      <w:r w:rsidRPr="002469F7">
        <w:rPr>
          <w:rFonts w:cs="Calibri"/>
          <w:i/>
          <w:iCs/>
          <w:color w:val="000000" w:themeColor="text1"/>
        </w:rPr>
        <w:t>swaps</w:t>
      </w:r>
      <w:proofErr w:type="spellEnd"/>
      <w:r w:rsidRPr="002870DD">
        <w:rPr>
          <w:rFonts w:cs="Calibri"/>
          <w:color w:val="000000" w:themeColor="text1"/>
        </w:rPr>
        <w:t xml:space="preserve"> de taxas de juro (IRS) que permitem ao Banco trocar fluxos de caixa de taxas de juro fixas por fluxos de caixa de taxas de juro variáveis</w:t>
      </w:r>
      <w:r w:rsidR="00570B38">
        <w:rPr>
          <w:rFonts w:cs="Calibri"/>
          <w:color w:val="000000" w:themeColor="text1"/>
        </w:rPr>
        <w:t xml:space="preserve"> (ou vice-versa)</w:t>
      </w:r>
      <w:r w:rsidR="00497153">
        <w:rPr>
          <w:rFonts w:cs="Calibri"/>
          <w:color w:val="000000" w:themeColor="text1"/>
        </w:rPr>
        <w:t>.</w:t>
      </w:r>
    </w:p>
    <w:p w14:paraId="34553C29" w14:textId="47AB54BD" w:rsidR="00EE7352" w:rsidRDefault="00EE7352" w:rsidP="002870DD">
      <w:pPr>
        <w:pStyle w:val="Corpo"/>
        <w:spacing w:after="240"/>
        <w:jc w:val="both"/>
        <w:rPr>
          <w:rFonts w:cs="Calibri"/>
          <w:color w:val="000000" w:themeColor="text1"/>
        </w:rPr>
      </w:pPr>
      <w:r w:rsidRPr="00EE7352">
        <w:rPr>
          <w:rFonts w:cs="Calibri"/>
          <w:color w:val="000000" w:themeColor="text1"/>
        </w:rPr>
        <w:t xml:space="preserve">Na realidade atual do </w:t>
      </w:r>
      <w:r w:rsidR="00F47C06">
        <w:rPr>
          <w:rFonts w:cs="Calibri"/>
          <w:color w:val="000000" w:themeColor="text1"/>
        </w:rPr>
        <w:t>B</w:t>
      </w:r>
      <w:r w:rsidRPr="00EE7352">
        <w:rPr>
          <w:rFonts w:cs="Calibri"/>
          <w:color w:val="000000" w:themeColor="text1"/>
        </w:rPr>
        <w:t xml:space="preserve">anco, o </w:t>
      </w:r>
      <w:r w:rsidR="009A139E">
        <w:rPr>
          <w:rFonts w:cs="Calibri"/>
          <w:color w:val="000000" w:themeColor="text1"/>
        </w:rPr>
        <w:t>instrumento</w:t>
      </w:r>
      <w:r w:rsidR="009A139E" w:rsidRPr="00EE7352">
        <w:rPr>
          <w:rFonts w:cs="Calibri"/>
          <w:color w:val="000000" w:themeColor="text1"/>
        </w:rPr>
        <w:t xml:space="preserve"> </w:t>
      </w:r>
      <w:r w:rsidRPr="00EE7352">
        <w:rPr>
          <w:rFonts w:cs="Calibri"/>
          <w:color w:val="000000" w:themeColor="text1"/>
        </w:rPr>
        <w:t>de cobertura é sempre utilizado na sua totalidade para cob</w:t>
      </w:r>
      <w:r w:rsidR="0035243A">
        <w:rPr>
          <w:rFonts w:cs="Calibri"/>
          <w:color w:val="000000" w:themeColor="text1"/>
        </w:rPr>
        <w:t xml:space="preserve">rir </w:t>
      </w:r>
      <w:r w:rsidR="00AA4974">
        <w:rPr>
          <w:rFonts w:cs="Calibri"/>
          <w:color w:val="000000" w:themeColor="text1"/>
        </w:rPr>
        <w:t>um</w:t>
      </w:r>
      <w:r w:rsidRPr="00EE7352">
        <w:rPr>
          <w:rFonts w:cs="Calibri"/>
          <w:color w:val="000000" w:themeColor="text1"/>
        </w:rPr>
        <w:t xml:space="preserve"> item coberto. </w:t>
      </w:r>
      <w:r w:rsidR="009A139E">
        <w:rPr>
          <w:rFonts w:cs="Calibri"/>
          <w:color w:val="000000" w:themeColor="text1"/>
        </w:rPr>
        <w:t>P</w:t>
      </w:r>
      <w:r w:rsidRPr="00EE7352">
        <w:rPr>
          <w:rFonts w:cs="Calibri"/>
          <w:color w:val="000000" w:themeColor="text1"/>
        </w:rPr>
        <w:t xml:space="preserve">odem ser utilizados vários </w:t>
      </w:r>
      <w:r w:rsidR="009A139E">
        <w:rPr>
          <w:rFonts w:cs="Calibri"/>
          <w:color w:val="000000" w:themeColor="text1"/>
        </w:rPr>
        <w:t xml:space="preserve">instrumentos </w:t>
      </w:r>
      <w:r w:rsidRPr="00EE7352">
        <w:rPr>
          <w:rFonts w:cs="Calibri"/>
          <w:color w:val="000000" w:themeColor="text1"/>
        </w:rPr>
        <w:t>de cobertura para o mesmo item coberto</w:t>
      </w:r>
      <w:r w:rsidR="00EC00F8">
        <w:rPr>
          <w:rFonts w:cs="Calibri"/>
          <w:color w:val="000000" w:themeColor="text1"/>
        </w:rPr>
        <w:t>.</w:t>
      </w:r>
    </w:p>
    <w:p w14:paraId="48F9178D" w14:textId="11130D7B" w:rsidR="0091481F" w:rsidRPr="006E695F" w:rsidRDefault="002B6309" w:rsidP="002464C2">
      <w:pPr>
        <w:pStyle w:val="Ttulo11"/>
        <w:numPr>
          <w:ilvl w:val="0"/>
          <w:numId w:val="6"/>
        </w:numPr>
      </w:pPr>
      <w:bookmarkStart w:id="18" w:name="_Toc205551769"/>
      <w:r>
        <w:t>Item Coberto</w:t>
      </w:r>
      <w:bookmarkEnd w:id="18"/>
    </w:p>
    <w:p w14:paraId="4A14A12B" w14:textId="7623FEE9" w:rsidR="00555CA1" w:rsidRPr="00555CA1" w:rsidRDefault="00555CA1" w:rsidP="00555CA1">
      <w:pPr>
        <w:pStyle w:val="Corpo"/>
        <w:spacing w:after="240"/>
        <w:jc w:val="both"/>
      </w:pPr>
      <w:r w:rsidRPr="00555CA1">
        <w:t>Nas relações de cobertura abrangidas pelo presente documento de enquadramento,</w:t>
      </w:r>
      <w:r w:rsidR="009D1D9D">
        <w:t xml:space="preserve"> os itens cobertos </w:t>
      </w:r>
      <w:r w:rsidRPr="00555CA1">
        <w:t>inscrit</w:t>
      </w:r>
      <w:r w:rsidR="00D3185B">
        <w:t>o</w:t>
      </w:r>
      <w:r w:rsidRPr="00555CA1">
        <w:t xml:space="preserve">s no balanço do Banco </w:t>
      </w:r>
      <w:r w:rsidR="00E77D47">
        <w:t>incluem Obrigações</w:t>
      </w:r>
      <w:r w:rsidR="009A139E">
        <w:t xml:space="preserve"> Adquiridas</w:t>
      </w:r>
      <w:r w:rsidR="00E77D47">
        <w:t>, Programas de Papel Comercial</w:t>
      </w:r>
      <w:r w:rsidR="009A139E">
        <w:t>,</w:t>
      </w:r>
      <w:r w:rsidR="00E77D47">
        <w:t xml:space="preserve"> Operações de Crédito</w:t>
      </w:r>
      <w:r w:rsidR="009A139E">
        <w:t>, Depósitos e Obrigações Emitidas</w:t>
      </w:r>
      <w:r w:rsidRPr="00555CA1">
        <w:t>. Est</w:t>
      </w:r>
      <w:r w:rsidR="00096F07">
        <w:t>es itens</w:t>
      </w:r>
      <w:r w:rsidRPr="00555CA1">
        <w:t xml:space="preserve"> fazem parte da carteira custo amortizado</w:t>
      </w:r>
      <w:r w:rsidR="00F86F06">
        <w:t>, segundo o modelo de negócio HTC</w:t>
      </w:r>
      <w:r w:rsidR="00F92992">
        <w:t>,</w:t>
      </w:r>
      <w:r w:rsidR="00EE29C3">
        <w:t xml:space="preserve"> </w:t>
      </w:r>
      <w:r w:rsidR="00F92992">
        <w:t xml:space="preserve">e </w:t>
      </w:r>
      <w:r w:rsidR="00EE29C3">
        <w:t>da carteira pelo</w:t>
      </w:r>
      <w:r w:rsidR="009A139E">
        <w:t xml:space="preserve"> justo valor </w:t>
      </w:r>
      <w:r w:rsidR="00ED29C8">
        <w:t xml:space="preserve">através </w:t>
      </w:r>
      <w:r w:rsidR="00A27177">
        <w:t xml:space="preserve">do outro rendimento integral </w:t>
      </w:r>
      <w:r w:rsidR="00D64F47">
        <w:t>sob o modelo de negócio HTC&amp;S.</w:t>
      </w:r>
    </w:p>
    <w:p w14:paraId="16C3234C" w14:textId="4D9F7459" w:rsidR="00EC00F8" w:rsidRDefault="00555CA1" w:rsidP="00555CA1">
      <w:pPr>
        <w:pStyle w:val="Corpo"/>
        <w:spacing w:after="240"/>
        <w:jc w:val="both"/>
      </w:pPr>
      <w:r w:rsidRPr="00555CA1">
        <w:t xml:space="preserve">Em cada </w:t>
      </w:r>
      <w:r w:rsidR="00302E43">
        <w:t>ficha individual,</w:t>
      </w:r>
      <w:r w:rsidRPr="00555CA1">
        <w:t xml:space="preserve"> o Banco identifica </w:t>
      </w:r>
      <w:r w:rsidR="00302E43">
        <w:t>o item coberto</w:t>
      </w:r>
      <w:r w:rsidRPr="00555CA1">
        <w:t xml:space="preserve"> considerad</w:t>
      </w:r>
      <w:r w:rsidR="00302E43">
        <w:t>o</w:t>
      </w:r>
      <w:r w:rsidR="006A19BF">
        <w:t xml:space="preserve">, assim como </w:t>
      </w:r>
      <w:r w:rsidR="00E21107">
        <w:t>os</w:t>
      </w:r>
      <w:r w:rsidRPr="00555CA1">
        <w:t xml:space="preserve"> detalhes específicos </w:t>
      </w:r>
      <w:r w:rsidR="00A237C9">
        <w:t>da relação de cobertura</w:t>
      </w:r>
      <w:r w:rsidR="00E21107">
        <w:t>.</w:t>
      </w:r>
      <w:r w:rsidR="00FB2E0C">
        <w:t xml:space="preserve"> </w:t>
      </w:r>
      <w:r w:rsidR="00EC00F8" w:rsidRPr="00EC00F8">
        <w:t xml:space="preserve">Na realidade atual do </w:t>
      </w:r>
      <w:r w:rsidR="003B51ED">
        <w:t>B</w:t>
      </w:r>
      <w:r w:rsidR="00EC00F8" w:rsidRPr="00EC00F8">
        <w:t>anco, o item coberto pode não estar totalmente coberto por um i</w:t>
      </w:r>
      <w:r w:rsidR="003B51ED">
        <w:t>nstrumento</w:t>
      </w:r>
      <w:r w:rsidR="00EC00F8" w:rsidRPr="00EC00F8">
        <w:t xml:space="preserve"> de cobertura.</w:t>
      </w:r>
    </w:p>
    <w:p w14:paraId="714D7BFB" w14:textId="13505F02" w:rsidR="000C0309" w:rsidRPr="0000577A" w:rsidRDefault="00E21107" w:rsidP="00F14AB7">
      <w:pPr>
        <w:pStyle w:val="Ttulo11"/>
        <w:numPr>
          <w:ilvl w:val="0"/>
          <w:numId w:val="6"/>
        </w:numPr>
      </w:pPr>
      <w:bookmarkStart w:id="19" w:name="_Toc205551770"/>
      <w:bookmarkEnd w:id="2"/>
      <w:r>
        <w:t>Eficácia das Coberturas</w:t>
      </w:r>
      <w:bookmarkEnd w:id="19"/>
    </w:p>
    <w:p w14:paraId="50FC028D" w14:textId="16996D07" w:rsidR="003F776D" w:rsidRPr="003F776D" w:rsidRDefault="003F776D" w:rsidP="003F776D">
      <w:pPr>
        <w:pStyle w:val="Corpo"/>
        <w:spacing w:after="240"/>
        <w:jc w:val="both"/>
        <w:rPr>
          <w:rFonts w:cs="Calibri"/>
          <w:color w:val="000000" w:themeColor="text1"/>
        </w:rPr>
      </w:pPr>
      <w:r w:rsidRPr="003F776D">
        <w:rPr>
          <w:rFonts w:cs="Calibri"/>
          <w:color w:val="000000" w:themeColor="text1"/>
        </w:rPr>
        <w:t xml:space="preserve">Para que uma relação de cobertura seja considerada </w:t>
      </w:r>
      <w:r>
        <w:rPr>
          <w:rFonts w:cs="Calibri"/>
          <w:color w:val="000000" w:themeColor="text1"/>
        </w:rPr>
        <w:t>eficaz</w:t>
      </w:r>
      <w:r w:rsidRPr="003F776D">
        <w:rPr>
          <w:rFonts w:cs="Calibri"/>
          <w:color w:val="000000" w:themeColor="text1"/>
        </w:rPr>
        <w:t xml:space="preserve"> ao abrigo da IFRS 9 (6.4.1), deve cumprir os seguintes requisitos</w:t>
      </w:r>
      <w:r w:rsidR="00993FBA">
        <w:rPr>
          <w:rFonts w:cs="Calibri"/>
          <w:color w:val="000000" w:themeColor="text1"/>
        </w:rPr>
        <w:t>:</w:t>
      </w:r>
    </w:p>
    <w:p w14:paraId="1059E7F5" w14:textId="299D3D99" w:rsidR="002B4B89" w:rsidRDefault="003F776D" w:rsidP="002B4B89">
      <w:pPr>
        <w:pStyle w:val="Corpo"/>
        <w:numPr>
          <w:ilvl w:val="0"/>
          <w:numId w:val="29"/>
        </w:numPr>
        <w:spacing w:after="240"/>
        <w:jc w:val="both"/>
        <w:rPr>
          <w:rFonts w:cs="Calibri"/>
          <w:color w:val="000000" w:themeColor="text1"/>
        </w:rPr>
      </w:pPr>
      <w:r w:rsidRPr="003F776D">
        <w:rPr>
          <w:rFonts w:cs="Calibri"/>
          <w:b/>
          <w:bCs/>
          <w:color w:val="000000" w:themeColor="text1"/>
        </w:rPr>
        <w:lastRenderedPageBreak/>
        <w:t>Exist</w:t>
      </w:r>
      <w:r w:rsidR="00993FBA" w:rsidRPr="00993FBA">
        <w:rPr>
          <w:rFonts w:cs="Calibri"/>
          <w:b/>
          <w:bCs/>
          <w:color w:val="000000" w:themeColor="text1"/>
        </w:rPr>
        <w:t>ência de</w:t>
      </w:r>
      <w:r w:rsidRPr="003F776D">
        <w:rPr>
          <w:rFonts w:cs="Calibri"/>
          <w:b/>
          <w:bCs/>
          <w:color w:val="000000" w:themeColor="text1"/>
        </w:rPr>
        <w:t xml:space="preserve"> uma relação económica</w:t>
      </w:r>
      <w:r w:rsidRPr="003F776D">
        <w:rPr>
          <w:rFonts w:cs="Calibri"/>
          <w:color w:val="000000" w:themeColor="text1"/>
        </w:rPr>
        <w:t xml:space="preserve">: Deve existir uma relação económica entre o item coberto e o </w:t>
      </w:r>
      <w:r w:rsidR="00993FBA">
        <w:rPr>
          <w:rFonts w:cs="Calibri"/>
          <w:color w:val="000000" w:themeColor="text1"/>
        </w:rPr>
        <w:t>i</w:t>
      </w:r>
      <w:r w:rsidR="00025CA8">
        <w:rPr>
          <w:rFonts w:cs="Calibri"/>
          <w:color w:val="000000" w:themeColor="text1"/>
        </w:rPr>
        <w:t>nstrumento</w:t>
      </w:r>
      <w:r w:rsidRPr="003F776D">
        <w:rPr>
          <w:rFonts w:cs="Calibri"/>
          <w:color w:val="000000" w:themeColor="text1"/>
        </w:rPr>
        <w:t xml:space="preserve"> de cobertura. Isto implica que os valores de ambos os elementos devem mover-se em direções opostas devido a alterações no mesmo risco subjacente.</w:t>
      </w:r>
    </w:p>
    <w:p w14:paraId="09D2D5DF" w14:textId="1050EA5C" w:rsidR="0067146F" w:rsidRPr="0067146F" w:rsidRDefault="002B4B89" w:rsidP="0067146F">
      <w:pPr>
        <w:pStyle w:val="Corpo"/>
        <w:numPr>
          <w:ilvl w:val="0"/>
          <w:numId w:val="29"/>
        </w:numPr>
        <w:spacing w:after="240"/>
        <w:jc w:val="both"/>
        <w:rPr>
          <w:rFonts w:cs="Calibri"/>
          <w:color w:val="000000" w:themeColor="text1"/>
        </w:rPr>
      </w:pPr>
      <w:r w:rsidRPr="002B4B89">
        <w:rPr>
          <w:rFonts w:cs="Calibri"/>
          <w:b/>
          <w:bCs/>
          <w:color w:val="000000" w:themeColor="text1"/>
        </w:rPr>
        <w:t xml:space="preserve">Não existência de </w:t>
      </w:r>
      <w:r w:rsidR="003F776D" w:rsidRPr="003F776D">
        <w:rPr>
          <w:rFonts w:cs="Calibri"/>
          <w:b/>
          <w:bCs/>
          <w:color w:val="000000" w:themeColor="text1"/>
        </w:rPr>
        <w:t>dom</w:t>
      </w:r>
      <w:r w:rsidR="00DA3DBD">
        <w:rPr>
          <w:rFonts w:cs="Calibri"/>
          <w:b/>
          <w:bCs/>
          <w:color w:val="000000" w:themeColor="text1"/>
        </w:rPr>
        <w:t>inância</w:t>
      </w:r>
      <w:r w:rsidR="003F776D" w:rsidRPr="003F776D">
        <w:rPr>
          <w:rFonts w:cs="Calibri"/>
          <w:b/>
          <w:bCs/>
          <w:color w:val="000000" w:themeColor="text1"/>
        </w:rPr>
        <w:t xml:space="preserve"> d</w:t>
      </w:r>
      <w:r w:rsidR="00DA3DBD">
        <w:rPr>
          <w:rFonts w:cs="Calibri"/>
          <w:b/>
          <w:bCs/>
          <w:color w:val="000000" w:themeColor="text1"/>
        </w:rPr>
        <w:t>e</w:t>
      </w:r>
      <w:r w:rsidR="003F776D" w:rsidRPr="003F776D">
        <w:rPr>
          <w:rFonts w:cs="Calibri"/>
          <w:b/>
          <w:bCs/>
          <w:color w:val="000000" w:themeColor="text1"/>
        </w:rPr>
        <w:t xml:space="preserve"> risco de crédito</w:t>
      </w:r>
      <w:r w:rsidR="003F776D" w:rsidRPr="003F776D">
        <w:rPr>
          <w:rFonts w:cs="Calibri"/>
          <w:color w:val="000000" w:themeColor="text1"/>
        </w:rPr>
        <w:t xml:space="preserve">: As alterações </w:t>
      </w:r>
      <w:r w:rsidR="0067146F">
        <w:rPr>
          <w:rFonts w:cs="Calibri"/>
          <w:color w:val="000000" w:themeColor="text1"/>
        </w:rPr>
        <w:t>na</w:t>
      </w:r>
      <w:r w:rsidR="003F776D" w:rsidRPr="003F776D">
        <w:rPr>
          <w:rFonts w:cs="Calibri"/>
          <w:color w:val="000000" w:themeColor="text1"/>
        </w:rPr>
        <w:t xml:space="preserve"> </w:t>
      </w:r>
      <w:r w:rsidR="00A46958">
        <w:rPr>
          <w:rFonts w:cs="Calibri"/>
          <w:color w:val="000000" w:themeColor="text1"/>
        </w:rPr>
        <w:t>valorização</w:t>
      </w:r>
      <w:r w:rsidR="003F776D" w:rsidRPr="003F776D">
        <w:rPr>
          <w:rFonts w:cs="Calibri"/>
          <w:color w:val="000000" w:themeColor="text1"/>
        </w:rPr>
        <w:t xml:space="preserve"> do </w:t>
      </w:r>
      <w:r>
        <w:rPr>
          <w:rFonts w:cs="Calibri"/>
          <w:color w:val="000000" w:themeColor="text1"/>
        </w:rPr>
        <w:t>item</w:t>
      </w:r>
      <w:r w:rsidR="003F776D" w:rsidRPr="003F776D">
        <w:rPr>
          <w:rFonts w:cs="Calibri"/>
          <w:color w:val="000000" w:themeColor="text1"/>
        </w:rPr>
        <w:t xml:space="preserve"> coberto e do </w:t>
      </w:r>
      <w:r>
        <w:rPr>
          <w:rFonts w:cs="Calibri"/>
          <w:color w:val="000000" w:themeColor="text1"/>
        </w:rPr>
        <w:t>i</w:t>
      </w:r>
      <w:r w:rsidR="00025CA8">
        <w:rPr>
          <w:rFonts w:cs="Calibri"/>
          <w:color w:val="000000" w:themeColor="text1"/>
        </w:rPr>
        <w:t>nstrumento</w:t>
      </w:r>
      <w:r w:rsidR="003F776D" w:rsidRPr="003F776D">
        <w:rPr>
          <w:rFonts w:cs="Calibri"/>
          <w:color w:val="000000" w:themeColor="text1"/>
        </w:rPr>
        <w:t xml:space="preserve"> de cobertura não devem ser dominadas pelo risco de crédito de nenhuma das partes envolvidas.</w:t>
      </w:r>
    </w:p>
    <w:p w14:paraId="0BEA2114" w14:textId="0B3B7263" w:rsidR="002B4B89" w:rsidRDefault="003F776D" w:rsidP="002B4B89">
      <w:pPr>
        <w:pStyle w:val="Corpo"/>
        <w:numPr>
          <w:ilvl w:val="0"/>
          <w:numId w:val="29"/>
        </w:numPr>
        <w:spacing w:after="240"/>
        <w:jc w:val="both"/>
        <w:rPr>
          <w:rFonts w:cs="Calibri"/>
          <w:color w:val="000000" w:themeColor="text1"/>
        </w:rPr>
      </w:pPr>
      <w:r w:rsidRPr="003F776D">
        <w:rPr>
          <w:rFonts w:cs="Calibri"/>
          <w:b/>
          <w:bCs/>
          <w:color w:val="000000" w:themeColor="text1"/>
        </w:rPr>
        <w:t>Rácio de cobertura</w:t>
      </w:r>
      <w:r w:rsidRPr="003F776D">
        <w:rPr>
          <w:rFonts w:cs="Calibri"/>
          <w:color w:val="000000" w:themeColor="text1"/>
        </w:rPr>
        <w:t xml:space="preserve">: O rácio de cobertura não deve refletir um desequilíbrio entre os pesos do item coberto e do </w:t>
      </w:r>
      <w:r w:rsidR="002B4B89">
        <w:rPr>
          <w:rFonts w:cs="Calibri"/>
          <w:color w:val="000000" w:themeColor="text1"/>
        </w:rPr>
        <w:t>i</w:t>
      </w:r>
      <w:r w:rsidR="0052120C">
        <w:rPr>
          <w:rFonts w:cs="Calibri"/>
          <w:color w:val="000000" w:themeColor="text1"/>
        </w:rPr>
        <w:t>nstrumento</w:t>
      </w:r>
      <w:r w:rsidRPr="003F776D">
        <w:rPr>
          <w:rFonts w:cs="Calibri"/>
          <w:color w:val="000000" w:themeColor="text1"/>
        </w:rPr>
        <w:t xml:space="preserve"> de cobertura que crie ineficácia </w:t>
      </w:r>
      <w:r w:rsidR="009C1290">
        <w:rPr>
          <w:rFonts w:cs="Calibri"/>
          <w:color w:val="000000" w:themeColor="text1"/>
        </w:rPr>
        <w:t xml:space="preserve">e </w:t>
      </w:r>
      <w:r w:rsidRPr="003F776D">
        <w:rPr>
          <w:rFonts w:cs="Calibri"/>
          <w:color w:val="000000" w:themeColor="text1"/>
        </w:rPr>
        <w:t>que possa levar a resultados contabilísticos inconsistentes com o objetivo da contabilidade de cobertura.</w:t>
      </w:r>
    </w:p>
    <w:p w14:paraId="6DD0DD75" w14:textId="3C8E2BCD" w:rsidR="002B162A" w:rsidRPr="002B162A" w:rsidRDefault="001B026E" w:rsidP="002B162A">
      <w:pPr>
        <w:pStyle w:val="NormalWeb"/>
        <w:ind w:left="550"/>
        <w:rPr>
          <w:rFonts w:ascii="Calibri" w:hAnsi="Calibri" w:cs="Calibri"/>
          <w:color w:val="000000" w:themeColor="text1"/>
        </w:rPr>
      </w:pPr>
      <m:oMathPara>
        <m:oMath>
          <m:r>
            <w:rPr>
              <w:rFonts w:ascii="Cambria Math" w:hAnsi="Cambria Math" w:cs="Calibri"/>
              <w:color w:val="000000" w:themeColor="text1"/>
            </w:rPr>
            <m:t xml:space="preserve">Rácio de Cobertura= </m:t>
          </m:r>
          <m:f>
            <m:fPr>
              <m:ctrlPr>
                <w:rPr>
                  <w:rFonts w:ascii="Cambria Math" w:hAnsi="Cambria Math" w:cs="Calibri"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Calibri"/>
                  <w:color w:val="000000" w:themeColor="text1"/>
                </w:rPr>
                <m:t xml:space="preserve">Quantidade do item de cobertura  </m:t>
              </m:r>
            </m:num>
            <m:den>
              <m:r>
                <w:rPr>
                  <w:rFonts w:ascii="Cambria Math" w:hAnsi="Cambria Math" w:cs="Calibri"/>
                  <w:color w:val="000000" w:themeColor="text1"/>
                </w:rPr>
                <m:t>Quantidade do item efetivamente coberto</m:t>
              </m:r>
            </m:den>
          </m:f>
        </m:oMath>
      </m:oMathPara>
    </w:p>
    <w:p w14:paraId="1A498C2C" w14:textId="77777777" w:rsidR="002B4B89" w:rsidRDefault="003F776D" w:rsidP="002B4B89">
      <w:pPr>
        <w:pStyle w:val="Corpo"/>
        <w:numPr>
          <w:ilvl w:val="0"/>
          <w:numId w:val="29"/>
        </w:numPr>
        <w:spacing w:after="240"/>
        <w:jc w:val="both"/>
        <w:rPr>
          <w:rFonts w:cs="Calibri"/>
          <w:color w:val="000000" w:themeColor="text1"/>
        </w:rPr>
      </w:pPr>
      <w:r w:rsidRPr="003F776D">
        <w:rPr>
          <w:rFonts w:cs="Calibri"/>
          <w:b/>
          <w:bCs/>
          <w:color w:val="000000" w:themeColor="text1"/>
        </w:rPr>
        <w:t>Medição da ineficácia</w:t>
      </w:r>
      <w:r w:rsidRPr="003F776D">
        <w:rPr>
          <w:rFonts w:cs="Calibri"/>
          <w:color w:val="000000" w:themeColor="text1"/>
        </w:rPr>
        <w:t>: A ineficácia deve ser regularmente mensurada e registada nos resultados.</w:t>
      </w:r>
    </w:p>
    <w:p w14:paraId="72037788" w14:textId="12933AB8" w:rsidR="003F776D" w:rsidRDefault="003F776D" w:rsidP="002B4B89">
      <w:pPr>
        <w:pStyle w:val="Corpo"/>
        <w:numPr>
          <w:ilvl w:val="0"/>
          <w:numId w:val="29"/>
        </w:numPr>
        <w:spacing w:after="240"/>
        <w:jc w:val="both"/>
        <w:rPr>
          <w:rFonts w:cs="Calibri"/>
          <w:color w:val="000000" w:themeColor="text1"/>
        </w:rPr>
      </w:pPr>
      <w:r w:rsidRPr="003F776D">
        <w:rPr>
          <w:rFonts w:cs="Calibri"/>
          <w:b/>
          <w:bCs/>
          <w:color w:val="000000" w:themeColor="text1"/>
        </w:rPr>
        <w:t>Avaliação das fontes de ineficácia</w:t>
      </w:r>
      <w:r w:rsidRPr="003F776D">
        <w:rPr>
          <w:rFonts w:cs="Calibri"/>
          <w:color w:val="000000" w:themeColor="text1"/>
        </w:rPr>
        <w:t>: Devem ser identificadas e analisadas as fontes esperadas de ineficácia que afetam a relação de cobertura.</w:t>
      </w:r>
    </w:p>
    <w:p w14:paraId="5EA495D2" w14:textId="1AF0E538" w:rsidR="00AA1FFB" w:rsidRPr="00CB1C15" w:rsidRDefault="00AA1FFB" w:rsidP="00CB1C15">
      <w:pPr>
        <w:pStyle w:val="Corpo"/>
        <w:spacing w:after="240"/>
        <w:jc w:val="both"/>
        <w:rPr>
          <w:rFonts w:cs="Calibri"/>
          <w:color w:val="000000" w:themeColor="text1"/>
        </w:rPr>
      </w:pPr>
      <w:r w:rsidRPr="00CB1C15">
        <w:rPr>
          <w:rFonts w:cs="Calibri"/>
          <w:color w:val="000000" w:themeColor="text1"/>
        </w:rPr>
        <w:t>O Banco verifica o cumprimento destes requisitos tanto no momento da designação da cobertura</w:t>
      </w:r>
      <w:r w:rsidR="002D465B" w:rsidRPr="00CB1C15">
        <w:rPr>
          <w:rFonts w:cs="Calibri"/>
          <w:color w:val="000000" w:themeColor="text1"/>
        </w:rPr>
        <w:t>,</w:t>
      </w:r>
      <w:r w:rsidRPr="00CB1C15">
        <w:rPr>
          <w:rFonts w:cs="Calibri"/>
          <w:color w:val="000000" w:themeColor="text1"/>
        </w:rPr>
        <w:t xml:space="preserve"> como em cada data de reporte</w:t>
      </w:r>
      <w:r w:rsidR="004D2474" w:rsidRPr="00CB1C15">
        <w:rPr>
          <w:rFonts w:cs="Calibri"/>
          <w:color w:val="000000" w:themeColor="text1"/>
        </w:rPr>
        <w:t xml:space="preserve"> e sempre que </w:t>
      </w:r>
      <w:r w:rsidR="003F6E99" w:rsidRPr="00CB1C15">
        <w:rPr>
          <w:rFonts w:cs="Calibri"/>
          <w:color w:val="000000" w:themeColor="text1"/>
        </w:rPr>
        <w:t xml:space="preserve">requerido ou exista necessidade, </w:t>
      </w:r>
      <w:r w:rsidRPr="00CB1C15">
        <w:rPr>
          <w:rFonts w:cs="Calibri"/>
          <w:color w:val="000000" w:themeColor="text1"/>
        </w:rPr>
        <w:t xml:space="preserve">conforme detalhado </w:t>
      </w:r>
      <w:r w:rsidR="00A12039">
        <w:rPr>
          <w:rFonts w:cs="Calibri"/>
          <w:color w:val="000000" w:themeColor="text1"/>
        </w:rPr>
        <w:t>nos subcapítulos seguintes</w:t>
      </w:r>
      <w:r w:rsidR="002D465B" w:rsidRPr="00CB1C15">
        <w:rPr>
          <w:rFonts w:cs="Calibri"/>
          <w:color w:val="000000" w:themeColor="text1"/>
        </w:rPr>
        <w:t>.</w:t>
      </w:r>
      <w:r w:rsidR="001C6C30" w:rsidRPr="00CB1C15">
        <w:rPr>
          <w:rFonts w:cs="Calibri"/>
          <w:color w:val="000000" w:themeColor="text1"/>
        </w:rPr>
        <w:t xml:space="preserve"> </w:t>
      </w:r>
    </w:p>
    <w:p w14:paraId="5C592E4D" w14:textId="02A004D4" w:rsidR="005944BC" w:rsidRDefault="00BE113B" w:rsidP="005944BC">
      <w:pPr>
        <w:pStyle w:val="Ttulo21"/>
      </w:pPr>
      <w:bookmarkStart w:id="20" w:name="_Toc205551771"/>
      <w:r>
        <w:rPr>
          <w:bCs/>
        </w:rPr>
        <w:t>8</w:t>
      </w:r>
      <w:r w:rsidR="005944BC" w:rsidRPr="005944BC">
        <w:t>.</w:t>
      </w:r>
      <w:r w:rsidR="005944BC">
        <w:t>1</w:t>
      </w:r>
      <w:r w:rsidR="001C6C30">
        <w:t xml:space="preserve"> Relação Económica</w:t>
      </w:r>
      <w:bookmarkEnd w:id="20"/>
    </w:p>
    <w:p w14:paraId="3BED4410" w14:textId="77777777" w:rsidR="001C6C30" w:rsidRPr="00CB1C15" w:rsidRDefault="001C6C30" w:rsidP="00CB1C15">
      <w:pPr>
        <w:pStyle w:val="Corpo"/>
        <w:spacing w:after="240"/>
        <w:jc w:val="both"/>
        <w:rPr>
          <w:b/>
          <w:bCs/>
          <w:i/>
          <w:iCs/>
        </w:rPr>
      </w:pPr>
      <w:proofErr w:type="spellStart"/>
      <w:r w:rsidRPr="00CB1C15">
        <w:rPr>
          <w:b/>
          <w:bCs/>
          <w:i/>
          <w:iCs/>
        </w:rPr>
        <w:t>Critical</w:t>
      </w:r>
      <w:proofErr w:type="spellEnd"/>
      <w:r w:rsidRPr="00CB1C15">
        <w:rPr>
          <w:b/>
          <w:bCs/>
          <w:i/>
          <w:iCs/>
        </w:rPr>
        <w:t xml:space="preserve"> </w:t>
      </w:r>
      <w:proofErr w:type="spellStart"/>
      <w:r w:rsidRPr="00CB1C15">
        <w:rPr>
          <w:b/>
          <w:bCs/>
          <w:i/>
          <w:iCs/>
        </w:rPr>
        <w:t>Terms</w:t>
      </w:r>
      <w:proofErr w:type="spellEnd"/>
      <w:r w:rsidRPr="00CB1C15">
        <w:rPr>
          <w:b/>
          <w:bCs/>
          <w:i/>
          <w:iCs/>
        </w:rPr>
        <w:t xml:space="preserve"> Match</w:t>
      </w:r>
    </w:p>
    <w:p w14:paraId="1858F4DA" w14:textId="5B583BC4" w:rsidR="00CC4641" w:rsidRDefault="001C6C30" w:rsidP="00CC4641">
      <w:pPr>
        <w:pStyle w:val="Corpo"/>
        <w:spacing w:after="240"/>
        <w:jc w:val="both"/>
      </w:pPr>
      <w:r w:rsidRPr="001C6C30">
        <w:t xml:space="preserve">O Banco avalia a relação económica entre o item coberto e o </w:t>
      </w:r>
      <w:r w:rsidRPr="00CB1C15">
        <w:t>i</w:t>
      </w:r>
      <w:r w:rsidR="00DE0786">
        <w:t>nstrumento</w:t>
      </w:r>
      <w:r w:rsidRPr="001C6C30">
        <w:t xml:space="preserve"> de cobertura através d</w:t>
      </w:r>
      <w:r w:rsidR="00A12039">
        <w:t>o</w:t>
      </w:r>
      <w:r w:rsidRPr="001C6C30">
        <w:t xml:space="preserve"> teste </w:t>
      </w:r>
      <w:proofErr w:type="spellStart"/>
      <w:r w:rsidRPr="001C6C30">
        <w:rPr>
          <w:i/>
          <w:iCs/>
        </w:rPr>
        <w:t>Critical</w:t>
      </w:r>
      <w:proofErr w:type="spellEnd"/>
      <w:r w:rsidRPr="001C6C30">
        <w:rPr>
          <w:i/>
          <w:iCs/>
        </w:rPr>
        <w:t xml:space="preserve"> </w:t>
      </w:r>
      <w:proofErr w:type="spellStart"/>
      <w:r w:rsidRPr="001C6C30">
        <w:rPr>
          <w:i/>
          <w:iCs/>
        </w:rPr>
        <w:t>Terms</w:t>
      </w:r>
      <w:proofErr w:type="spellEnd"/>
      <w:r w:rsidRPr="001C6C30">
        <w:rPr>
          <w:i/>
          <w:iCs/>
        </w:rPr>
        <w:t xml:space="preserve"> Match</w:t>
      </w:r>
      <w:r w:rsidRPr="001C6C30">
        <w:t xml:space="preserve">, que é um método qualitativo de avaliação da eficácia de cobertura ao abrigo da IFRS 9 (B6.4.4; B6.4.5). Este método permite </w:t>
      </w:r>
      <w:r w:rsidR="00A12039">
        <w:t xml:space="preserve">garantir </w:t>
      </w:r>
      <w:r w:rsidRPr="001C6C30">
        <w:t>a eficácia de uma relação de cobertura sem necessidade de efetuar cálculos quantitativos. De acordo com a IFRS 9, quando os termos críticos do i</w:t>
      </w:r>
      <w:r w:rsidR="00DE0786">
        <w:t>nstrumento</w:t>
      </w:r>
      <w:r w:rsidRPr="001C6C30">
        <w:t xml:space="preserve"> coberto e do </w:t>
      </w:r>
      <w:r w:rsidR="006E15A0" w:rsidRPr="00CB1C15">
        <w:t>i</w:t>
      </w:r>
      <w:r w:rsidR="0052120C">
        <w:t>nstrumento</w:t>
      </w:r>
      <w:r w:rsidRPr="001C6C30">
        <w:t xml:space="preserve"> de cobertura coincidem, a cobertura </w:t>
      </w:r>
      <w:r w:rsidR="003A0038" w:rsidRPr="001C6C30">
        <w:t>considera</w:t>
      </w:r>
      <w:r w:rsidR="003A0038">
        <w:t>-se</w:t>
      </w:r>
      <w:r w:rsidR="003A0038" w:rsidRPr="001C6C30">
        <w:t xml:space="preserve"> </w:t>
      </w:r>
      <w:r w:rsidRPr="001C6C30">
        <w:t>ef</w:t>
      </w:r>
      <w:r w:rsidR="006E15A0" w:rsidRPr="00CB1C15">
        <w:t>icaz</w:t>
      </w:r>
      <w:r w:rsidR="00246EDF">
        <w:t>.</w:t>
      </w:r>
      <w:r w:rsidR="00D24CFD">
        <w:t xml:space="preserve"> </w:t>
      </w:r>
      <w:r w:rsidR="003A0038">
        <w:t xml:space="preserve">O </w:t>
      </w:r>
      <w:r w:rsidR="00D24CFD">
        <w:t>seguinte quadro</w:t>
      </w:r>
      <w:r w:rsidR="003A0038">
        <w:t xml:space="preserve"> sistematiza esta análise dos termos críticos</w:t>
      </w:r>
      <w:r w:rsidR="00D24CFD">
        <w:t>:</w:t>
      </w:r>
    </w:p>
    <w:p w14:paraId="58BEE5EA" w14:textId="1CBAB22D" w:rsidR="00CC4641" w:rsidRPr="00144DEA" w:rsidRDefault="00CC4641" w:rsidP="00144DEA">
      <w:pPr>
        <w:rPr>
          <w:rFonts w:ascii="Calibri" w:hAnsi="Calibri"/>
          <w:sz w:val="24"/>
        </w:rPr>
      </w:pPr>
      <w:r>
        <w:br w:type="page"/>
      </w:r>
    </w:p>
    <w:tbl>
      <w:tblPr>
        <w:tblStyle w:val="TableGrid"/>
        <w:tblW w:w="9663" w:type="dxa"/>
        <w:tblInd w:w="-1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862"/>
        <w:gridCol w:w="1307"/>
        <w:gridCol w:w="2860"/>
        <w:gridCol w:w="3634"/>
      </w:tblGrid>
      <w:tr w:rsidR="007A5AC7" w14:paraId="289C2215" w14:textId="77777777" w:rsidTr="008B1FD6">
        <w:trPr>
          <w:trHeight w:val="454"/>
        </w:trPr>
        <w:tc>
          <w:tcPr>
            <w:tcW w:w="1866" w:type="dxa"/>
            <w:shd w:val="clear" w:color="auto" w:fill="FF0000"/>
            <w:vAlign w:val="center"/>
          </w:tcPr>
          <w:p w14:paraId="469985E4" w14:textId="2BDF2824" w:rsidR="007A5AC7" w:rsidRPr="00D240A3" w:rsidRDefault="007A5AC7" w:rsidP="00F61384">
            <w:pPr>
              <w:pStyle w:val="Corpo"/>
              <w:spacing w:before="0" w:after="0"/>
              <w:ind w:left="0" w:right="0"/>
              <w:jc w:val="left"/>
              <w:rPr>
                <w:b/>
                <w:bCs/>
                <w:color w:val="FFFFFF" w:themeColor="background1"/>
              </w:rPr>
            </w:pPr>
            <w:r w:rsidRPr="00D240A3">
              <w:rPr>
                <w:b/>
                <w:bCs/>
                <w:color w:val="FFFFFF" w:themeColor="background1"/>
              </w:rPr>
              <w:lastRenderedPageBreak/>
              <w:t xml:space="preserve">Termos </w:t>
            </w:r>
            <w:proofErr w:type="spellStart"/>
            <w:r w:rsidRPr="00D240A3">
              <w:rPr>
                <w:b/>
                <w:bCs/>
                <w:color w:val="FFFFFF" w:themeColor="background1"/>
              </w:rPr>
              <w:t>críticos</w:t>
            </w:r>
            <w:proofErr w:type="spellEnd"/>
          </w:p>
        </w:tc>
        <w:tc>
          <w:tcPr>
            <w:tcW w:w="1276" w:type="dxa"/>
            <w:shd w:val="clear" w:color="auto" w:fill="FF0000"/>
            <w:vAlign w:val="center"/>
          </w:tcPr>
          <w:p w14:paraId="0AB26242" w14:textId="14E0FDA4" w:rsidR="007A5AC7" w:rsidRPr="00D240A3" w:rsidRDefault="007A5AC7" w:rsidP="00F61384">
            <w:pPr>
              <w:pStyle w:val="Corpo"/>
              <w:spacing w:before="0" w:after="0"/>
              <w:ind w:left="0" w:right="0"/>
              <w:jc w:val="left"/>
              <w:rPr>
                <w:b/>
                <w:bCs/>
                <w:color w:val="FFFFFF" w:themeColor="background1"/>
              </w:rPr>
            </w:pPr>
            <w:r w:rsidRPr="00D240A3">
              <w:rPr>
                <w:b/>
                <w:bCs/>
                <w:color w:val="FFFFFF" w:themeColor="background1"/>
              </w:rPr>
              <w:t>Thresholds</w:t>
            </w:r>
          </w:p>
        </w:tc>
        <w:tc>
          <w:tcPr>
            <w:tcW w:w="2870" w:type="dxa"/>
            <w:shd w:val="clear" w:color="auto" w:fill="FF0000"/>
            <w:vAlign w:val="center"/>
          </w:tcPr>
          <w:p w14:paraId="78703D10" w14:textId="0D57DE57" w:rsidR="007A5AC7" w:rsidRPr="00D240A3" w:rsidRDefault="007A5AC7" w:rsidP="00F61384">
            <w:pPr>
              <w:pStyle w:val="Corpo"/>
              <w:spacing w:before="0" w:after="0"/>
              <w:ind w:left="0" w:right="0"/>
              <w:jc w:val="left"/>
              <w:rPr>
                <w:b/>
                <w:bCs/>
                <w:color w:val="FFFFFF" w:themeColor="background1"/>
              </w:rPr>
            </w:pPr>
            <w:proofErr w:type="spellStart"/>
            <w:r w:rsidRPr="00D240A3">
              <w:rPr>
                <w:b/>
                <w:bCs/>
                <w:color w:val="FFFFFF" w:themeColor="background1"/>
              </w:rPr>
              <w:t>Descrição</w:t>
            </w:r>
            <w:proofErr w:type="spellEnd"/>
          </w:p>
        </w:tc>
        <w:tc>
          <w:tcPr>
            <w:tcW w:w="3651" w:type="dxa"/>
            <w:shd w:val="clear" w:color="auto" w:fill="FF0000"/>
            <w:vAlign w:val="center"/>
          </w:tcPr>
          <w:p w14:paraId="04E38CC5" w14:textId="0003AFBF" w:rsidR="007A5AC7" w:rsidRPr="00D240A3" w:rsidRDefault="00FE583E" w:rsidP="00F61384">
            <w:pPr>
              <w:pStyle w:val="Corpo"/>
              <w:spacing w:before="0" w:after="0"/>
              <w:ind w:left="0" w:right="0"/>
              <w:jc w:val="left"/>
              <w:rPr>
                <w:b/>
                <w:bCs/>
                <w:color w:val="FFFFFF" w:themeColor="background1"/>
              </w:rPr>
            </w:pPr>
            <w:proofErr w:type="spellStart"/>
            <w:r w:rsidRPr="00D240A3">
              <w:rPr>
                <w:b/>
                <w:bCs/>
                <w:color w:val="FFFFFF" w:themeColor="background1"/>
              </w:rPr>
              <w:t>Resultado</w:t>
            </w:r>
            <w:proofErr w:type="spellEnd"/>
          </w:p>
        </w:tc>
      </w:tr>
      <w:tr w:rsidR="0005726E" w14:paraId="634AFDE8" w14:textId="77777777" w:rsidTr="008B1FD6">
        <w:trPr>
          <w:trHeight w:val="680"/>
        </w:trPr>
        <w:tc>
          <w:tcPr>
            <w:tcW w:w="1866" w:type="dxa"/>
            <w:vMerge w:val="restart"/>
            <w:vAlign w:val="center"/>
          </w:tcPr>
          <w:p w14:paraId="08D4422B" w14:textId="10B16098" w:rsidR="0005726E" w:rsidRDefault="0005726E" w:rsidP="00D240A3">
            <w:pPr>
              <w:pStyle w:val="Corpo"/>
              <w:spacing w:before="0" w:after="0"/>
              <w:ind w:left="0" w:right="0"/>
              <w:jc w:val="left"/>
            </w:pPr>
            <w:r>
              <w:t>Nomi</w:t>
            </w:r>
            <w:r w:rsidR="00D240A3">
              <w:t>n</w:t>
            </w:r>
            <w:r>
              <w:t xml:space="preserve">al </w:t>
            </w:r>
            <w:proofErr w:type="spellStart"/>
            <w:r>
              <w:t>Atual</w:t>
            </w:r>
            <w:proofErr w:type="spellEnd"/>
          </w:p>
        </w:tc>
        <w:tc>
          <w:tcPr>
            <w:tcW w:w="1276" w:type="dxa"/>
            <w:vMerge w:val="restart"/>
            <w:vAlign w:val="center"/>
          </w:tcPr>
          <w:p w14:paraId="51FB2A7C" w14:textId="76257B24" w:rsidR="0005726E" w:rsidRDefault="0005726E" w:rsidP="00D240A3">
            <w:pPr>
              <w:pStyle w:val="Corpo"/>
              <w:spacing w:before="0" w:after="0"/>
              <w:ind w:left="0" w:right="0"/>
              <w:jc w:val="left"/>
            </w:pPr>
            <w:r>
              <w:t>Sim</w:t>
            </w:r>
          </w:p>
        </w:tc>
        <w:tc>
          <w:tcPr>
            <w:tcW w:w="2870" w:type="dxa"/>
            <w:vAlign w:val="center"/>
          </w:tcPr>
          <w:p w14:paraId="2B99C019" w14:textId="0AE680B0" w:rsidR="0005726E" w:rsidRPr="0005726E" w:rsidRDefault="0005726E" w:rsidP="00D240A3">
            <w:pPr>
              <w:pStyle w:val="Corpo"/>
              <w:spacing w:before="0" w:after="0"/>
              <w:ind w:left="0" w:right="0"/>
              <w:jc w:val="left"/>
              <w:rPr>
                <w:lang w:val="pt-PT"/>
              </w:rPr>
            </w:pPr>
            <w:r w:rsidRPr="0005726E">
              <w:rPr>
                <w:lang w:val="pt-PT"/>
              </w:rPr>
              <w:t>O montante dos nocionais s</w:t>
            </w:r>
            <w:r>
              <w:rPr>
                <w:lang w:val="pt-PT"/>
              </w:rPr>
              <w:t>ão iguais</w:t>
            </w:r>
          </w:p>
        </w:tc>
        <w:tc>
          <w:tcPr>
            <w:tcW w:w="3651" w:type="dxa"/>
            <w:vAlign w:val="center"/>
          </w:tcPr>
          <w:p w14:paraId="446B4BE2" w14:textId="6F33239A" w:rsidR="0005726E" w:rsidRPr="0005726E" w:rsidRDefault="00020876" w:rsidP="00D240A3">
            <w:pPr>
              <w:pStyle w:val="Corpo"/>
              <w:spacing w:before="0" w:after="0"/>
              <w:ind w:left="0" w:right="0"/>
              <w:jc w:val="left"/>
              <w:rPr>
                <w:lang w:val="pt-PT"/>
              </w:rPr>
            </w:pPr>
            <w:r>
              <w:rPr>
                <w:lang w:val="pt-PT"/>
              </w:rPr>
              <w:t>Está garantida a efetividade</w:t>
            </w:r>
          </w:p>
        </w:tc>
      </w:tr>
      <w:tr w:rsidR="0005726E" w14:paraId="66C3CCF9" w14:textId="77777777" w:rsidTr="008B1FD6">
        <w:trPr>
          <w:trHeight w:val="680"/>
        </w:trPr>
        <w:tc>
          <w:tcPr>
            <w:tcW w:w="1866" w:type="dxa"/>
            <w:vMerge/>
            <w:vAlign w:val="center"/>
          </w:tcPr>
          <w:p w14:paraId="533AD537" w14:textId="77777777" w:rsidR="0005726E" w:rsidRPr="0005726E" w:rsidRDefault="0005726E" w:rsidP="00D240A3">
            <w:pPr>
              <w:pStyle w:val="Corpo"/>
              <w:spacing w:before="0" w:after="0"/>
              <w:ind w:left="0" w:right="0"/>
              <w:jc w:val="left"/>
              <w:rPr>
                <w:lang w:val="pt-PT"/>
              </w:rPr>
            </w:pPr>
          </w:p>
        </w:tc>
        <w:tc>
          <w:tcPr>
            <w:tcW w:w="1276" w:type="dxa"/>
            <w:vMerge/>
            <w:vAlign w:val="center"/>
          </w:tcPr>
          <w:p w14:paraId="13127AC5" w14:textId="77777777" w:rsidR="0005726E" w:rsidRPr="0005726E" w:rsidRDefault="0005726E" w:rsidP="00D240A3">
            <w:pPr>
              <w:pStyle w:val="Corpo"/>
              <w:spacing w:before="0" w:after="0"/>
              <w:ind w:left="0" w:right="0"/>
              <w:jc w:val="left"/>
              <w:rPr>
                <w:lang w:val="pt-PT"/>
              </w:rPr>
            </w:pPr>
          </w:p>
        </w:tc>
        <w:tc>
          <w:tcPr>
            <w:tcW w:w="2870" w:type="dxa"/>
            <w:vAlign w:val="center"/>
          </w:tcPr>
          <w:p w14:paraId="46FC9E99" w14:textId="2299355B" w:rsidR="0005726E" w:rsidRPr="0005726E" w:rsidRDefault="00020876" w:rsidP="00D240A3">
            <w:pPr>
              <w:pStyle w:val="Corpo"/>
              <w:spacing w:before="0" w:after="0"/>
              <w:ind w:left="0" w:right="0"/>
              <w:jc w:val="left"/>
              <w:rPr>
                <w:lang w:val="pt-PT"/>
              </w:rPr>
            </w:pPr>
            <w:r>
              <w:rPr>
                <w:lang w:val="pt-PT"/>
              </w:rPr>
              <w:t xml:space="preserve">A diferença dos </w:t>
            </w:r>
            <w:r w:rsidR="00982AAD">
              <w:rPr>
                <w:lang w:val="pt-PT"/>
              </w:rPr>
              <w:t>nocionais</w:t>
            </w:r>
            <w:r>
              <w:rPr>
                <w:lang w:val="pt-PT"/>
              </w:rPr>
              <w:t xml:space="preserve"> está entre 0-5%</w:t>
            </w:r>
          </w:p>
        </w:tc>
        <w:tc>
          <w:tcPr>
            <w:tcW w:w="3651" w:type="dxa"/>
            <w:vAlign w:val="center"/>
          </w:tcPr>
          <w:p w14:paraId="645D34E9" w14:textId="50270299" w:rsidR="0005726E" w:rsidRPr="0005726E" w:rsidRDefault="00462B52" w:rsidP="00D240A3">
            <w:pPr>
              <w:pStyle w:val="Corpo"/>
              <w:spacing w:before="0" w:after="0"/>
              <w:ind w:left="0" w:right="0"/>
              <w:jc w:val="left"/>
              <w:rPr>
                <w:lang w:val="pt-PT"/>
              </w:rPr>
            </w:pPr>
            <w:r>
              <w:rPr>
                <w:lang w:val="pt-PT"/>
              </w:rPr>
              <w:t>Está garantida a efetividade, mesmo existindo pequenas diferenças</w:t>
            </w:r>
          </w:p>
        </w:tc>
      </w:tr>
      <w:tr w:rsidR="0005726E" w14:paraId="288B9B53" w14:textId="77777777" w:rsidTr="008B1FD6">
        <w:trPr>
          <w:trHeight w:val="680"/>
        </w:trPr>
        <w:tc>
          <w:tcPr>
            <w:tcW w:w="1866" w:type="dxa"/>
            <w:vMerge/>
            <w:vAlign w:val="center"/>
          </w:tcPr>
          <w:p w14:paraId="6CC31373" w14:textId="77777777" w:rsidR="0005726E" w:rsidRPr="0005726E" w:rsidRDefault="0005726E" w:rsidP="00D240A3">
            <w:pPr>
              <w:pStyle w:val="Corpo"/>
              <w:spacing w:before="0" w:after="0"/>
              <w:ind w:left="0" w:right="0"/>
              <w:jc w:val="left"/>
              <w:rPr>
                <w:lang w:val="pt-PT"/>
              </w:rPr>
            </w:pPr>
          </w:p>
        </w:tc>
        <w:tc>
          <w:tcPr>
            <w:tcW w:w="1276" w:type="dxa"/>
            <w:vMerge/>
            <w:vAlign w:val="center"/>
          </w:tcPr>
          <w:p w14:paraId="12CE10DA" w14:textId="77777777" w:rsidR="0005726E" w:rsidRPr="0005726E" w:rsidRDefault="0005726E" w:rsidP="00D240A3">
            <w:pPr>
              <w:pStyle w:val="Corpo"/>
              <w:spacing w:before="0" w:after="0"/>
              <w:ind w:left="0" w:right="0"/>
              <w:jc w:val="left"/>
              <w:rPr>
                <w:lang w:val="pt-PT"/>
              </w:rPr>
            </w:pPr>
          </w:p>
        </w:tc>
        <w:tc>
          <w:tcPr>
            <w:tcW w:w="2870" w:type="dxa"/>
            <w:vAlign w:val="center"/>
          </w:tcPr>
          <w:p w14:paraId="0669283B" w14:textId="4D7FE66A" w:rsidR="0005726E" w:rsidRPr="0005726E" w:rsidRDefault="000B2B6B" w:rsidP="00D240A3">
            <w:pPr>
              <w:pStyle w:val="Corpo"/>
              <w:spacing w:before="0" w:after="0"/>
              <w:ind w:left="0" w:right="0"/>
              <w:jc w:val="left"/>
              <w:rPr>
                <w:lang w:val="pt-PT"/>
              </w:rPr>
            </w:pPr>
            <w:r>
              <w:rPr>
                <w:lang w:val="pt-PT"/>
              </w:rPr>
              <w:t xml:space="preserve">A diferença dos </w:t>
            </w:r>
            <w:r w:rsidR="00982AAD">
              <w:rPr>
                <w:lang w:val="pt-PT"/>
              </w:rPr>
              <w:t>nocionais</w:t>
            </w:r>
            <w:r>
              <w:rPr>
                <w:lang w:val="pt-PT"/>
              </w:rPr>
              <w:t xml:space="preserve"> é superior a 5%</w:t>
            </w:r>
          </w:p>
        </w:tc>
        <w:tc>
          <w:tcPr>
            <w:tcW w:w="3651" w:type="dxa"/>
            <w:vAlign w:val="center"/>
          </w:tcPr>
          <w:p w14:paraId="0B391948" w14:textId="0C51A084" w:rsidR="0005726E" w:rsidRPr="0005726E" w:rsidRDefault="000B2B6B" w:rsidP="00D240A3">
            <w:pPr>
              <w:pStyle w:val="Corpo"/>
              <w:spacing w:before="0" w:after="0"/>
              <w:ind w:left="0" w:right="0"/>
              <w:jc w:val="left"/>
              <w:rPr>
                <w:lang w:val="pt-PT"/>
              </w:rPr>
            </w:pPr>
            <w:r>
              <w:rPr>
                <w:lang w:val="pt-PT"/>
              </w:rPr>
              <w:t>Não está garantida a efetividade</w:t>
            </w:r>
          </w:p>
        </w:tc>
      </w:tr>
      <w:tr w:rsidR="00D240A3" w14:paraId="2D0FDC6B" w14:textId="77777777" w:rsidTr="008B1FD6">
        <w:trPr>
          <w:trHeight w:val="680"/>
        </w:trPr>
        <w:tc>
          <w:tcPr>
            <w:tcW w:w="1866" w:type="dxa"/>
            <w:vMerge w:val="restart"/>
            <w:vAlign w:val="center"/>
          </w:tcPr>
          <w:p w14:paraId="4EFBA132" w14:textId="3AD4EF56" w:rsidR="00D240A3" w:rsidRPr="00FE583E" w:rsidRDefault="00D240A3" w:rsidP="00D240A3">
            <w:pPr>
              <w:pStyle w:val="Corpo"/>
              <w:spacing w:before="0" w:after="0"/>
              <w:ind w:left="0" w:right="0"/>
              <w:jc w:val="left"/>
              <w:rPr>
                <w:lang w:val="pt-PT"/>
              </w:rPr>
            </w:pPr>
            <w:r w:rsidRPr="00FE583E">
              <w:rPr>
                <w:lang w:val="pt-PT"/>
              </w:rPr>
              <w:t>Data de Maturidade</w:t>
            </w:r>
            <w:r>
              <w:rPr>
                <w:lang w:val="pt-PT"/>
              </w:rPr>
              <w:t xml:space="preserve"> da cobertura</w:t>
            </w:r>
          </w:p>
        </w:tc>
        <w:tc>
          <w:tcPr>
            <w:tcW w:w="1276" w:type="dxa"/>
            <w:vMerge w:val="restart"/>
            <w:vAlign w:val="center"/>
          </w:tcPr>
          <w:p w14:paraId="2663D4EE" w14:textId="6D254B02" w:rsidR="00D240A3" w:rsidRPr="00FE583E" w:rsidRDefault="00D240A3" w:rsidP="00D240A3">
            <w:pPr>
              <w:pStyle w:val="Corpo"/>
              <w:spacing w:before="0" w:after="0"/>
              <w:ind w:left="0" w:right="0"/>
              <w:jc w:val="left"/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2870" w:type="dxa"/>
            <w:vAlign w:val="center"/>
          </w:tcPr>
          <w:p w14:paraId="5EEC792A" w14:textId="3E384BC0" w:rsidR="00D240A3" w:rsidRPr="00FE583E" w:rsidRDefault="00D240A3" w:rsidP="00D240A3">
            <w:pPr>
              <w:pStyle w:val="Corpo"/>
              <w:spacing w:before="0" w:after="0"/>
              <w:ind w:left="0" w:right="0"/>
              <w:jc w:val="left"/>
              <w:rPr>
                <w:lang w:val="pt-PT"/>
              </w:rPr>
            </w:pPr>
            <w:r>
              <w:rPr>
                <w:lang w:val="pt-PT"/>
              </w:rPr>
              <w:t>As datas da maturidade são iguais</w:t>
            </w:r>
          </w:p>
        </w:tc>
        <w:tc>
          <w:tcPr>
            <w:tcW w:w="3651" w:type="dxa"/>
            <w:vAlign w:val="center"/>
          </w:tcPr>
          <w:p w14:paraId="30F11DC5" w14:textId="5D73488C" w:rsidR="00D240A3" w:rsidRPr="00FE583E" w:rsidRDefault="00D240A3" w:rsidP="00D240A3">
            <w:pPr>
              <w:pStyle w:val="Corpo"/>
              <w:spacing w:before="0" w:after="0"/>
              <w:ind w:left="0" w:right="0"/>
              <w:jc w:val="left"/>
              <w:rPr>
                <w:lang w:val="pt-PT"/>
              </w:rPr>
            </w:pPr>
            <w:r>
              <w:rPr>
                <w:lang w:val="pt-PT"/>
              </w:rPr>
              <w:t>Está garantida a efetividade</w:t>
            </w:r>
          </w:p>
        </w:tc>
      </w:tr>
      <w:tr w:rsidR="00D240A3" w14:paraId="78572894" w14:textId="77777777" w:rsidTr="008B1FD6">
        <w:trPr>
          <w:trHeight w:val="680"/>
        </w:trPr>
        <w:tc>
          <w:tcPr>
            <w:tcW w:w="1866" w:type="dxa"/>
            <w:vMerge/>
            <w:vAlign w:val="center"/>
          </w:tcPr>
          <w:p w14:paraId="2CCF2640" w14:textId="77777777" w:rsidR="00D240A3" w:rsidRPr="00FE583E" w:rsidRDefault="00D240A3" w:rsidP="00D240A3">
            <w:pPr>
              <w:pStyle w:val="Corpo"/>
              <w:spacing w:before="0" w:after="0"/>
              <w:ind w:left="0" w:right="0"/>
              <w:jc w:val="left"/>
            </w:pPr>
          </w:p>
        </w:tc>
        <w:tc>
          <w:tcPr>
            <w:tcW w:w="1276" w:type="dxa"/>
            <w:vMerge/>
            <w:vAlign w:val="center"/>
          </w:tcPr>
          <w:p w14:paraId="21FB429D" w14:textId="77777777" w:rsidR="00D240A3" w:rsidRDefault="00D240A3" w:rsidP="00D240A3">
            <w:pPr>
              <w:pStyle w:val="Corpo"/>
              <w:spacing w:before="0" w:after="0"/>
              <w:ind w:left="0" w:right="0"/>
              <w:jc w:val="left"/>
            </w:pPr>
          </w:p>
        </w:tc>
        <w:tc>
          <w:tcPr>
            <w:tcW w:w="2870" w:type="dxa"/>
            <w:vAlign w:val="center"/>
          </w:tcPr>
          <w:p w14:paraId="3F3740F3" w14:textId="2996BC6A" w:rsidR="00D240A3" w:rsidRPr="000B2B6B" w:rsidRDefault="00D240A3" w:rsidP="00D240A3">
            <w:pPr>
              <w:pStyle w:val="Corpo"/>
              <w:spacing w:before="0" w:after="0"/>
              <w:ind w:left="0" w:right="0"/>
              <w:jc w:val="left"/>
              <w:rPr>
                <w:lang w:val="pt-PT"/>
              </w:rPr>
            </w:pPr>
            <w:r>
              <w:rPr>
                <w:lang w:val="pt-PT"/>
              </w:rPr>
              <w:t xml:space="preserve">As datas de </w:t>
            </w:r>
            <w:r w:rsidRPr="00DD4E1F">
              <w:rPr>
                <w:lang w:val="pt-PT"/>
              </w:rPr>
              <w:t>maturidade</w:t>
            </w:r>
            <w:r>
              <w:rPr>
                <w:lang w:val="pt-PT"/>
              </w:rPr>
              <w:t xml:space="preserve"> têm uma diferença de 31 dias ou menos</w:t>
            </w:r>
          </w:p>
        </w:tc>
        <w:tc>
          <w:tcPr>
            <w:tcW w:w="3651" w:type="dxa"/>
            <w:vAlign w:val="center"/>
          </w:tcPr>
          <w:p w14:paraId="45C381CB" w14:textId="0F56D3DC" w:rsidR="00D240A3" w:rsidRPr="000B2B6B" w:rsidRDefault="00D240A3" w:rsidP="00D240A3">
            <w:pPr>
              <w:pStyle w:val="Corpo"/>
              <w:spacing w:before="0" w:after="0"/>
              <w:ind w:left="0" w:right="0"/>
              <w:jc w:val="left"/>
              <w:rPr>
                <w:lang w:val="pt-PT"/>
              </w:rPr>
            </w:pPr>
            <w:r>
              <w:rPr>
                <w:lang w:val="pt-PT"/>
              </w:rPr>
              <w:t>Está garantida a efetividade, mesmo existindo pequenas diferenças</w:t>
            </w:r>
          </w:p>
        </w:tc>
      </w:tr>
      <w:tr w:rsidR="00D240A3" w14:paraId="4E670018" w14:textId="77777777" w:rsidTr="008B1FD6">
        <w:trPr>
          <w:trHeight w:val="578"/>
        </w:trPr>
        <w:tc>
          <w:tcPr>
            <w:tcW w:w="1866" w:type="dxa"/>
            <w:vMerge/>
            <w:vAlign w:val="center"/>
          </w:tcPr>
          <w:p w14:paraId="01EEAACC" w14:textId="77777777" w:rsidR="00D240A3" w:rsidRPr="000B2B6B" w:rsidRDefault="00D240A3" w:rsidP="00D240A3">
            <w:pPr>
              <w:pStyle w:val="Corpo"/>
              <w:spacing w:before="0" w:after="0"/>
              <w:ind w:left="0" w:right="0"/>
              <w:jc w:val="left"/>
              <w:rPr>
                <w:lang w:val="pt-PT"/>
              </w:rPr>
            </w:pPr>
          </w:p>
        </w:tc>
        <w:tc>
          <w:tcPr>
            <w:tcW w:w="1276" w:type="dxa"/>
            <w:vMerge/>
            <w:vAlign w:val="center"/>
          </w:tcPr>
          <w:p w14:paraId="3C1B03FD" w14:textId="77777777" w:rsidR="00D240A3" w:rsidRPr="000B2B6B" w:rsidRDefault="00D240A3" w:rsidP="00D240A3">
            <w:pPr>
              <w:pStyle w:val="Corpo"/>
              <w:spacing w:before="0" w:after="0"/>
              <w:ind w:left="0" w:right="0"/>
              <w:jc w:val="left"/>
              <w:rPr>
                <w:lang w:val="pt-PT"/>
              </w:rPr>
            </w:pPr>
          </w:p>
        </w:tc>
        <w:tc>
          <w:tcPr>
            <w:tcW w:w="2870" w:type="dxa"/>
            <w:vAlign w:val="center"/>
          </w:tcPr>
          <w:p w14:paraId="7374DD5F" w14:textId="3EBD457B" w:rsidR="00D240A3" w:rsidRPr="000B2B6B" w:rsidRDefault="00D240A3" w:rsidP="00D240A3">
            <w:pPr>
              <w:pStyle w:val="Corpo"/>
              <w:spacing w:before="0" w:after="0"/>
              <w:ind w:left="0" w:right="0"/>
              <w:jc w:val="left"/>
              <w:rPr>
                <w:lang w:val="pt-PT"/>
              </w:rPr>
            </w:pPr>
            <w:r>
              <w:rPr>
                <w:lang w:val="pt-PT"/>
              </w:rPr>
              <w:t xml:space="preserve">As datas de </w:t>
            </w:r>
            <w:r w:rsidRPr="00D240A3">
              <w:rPr>
                <w:lang w:val="pt-PT"/>
              </w:rPr>
              <w:t>maturidade</w:t>
            </w:r>
            <w:r>
              <w:rPr>
                <w:lang w:val="pt-PT"/>
              </w:rPr>
              <w:t xml:space="preserve"> têm uma diferença superior a 31 dias </w:t>
            </w:r>
          </w:p>
        </w:tc>
        <w:tc>
          <w:tcPr>
            <w:tcW w:w="3651" w:type="dxa"/>
            <w:vAlign w:val="center"/>
          </w:tcPr>
          <w:p w14:paraId="655D7BE5" w14:textId="2054565F" w:rsidR="00D240A3" w:rsidRPr="000B2B6B" w:rsidRDefault="00D240A3" w:rsidP="00D240A3">
            <w:pPr>
              <w:pStyle w:val="Corpo"/>
              <w:spacing w:before="0" w:after="0"/>
              <w:ind w:left="0" w:right="0"/>
              <w:jc w:val="left"/>
              <w:rPr>
                <w:lang w:val="pt-PT"/>
              </w:rPr>
            </w:pPr>
            <w:r>
              <w:rPr>
                <w:lang w:val="pt-PT"/>
              </w:rPr>
              <w:t>Não está garantida a efetividade</w:t>
            </w:r>
          </w:p>
        </w:tc>
      </w:tr>
      <w:tr w:rsidR="005A72E7" w14:paraId="6288AC42" w14:textId="77777777" w:rsidTr="008B1FD6">
        <w:trPr>
          <w:trHeight w:val="648"/>
        </w:trPr>
        <w:tc>
          <w:tcPr>
            <w:tcW w:w="1866" w:type="dxa"/>
            <w:vMerge w:val="restart"/>
            <w:vAlign w:val="center"/>
          </w:tcPr>
          <w:p w14:paraId="5487C425" w14:textId="46636163" w:rsidR="005A72E7" w:rsidRPr="00FE583E" w:rsidRDefault="005A72E7" w:rsidP="00D240A3">
            <w:pPr>
              <w:pStyle w:val="Corpo"/>
              <w:spacing w:before="0" w:after="0"/>
              <w:ind w:left="0" w:right="0"/>
              <w:jc w:val="left"/>
              <w:rPr>
                <w:lang w:val="pt-PT"/>
              </w:rPr>
            </w:pPr>
            <w:r>
              <w:rPr>
                <w:lang w:val="pt-PT"/>
              </w:rPr>
              <w:t>Taxa Fixa / Spread</w:t>
            </w:r>
          </w:p>
        </w:tc>
        <w:tc>
          <w:tcPr>
            <w:tcW w:w="1276" w:type="dxa"/>
            <w:vMerge w:val="restart"/>
            <w:vAlign w:val="center"/>
          </w:tcPr>
          <w:p w14:paraId="777CA005" w14:textId="64E92CE2" w:rsidR="005A72E7" w:rsidRPr="00FE583E" w:rsidRDefault="005A72E7" w:rsidP="00D240A3">
            <w:pPr>
              <w:pStyle w:val="Corpo"/>
              <w:spacing w:before="0" w:after="0"/>
              <w:ind w:left="0" w:right="0"/>
              <w:jc w:val="left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2870" w:type="dxa"/>
            <w:vAlign w:val="center"/>
          </w:tcPr>
          <w:p w14:paraId="0313E531" w14:textId="2F9DE7DD" w:rsidR="005A72E7" w:rsidRPr="00FE583E" w:rsidRDefault="005A72E7" w:rsidP="00D240A3">
            <w:pPr>
              <w:pStyle w:val="Corpo"/>
              <w:spacing w:before="0" w:after="0"/>
              <w:ind w:left="0" w:right="0"/>
              <w:jc w:val="left"/>
              <w:rPr>
                <w:lang w:val="pt-PT"/>
              </w:rPr>
            </w:pPr>
            <w:r>
              <w:rPr>
                <w:lang w:val="pt-PT"/>
              </w:rPr>
              <w:t>As taxas f</w:t>
            </w:r>
            <w:r w:rsidR="00625276">
              <w:rPr>
                <w:lang w:val="pt-PT"/>
              </w:rPr>
              <w:t xml:space="preserve">ixas ou spreads são iguais entre </w:t>
            </w:r>
            <w:r w:rsidR="00883C3D">
              <w:rPr>
                <w:lang w:val="pt-PT"/>
              </w:rPr>
              <w:t xml:space="preserve">ambos os </w:t>
            </w:r>
            <w:r w:rsidR="00625276">
              <w:rPr>
                <w:lang w:val="pt-PT"/>
              </w:rPr>
              <w:t>instrumentos</w:t>
            </w:r>
          </w:p>
        </w:tc>
        <w:tc>
          <w:tcPr>
            <w:tcW w:w="3651" w:type="dxa"/>
            <w:vAlign w:val="center"/>
          </w:tcPr>
          <w:p w14:paraId="2D4C4891" w14:textId="1EEFAAE9" w:rsidR="005A72E7" w:rsidRPr="00FE583E" w:rsidRDefault="00883C3D" w:rsidP="00D240A3">
            <w:pPr>
              <w:pStyle w:val="Corpo"/>
              <w:spacing w:before="0" w:after="0"/>
              <w:ind w:left="0" w:right="0"/>
              <w:jc w:val="left"/>
              <w:rPr>
                <w:lang w:val="pt-PT"/>
              </w:rPr>
            </w:pPr>
            <w:r>
              <w:rPr>
                <w:lang w:val="pt-PT"/>
              </w:rPr>
              <w:t>Está garantida a efetividade</w:t>
            </w:r>
          </w:p>
        </w:tc>
      </w:tr>
      <w:tr w:rsidR="005A72E7" w14:paraId="585376B9" w14:textId="77777777" w:rsidTr="008B1FD6">
        <w:trPr>
          <w:trHeight w:val="680"/>
        </w:trPr>
        <w:tc>
          <w:tcPr>
            <w:tcW w:w="1866" w:type="dxa"/>
            <w:vMerge/>
            <w:vAlign w:val="center"/>
          </w:tcPr>
          <w:p w14:paraId="1C827DB2" w14:textId="77777777" w:rsidR="005A72E7" w:rsidRPr="00625276" w:rsidRDefault="005A72E7" w:rsidP="00D240A3">
            <w:pPr>
              <w:pStyle w:val="Corpo"/>
              <w:spacing w:before="0" w:after="0"/>
              <w:ind w:left="0" w:right="0"/>
              <w:rPr>
                <w:lang w:val="pt-PT"/>
              </w:rPr>
            </w:pPr>
          </w:p>
        </w:tc>
        <w:tc>
          <w:tcPr>
            <w:tcW w:w="1276" w:type="dxa"/>
            <w:vMerge/>
            <w:vAlign w:val="center"/>
          </w:tcPr>
          <w:p w14:paraId="551CD9EC" w14:textId="77777777" w:rsidR="005A72E7" w:rsidRPr="00625276" w:rsidRDefault="005A72E7" w:rsidP="00D240A3">
            <w:pPr>
              <w:pStyle w:val="Corpo"/>
              <w:spacing w:before="0" w:after="0"/>
              <w:ind w:left="0" w:right="0"/>
              <w:rPr>
                <w:lang w:val="pt-PT"/>
              </w:rPr>
            </w:pPr>
          </w:p>
        </w:tc>
        <w:tc>
          <w:tcPr>
            <w:tcW w:w="2870" w:type="dxa"/>
            <w:vAlign w:val="center"/>
          </w:tcPr>
          <w:p w14:paraId="4EE11EC8" w14:textId="0FD6EFC0" w:rsidR="005A72E7" w:rsidRPr="00625276" w:rsidRDefault="00625276" w:rsidP="00D240A3">
            <w:pPr>
              <w:pStyle w:val="Corpo"/>
              <w:spacing w:before="0" w:after="0"/>
              <w:ind w:left="0" w:right="0"/>
              <w:rPr>
                <w:lang w:val="pt-PT"/>
              </w:rPr>
            </w:pPr>
            <w:r>
              <w:rPr>
                <w:lang w:val="pt-PT"/>
              </w:rPr>
              <w:t xml:space="preserve">As taxas fixas ou spreads são diferentes entre </w:t>
            </w:r>
            <w:r w:rsidR="00883C3D">
              <w:rPr>
                <w:lang w:val="pt-PT"/>
              </w:rPr>
              <w:t>ambos os i</w:t>
            </w:r>
            <w:r w:rsidR="00883C3D" w:rsidRPr="00334B32">
              <w:rPr>
                <w:lang w:val="pt-PT"/>
              </w:rPr>
              <w:t>nstrumentos</w:t>
            </w:r>
          </w:p>
        </w:tc>
        <w:tc>
          <w:tcPr>
            <w:tcW w:w="3651" w:type="dxa"/>
            <w:vAlign w:val="center"/>
          </w:tcPr>
          <w:p w14:paraId="2D66B5A6" w14:textId="2D146A78" w:rsidR="005A72E7" w:rsidRPr="00625276" w:rsidRDefault="00883C3D" w:rsidP="00D240A3">
            <w:pPr>
              <w:pStyle w:val="Corpo"/>
              <w:spacing w:before="0" w:after="0"/>
              <w:ind w:left="0" w:right="0"/>
              <w:rPr>
                <w:lang w:val="pt-PT"/>
              </w:rPr>
            </w:pPr>
            <w:r>
              <w:rPr>
                <w:lang w:val="pt-PT"/>
              </w:rPr>
              <w:t>Não está garantida a efetividade</w:t>
            </w:r>
          </w:p>
        </w:tc>
      </w:tr>
      <w:tr w:rsidR="005A72E7" w14:paraId="262DF5BA" w14:textId="77777777" w:rsidTr="008B1FD6">
        <w:trPr>
          <w:trHeight w:val="680"/>
        </w:trPr>
        <w:tc>
          <w:tcPr>
            <w:tcW w:w="1866" w:type="dxa"/>
            <w:vMerge w:val="restart"/>
            <w:vAlign w:val="center"/>
          </w:tcPr>
          <w:p w14:paraId="1C26E2C2" w14:textId="15C6D46B" w:rsidR="005A72E7" w:rsidRDefault="005A72E7" w:rsidP="00D240A3">
            <w:pPr>
              <w:pStyle w:val="Corpo"/>
              <w:spacing w:before="0" w:after="0"/>
              <w:ind w:left="0" w:right="0"/>
              <w:jc w:val="left"/>
            </w:pPr>
            <w:proofErr w:type="spellStart"/>
            <w:r>
              <w:t>Frequência</w:t>
            </w:r>
            <w:proofErr w:type="spellEnd"/>
            <w:r>
              <w:t xml:space="preserve"> de </w:t>
            </w:r>
            <w:proofErr w:type="spellStart"/>
            <w:r>
              <w:t>Pagamento</w:t>
            </w:r>
            <w:proofErr w:type="spellEnd"/>
          </w:p>
        </w:tc>
        <w:tc>
          <w:tcPr>
            <w:tcW w:w="1276" w:type="dxa"/>
            <w:vMerge w:val="restart"/>
            <w:vAlign w:val="center"/>
          </w:tcPr>
          <w:p w14:paraId="1AD5E9B2" w14:textId="0F761A7C" w:rsidR="005A72E7" w:rsidRPr="00FE583E" w:rsidRDefault="005A72E7" w:rsidP="00D240A3">
            <w:pPr>
              <w:pStyle w:val="Corpo"/>
              <w:spacing w:before="0" w:after="0"/>
              <w:ind w:left="0" w:right="0"/>
              <w:jc w:val="left"/>
            </w:pPr>
            <w:proofErr w:type="spellStart"/>
            <w:r>
              <w:t>Não</w:t>
            </w:r>
            <w:proofErr w:type="spellEnd"/>
          </w:p>
        </w:tc>
        <w:tc>
          <w:tcPr>
            <w:tcW w:w="2870" w:type="dxa"/>
            <w:vAlign w:val="center"/>
          </w:tcPr>
          <w:p w14:paraId="1B731481" w14:textId="5328D10D" w:rsidR="005A72E7" w:rsidRPr="00625276" w:rsidRDefault="00883C3D" w:rsidP="00D240A3">
            <w:pPr>
              <w:pStyle w:val="Corpo"/>
              <w:spacing w:before="0" w:after="0"/>
              <w:ind w:left="0" w:right="0"/>
              <w:jc w:val="left"/>
              <w:rPr>
                <w:lang w:val="pt-PT"/>
              </w:rPr>
            </w:pPr>
            <w:r>
              <w:rPr>
                <w:lang w:val="pt-PT"/>
              </w:rPr>
              <w:t>A frequência de pagamento</w:t>
            </w:r>
            <w:r w:rsidR="00625276">
              <w:rPr>
                <w:lang w:val="pt-PT"/>
              </w:rPr>
              <w:t xml:space="preserve"> </w:t>
            </w:r>
            <w:r>
              <w:rPr>
                <w:lang w:val="pt-PT"/>
              </w:rPr>
              <w:t>é</w:t>
            </w:r>
            <w:r w:rsidR="00625276">
              <w:rPr>
                <w:lang w:val="pt-PT"/>
              </w:rPr>
              <w:t xml:space="preserve"> igua</w:t>
            </w:r>
            <w:r>
              <w:rPr>
                <w:lang w:val="pt-PT"/>
              </w:rPr>
              <w:t>l</w:t>
            </w:r>
            <w:r w:rsidR="00625276">
              <w:rPr>
                <w:lang w:val="pt-PT"/>
              </w:rPr>
              <w:t xml:space="preserve"> entre </w:t>
            </w:r>
            <w:r>
              <w:rPr>
                <w:lang w:val="pt-PT"/>
              </w:rPr>
              <w:t xml:space="preserve">ambos os </w:t>
            </w:r>
            <w:r w:rsidR="00625276">
              <w:rPr>
                <w:lang w:val="pt-PT"/>
              </w:rPr>
              <w:t>instrumentos</w:t>
            </w:r>
          </w:p>
        </w:tc>
        <w:tc>
          <w:tcPr>
            <w:tcW w:w="3651" w:type="dxa"/>
            <w:vAlign w:val="center"/>
          </w:tcPr>
          <w:p w14:paraId="28E64D3D" w14:textId="0C60AA2E" w:rsidR="005A72E7" w:rsidRPr="00625276" w:rsidRDefault="00883C3D" w:rsidP="00D240A3">
            <w:pPr>
              <w:pStyle w:val="Corpo"/>
              <w:spacing w:before="0" w:after="0"/>
              <w:ind w:left="0" w:right="0"/>
              <w:jc w:val="left"/>
              <w:rPr>
                <w:lang w:val="pt-PT"/>
              </w:rPr>
            </w:pPr>
            <w:r>
              <w:rPr>
                <w:lang w:val="pt-PT"/>
              </w:rPr>
              <w:t>Está garantida a efetividade</w:t>
            </w:r>
          </w:p>
        </w:tc>
      </w:tr>
      <w:tr w:rsidR="005A72E7" w14:paraId="75CF0539" w14:textId="77777777" w:rsidTr="008B1FD6">
        <w:trPr>
          <w:trHeight w:val="680"/>
        </w:trPr>
        <w:tc>
          <w:tcPr>
            <w:tcW w:w="1866" w:type="dxa"/>
            <w:vMerge/>
            <w:vAlign w:val="center"/>
          </w:tcPr>
          <w:p w14:paraId="59A8C23E" w14:textId="77777777" w:rsidR="005A72E7" w:rsidRPr="00625276" w:rsidRDefault="005A72E7" w:rsidP="00D240A3">
            <w:pPr>
              <w:pStyle w:val="Corpo"/>
              <w:spacing w:before="0" w:after="0"/>
              <w:ind w:left="0" w:right="0"/>
              <w:rPr>
                <w:lang w:val="pt-PT"/>
              </w:rPr>
            </w:pPr>
          </w:p>
        </w:tc>
        <w:tc>
          <w:tcPr>
            <w:tcW w:w="1276" w:type="dxa"/>
            <w:vMerge/>
            <w:vAlign w:val="center"/>
          </w:tcPr>
          <w:p w14:paraId="3A30A1F6" w14:textId="77777777" w:rsidR="005A72E7" w:rsidRPr="00625276" w:rsidRDefault="005A72E7" w:rsidP="00D240A3">
            <w:pPr>
              <w:pStyle w:val="Corpo"/>
              <w:spacing w:before="0" w:after="0"/>
              <w:ind w:left="0" w:right="0"/>
              <w:rPr>
                <w:lang w:val="pt-PT"/>
              </w:rPr>
            </w:pPr>
          </w:p>
        </w:tc>
        <w:tc>
          <w:tcPr>
            <w:tcW w:w="2870" w:type="dxa"/>
            <w:vAlign w:val="center"/>
          </w:tcPr>
          <w:p w14:paraId="76C2213F" w14:textId="0D451CA5" w:rsidR="005A72E7" w:rsidRPr="00625276" w:rsidRDefault="00883C3D" w:rsidP="00D240A3">
            <w:pPr>
              <w:pStyle w:val="Corpo"/>
              <w:spacing w:before="0" w:after="0"/>
              <w:ind w:left="0" w:right="0"/>
              <w:rPr>
                <w:lang w:val="pt-PT"/>
              </w:rPr>
            </w:pPr>
            <w:r>
              <w:rPr>
                <w:lang w:val="pt-PT"/>
              </w:rPr>
              <w:t>A frequência de pagamento é diferente entre ambos os instrumentos</w:t>
            </w:r>
          </w:p>
        </w:tc>
        <w:tc>
          <w:tcPr>
            <w:tcW w:w="3651" w:type="dxa"/>
            <w:vAlign w:val="center"/>
          </w:tcPr>
          <w:p w14:paraId="108267A6" w14:textId="563DC24D" w:rsidR="005A72E7" w:rsidRPr="00625276" w:rsidRDefault="00883C3D" w:rsidP="00D240A3">
            <w:pPr>
              <w:pStyle w:val="Corpo"/>
              <w:spacing w:before="0" w:after="0"/>
              <w:ind w:left="0" w:right="0"/>
              <w:rPr>
                <w:lang w:val="pt-PT"/>
              </w:rPr>
            </w:pPr>
            <w:r>
              <w:rPr>
                <w:lang w:val="pt-PT"/>
              </w:rPr>
              <w:t>Não está garantida a efetividade</w:t>
            </w:r>
          </w:p>
        </w:tc>
      </w:tr>
    </w:tbl>
    <w:p w14:paraId="773897DB" w14:textId="39B6056C" w:rsidR="007A5AC7" w:rsidRPr="001C6C30" w:rsidRDefault="007A5AC7" w:rsidP="00CB1C15">
      <w:pPr>
        <w:pStyle w:val="Corpo"/>
        <w:spacing w:after="240"/>
        <w:jc w:val="both"/>
      </w:pPr>
    </w:p>
    <w:p w14:paraId="27B61D46" w14:textId="17E9BAF7" w:rsidR="001C6C30" w:rsidRPr="00CB1C15" w:rsidRDefault="001C6C30" w:rsidP="00CB1C15">
      <w:pPr>
        <w:pStyle w:val="Corpo"/>
        <w:spacing w:after="240"/>
        <w:jc w:val="both"/>
      </w:pPr>
      <w:r w:rsidRPr="001C6C30">
        <w:t>Um resultado negativo no</w:t>
      </w:r>
      <w:r w:rsidR="00161005" w:rsidRPr="00CB1C15">
        <w:t xml:space="preserve"> </w:t>
      </w:r>
      <w:proofErr w:type="spellStart"/>
      <w:r w:rsidRPr="001C6C30">
        <w:rPr>
          <w:i/>
          <w:iCs/>
        </w:rPr>
        <w:t>Critical</w:t>
      </w:r>
      <w:proofErr w:type="spellEnd"/>
      <w:r w:rsidRPr="001C6C30">
        <w:rPr>
          <w:i/>
          <w:iCs/>
        </w:rPr>
        <w:t xml:space="preserve"> </w:t>
      </w:r>
      <w:proofErr w:type="spellStart"/>
      <w:r w:rsidRPr="001C6C30">
        <w:rPr>
          <w:i/>
          <w:iCs/>
        </w:rPr>
        <w:t>Term</w:t>
      </w:r>
      <w:proofErr w:type="spellEnd"/>
      <w:r w:rsidRPr="001C6C30">
        <w:rPr>
          <w:i/>
          <w:iCs/>
        </w:rPr>
        <w:t xml:space="preserve"> Match</w:t>
      </w:r>
      <w:r w:rsidRPr="001C6C30">
        <w:t xml:space="preserve"> não implica necessariamente a ineficácia da cobertura. </w:t>
      </w:r>
      <w:r w:rsidR="00016C39" w:rsidRPr="00CB1C15">
        <w:t>Em qualquer dos casos</w:t>
      </w:r>
      <w:r w:rsidRPr="001C6C30">
        <w:t>, o Banco procederá à reavaliação da eficácia através da realização de testes quantitativos prospetivos</w:t>
      </w:r>
      <w:r w:rsidR="00016C39" w:rsidRPr="00CB1C15">
        <w:t>.</w:t>
      </w:r>
      <w:r w:rsidR="007C2024" w:rsidRPr="00CB1C15">
        <w:t xml:space="preserve"> </w:t>
      </w:r>
    </w:p>
    <w:p w14:paraId="25356F7B" w14:textId="6F8B3484" w:rsidR="00CD3506" w:rsidRPr="00CD3506" w:rsidRDefault="00CD3506" w:rsidP="00CD3506">
      <w:pPr>
        <w:pStyle w:val="Corpo"/>
        <w:spacing w:after="240"/>
        <w:jc w:val="both"/>
        <w:rPr>
          <w:b/>
          <w:bCs/>
        </w:rPr>
      </w:pPr>
      <w:r w:rsidRPr="008830B0">
        <w:rPr>
          <w:b/>
          <w:bCs/>
        </w:rPr>
        <w:t>Testes Prospetivos</w:t>
      </w:r>
    </w:p>
    <w:p w14:paraId="3DB2519F" w14:textId="77777777" w:rsidR="00EF5C68" w:rsidRDefault="009C4A55" w:rsidP="0073494D">
      <w:pPr>
        <w:pStyle w:val="Corpo"/>
        <w:spacing w:after="240"/>
        <w:jc w:val="both"/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 xml:space="preserve">O </w:t>
      </w:r>
      <w:r w:rsidR="00E95ADB">
        <w:rPr>
          <w:rFonts w:cs="Calibri"/>
          <w:color w:val="000000" w:themeColor="text1"/>
        </w:rPr>
        <w:t>cálculo</w:t>
      </w:r>
      <w:r>
        <w:rPr>
          <w:rFonts w:cs="Calibri"/>
          <w:color w:val="000000" w:themeColor="text1"/>
        </w:rPr>
        <w:t xml:space="preserve"> da efe</w:t>
      </w:r>
      <w:r w:rsidR="00E95ADB">
        <w:rPr>
          <w:rFonts w:cs="Calibri"/>
          <w:color w:val="000000" w:themeColor="text1"/>
        </w:rPr>
        <w:t xml:space="preserve">tividade </w:t>
      </w:r>
      <w:r w:rsidR="0076361A">
        <w:rPr>
          <w:rFonts w:cs="Calibri"/>
          <w:color w:val="000000" w:themeColor="text1"/>
        </w:rPr>
        <w:t xml:space="preserve">quantitativa é </w:t>
      </w:r>
      <w:r w:rsidR="00E95ADB">
        <w:rPr>
          <w:rFonts w:cs="Calibri"/>
          <w:color w:val="000000" w:themeColor="text1"/>
        </w:rPr>
        <w:t>realizado</w:t>
      </w:r>
      <w:r w:rsidR="0076361A">
        <w:rPr>
          <w:rFonts w:cs="Calibri"/>
          <w:color w:val="000000" w:themeColor="text1"/>
        </w:rPr>
        <w:t xml:space="preserve"> </w:t>
      </w:r>
      <w:r w:rsidR="00E95ADB">
        <w:rPr>
          <w:rFonts w:cs="Calibri"/>
          <w:color w:val="000000" w:themeColor="text1"/>
        </w:rPr>
        <w:t>através dos testes prospetivos</w:t>
      </w:r>
      <w:r w:rsidR="00EF5C68">
        <w:rPr>
          <w:rFonts w:cs="Calibri"/>
          <w:color w:val="000000" w:themeColor="text1"/>
        </w:rPr>
        <w:t xml:space="preserve"> que</w:t>
      </w:r>
      <w:r w:rsidR="00E95ADB">
        <w:rPr>
          <w:rFonts w:cs="Calibri"/>
          <w:color w:val="000000" w:themeColor="text1"/>
        </w:rPr>
        <w:t xml:space="preserve"> </w:t>
      </w:r>
      <w:r w:rsidR="00EF5C68">
        <w:rPr>
          <w:rFonts w:cs="Calibri"/>
          <w:color w:val="000000" w:themeColor="text1"/>
        </w:rPr>
        <w:t xml:space="preserve">consistem em avaliar se as variações esperadas no </w:t>
      </w:r>
      <w:r w:rsidR="00EF5C68" w:rsidRPr="00544372">
        <w:rPr>
          <w:rFonts w:cs="Calibri"/>
          <w:i/>
          <w:iCs/>
          <w:color w:val="000000" w:themeColor="text1"/>
        </w:rPr>
        <w:t xml:space="preserve">Fair </w:t>
      </w:r>
      <w:proofErr w:type="spellStart"/>
      <w:r w:rsidR="00EF5C68" w:rsidRPr="00544372">
        <w:rPr>
          <w:rFonts w:cs="Calibri"/>
          <w:i/>
          <w:iCs/>
          <w:color w:val="000000" w:themeColor="text1"/>
        </w:rPr>
        <w:t>Value</w:t>
      </w:r>
      <w:proofErr w:type="spellEnd"/>
      <w:r w:rsidR="00EF5C68">
        <w:rPr>
          <w:rFonts w:cs="Calibri"/>
          <w:i/>
          <w:iCs/>
          <w:color w:val="000000" w:themeColor="text1"/>
        </w:rPr>
        <w:t xml:space="preserve"> </w:t>
      </w:r>
      <w:r w:rsidR="00EF5C68" w:rsidRPr="00221FCE">
        <w:rPr>
          <w:rFonts w:cs="Calibri"/>
          <w:color w:val="000000" w:themeColor="text1"/>
        </w:rPr>
        <w:t>do</w:t>
      </w:r>
      <w:r w:rsidR="00EF5C68">
        <w:rPr>
          <w:rFonts w:cs="Calibri"/>
          <w:color w:val="000000" w:themeColor="text1"/>
        </w:rPr>
        <w:t xml:space="preserve"> elemento coberto relativas ao risco de taxa de juro, serão compensadas por variações no instrumento de cobertura. </w:t>
      </w:r>
    </w:p>
    <w:p w14:paraId="72E5BA5B" w14:textId="57EF351C" w:rsidR="0073494D" w:rsidRPr="0073494D" w:rsidRDefault="0073494D" w:rsidP="0073494D">
      <w:pPr>
        <w:pStyle w:val="Corpo"/>
        <w:spacing w:after="240"/>
        <w:jc w:val="both"/>
        <w:rPr>
          <w:rFonts w:cs="Calibri"/>
          <w:color w:val="000000" w:themeColor="text1"/>
        </w:rPr>
      </w:pPr>
      <w:r w:rsidRPr="0073494D">
        <w:rPr>
          <w:rFonts w:cs="Calibri"/>
          <w:color w:val="000000" w:themeColor="text1"/>
        </w:rPr>
        <w:t xml:space="preserve">Alinhado com a gestão de risco do Banco, com os limites de tolerância de apetite de risco e </w:t>
      </w:r>
      <w:r>
        <w:rPr>
          <w:rFonts w:cs="Calibri"/>
          <w:color w:val="000000" w:themeColor="text1"/>
        </w:rPr>
        <w:t>de acordo com</w:t>
      </w:r>
      <w:r w:rsidRPr="0073494D">
        <w:rPr>
          <w:rFonts w:cs="Calibri"/>
          <w:color w:val="000000" w:themeColor="text1"/>
        </w:rPr>
        <w:t xml:space="preserve"> as melhores práticas do setor, o Banco estabelece um limiar de eficácia de 80% a 125%, a fim </w:t>
      </w:r>
      <w:r w:rsidRPr="0073494D">
        <w:rPr>
          <w:rFonts w:cs="Calibri"/>
          <w:color w:val="000000" w:themeColor="text1"/>
        </w:rPr>
        <w:lastRenderedPageBreak/>
        <w:t>de assegurar uma medição adequada dentro de intervalos de eficácia razoáveis.</w:t>
      </w:r>
      <w:r w:rsidR="00EF5C68">
        <w:rPr>
          <w:rFonts w:cs="Calibri"/>
          <w:color w:val="000000" w:themeColor="text1"/>
        </w:rPr>
        <w:t xml:space="preserve"> Neste sentido, se</w:t>
      </w:r>
      <w:r w:rsidR="00406C14">
        <w:rPr>
          <w:rFonts w:cs="Calibri"/>
          <w:color w:val="000000" w:themeColor="text1"/>
        </w:rPr>
        <w:t xml:space="preserve"> as variações compensadas estiverem dentro do intervalo [80%-125%], </w:t>
      </w:r>
      <w:r w:rsidR="00406C14">
        <w:t>está garantida a efetividade.</w:t>
      </w:r>
    </w:p>
    <w:p w14:paraId="51880C7A" w14:textId="5E5599EC" w:rsidR="00D64D42" w:rsidRDefault="007B2791" w:rsidP="00686177">
      <w:pPr>
        <w:pStyle w:val="Corpo"/>
        <w:spacing w:after="240"/>
        <w:jc w:val="both"/>
        <w:rPr>
          <w:rFonts w:cs="Calibri"/>
          <w:color w:val="000000" w:themeColor="text1"/>
        </w:rPr>
      </w:pPr>
      <w:r w:rsidRPr="007B2791">
        <w:rPr>
          <w:rFonts w:cs="Calibri"/>
          <w:color w:val="000000" w:themeColor="text1"/>
        </w:rPr>
        <w:t>Para efeitos d</w:t>
      </w:r>
      <w:r w:rsidR="007B026B">
        <w:rPr>
          <w:rFonts w:cs="Calibri"/>
          <w:color w:val="000000" w:themeColor="text1"/>
        </w:rPr>
        <w:t xml:space="preserve">o </w:t>
      </w:r>
      <w:r w:rsidR="00856292">
        <w:rPr>
          <w:rFonts w:cs="Calibri"/>
          <w:color w:val="000000" w:themeColor="text1"/>
        </w:rPr>
        <w:t>cálculo</w:t>
      </w:r>
      <w:r w:rsidRPr="007B2791">
        <w:rPr>
          <w:rFonts w:cs="Calibri"/>
          <w:color w:val="000000" w:themeColor="text1"/>
        </w:rPr>
        <w:t xml:space="preserve">, </w:t>
      </w:r>
      <w:r w:rsidR="00161A7B">
        <w:rPr>
          <w:rFonts w:cs="Calibri"/>
          <w:color w:val="000000" w:themeColor="text1"/>
        </w:rPr>
        <w:t>é</w:t>
      </w:r>
      <w:r w:rsidRPr="007B2791">
        <w:rPr>
          <w:rFonts w:cs="Calibri"/>
          <w:color w:val="000000" w:themeColor="text1"/>
        </w:rPr>
        <w:t xml:space="preserve"> utilizada a metodologia de medição do risco de taxa de juro aprovada pelo Banco</w:t>
      </w:r>
      <w:r w:rsidR="00B4502F">
        <w:rPr>
          <w:rFonts w:cs="Calibri"/>
          <w:color w:val="000000" w:themeColor="text1"/>
        </w:rPr>
        <w:t xml:space="preserve"> (</w:t>
      </w:r>
      <w:r w:rsidR="00B4502F" w:rsidRPr="00686177">
        <w:rPr>
          <w:rFonts w:cs="Calibri"/>
          <w:i/>
          <w:iCs/>
          <w:color w:val="000000" w:themeColor="text1"/>
        </w:rPr>
        <w:t>Zero-C</w:t>
      </w:r>
      <w:r w:rsidR="00F415CB" w:rsidRPr="00686177">
        <w:rPr>
          <w:rFonts w:cs="Calibri"/>
          <w:i/>
          <w:iCs/>
          <w:color w:val="000000" w:themeColor="text1"/>
        </w:rPr>
        <w:t xml:space="preserve">upon </w:t>
      </w:r>
      <w:proofErr w:type="spellStart"/>
      <w:r w:rsidR="00F415CB" w:rsidRPr="00686177">
        <w:rPr>
          <w:rFonts w:cs="Calibri"/>
          <w:i/>
          <w:iCs/>
          <w:color w:val="000000" w:themeColor="text1"/>
        </w:rPr>
        <w:t>Sensitivity</w:t>
      </w:r>
      <w:proofErr w:type="spellEnd"/>
      <w:r w:rsidR="00F415CB">
        <w:rPr>
          <w:rFonts w:cs="Calibri"/>
          <w:color w:val="000000" w:themeColor="text1"/>
        </w:rPr>
        <w:t>)</w:t>
      </w:r>
      <w:r w:rsidRPr="007B2791">
        <w:rPr>
          <w:rFonts w:cs="Calibri"/>
          <w:color w:val="000000" w:themeColor="text1"/>
        </w:rPr>
        <w:t xml:space="preserve">, que consiste na quantificação da variação de valor do instrumento financeiro em resposta a uma deslocação paralela de um </w:t>
      </w:r>
      <w:proofErr w:type="spellStart"/>
      <w:r w:rsidR="00AF1794" w:rsidRPr="00AF1794">
        <w:rPr>
          <w:rFonts w:cs="Calibri"/>
          <w:i/>
          <w:iCs/>
          <w:color w:val="000000" w:themeColor="text1"/>
        </w:rPr>
        <w:t>basis</w:t>
      </w:r>
      <w:proofErr w:type="spellEnd"/>
      <w:r w:rsidR="00AF1794" w:rsidRPr="00AF1794">
        <w:rPr>
          <w:rFonts w:cs="Calibri"/>
          <w:i/>
          <w:iCs/>
          <w:color w:val="000000" w:themeColor="text1"/>
        </w:rPr>
        <w:t xml:space="preserve"> </w:t>
      </w:r>
      <w:proofErr w:type="spellStart"/>
      <w:r w:rsidR="00AF1794" w:rsidRPr="00AF1794">
        <w:rPr>
          <w:rFonts w:cs="Calibri"/>
          <w:i/>
          <w:iCs/>
          <w:color w:val="000000" w:themeColor="text1"/>
        </w:rPr>
        <w:t>point</w:t>
      </w:r>
      <w:proofErr w:type="spellEnd"/>
      <w:r w:rsidRPr="007B2791">
        <w:rPr>
          <w:rFonts w:cs="Calibri"/>
          <w:color w:val="000000" w:themeColor="text1"/>
        </w:rPr>
        <w:t xml:space="preserve"> (1bp) </w:t>
      </w:r>
      <w:r w:rsidR="00B64D67">
        <w:rPr>
          <w:rFonts w:cs="Calibri"/>
          <w:color w:val="000000" w:themeColor="text1"/>
        </w:rPr>
        <w:t xml:space="preserve">aos vários </w:t>
      </w:r>
      <w:r w:rsidRPr="007B2791">
        <w:rPr>
          <w:rFonts w:cs="Calibri"/>
          <w:color w:val="000000" w:themeColor="text1"/>
        </w:rPr>
        <w:t>segmentos da curva de rendimentos utilizada para a sua avaliação. Esta medição</w:t>
      </w:r>
      <w:r w:rsidR="007B026B">
        <w:rPr>
          <w:rFonts w:cs="Calibri"/>
          <w:color w:val="000000" w:themeColor="text1"/>
        </w:rPr>
        <w:t xml:space="preserve"> em</w:t>
      </w:r>
      <w:r w:rsidRPr="007B2791">
        <w:rPr>
          <w:rFonts w:cs="Calibri"/>
          <w:color w:val="000000" w:themeColor="text1"/>
        </w:rPr>
        <w:t xml:space="preserve"> </w:t>
      </w:r>
      <w:proofErr w:type="spellStart"/>
      <w:r w:rsidR="007B026B" w:rsidRPr="00AF1794">
        <w:rPr>
          <w:rFonts w:cs="Calibri"/>
          <w:i/>
          <w:iCs/>
          <w:color w:val="000000" w:themeColor="text1"/>
        </w:rPr>
        <w:t>basis</w:t>
      </w:r>
      <w:proofErr w:type="spellEnd"/>
      <w:r w:rsidR="007B026B" w:rsidRPr="00AF1794">
        <w:rPr>
          <w:rFonts w:cs="Calibri"/>
          <w:i/>
          <w:iCs/>
          <w:color w:val="000000" w:themeColor="text1"/>
        </w:rPr>
        <w:t xml:space="preserve"> </w:t>
      </w:r>
      <w:proofErr w:type="spellStart"/>
      <w:r w:rsidR="007B026B" w:rsidRPr="00AF1794">
        <w:rPr>
          <w:rFonts w:cs="Calibri"/>
          <w:i/>
          <w:iCs/>
          <w:color w:val="000000" w:themeColor="text1"/>
        </w:rPr>
        <w:t>point</w:t>
      </w:r>
      <w:proofErr w:type="spellEnd"/>
      <w:r w:rsidR="007B026B" w:rsidRPr="007B2791">
        <w:rPr>
          <w:rFonts w:cs="Calibri"/>
          <w:color w:val="000000" w:themeColor="text1"/>
        </w:rPr>
        <w:t xml:space="preserve"> </w:t>
      </w:r>
      <w:r w:rsidRPr="007B2791">
        <w:rPr>
          <w:rFonts w:cs="Calibri"/>
          <w:color w:val="000000" w:themeColor="text1"/>
        </w:rPr>
        <w:t>para cada instrumento permite-nos antecipar as alterações de valor futuras devidas a movimentos na curva</w:t>
      </w:r>
      <w:r w:rsidR="009D55DF">
        <w:rPr>
          <w:rFonts w:cs="Calibri"/>
          <w:color w:val="000000" w:themeColor="text1"/>
        </w:rPr>
        <w:t xml:space="preserve">, assim como </w:t>
      </w:r>
      <w:r w:rsidRPr="007B2791">
        <w:rPr>
          <w:rFonts w:cs="Calibri"/>
          <w:color w:val="000000" w:themeColor="text1"/>
        </w:rPr>
        <w:t xml:space="preserve">quantificar </w:t>
      </w:r>
      <w:r w:rsidR="00B64D67">
        <w:rPr>
          <w:rFonts w:cs="Calibri"/>
          <w:color w:val="000000" w:themeColor="text1"/>
        </w:rPr>
        <w:t xml:space="preserve">se </w:t>
      </w:r>
      <w:r w:rsidRPr="007B2791">
        <w:rPr>
          <w:rFonts w:cs="Calibri"/>
          <w:color w:val="000000" w:themeColor="text1"/>
        </w:rPr>
        <w:t xml:space="preserve">a sensibilidade líquida de ambos </w:t>
      </w:r>
      <w:proofErr w:type="gramStart"/>
      <w:r w:rsidRPr="007B2791">
        <w:rPr>
          <w:rFonts w:cs="Calibri"/>
          <w:color w:val="000000" w:themeColor="text1"/>
        </w:rPr>
        <w:t>os elementos está</w:t>
      </w:r>
      <w:proofErr w:type="gramEnd"/>
      <w:r w:rsidRPr="007B2791">
        <w:rPr>
          <w:rFonts w:cs="Calibri"/>
          <w:color w:val="000000" w:themeColor="text1"/>
        </w:rPr>
        <w:t xml:space="preserve"> alinhada com o rácio de cobertura utilizado como intervalo padrão. </w:t>
      </w:r>
    </w:p>
    <w:p w14:paraId="3A5F051B" w14:textId="77777777" w:rsidR="00C40C64" w:rsidRPr="00C40C64" w:rsidRDefault="00C40C64" w:rsidP="00C40C64">
      <w:pPr>
        <w:pStyle w:val="Corpo"/>
        <w:spacing w:after="240"/>
        <w:jc w:val="both"/>
        <w:rPr>
          <w:rFonts w:cs="Calibri"/>
          <w:b/>
          <w:bCs/>
          <w:color w:val="000000" w:themeColor="text1"/>
        </w:rPr>
      </w:pPr>
      <w:r w:rsidRPr="00C40C64">
        <w:rPr>
          <w:rFonts w:cs="Calibri"/>
          <w:b/>
          <w:bCs/>
          <w:color w:val="000000" w:themeColor="text1"/>
        </w:rPr>
        <w:t>Valorização do Item Coberto</w:t>
      </w:r>
    </w:p>
    <w:p w14:paraId="4EE61A32" w14:textId="78E5AD7C" w:rsidR="00504030" w:rsidRPr="00504030" w:rsidRDefault="00504030" w:rsidP="00504030">
      <w:pPr>
        <w:pStyle w:val="Corpo"/>
        <w:spacing w:after="240"/>
        <w:jc w:val="both"/>
        <w:rPr>
          <w:rFonts w:cs="Calibri"/>
          <w:color w:val="000000" w:themeColor="text1"/>
        </w:rPr>
      </w:pPr>
      <w:r w:rsidRPr="00504030">
        <w:rPr>
          <w:rFonts w:cs="Calibri"/>
          <w:color w:val="000000" w:themeColor="text1"/>
        </w:rPr>
        <w:t>Para determinar o justo valor d</w:t>
      </w:r>
      <w:r w:rsidR="003A0038">
        <w:rPr>
          <w:rFonts w:cs="Calibri"/>
          <w:color w:val="000000" w:themeColor="text1"/>
        </w:rPr>
        <w:t>a componente coberta d</w:t>
      </w:r>
      <w:r w:rsidRPr="00504030">
        <w:rPr>
          <w:rFonts w:cs="Calibri"/>
          <w:color w:val="000000" w:themeColor="text1"/>
        </w:rPr>
        <w:t xml:space="preserve">o item coberto, será utilizado o método </w:t>
      </w:r>
      <w:r w:rsidRPr="00504030">
        <w:rPr>
          <w:rFonts w:cs="Calibri"/>
          <w:i/>
          <w:iCs/>
          <w:color w:val="000000" w:themeColor="text1"/>
        </w:rPr>
        <w:t>Proxy</w:t>
      </w:r>
      <w:r w:rsidRPr="00504030">
        <w:rPr>
          <w:rFonts w:cs="Calibri"/>
          <w:color w:val="000000" w:themeColor="text1"/>
        </w:rPr>
        <w:t xml:space="preserve"> para as coberturas existentes antes da transição do Banco para a IFRS 9 para a contabilidade de cobertura, ou o método do Derivado Hipotético para as coberturas celebradas após </w:t>
      </w:r>
      <w:r>
        <w:rPr>
          <w:rFonts w:cs="Calibri"/>
          <w:color w:val="000000" w:themeColor="text1"/>
        </w:rPr>
        <w:t>a</w:t>
      </w:r>
      <w:r w:rsidRPr="00504030">
        <w:rPr>
          <w:rFonts w:cs="Calibri"/>
          <w:color w:val="000000" w:themeColor="text1"/>
        </w:rPr>
        <w:t xml:space="preserve"> data de transição.</w:t>
      </w:r>
    </w:p>
    <w:p w14:paraId="6C87C74E" w14:textId="42DA6444" w:rsidR="00504030" w:rsidRPr="00504030" w:rsidRDefault="00504030" w:rsidP="00504030">
      <w:pPr>
        <w:pStyle w:val="Corpo"/>
        <w:numPr>
          <w:ilvl w:val="0"/>
          <w:numId w:val="30"/>
        </w:numPr>
        <w:spacing w:after="240"/>
        <w:jc w:val="both"/>
        <w:rPr>
          <w:rFonts w:cs="Calibri"/>
          <w:color w:val="000000" w:themeColor="text1"/>
        </w:rPr>
      </w:pPr>
      <w:r w:rsidRPr="00504030">
        <w:rPr>
          <w:rFonts w:cs="Calibri"/>
          <w:b/>
          <w:bCs/>
          <w:i/>
          <w:iCs/>
          <w:color w:val="000000" w:themeColor="text1"/>
        </w:rPr>
        <w:t>Proxy</w:t>
      </w:r>
      <w:r w:rsidRPr="00504030">
        <w:rPr>
          <w:rFonts w:cs="Calibri"/>
          <w:color w:val="000000" w:themeColor="text1"/>
        </w:rPr>
        <w:t xml:space="preserve">: A estimativa dos </w:t>
      </w:r>
      <w:r w:rsidRPr="00504030">
        <w:rPr>
          <w:rFonts w:cs="Calibri"/>
          <w:i/>
          <w:iCs/>
          <w:color w:val="000000" w:themeColor="text1"/>
        </w:rPr>
        <w:t>cash-flows</w:t>
      </w:r>
      <w:r w:rsidRPr="00504030">
        <w:rPr>
          <w:rFonts w:cs="Calibri"/>
          <w:color w:val="000000" w:themeColor="text1"/>
        </w:rPr>
        <w:t xml:space="preserve"> do item coberto é efetuada subtraindo à taxa de juro fixa a parcela correspondente ao risco não coberto, </w:t>
      </w:r>
      <w:proofErr w:type="gramStart"/>
      <w:r w:rsidRPr="00504030">
        <w:rPr>
          <w:rFonts w:cs="Calibri"/>
          <w:color w:val="000000" w:themeColor="text1"/>
        </w:rPr>
        <w:t>de modo a que</w:t>
      </w:r>
      <w:proofErr w:type="gramEnd"/>
      <w:r w:rsidRPr="00504030">
        <w:rPr>
          <w:rFonts w:cs="Calibri"/>
          <w:color w:val="000000" w:themeColor="text1"/>
        </w:rPr>
        <w:t xml:space="preserve"> apenas sejam estimados os </w:t>
      </w:r>
      <w:r w:rsidRPr="00504030">
        <w:rPr>
          <w:rFonts w:cs="Calibri"/>
          <w:i/>
          <w:iCs/>
          <w:color w:val="000000" w:themeColor="text1"/>
        </w:rPr>
        <w:t>cash-flows</w:t>
      </w:r>
      <w:r w:rsidRPr="00504030">
        <w:rPr>
          <w:rFonts w:cs="Calibri"/>
          <w:color w:val="000000" w:themeColor="text1"/>
        </w:rPr>
        <w:t xml:space="preserve"> relacionados com o risco coberto pela relação de cobertura</w:t>
      </w:r>
      <w:r w:rsidR="003F691D">
        <w:rPr>
          <w:rFonts w:cs="Calibri"/>
          <w:color w:val="000000" w:themeColor="text1"/>
        </w:rPr>
        <w:t>. Por fim,</w:t>
      </w:r>
      <w:r w:rsidRPr="00504030">
        <w:rPr>
          <w:rFonts w:cs="Calibri"/>
          <w:color w:val="000000" w:themeColor="text1"/>
        </w:rPr>
        <w:t xml:space="preserve"> a estes </w:t>
      </w:r>
      <w:r w:rsidRPr="00504030">
        <w:rPr>
          <w:rFonts w:cs="Calibri"/>
          <w:i/>
          <w:iCs/>
          <w:color w:val="000000" w:themeColor="text1"/>
        </w:rPr>
        <w:t>cash-flows</w:t>
      </w:r>
      <w:r w:rsidR="003F691D">
        <w:rPr>
          <w:rFonts w:cs="Calibri"/>
          <w:color w:val="000000" w:themeColor="text1"/>
        </w:rPr>
        <w:t xml:space="preserve"> </w:t>
      </w:r>
      <w:r w:rsidR="003F691D" w:rsidRPr="003F691D">
        <w:rPr>
          <w:rFonts w:cs="Calibri"/>
          <w:color w:val="000000" w:themeColor="text1"/>
        </w:rPr>
        <w:t>é</w:t>
      </w:r>
      <w:r w:rsidRPr="00504030">
        <w:rPr>
          <w:rFonts w:cs="Calibri"/>
          <w:color w:val="000000" w:themeColor="text1"/>
        </w:rPr>
        <w:t xml:space="preserve"> aplicada a curva de desconto.</w:t>
      </w:r>
    </w:p>
    <w:p w14:paraId="2FF5DEB1" w14:textId="62F9A7BE" w:rsidR="00504030" w:rsidRPr="00504030" w:rsidRDefault="00504030" w:rsidP="00504030">
      <w:pPr>
        <w:pStyle w:val="Corpo"/>
        <w:numPr>
          <w:ilvl w:val="0"/>
          <w:numId w:val="30"/>
        </w:numPr>
        <w:spacing w:after="240"/>
        <w:jc w:val="both"/>
        <w:rPr>
          <w:rFonts w:cs="Calibri"/>
          <w:color w:val="000000" w:themeColor="text1"/>
        </w:rPr>
      </w:pPr>
      <w:r w:rsidRPr="00504030">
        <w:rPr>
          <w:rFonts w:cs="Calibri"/>
          <w:b/>
          <w:bCs/>
          <w:color w:val="000000" w:themeColor="text1"/>
        </w:rPr>
        <w:t>Derivado hipotético</w:t>
      </w:r>
      <w:r w:rsidRPr="00504030">
        <w:rPr>
          <w:rFonts w:cs="Calibri"/>
          <w:color w:val="000000" w:themeColor="text1"/>
        </w:rPr>
        <w:t xml:space="preserve">: A estimativa dos </w:t>
      </w:r>
      <w:r w:rsidRPr="00504030">
        <w:rPr>
          <w:rFonts w:cs="Calibri"/>
          <w:i/>
          <w:iCs/>
          <w:color w:val="000000" w:themeColor="text1"/>
        </w:rPr>
        <w:t>cash-flows</w:t>
      </w:r>
      <w:r w:rsidRPr="00504030">
        <w:rPr>
          <w:rFonts w:cs="Calibri"/>
          <w:color w:val="000000" w:themeColor="text1"/>
        </w:rPr>
        <w:t xml:space="preserve"> do item coberto é efetuada com recurso a um derivado cujas condições coincidem com os termos críticos do i</w:t>
      </w:r>
      <w:r w:rsidR="00201F71">
        <w:rPr>
          <w:rFonts w:cs="Calibri"/>
          <w:color w:val="000000" w:themeColor="text1"/>
        </w:rPr>
        <w:t>nstrumento</w:t>
      </w:r>
      <w:r w:rsidRPr="00504030">
        <w:rPr>
          <w:rFonts w:cs="Calibri"/>
          <w:color w:val="000000" w:themeColor="text1"/>
        </w:rPr>
        <w:t xml:space="preserve"> coberto.</w:t>
      </w:r>
    </w:p>
    <w:p w14:paraId="61E9FC11" w14:textId="3EA6FEC2" w:rsidR="00613257" w:rsidRPr="00613257" w:rsidRDefault="00144DEA" w:rsidP="00613257">
      <w:pPr>
        <w:pStyle w:val="Corpo"/>
        <w:spacing w:after="240"/>
        <w:jc w:val="both"/>
        <w:rPr>
          <w:rFonts w:cs="Calibri"/>
          <w:color w:val="000000" w:themeColor="text1"/>
        </w:rPr>
      </w:pPr>
      <w:r>
        <w:rPr>
          <w:rFonts w:cs="Calibri"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58242" behindDoc="0" locked="0" layoutInCell="1" allowOverlap="1" wp14:anchorId="72D40E7A" wp14:editId="4EF4E285">
                <wp:simplePos x="0" y="0"/>
                <wp:positionH relativeFrom="column">
                  <wp:posOffset>118753</wp:posOffset>
                </wp:positionH>
                <wp:positionV relativeFrom="paragraph">
                  <wp:posOffset>516634</wp:posOffset>
                </wp:positionV>
                <wp:extent cx="5812790" cy="4199255"/>
                <wp:effectExtent l="0" t="0" r="16510" b="10795"/>
                <wp:wrapNone/>
                <wp:docPr id="1265066472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2790" cy="4199255"/>
                          <a:chOff x="0" y="0"/>
                          <a:chExt cx="5812888" cy="4199792"/>
                        </a:xfrm>
                      </wpg:grpSpPr>
                      <wpg:grpSp>
                        <wpg:cNvPr id="2109525004" name="Group 2"/>
                        <wpg:cNvGrpSpPr/>
                        <wpg:grpSpPr>
                          <a:xfrm>
                            <a:off x="0" y="0"/>
                            <a:ext cx="5812888" cy="4199792"/>
                            <a:chOff x="0" y="0"/>
                            <a:chExt cx="5812888" cy="4199792"/>
                          </a:xfrm>
                        </wpg:grpSpPr>
                        <wps:wsp>
                          <wps:cNvPr id="1273109483" name="Rectangle: Rounded Corners 1"/>
                          <wps:cNvSpPr/>
                          <wps:spPr>
                            <a:xfrm>
                              <a:off x="0" y="0"/>
                              <a:ext cx="5783580" cy="952500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389C094" w14:textId="77777777" w:rsidR="001279CD" w:rsidRDefault="00714DC7" w:rsidP="001279CD">
                                <w:pPr>
                                  <w:spacing w:after="0"/>
                                  <w:rPr>
                                    <w:rFonts w:ascii="Calibri" w:hAnsi="Calibri" w:cs="Calibri"/>
                                    <w:color w:val="000000" w:themeColor="text1"/>
                                  </w:rPr>
                                </w:pPr>
                                <w:r w:rsidRPr="001279CD">
                                  <w:rPr>
                                    <w:rFonts w:ascii="Calibri" w:hAnsi="Calibri" w:cs="Calibri"/>
                                    <w:color w:val="000000" w:themeColor="text1"/>
                                  </w:rPr>
                                  <w:t xml:space="preserve">Avaliação qualitativa </w:t>
                                </w:r>
                              </w:p>
                              <w:p w14:paraId="7AF7EF80" w14:textId="264AED99" w:rsidR="004F468F" w:rsidRPr="001279CD" w:rsidRDefault="00714DC7" w:rsidP="001279CD">
                                <w:pPr>
                                  <w:rPr>
                                    <w:rFonts w:ascii="Calibri" w:hAnsi="Calibri" w:cs="Calibri"/>
                                    <w:color w:val="000000" w:themeColor="text1"/>
                                  </w:rPr>
                                </w:pPr>
                                <w:r w:rsidRPr="001279CD">
                                  <w:rPr>
                                    <w:rFonts w:ascii="Calibri" w:hAnsi="Calibri" w:cs="Calibri"/>
                                    <w:color w:val="000000" w:themeColor="text1"/>
                                  </w:rPr>
                                  <w:t>da eficácia da cobertura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4830643" name="Rectangle: Rounded Corners 1"/>
                          <wps:cNvSpPr/>
                          <wps:spPr>
                            <a:xfrm>
                              <a:off x="0" y="1072662"/>
                              <a:ext cx="5783580" cy="952500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173B225" w14:textId="77777777" w:rsidR="001279CD" w:rsidRDefault="00544DC3" w:rsidP="001279CD">
                                <w:pPr>
                                  <w:spacing w:after="0"/>
                                  <w:rPr>
                                    <w:rFonts w:ascii="Calibri" w:hAnsi="Calibri" w:cs="Calibri"/>
                                    <w:color w:val="000000" w:themeColor="text1"/>
                                  </w:rPr>
                                </w:pPr>
                                <w:r w:rsidRPr="001279CD">
                                  <w:rPr>
                                    <w:rFonts w:ascii="Calibri" w:hAnsi="Calibri" w:cs="Calibri"/>
                                    <w:color w:val="000000" w:themeColor="text1"/>
                                  </w:rPr>
                                  <w:t xml:space="preserve">A eficácia da cobertura </w:t>
                                </w:r>
                              </w:p>
                              <w:p w14:paraId="58D19C22" w14:textId="76ADB7DE" w:rsidR="00544DC3" w:rsidRPr="001279CD" w:rsidRDefault="00544DC3" w:rsidP="001279CD">
                                <w:pPr>
                                  <w:spacing w:after="0"/>
                                  <w:rPr>
                                    <w:rFonts w:ascii="Calibri" w:hAnsi="Calibri" w:cs="Calibri"/>
                                    <w:color w:val="000000" w:themeColor="text1"/>
                                  </w:rPr>
                                </w:pPr>
                                <w:r w:rsidRPr="001279CD">
                                  <w:rPr>
                                    <w:rFonts w:ascii="Calibri" w:hAnsi="Calibri" w:cs="Calibri"/>
                                    <w:color w:val="000000" w:themeColor="text1"/>
                                  </w:rPr>
                                  <w:t>é demonstrada?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44393287" name="Rectangle: Rounded Corners 1"/>
                          <wps:cNvSpPr/>
                          <wps:spPr>
                            <a:xfrm>
                              <a:off x="0" y="2151185"/>
                              <a:ext cx="5783580" cy="952500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FAA6F0B" w14:textId="77777777" w:rsidR="001279CD" w:rsidRDefault="00544DC3" w:rsidP="001279CD">
                                <w:pPr>
                                  <w:spacing w:after="0"/>
                                  <w:rPr>
                                    <w:rFonts w:ascii="Calibri" w:hAnsi="Calibri" w:cs="Calibri"/>
                                    <w:color w:val="000000" w:themeColor="text1"/>
                                  </w:rPr>
                                </w:pPr>
                                <w:r w:rsidRPr="001279CD">
                                  <w:rPr>
                                    <w:rFonts w:ascii="Calibri" w:hAnsi="Calibri" w:cs="Calibri"/>
                                    <w:color w:val="000000" w:themeColor="text1"/>
                                  </w:rPr>
                                  <w:t xml:space="preserve">Avaliação quantitativa </w:t>
                                </w:r>
                              </w:p>
                              <w:p w14:paraId="6AD35CCA" w14:textId="4E85D789" w:rsidR="00544DC3" w:rsidRPr="001279CD" w:rsidRDefault="00544DC3" w:rsidP="001279CD">
                                <w:pPr>
                                  <w:spacing w:after="0"/>
                                  <w:rPr>
                                    <w:rFonts w:ascii="Calibri" w:hAnsi="Calibri" w:cs="Calibri"/>
                                    <w:color w:val="000000" w:themeColor="text1"/>
                                  </w:rPr>
                                </w:pPr>
                                <w:r w:rsidRPr="001279CD">
                                  <w:rPr>
                                    <w:rFonts w:ascii="Calibri" w:hAnsi="Calibri" w:cs="Calibri"/>
                                    <w:color w:val="000000" w:themeColor="text1"/>
                                  </w:rPr>
                                  <w:t>da eficácia da cobertura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51282209" name="Rectangle: Rounded Corners 1"/>
                          <wps:cNvSpPr/>
                          <wps:spPr>
                            <a:xfrm>
                              <a:off x="29308" y="3247292"/>
                              <a:ext cx="5783580" cy="952500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F027D82" w14:textId="77777777" w:rsidR="001279CD" w:rsidRDefault="001279CD" w:rsidP="001279CD">
                                <w:pPr>
                                  <w:spacing w:after="0"/>
                                  <w:rPr>
                                    <w:rFonts w:ascii="Calibri" w:hAnsi="Calibri" w:cs="Calibri"/>
                                    <w:color w:val="000000" w:themeColor="text1"/>
                                  </w:rPr>
                                </w:pPr>
                                <w:r w:rsidRPr="001279CD">
                                  <w:rPr>
                                    <w:rFonts w:ascii="Calibri" w:hAnsi="Calibri" w:cs="Calibri"/>
                                    <w:color w:val="000000" w:themeColor="text1"/>
                                  </w:rPr>
                                  <w:t xml:space="preserve">Está dentro do </w:t>
                                </w:r>
                              </w:p>
                              <w:p w14:paraId="5C5C531C" w14:textId="48730137" w:rsidR="00544DC3" w:rsidRPr="001279CD" w:rsidRDefault="001279CD" w:rsidP="001279CD">
                                <w:pPr>
                                  <w:spacing w:after="0"/>
                                  <w:rPr>
                                    <w:rFonts w:ascii="Calibri" w:hAnsi="Calibri" w:cs="Calibri"/>
                                    <w:color w:val="000000" w:themeColor="text1"/>
                                  </w:rPr>
                                </w:pPr>
                                <w:r w:rsidRPr="001279CD">
                                  <w:rPr>
                                    <w:rFonts w:ascii="Calibri" w:hAnsi="Calibri" w:cs="Calibri"/>
                                    <w:color w:val="000000" w:themeColor="text1"/>
                                  </w:rPr>
                                  <w:t>intervalo 80-125%?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5680457" name="Rectangle: Rounded Corners 2"/>
                          <wps:cNvSpPr/>
                          <wps:spPr>
                            <a:xfrm>
                              <a:off x="3026020" y="136281"/>
                              <a:ext cx="1260000" cy="64770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E25CCF7" w14:textId="05D7A499" w:rsidR="00C61851" w:rsidRPr="00360AA4" w:rsidRDefault="00C61851" w:rsidP="00255269">
                                <w:pPr>
                                  <w:spacing w:after="0"/>
                                  <w:jc w:val="center"/>
                                  <w:rPr>
                                    <w:rFonts w:ascii="Calibri" w:hAnsi="Calibri" w:cs="Calibri"/>
                                    <w:i/>
                                    <w:iCs/>
                                    <w:color w:val="000000" w:themeColor="text1"/>
                                  </w:rPr>
                                </w:pPr>
                                <w:r w:rsidRPr="00360AA4">
                                  <w:rPr>
                                    <w:rFonts w:ascii="Calibri" w:hAnsi="Calibri" w:cs="Calibri"/>
                                    <w:i/>
                                    <w:iCs/>
                                    <w:color w:val="000000" w:themeColor="text1"/>
                                  </w:rPr>
                                  <w:t>Critical Term Match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9627019" name="Rectangle: Rounded Corners 2"/>
                          <wps:cNvSpPr/>
                          <wps:spPr>
                            <a:xfrm>
                              <a:off x="3963866" y="1244112"/>
                              <a:ext cx="1260000" cy="64770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81DB1DF" w14:textId="51A4AA54" w:rsidR="00360AA4" w:rsidRPr="00360AA4" w:rsidRDefault="00360AA4" w:rsidP="00360AA4">
                                <w:pPr>
                                  <w:spacing w:after="0"/>
                                  <w:jc w:val="center"/>
                                  <w:rPr>
                                    <w:rFonts w:ascii="Calibri" w:hAnsi="Calibri" w:cs="Calibri"/>
                                    <w:color w:val="000000" w:themeColor="text1"/>
                                  </w:rPr>
                                </w:pPr>
                                <w:r w:rsidRPr="00360AA4">
                                  <w:rPr>
                                    <w:rFonts w:ascii="Calibri" w:hAnsi="Calibri" w:cs="Calibri"/>
                                    <w:color w:val="000000" w:themeColor="text1"/>
                                  </w:rPr>
                                  <w:t>Não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375378" name="Rectangle: Rounded Corners 2"/>
                          <wps:cNvSpPr/>
                          <wps:spPr>
                            <a:xfrm>
                              <a:off x="2111620" y="1244112"/>
                              <a:ext cx="1260000" cy="64770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6D42D60" w14:textId="0248DB02" w:rsidR="00360AA4" w:rsidRPr="00255269" w:rsidRDefault="00360AA4" w:rsidP="00255269">
                                <w:pPr>
                                  <w:spacing w:after="0"/>
                                  <w:jc w:val="center"/>
                                  <w:rPr>
                                    <w:rFonts w:ascii="Calibri" w:hAnsi="Calibri" w:cs="Calibri"/>
                                    <w:color w:val="000000" w:themeColor="text1"/>
                                  </w:rPr>
                                </w:pPr>
                                <w:r w:rsidRPr="00255269">
                                  <w:rPr>
                                    <w:rFonts w:ascii="Calibri" w:hAnsi="Calibri" w:cs="Calibri"/>
                                    <w:color w:val="000000" w:themeColor="text1"/>
                                  </w:rPr>
                                  <w:t>Sim (</w:t>
                                </w:r>
                                <w:r w:rsidR="000225AC" w:rsidRPr="00255269">
                                  <w:rPr>
                                    <w:rFonts w:ascii="Calibri" w:hAnsi="Calibri" w:cs="Calibri"/>
                                    <w:color w:val="000000" w:themeColor="text1"/>
                                  </w:rPr>
                                  <w:t>a cobertura é efica</w:t>
                                </w:r>
                                <w:r w:rsidR="00255269">
                                  <w:rPr>
                                    <w:rFonts w:ascii="Calibri" w:hAnsi="Calibri" w:cs="Calibri"/>
                                    <w:color w:val="000000" w:themeColor="text1"/>
                                  </w:rPr>
                                  <w:t>z</w:t>
                                </w:r>
                                <w:r w:rsidR="000225AC" w:rsidRPr="00255269">
                                  <w:rPr>
                                    <w:rFonts w:ascii="Calibri" w:hAnsi="Calibri" w:cs="Calibri"/>
                                    <w:color w:val="000000" w:themeColor="text1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8979904" name="Rectangle: Rounded Corners 2"/>
                          <wps:cNvSpPr/>
                          <wps:spPr>
                            <a:xfrm>
                              <a:off x="3031881" y="2299189"/>
                              <a:ext cx="1259840" cy="64770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774C45E" w14:textId="0CF84844" w:rsidR="007E1765" w:rsidRPr="007E1765" w:rsidRDefault="007E1765" w:rsidP="007E1765">
                                <w:pPr>
                                  <w:spacing w:after="0"/>
                                  <w:jc w:val="center"/>
                                  <w:rPr>
                                    <w:rFonts w:ascii="Calibri" w:hAnsi="Calibri" w:cs="Calibri"/>
                                    <w:color w:val="000000" w:themeColor="text1"/>
                                  </w:rPr>
                                </w:pPr>
                                <w:r w:rsidRPr="007E1765">
                                  <w:rPr>
                                    <w:rFonts w:ascii="Calibri" w:hAnsi="Calibri" w:cs="Calibri"/>
                                    <w:color w:val="000000" w:themeColor="text1"/>
                                  </w:rPr>
                                  <w:t>Testes Prospetivos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3084027" name="Rectangle: Rounded Corners 2"/>
                          <wps:cNvSpPr/>
                          <wps:spPr>
                            <a:xfrm>
                              <a:off x="3969727" y="3418742"/>
                              <a:ext cx="1260000" cy="64770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906E6E8" w14:textId="1600ED7C" w:rsidR="007E1765" w:rsidRPr="00360AA4" w:rsidRDefault="007E1765" w:rsidP="007E1765">
                                <w:pPr>
                                  <w:spacing w:after="0"/>
                                  <w:jc w:val="center"/>
                                  <w:rPr>
                                    <w:rFonts w:ascii="Calibri" w:hAnsi="Calibri" w:cs="Calibri"/>
                                    <w:color w:val="000000" w:themeColor="text1"/>
                                  </w:rPr>
                                </w:pPr>
                                <w:r w:rsidRPr="00360AA4">
                                  <w:rPr>
                                    <w:rFonts w:ascii="Calibri" w:hAnsi="Calibri" w:cs="Calibri"/>
                                    <w:color w:val="000000" w:themeColor="text1"/>
                                  </w:rPr>
                                  <w:t>Não</w:t>
                                </w:r>
                                <w:r w:rsidR="00312E15">
                                  <w:rPr>
                                    <w:rFonts w:ascii="Calibri" w:hAnsi="Calibri" w:cs="Calibri"/>
                                    <w:color w:val="000000" w:themeColor="text1"/>
                                  </w:rPr>
                                  <w:t xml:space="preserve"> (a cobertura é infeficaz)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1659167" name="Rectangle: Rounded Corners 2"/>
                          <wps:cNvSpPr/>
                          <wps:spPr>
                            <a:xfrm>
                              <a:off x="2117481" y="3418742"/>
                              <a:ext cx="1260000" cy="64770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E36C190" w14:textId="77777777" w:rsidR="007E1765" w:rsidRPr="00255269" w:rsidRDefault="007E1765" w:rsidP="007E1765">
                                <w:pPr>
                                  <w:spacing w:after="0"/>
                                  <w:jc w:val="center"/>
                                  <w:rPr>
                                    <w:rFonts w:ascii="Calibri" w:hAnsi="Calibri" w:cs="Calibri"/>
                                    <w:color w:val="000000" w:themeColor="text1"/>
                                  </w:rPr>
                                </w:pPr>
                                <w:r w:rsidRPr="00255269">
                                  <w:rPr>
                                    <w:rFonts w:ascii="Calibri" w:hAnsi="Calibri" w:cs="Calibri"/>
                                    <w:color w:val="000000" w:themeColor="text1"/>
                                  </w:rPr>
                                  <w:t>Sim (a cobertura é efica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 w:themeColor="text1"/>
                                  </w:rPr>
                                  <w:t>z</w:t>
                                </w:r>
                                <w:r w:rsidRPr="00255269">
                                  <w:rPr>
                                    <w:rFonts w:ascii="Calibri" w:hAnsi="Calibri" w:cs="Calibri"/>
                                    <w:color w:val="000000" w:themeColor="text1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3468896" name="Straight Connector 3"/>
                          <wps:cNvCnPr/>
                          <wps:spPr>
                            <a:xfrm>
                              <a:off x="3659066" y="785446"/>
                              <a:ext cx="0" cy="21600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526394" name="Straight Connector 3"/>
                          <wps:cNvCnPr/>
                          <wps:spPr>
                            <a:xfrm flipV="1">
                              <a:off x="2732943" y="992065"/>
                              <a:ext cx="927100" cy="63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47874903" name="Straight Connector 3"/>
                          <wps:cNvCnPr/>
                          <wps:spPr>
                            <a:xfrm flipV="1">
                              <a:off x="3657600" y="992065"/>
                              <a:ext cx="9504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20890889" name="Straight Connector 3"/>
                          <wps:cNvCnPr/>
                          <wps:spPr>
                            <a:xfrm>
                              <a:off x="3664927" y="2948354"/>
                              <a:ext cx="0" cy="21590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73074756" name="Straight Connector 3"/>
                          <wps:cNvCnPr/>
                          <wps:spPr>
                            <a:xfrm flipV="1">
                              <a:off x="2732943" y="3172558"/>
                              <a:ext cx="927100" cy="63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45347148" name="Straight Connector 3"/>
                          <wps:cNvCnPr/>
                          <wps:spPr>
                            <a:xfrm>
                              <a:off x="2750527" y="3165231"/>
                              <a:ext cx="0" cy="25146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2841757" name="Straight Connector 3"/>
                          <wps:cNvCnPr/>
                          <wps:spPr>
                            <a:xfrm flipV="1">
                              <a:off x="3663462" y="3172558"/>
                              <a:ext cx="94996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29522386" name="Straight Connector 3"/>
                          <wps:cNvCnPr/>
                          <wps:spPr>
                            <a:xfrm>
                              <a:off x="4602773" y="3159369"/>
                              <a:ext cx="0" cy="25146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91668691" name="Straight Connector 3"/>
                          <wps:cNvCnPr/>
                          <wps:spPr>
                            <a:xfrm>
                              <a:off x="2750527" y="1893277"/>
                              <a:ext cx="0" cy="18000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1071620" name="Straight Connector 3"/>
                          <wps:cNvCnPr/>
                          <wps:spPr>
                            <a:xfrm>
                              <a:off x="4602773" y="1893277"/>
                              <a:ext cx="0" cy="18000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60284090" name="Straight Connector 3"/>
                          <wps:cNvCnPr/>
                          <wps:spPr>
                            <a:xfrm>
                              <a:off x="2745965" y="2070919"/>
                              <a:ext cx="1867456" cy="4067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37088438" name="Straight Connector 3"/>
                          <wps:cNvCnPr/>
                          <wps:spPr>
                            <a:xfrm>
                              <a:off x="3664927" y="2074985"/>
                              <a:ext cx="0" cy="21590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644008100" name="Straight Connector 3"/>
                        <wps:cNvCnPr/>
                        <wps:spPr>
                          <a:xfrm>
                            <a:off x="2745316" y="994833"/>
                            <a:ext cx="0" cy="25146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1652448" name="Straight Connector 3"/>
                        <wps:cNvCnPr/>
                        <wps:spPr>
                          <a:xfrm>
                            <a:off x="4595283" y="994833"/>
                            <a:ext cx="0" cy="25146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D40E7A" id="Group 3" o:spid="_x0000_s1027" style="position:absolute;left:0;text-align:left;margin-left:9.35pt;margin-top:40.7pt;width:457.7pt;height:330.65pt;z-index:251658242" coordsize="58128,41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">
                <v:group id="Group 2" o:spid="_x0000_s1028" style="position:absolute;width:58128;height:41997" coordsize="58128,41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">
                  <v:roundrect id="Rectangle: Rounded Corners 1" o:spid="_x0000_s1029" style="position:absolute;width:57835;height:95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" fillcolor="#f2f2f2 [3052]" strokecolor="#aeaaaa [2414]" strokeweight="1pt">
                    <v:stroke joinstyle="miter"/>
                    <v:textbox>
                      <w:txbxContent>
                        <w:p w14:paraId="2389C094" w14:textId="77777777" w:rsidR="001279CD" w:rsidRDefault="00714DC7" w:rsidP="001279CD">
                          <w:pPr>
                            <w:spacing w:after="0"/>
                            <w:rPr>
                              <w:rFonts w:ascii="Calibri" w:hAnsi="Calibri" w:cs="Calibri"/>
                              <w:color w:val="000000" w:themeColor="text1"/>
                            </w:rPr>
                          </w:pPr>
                          <w:r w:rsidRPr="001279CD">
                            <w:rPr>
                              <w:rFonts w:ascii="Calibri" w:hAnsi="Calibri" w:cs="Calibri"/>
                              <w:color w:val="000000" w:themeColor="text1"/>
                            </w:rPr>
                            <w:t xml:space="preserve">Avaliação qualitativa </w:t>
                          </w:r>
                        </w:p>
                        <w:p w14:paraId="7AF7EF80" w14:textId="264AED99" w:rsidR="004F468F" w:rsidRPr="001279CD" w:rsidRDefault="00714DC7" w:rsidP="001279CD">
                          <w:pPr>
                            <w:rPr>
                              <w:rFonts w:ascii="Calibri" w:hAnsi="Calibri" w:cs="Calibri"/>
                              <w:color w:val="000000" w:themeColor="text1"/>
                            </w:rPr>
                          </w:pPr>
                          <w:r w:rsidRPr="001279CD">
                            <w:rPr>
                              <w:rFonts w:ascii="Calibri" w:hAnsi="Calibri" w:cs="Calibri"/>
                              <w:color w:val="000000" w:themeColor="text1"/>
                            </w:rPr>
                            <w:t>da eficácia da cobertura</w:t>
                          </w:r>
                        </w:p>
                      </w:txbxContent>
                    </v:textbox>
                  </v:roundrect>
                  <v:roundrect id="Rectangle: Rounded Corners 1" o:spid="_x0000_s1030" style="position:absolute;top:10726;width:57835;height:95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" fillcolor="#f2f2f2 [3052]" strokecolor="#aeaaaa [2414]" strokeweight="1pt">
                    <v:stroke joinstyle="miter"/>
                    <v:textbox>
                      <w:txbxContent>
                        <w:p w14:paraId="0173B225" w14:textId="77777777" w:rsidR="001279CD" w:rsidRDefault="00544DC3" w:rsidP="001279CD">
                          <w:pPr>
                            <w:spacing w:after="0"/>
                            <w:rPr>
                              <w:rFonts w:ascii="Calibri" w:hAnsi="Calibri" w:cs="Calibri"/>
                              <w:color w:val="000000" w:themeColor="text1"/>
                            </w:rPr>
                          </w:pPr>
                          <w:r w:rsidRPr="001279CD">
                            <w:rPr>
                              <w:rFonts w:ascii="Calibri" w:hAnsi="Calibri" w:cs="Calibri"/>
                              <w:color w:val="000000" w:themeColor="text1"/>
                            </w:rPr>
                            <w:t xml:space="preserve">A eficácia da cobertura </w:t>
                          </w:r>
                        </w:p>
                        <w:p w14:paraId="58D19C22" w14:textId="76ADB7DE" w:rsidR="00544DC3" w:rsidRPr="001279CD" w:rsidRDefault="00544DC3" w:rsidP="001279CD">
                          <w:pPr>
                            <w:spacing w:after="0"/>
                            <w:rPr>
                              <w:rFonts w:ascii="Calibri" w:hAnsi="Calibri" w:cs="Calibri"/>
                              <w:color w:val="000000" w:themeColor="text1"/>
                            </w:rPr>
                          </w:pPr>
                          <w:r w:rsidRPr="001279CD">
                            <w:rPr>
                              <w:rFonts w:ascii="Calibri" w:hAnsi="Calibri" w:cs="Calibri"/>
                              <w:color w:val="000000" w:themeColor="text1"/>
                            </w:rPr>
                            <w:t>é demonstrada?</w:t>
                          </w:r>
                        </w:p>
                      </w:txbxContent>
                    </v:textbox>
                  </v:roundrect>
                  <v:roundrect id="Rectangle: Rounded Corners 1" o:spid="_x0000_s1031" style="position:absolute;top:21511;width:57835;height:95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" fillcolor="#f2f2f2 [3052]" strokecolor="#aeaaaa [2414]" strokeweight="1pt">
                    <v:stroke joinstyle="miter"/>
                    <v:textbox>
                      <w:txbxContent>
                        <w:p w14:paraId="7FAA6F0B" w14:textId="77777777" w:rsidR="001279CD" w:rsidRDefault="00544DC3" w:rsidP="001279CD">
                          <w:pPr>
                            <w:spacing w:after="0"/>
                            <w:rPr>
                              <w:rFonts w:ascii="Calibri" w:hAnsi="Calibri" w:cs="Calibri"/>
                              <w:color w:val="000000" w:themeColor="text1"/>
                            </w:rPr>
                          </w:pPr>
                          <w:r w:rsidRPr="001279CD">
                            <w:rPr>
                              <w:rFonts w:ascii="Calibri" w:hAnsi="Calibri" w:cs="Calibri"/>
                              <w:color w:val="000000" w:themeColor="text1"/>
                            </w:rPr>
                            <w:t xml:space="preserve">Avaliação quantitativa </w:t>
                          </w:r>
                        </w:p>
                        <w:p w14:paraId="6AD35CCA" w14:textId="4E85D789" w:rsidR="00544DC3" w:rsidRPr="001279CD" w:rsidRDefault="00544DC3" w:rsidP="001279CD">
                          <w:pPr>
                            <w:spacing w:after="0"/>
                            <w:rPr>
                              <w:rFonts w:ascii="Calibri" w:hAnsi="Calibri" w:cs="Calibri"/>
                              <w:color w:val="000000" w:themeColor="text1"/>
                            </w:rPr>
                          </w:pPr>
                          <w:r w:rsidRPr="001279CD">
                            <w:rPr>
                              <w:rFonts w:ascii="Calibri" w:hAnsi="Calibri" w:cs="Calibri"/>
                              <w:color w:val="000000" w:themeColor="text1"/>
                            </w:rPr>
                            <w:t>da eficácia da cobertura</w:t>
                          </w:r>
                        </w:p>
                      </w:txbxContent>
                    </v:textbox>
                  </v:roundrect>
                  <v:roundrect id="Rectangle: Rounded Corners 1" o:spid="_x0000_s1032" style="position:absolute;left:293;top:32472;width:57835;height:95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" fillcolor="#f2f2f2 [3052]" strokecolor="#aeaaaa [2414]" strokeweight="1pt">
                    <v:stroke joinstyle="miter"/>
                    <v:textbox>
                      <w:txbxContent>
                        <w:p w14:paraId="7F027D82" w14:textId="77777777" w:rsidR="001279CD" w:rsidRDefault="001279CD" w:rsidP="001279CD">
                          <w:pPr>
                            <w:spacing w:after="0"/>
                            <w:rPr>
                              <w:rFonts w:ascii="Calibri" w:hAnsi="Calibri" w:cs="Calibri"/>
                              <w:color w:val="000000" w:themeColor="text1"/>
                            </w:rPr>
                          </w:pPr>
                          <w:r w:rsidRPr="001279CD">
                            <w:rPr>
                              <w:rFonts w:ascii="Calibri" w:hAnsi="Calibri" w:cs="Calibri"/>
                              <w:color w:val="000000" w:themeColor="text1"/>
                            </w:rPr>
                            <w:t xml:space="preserve">Está dentro do </w:t>
                          </w:r>
                        </w:p>
                        <w:p w14:paraId="5C5C531C" w14:textId="48730137" w:rsidR="00544DC3" w:rsidRPr="001279CD" w:rsidRDefault="001279CD" w:rsidP="001279CD">
                          <w:pPr>
                            <w:spacing w:after="0"/>
                            <w:rPr>
                              <w:rFonts w:ascii="Calibri" w:hAnsi="Calibri" w:cs="Calibri"/>
                              <w:color w:val="000000" w:themeColor="text1"/>
                            </w:rPr>
                          </w:pPr>
                          <w:r w:rsidRPr="001279CD">
                            <w:rPr>
                              <w:rFonts w:ascii="Calibri" w:hAnsi="Calibri" w:cs="Calibri"/>
                              <w:color w:val="000000" w:themeColor="text1"/>
                            </w:rPr>
                            <w:t>intervalo 80-125%?</w:t>
                          </w:r>
                        </w:p>
                      </w:txbxContent>
                    </v:textbox>
                  </v:roundrect>
                  <v:roundrect id="Rectangle: Rounded Corners 2" o:spid="_x0000_s1033" style="position:absolute;left:30260;top:1362;width:12600;height:6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" fillcolor="white [3212]" strokecolor="red" strokeweight="2.25pt">
                    <v:stroke joinstyle="miter"/>
                    <v:textbox>
                      <w:txbxContent>
                        <w:p w14:paraId="4E25CCF7" w14:textId="05D7A499" w:rsidR="00C61851" w:rsidRPr="00360AA4" w:rsidRDefault="00C61851" w:rsidP="00255269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i/>
                              <w:iCs/>
                              <w:color w:val="000000" w:themeColor="text1"/>
                            </w:rPr>
                          </w:pPr>
                          <w:r w:rsidRPr="00360AA4">
                            <w:rPr>
                              <w:rFonts w:ascii="Calibri" w:hAnsi="Calibri" w:cs="Calibri"/>
                              <w:i/>
                              <w:iCs/>
                              <w:color w:val="000000" w:themeColor="text1"/>
                            </w:rPr>
                            <w:t>Critical Term Match</w:t>
                          </w:r>
                        </w:p>
                      </w:txbxContent>
                    </v:textbox>
                  </v:roundrect>
                  <v:roundrect id="Rectangle: Rounded Corners 2" o:spid="_x0000_s1034" style="position:absolute;left:39638;top:12441;width:12600;height:6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" fillcolor="white [3212]" strokecolor="red" strokeweight="2.25pt">
                    <v:stroke joinstyle="miter"/>
                    <v:textbox>
                      <w:txbxContent>
                        <w:p w14:paraId="281DB1DF" w14:textId="51A4AA54" w:rsidR="00360AA4" w:rsidRPr="00360AA4" w:rsidRDefault="00360AA4" w:rsidP="00360AA4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 w:themeColor="text1"/>
                            </w:rPr>
                          </w:pPr>
                          <w:r w:rsidRPr="00360AA4">
                            <w:rPr>
                              <w:rFonts w:ascii="Calibri" w:hAnsi="Calibri" w:cs="Calibri"/>
                              <w:color w:val="000000" w:themeColor="text1"/>
                            </w:rPr>
                            <w:t>Não</w:t>
                          </w:r>
                        </w:p>
                      </w:txbxContent>
                    </v:textbox>
                  </v:roundrect>
                  <v:roundrect id="Rectangle: Rounded Corners 2" o:spid="_x0000_s1035" style="position:absolute;left:21116;top:12441;width:12600;height:6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" fillcolor="white [3212]" strokecolor="red" strokeweight="2.25pt">
                    <v:stroke joinstyle="miter"/>
                    <v:textbox>
                      <w:txbxContent>
                        <w:p w14:paraId="36D42D60" w14:textId="0248DB02" w:rsidR="00360AA4" w:rsidRPr="00255269" w:rsidRDefault="00360AA4" w:rsidP="00255269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 w:themeColor="text1"/>
                            </w:rPr>
                          </w:pPr>
                          <w:r w:rsidRPr="00255269">
                            <w:rPr>
                              <w:rFonts w:ascii="Calibri" w:hAnsi="Calibri" w:cs="Calibri"/>
                              <w:color w:val="000000" w:themeColor="text1"/>
                            </w:rPr>
                            <w:t>Sim (</w:t>
                          </w:r>
                          <w:r w:rsidR="000225AC" w:rsidRPr="00255269">
                            <w:rPr>
                              <w:rFonts w:ascii="Calibri" w:hAnsi="Calibri" w:cs="Calibri"/>
                              <w:color w:val="000000" w:themeColor="text1"/>
                            </w:rPr>
                            <w:t>a cobertura é efica</w:t>
                          </w:r>
                          <w:r w:rsidR="00255269">
                            <w:rPr>
                              <w:rFonts w:ascii="Calibri" w:hAnsi="Calibri" w:cs="Calibri"/>
                              <w:color w:val="000000" w:themeColor="text1"/>
                            </w:rPr>
                            <w:t>z</w:t>
                          </w:r>
                          <w:r w:rsidR="000225AC" w:rsidRPr="00255269">
                            <w:rPr>
                              <w:rFonts w:ascii="Calibri" w:hAnsi="Calibri" w:cs="Calibri"/>
                              <w:color w:val="000000" w:themeColor="text1"/>
                            </w:rPr>
                            <w:t>)</w:t>
                          </w:r>
                        </w:p>
                      </w:txbxContent>
                    </v:textbox>
                  </v:roundrect>
                  <v:roundrect id="Rectangle: Rounded Corners 2" o:spid="_x0000_s1036" style="position:absolute;left:30318;top:22991;width:12599;height:6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" fillcolor="white [3212]" strokecolor="red" strokeweight="2.25pt">
                    <v:stroke joinstyle="miter"/>
                    <v:textbox>
                      <w:txbxContent>
                        <w:p w14:paraId="4774C45E" w14:textId="0CF84844" w:rsidR="007E1765" w:rsidRPr="007E1765" w:rsidRDefault="007E1765" w:rsidP="007E1765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 w:themeColor="text1"/>
                            </w:rPr>
                          </w:pPr>
                          <w:r w:rsidRPr="007E1765">
                            <w:rPr>
                              <w:rFonts w:ascii="Calibri" w:hAnsi="Calibri" w:cs="Calibri"/>
                              <w:color w:val="000000" w:themeColor="text1"/>
                            </w:rPr>
                            <w:t>Testes Prospetivos</w:t>
                          </w:r>
                        </w:p>
                      </w:txbxContent>
                    </v:textbox>
                  </v:roundrect>
                  <v:roundrect id="Rectangle: Rounded Corners 2" o:spid="_x0000_s1037" style="position:absolute;left:39697;top:34187;width:12600;height:6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" fillcolor="white [3212]" strokecolor="red" strokeweight="2.25pt">
                    <v:stroke joinstyle="miter"/>
                    <v:textbox>
                      <w:txbxContent>
                        <w:p w14:paraId="0906E6E8" w14:textId="1600ED7C" w:rsidR="007E1765" w:rsidRPr="00360AA4" w:rsidRDefault="007E1765" w:rsidP="007E1765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 w:themeColor="text1"/>
                            </w:rPr>
                          </w:pPr>
                          <w:r w:rsidRPr="00360AA4">
                            <w:rPr>
                              <w:rFonts w:ascii="Calibri" w:hAnsi="Calibri" w:cs="Calibri"/>
                              <w:color w:val="000000" w:themeColor="text1"/>
                            </w:rPr>
                            <w:t>Não</w:t>
                          </w:r>
                          <w:r w:rsidR="00312E15">
                            <w:rPr>
                              <w:rFonts w:ascii="Calibri" w:hAnsi="Calibri" w:cs="Calibri"/>
                              <w:color w:val="000000" w:themeColor="text1"/>
                            </w:rPr>
                            <w:t xml:space="preserve"> (a cobertura é infeficaz)</w:t>
                          </w:r>
                        </w:p>
                      </w:txbxContent>
                    </v:textbox>
                  </v:roundrect>
                  <v:roundrect id="Rectangle: Rounded Corners 2" o:spid="_x0000_s1038" style="position:absolute;left:21174;top:34187;width:12600;height:6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" fillcolor="white [3212]" strokecolor="red" strokeweight="2.25pt">
                    <v:stroke joinstyle="miter"/>
                    <v:textbox>
                      <w:txbxContent>
                        <w:p w14:paraId="4E36C190" w14:textId="77777777" w:rsidR="007E1765" w:rsidRPr="00255269" w:rsidRDefault="007E1765" w:rsidP="007E1765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 w:themeColor="text1"/>
                            </w:rPr>
                          </w:pPr>
                          <w:r w:rsidRPr="00255269">
                            <w:rPr>
                              <w:rFonts w:ascii="Calibri" w:hAnsi="Calibri" w:cs="Calibri"/>
                              <w:color w:val="000000" w:themeColor="text1"/>
                            </w:rPr>
                            <w:t>Sim (a cobertura é efica</w:t>
                          </w:r>
                          <w:r>
                            <w:rPr>
                              <w:rFonts w:ascii="Calibri" w:hAnsi="Calibri" w:cs="Calibri"/>
                              <w:color w:val="000000" w:themeColor="text1"/>
                            </w:rPr>
                            <w:t>z</w:t>
                          </w:r>
                          <w:r w:rsidRPr="00255269">
                            <w:rPr>
                              <w:rFonts w:ascii="Calibri" w:hAnsi="Calibri" w:cs="Calibri"/>
                              <w:color w:val="000000" w:themeColor="text1"/>
                            </w:rPr>
                            <w:t>)</w:t>
                          </w:r>
                        </w:p>
                      </w:txbxContent>
                    </v:textbox>
                  </v:roundrect>
                  <v:line id="Straight Connector 3" o:spid="_x0000_s1039" style="position:absolute;visibility:visible;mso-wrap-style:square" from="36590,7854" to="36590,10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" strokecolor="red" strokeweight="2.25pt">
                    <v:stroke joinstyle="miter"/>
                  </v:line>
                  <v:line id="Straight Connector 3" o:spid="_x0000_s1040" style="position:absolute;flip:y;visibility:visible;mso-wrap-style:square" from="27329,9920" to="36600,9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" strokecolor="red" strokeweight="2.25pt">
                    <v:stroke joinstyle="miter"/>
                  </v:line>
                  <v:line id="Straight Connector 3" o:spid="_x0000_s1041" style="position:absolute;flip:y;visibility:visible;mso-wrap-style:square" from="36576,9920" to="46080,99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" strokecolor="red" strokeweight="2.25pt">
                    <v:stroke joinstyle="miter"/>
                  </v:line>
                  <v:line id="Straight Connector 3" o:spid="_x0000_s1042" style="position:absolute;visibility:visible;mso-wrap-style:square" from="36649,29483" to="36649,31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" strokecolor="red" strokeweight="2.25pt">
                    <v:stroke joinstyle="miter"/>
                  </v:line>
                  <v:line id="Straight Connector 3" o:spid="_x0000_s1043" style="position:absolute;flip:y;visibility:visible;mso-wrap-style:square" from="27329,31725" to="36600,317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" strokecolor="red" strokeweight="2.25pt">
                    <v:stroke joinstyle="miter"/>
                  </v:line>
                  <v:line id="Straight Connector 3" o:spid="_x0000_s1044" style="position:absolute;visibility:visible;mso-wrap-style:square" from="27505,31652" to="27505,34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" strokecolor="red" strokeweight="2.25pt">
                    <v:stroke joinstyle="miter"/>
                  </v:line>
                  <v:line id="Straight Connector 3" o:spid="_x0000_s1045" style="position:absolute;flip:y;visibility:visible;mso-wrap-style:square" from="36634,31725" to="46134,31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" strokecolor="red" strokeweight="2.25pt">
                    <v:stroke joinstyle="miter"/>
                  </v:line>
                  <v:line id="Straight Connector 3" o:spid="_x0000_s1046" style="position:absolute;visibility:visible;mso-wrap-style:square" from="46027,31593" to="46027,34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" strokecolor="red" strokeweight="2.25pt">
                    <v:stroke joinstyle="miter"/>
                  </v:line>
                  <v:line id="Straight Connector 3" o:spid="_x0000_s1047" style="position:absolute;visibility:visible;mso-wrap-style:square" from="27505,18932" to="27505,20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" strokecolor="red" strokeweight="2.25pt">
                    <v:stroke joinstyle="miter"/>
                  </v:line>
                  <v:line id="Straight Connector 3" o:spid="_x0000_s1048" style="position:absolute;visibility:visible;mso-wrap-style:square" from="46027,18932" to="46027,20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" strokecolor="red" strokeweight="2.25pt">
                    <v:stroke joinstyle="miter"/>
                  </v:line>
                  <v:line id="Straight Connector 3" o:spid="_x0000_s1049" style="position:absolute;visibility:visible;mso-wrap-style:square" from="27459,20709" to="46134,207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" strokecolor="red" strokeweight="2.25pt">
                    <v:stroke joinstyle="miter"/>
                  </v:line>
                  <v:line id="Straight Connector 3" o:spid="_x0000_s1050" style="position:absolute;visibility:visible;mso-wrap-style:square" from="36649,20749" to="36649,22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" strokecolor="red" strokeweight="2.25pt">
                    <v:stroke joinstyle="miter"/>
                  </v:line>
                </v:group>
                <v:line id="Straight Connector 3" o:spid="_x0000_s1051" style="position:absolute;visibility:visible;mso-wrap-style:square" from="27453,9948" to="27453,12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" strokecolor="red" strokeweight="2.25pt">
                  <v:stroke joinstyle="miter"/>
                </v:line>
                <v:line id="Straight Connector 3" o:spid="_x0000_s1052" style="position:absolute;visibility:visible;mso-wrap-style:square" from="45952,9948" to="45952,12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" strokecolor="red" strokeweight="2.25pt">
                  <v:stroke joinstyle="miter"/>
                </v:line>
              </v:group>
            </w:pict>
          </mc:Fallback>
        </mc:AlternateContent>
      </w:r>
      <w:r w:rsidR="00504030" w:rsidRPr="00504030">
        <w:rPr>
          <w:rFonts w:cs="Calibri"/>
          <w:color w:val="000000" w:themeColor="text1"/>
        </w:rPr>
        <w:t>Apresenta-se de seguida um resumo das ações implementadas para avaliar a relação económica das coberturas abrangidas por este documento:</w:t>
      </w:r>
      <w:r w:rsidR="00613257" w:rsidRPr="00613257">
        <w:rPr>
          <w:rFonts w:ascii="Times New Roman" w:eastAsia="Times New Roman" w:hAnsi="Times New Roman" w:cs="Times New Roman"/>
          <w:kern w:val="0"/>
          <w:szCs w:val="24"/>
          <w:lang w:eastAsia="pt-PT"/>
          <w14:ligatures w14:val="none"/>
        </w:rPr>
        <w:t xml:space="preserve"> </w:t>
      </w:r>
    </w:p>
    <w:p w14:paraId="6C4664A1" w14:textId="2C304471" w:rsidR="004F468F" w:rsidRDefault="004F468F" w:rsidP="00EB5D2F">
      <w:pPr>
        <w:pStyle w:val="Corpo"/>
        <w:spacing w:after="240"/>
        <w:ind w:left="0"/>
        <w:jc w:val="both"/>
        <w:rPr>
          <w:rFonts w:cs="Calibri"/>
          <w:color w:val="000000" w:themeColor="text1"/>
        </w:rPr>
      </w:pPr>
    </w:p>
    <w:p w14:paraId="134DAF15" w14:textId="2A6885ED" w:rsidR="004F468F" w:rsidRPr="00504030" w:rsidRDefault="004F468F" w:rsidP="00504030">
      <w:pPr>
        <w:pStyle w:val="Corpo"/>
        <w:spacing w:after="240"/>
        <w:jc w:val="both"/>
        <w:rPr>
          <w:rFonts w:cs="Calibri"/>
          <w:color w:val="000000" w:themeColor="text1"/>
        </w:rPr>
      </w:pPr>
    </w:p>
    <w:p w14:paraId="04658015" w14:textId="4D9374E1" w:rsidR="002779A8" w:rsidRDefault="002779A8" w:rsidP="00BF22D4">
      <w:pPr>
        <w:pStyle w:val="Corpo"/>
        <w:spacing w:after="240"/>
        <w:jc w:val="both"/>
        <w:rPr>
          <w:rFonts w:cs="Calibri"/>
          <w:color w:val="000000" w:themeColor="text1"/>
        </w:rPr>
      </w:pPr>
    </w:p>
    <w:p w14:paraId="4EE0CF30" w14:textId="3090CD3F" w:rsidR="000501B7" w:rsidRPr="000501B7" w:rsidRDefault="000501B7" w:rsidP="000501B7"/>
    <w:p w14:paraId="692C3FF8" w14:textId="5348B7E3" w:rsidR="000501B7" w:rsidRPr="000501B7" w:rsidRDefault="000501B7" w:rsidP="000501B7"/>
    <w:p w14:paraId="2B9D6780" w14:textId="1069FDB1" w:rsidR="000501B7" w:rsidRPr="000501B7" w:rsidRDefault="000501B7" w:rsidP="000501B7"/>
    <w:p w14:paraId="032EC68D" w14:textId="4D362639" w:rsidR="000501B7" w:rsidRPr="000501B7" w:rsidRDefault="005C440B" w:rsidP="000501B7">
      <w:r w:rsidRPr="005C440B">
        <w:rPr>
          <w:rFonts w:cs="Calibri"/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58243" behindDoc="0" locked="0" layoutInCell="1" allowOverlap="1" wp14:anchorId="672865BF" wp14:editId="7EBC626A">
                <wp:simplePos x="0" y="0"/>
                <wp:positionH relativeFrom="column">
                  <wp:posOffset>2937510</wp:posOffset>
                </wp:positionH>
                <wp:positionV relativeFrom="paragraph">
                  <wp:posOffset>97757</wp:posOffset>
                </wp:positionV>
                <wp:extent cx="1060450" cy="284480"/>
                <wp:effectExtent l="0" t="0" r="0" b="1270"/>
                <wp:wrapSquare wrapText="bothSides"/>
                <wp:docPr id="16161235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045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E0F38D" w14:textId="7E559295" w:rsidR="005C440B" w:rsidRPr="00726298" w:rsidRDefault="005C440B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26298">
                              <w:rPr>
                                <w:sz w:val="18"/>
                                <w:szCs w:val="18"/>
                              </w:rPr>
                              <w:t>(opcional)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865BF" id="_x0000_s1053" type="#_x0000_t202" style="position:absolute;margin-left:231.3pt;margin-top:7.7pt;width:83.5pt;height:22.4pt;z-index:25165824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" filled="f" stroked="f">
                <v:textbox>
                  <w:txbxContent>
                    <w:p w14:paraId="6BE0F38D" w14:textId="7E559295" w:rsidR="005C440B" w:rsidRPr="00726298" w:rsidRDefault="005C440B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26298">
                        <w:rPr>
                          <w:sz w:val="18"/>
                          <w:szCs w:val="18"/>
                        </w:rPr>
                        <w:t>(opcional)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B221D9C" w14:textId="1BA69457" w:rsidR="000501B7" w:rsidRPr="000501B7" w:rsidRDefault="000501B7" w:rsidP="000501B7"/>
    <w:p w14:paraId="199878EF" w14:textId="438C4EDB" w:rsidR="000501B7" w:rsidRPr="000501B7" w:rsidRDefault="000501B7" w:rsidP="000501B7"/>
    <w:p w14:paraId="64086054" w14:textId="372371F2" w:rsidR="000501B7" w:rsidRPr="000501B7" w:rsidRDefault="000501B7" w:rsidP="000501B7"/>
    <w:p w14:paraId="15542EBF" w14:textId="77777777" w:rsidR="000501B7" w:rsidRPr="000501B7" w:rsidRDefault="000501B7" w:rsidP="000501B7"/>
    <w:p w14:paraId="569827D9" w14:textId="77777777" w:rsidR="000501B7" w:rsidRPr="000501B7" w:rsidRDefault="000501B7" w:rsidP="000501B7"/>
    <w:p w14:paraId="5151DC64" w14:textId="34661480" w:rsidR="000501B7" w:rsidRPr="00EC5B6B" w:rsidRDefault="00BE113B" w:rsidP="000501B7">
      <w:pPr>
        <w:pStyle w:val="Ttulo21"/>
        <w:rPr>
          <w:bCs/>
        </w:rPr>
      </w:pPr>
      <w:bookmarkStart w:id="21" w:name="_Toc205551772"/>
      <w:r>
        <w:rPr>
          <w:bCs/>
        </w:rPr>
        <w:t>8</w:t>
      </w:r>
      <w:r w:rsidR="000501B7" w:rsidRPr="00EC5B6B">
        <w:rPr>
          <w:bCs/>
        </w:rPr>
        <w:t>.2.</w:t>
      </w:r>
      <w:r w:rsidR="00DA3DBD" w:rsidRPr="00EC5B6B">
        <w:rPr>
          <w:bCs/>
        </w:rPr>
        <w:t xml:space="preserve"> Não Existência de D</w:t>
      </w:r>
      <w:r w:rsidR="00DA3DBD" w:rsidRPr="003F776D">
        <w:rPr>
          <w:bCs/>
        </w:rPr>
        <w:t>om</w:t>
      </w:r>
      <w:r w:rsidR="00DA3DBD" w:rsidRPr="00EC5B6B">
        <w:rPr>
          <w:bCs/>
        </w:rPr>
        <w:t>inância</w:t>
      </w:r>
      <w:r w:rsidR="00DA3DBD" w:rsidRPr="003F776D">
        <w:rPr>
          <w:bCs/>
        </w:rPr>
        <w:t xml:space="preserve"> d</w:t>
      </w:r>
      <w:r w:rsidR="00DA3DBD" w:rsidRPr="00EC5B6B">
        <w:rPr>
          <w:bCs/>
        </w:rPr>
        <w:t>e</w:t>
      </w:r>
      <w:r w:rsidR="00DA3DBD" w:rsidRPr="003F776D">
        <w:rPr>
          <w:bCs/>
        </w:rPr>
        <w:t xml:space="preserve"> </w:t>
      </w:r>
      <w:r w:rsidR="00DA3DBD" w:rsidRPr="00EC5B6B">
        <w:rPr>
          <w:bCs/>
        </w:rPr>
        <w:t>R</w:t>
      </w:r>
      <w:r w:rsidR="00DA3DBD" w:rsidRPr="003F776D">
        <w:rPr>
          <w:bCs/>
        </w:rPr>
        <w:t xml:space="preserve">isco de </w:t>
      </w:r>
      <w:r w:rsidR="00DA3DBD" w:rsidRPr="00EC5B6B">
        <w:rPr>
          <w:bCs/>
        </w:rPr>
        <w:t>C</w:t>
      </w:r>
      <w:r w:rsidR="00DA3DBD" w:rsidRPr="003F776D">
        <w:rPr>
          <w:bCs/>
        </w:rPr>
        <w:t>rédito</w:t>
      </w:r>
      <w:bookmarkEnd w:id="21"/>
    </w:p>
    <w:p w14:paraId="1F85D6CF" w14:textId="6BA903F1" w:rsidR="00613257" w:rsidRDefault="00613257" w:rsidP="00613257">
      <w:pPr>
        <w:pStyle w:val="Corpo"/>
        <w:spacing w:after="240"/>
        <w:jc w:val="both"/>
        <w:rPr>
          <w:rFonts w:cs="Calibri"/>
          <w:color w:val="000000" w:themeColor="text1"/>
        </w:rPr>
      </w:pPr>
      <w:r w:rsidRPr="00613257">
        <w:rPr>
          <w:rFonts w:cs="Calibri"/>
          <w:color w:val="000000" w:themeColor="text1"/>
        </w:rPr>
        <w:t xml:space="preserve">Tal como especificado na IFRS 9, nos parágrafos 6.4.1 e B6.4.7, a eficácia de uma cobertura é determinada não só pela relação económica entre o item coberto e o </w:t>
      </w:r>
      <w:r w:rsidR="00897C00">
        <w:rPr>
          <w:rFonts w:cs="Calibri"/>
          <w:color w:val="000000" w:themeColor="text1"/>
        </w:rPr>
        <w:t>instrumento</w:t>
      </w:r>
      <w:r w:rsidRPr="00613257">
        <w:rPr>
          <w:rFonts w:cs="Calibri"/>
          <w:color w:val="000000" w:themeColor="text1"/>
        </w:rPr>
        <w:t xml:space="preserve"> de cobertura, mas também pelo efeito do risco de crédito no valor de ambos os itens. O efeito do risco de crédito significa que o nível de compensação pode tornar-se errático em determinadas circunstâncias, tais como quando uma alteração no risco de crédito do</w:t>
      </w:r>
      <w:r>
        <w:rPr>
          <w:rFonts w:cs="Calibri"/>
          <w:color w:val="000000" w:themeColor="text1"/>
        </w:rPr>
        <w:t xml:space="preserve"> i</w:t>
      </w:r>
      <w:r w:rsidR="00EF4674">
        <w:rPr>
          <w:rFonts w:cs="Calibri"/>
          <w:color w:val="000000" w:themeColor="text1"/>
        </w:rPr>
        <w:t>nstrumento</w:t>
      </w:r>
      <w:r w:rsidRPr="00613257">
        <w:rPr>
          <w:rFonts w:cs="Calibri"/>
          <w:color w:val="000000" w:themeColor="text1"/>
        </w:rPr>
        <w:t xml:space="preserve"> de cobertura ou do item coberto é de tal magnitude que o risco de crédito domina as alterações de valor resultantes da relação económica</w:t>
      </w:r>
      <w:r w:rsidR="006C6195">
        <w:rPr>
          <w:rFonts w:cs="Calibri"/>
          <w:color w:val="000000" w:themeColor="text1"/>
        </w:rPr>
        <w:t xml:space="preserve">. </w:t>
      </w:r>
      <w:r w:rsidRPr="00613257">
        <w:rPr>
          <w:rFonts w:cs="Calibri"/>
          <w:color w:val="000000" w:themeColor="text1"/>
        </w:rPr>
        <w:t xml:space="preserve">O nível de magnitude que conduz à “dominância” é aquele que resultaria numa perda ou ganho de risco de crédito suficientemente significativa para compensar o efeito das alterações no subjacente do </w:t>
      </w:r>
      <w:r w:rsidR="00E51F0B">
        <w:rPr>
          <w:rFonts w:cs="Calibri"/>
          <w:color w:val="000000" w:themeColor="text1"/>
        </w:rPr>
        <w:t>i</w:t>
      </w:r>
      <w:r w:rsidR="0052120C">
        <w:rPr>
          <w:rFonts w:cs="Calibri"/>
          <w:color w:val="000000" w:themeColor="text1"/>
        </w:rPr>
        <w:t>nstrumento</w:t>
      </w:r>
      <w:r w:rsidRPr="00613257">
        <w:rPr>
          <w:rFonts w:cs="Calibri"/>
          <w:color w:val="000000" w:themeColor="text1"/>
        </w:rPr>
        <w:t xml:space="preserve"> de cobertura ou do </w:t>
      </w:r>
      <w:r w:rsidR="00E51F0B">
        <w:rPr>
          <w:rFonts w:cs="Calibri"/>
          <w:color w:val="000000" w:themeColor="text1"/>
        </w:rPr>
        <w:t xml:space="preserve">item </w:t>
      </w:r>
      <w:r w:rsidRPr="00613257">
        <w:rPr>
          <w:rFonts w:cs="Calibri"/>
          <w:color w:val="000000" w:themeColor="text1"/>
        </w:rPr>
        <w:t>coberto.</w:t>
      </w:r>
    </w:p>
    <w:p w14:paraId="232F1261" w14:textId="6E474C02" w:rsidR="005C440B" w:rsidRPr="00613257" w:rsidRDefault="005C440B" w:rsidP="00613257">
      <w:pPr>
        <w:pStyle w:val="Corpo"/>
        <w:spacing w:after="240"/>
        <w:jc w:val="both"/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 xml:space="preserve">Com a existência de dominância de risco de crédito a relação de cobertura deixa de cumprir os critérios </w:t>
      </w:r>
      <w:r w:rsidR="009C00CE">
        <w:rPr>
          <w:rFonts w:cs="Calibri"/>
          <w:color w:val="000000" w:themeColor="text1"/>
        </w:rPr>
        <w:t xml:space="preserve">de eficácia </w:t>
      </w:r>
      <w:r>
        <w:rPr>
          <w:rFonts w:cs="Calibri"/>
          <w:color w:val="000000" w:themeColor="text1"/>
        </w:rPr>
        <w:t>implica</w:t>
      </w:r>
      <w:r w:rsidR="009C00CE">
        <w:rPr>
          <w:rFonts w:cs="Calibri"/>
          <w:color w:val="000000" w:themeColor="text1"/>
        </w:rPr>
        <w:t>ndo</w:t>
      </w:r>
      <w:r>
        <w:rPr>
          <w:rFonts w:cs="Calibri"/>
          <w:color w:val="000000" w:themeColor="text1"/>
        </w:rPr>
        <w:t xml:space="preserve"> a descontinuação </w:t>
      </w:r>
      <w:r w:rsidR="009C00CE">
        <w:rPr>
          <w:rFonts w:cs="Calibri"/>
          <w:color w:val="000000" w:themeColor="text1"/>
        </w:rPr>
        <w:t>da contabilidade de cobertura.</w:t>
      </w:r>
    </w:p>
    <w:p w14:paraId="6C8E8EA6" w14:textId="6FA44E9B" w:rsidR="00613257" w:rsidRDefault="00613257" w:rsidP="00613257">
      <w:pPr>
        <w:pStyle w:val="Corpo"/>
        <w:spacing w:after="240"/>
        <w:jc w:val="both"/>
        <w:rPr>
          <w:rFonts w:cs="Calibri"/>
          <w:color w:val="000000" w:themeColor="text1"/>
        </w:rPr>
      </w:pPr>
      <w:r w:rsidRPr="00613257">
        <w:rPr>
          <w:rFonts w:cs="Calibri"/>
          <w:color w:val="000000" w:themeColor="text1"/>
        </w:rPr>
        <w:t>De seguida, descreve-se a forma como o Banco avalia a “dominância” do risco de crédito para as coberturas abrangidas por este documento</w:t>
      </w:r>
      <w:r w:rsidR="000466D7">
        <w:rPr>
          <w:rFonts w:cs="Calibri"/>
          <w:color w:val="000000" w:themeColor="text1"/>
        </w:rPr>
        <w:t>:</w:t>
      </w:r>
    </w:p>
    <w:p w14:paraId="7C730EFF" w14:textId="4E0917E8" w:rsidR="007C5AC2" w:rsidRPr="007C5AC2" w:rsidRDefault="007C5AC2" w:rsidP="007C5AC2">
      <w:pPr>
        <w:pStyle w:val="Corpo"/>
        <w:spacing w:after="240"/>
        <w:jc w:val="both"/>
        <w:rPr>
          <w:rFonts w:cs="Calibri"/>
          <w:b/>
          <w:bCs/>
          <w:color w:val="000000" w:themeColor="text1"/>
        </w:rPr>
      </w:pPr>
      <w:r w:rsidRPr="007C5AC2">
        <w:rPr>
          <w:rFonts w:cs="Calibri"/>
          <w:b/>
          <w:bCs/>
          <w:color w:val="000000" w:themeColor="text1"/>
        </w:rPr>
        <w:t>I</w:t>
      </w:r>
      <w:r w:rsidR="00EF4674">
        <w:rPr>
          <w:rFonts w:cs="Calibri"/>
          <w:b/>
          <w:bCs/>
          <w:color w:val="000000" w:themeColor="text1"/>
        </w:rPr>
        <w:t>nstrumento</w:t>
      </w:r>
      <w:r w:rsidRPr="007C5AC2">
        <w:rPr>
          <w:rFonts w:cs="Calibri"/>
          <w:b/>
          <w:bCs/>
          <w:color w:val="000000" w:themeColor="text1"/>
        </w:rPr>
        <w:t xml:space="preserve"> de cobertura:</w:t>
      </w:r>
    </w:p>
    <w:p w14:paraId="27738A7F" w14:textId="4DB0DF20" w:rsidR="00941FF4" w:rsidRDefault="009C5D74" w:rsidP="009C5D74">
      <w:pPr>
        <w:pStyle w:val="Corpo"/>
        <w:spacing w:after="240"/>
        <w:jc w:val="both"/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>O</w:t>
      </w:r>
      <w:r w:rsidRPr="009C5D74">
        <w:rPr>
          <w:rFonts w:cs="Calibri"/>
          <w:color w:val="000000" w:themeColor="text1"/>
        </w:rPr>
        <w:t xml:space="preserve"> Banco calcula o </w:t>
      </w:r>
      <w:proofErr w:type="spellStart"/>
      <w:r w:rsidR="00696D9D" w:rsidRPr="00015476">
        <w:rPr>
          <w:rFonts w:cs="Calibri"/>
          <w:i/>
          <w:iCs/>
          <w:color w:val="000000" w:themeColor="text1"/>
        </w:rPr>
        <w:t>Credit</w:t>
      </w:r>
      <w:proofErr w:type="spellEnd"/>
      <w:r w:rsidR="00696D9D" w:rsidRPr="00015476">
        <w:rPr>
          <w:rFonts w:cs="Calibri"/>
          <w:i/>
          <w:iCs/>
          <w:color w:val="000000" w:themeColor="text1"/>
        </w:rPr>
        <w:t xml:space="preserve"> </w:t>
      </w:r>
      <w:proofErr w:type="spellStart"/>
      <w:r w:rsidR="00696D9D" w:rsidRPr="00015476">
        <w:rPr>
          <w:rFonts w:cs="Calibri"/>
          <w:i/>
          <w:iCs/>
          <w:color w:val="000000" w:themeColor="text1"/>
        </w:rPr>
        <w:t>Valuation</w:t>
      </w:r>
      <w:proofErr w:type="spellEnd"/>
      <w:r w:rsidR="00696D9D" w:rsidRPr="00015476">
        <w:rPr>
          <w:rFonts w:cs="Calibri"/>
          <w:i/>
          <w:iCs/>
          <w:color w:val="000000" w:themeColor="text1"/>
        </w:rPr>
        <w:t xml:space="preserve"> </w:t>
      </w:r>
      <w:proofErr w:type="spellStart"/>
      <w:r w:rsidR="00696D9D" w:rsidRPr="00015476">
        <w:rPr>
          <w:rFonts w:cs="Calibri"/>
          <w:i/>
          <w:iCs/>
          <w:color w:val="000000" w:themeColor="text1"/>
        </w:rPr>
        <w:t>Adjustment</w:t>
      </w:r>
      <w:proofErr w:type="spellEnd"/>
      <w:r w:rsidRPr="009C5D74">
        <w:rPr>
          <w:rFonts w:cs="Calibri"/>
          <w:color w:val="000000" w:themeColor="text1"/>
        </w:rPr>
        <w:t xml:space="preserve"> (CVA) e o </w:t>
      </w:r>
      <w:proofErr w:type="spellStart"/>
      <w:r w:rsidR="00696D9D" w:rsidRPr="00015476">
        <w:rPr>
          <w:rFonts w:cs="Calibri"/>
          <w:i/>
          <w:iCs/>
          <w:color w:val="000000" w:themeColor="text1"/>
        </w:rPr>
        <w:t>Debit</w:t>
      </w:r>
      <w:proofErr w:type="spellEnd"/>
      <w:r w:rsidR="00696D9D" w:rsidRPr="00015476">
        <w:rPr>
          <w:rFonts w:cs="Calibri"/>
          <w:i/>
          <w:iCs/>
          <w:color w:val="000000" w:themeColor="text1"/>
        </w:rPr>
        <w:t xml:space="preserve"> </w:t>
      </w:r>
      <w:proofErr w:type="spellStart"/>
      <w:r w:rsidR="00696D9D" w:rsidRPr="00015476">
        <w:rPr>
          <w:rFonts w:cs="Calibri"/>
          <w:i/>
          <w:iCs/>
          <w:color w:val="000000" w:themeColor="text1"/>
        </w:rPr>
        <w:t>Valuation</w:t>
      </w:r>
      <w:proofErr w:type="spellEnd"/>
      <w:r w:rsidR="00696D9D" w:rsidRPr="00015476">
        <w:rPr>
          <w:rFonts w:cs="Calibri"/>
          <w:i/>
          <w:iCs/>
          <w:color w:val="000000" w:themeColor="text1"/>
        </w:rPr>
        <w:t xml:space="preserve"> </w:t>
      </w:r>
      <w:proofErr w:type="spellStart"/>
      <w:r w:rsidR="00696D9D" w:rsidRPr="00015476">
        <w:rPr>
          <w:rFonts w:cs="Calibri"/>
          <w:i/>
          <w:iCs/>
          <w:color w:val="000000" w:themeColor="text1"/>
        </w:rPr>
        <w:t>Adjustment</w:t>
      </w:r>
      <w:proofErr w:type="spellEnd"/>
      <w:r w:rsidR="00696D9D" w:rsidRPr="009C5D74">
        <w:rPr>
          <w:rFonts w:cs="Calibri"/>
          <w:color w:val="000000" w:themeColor="text1"/>
        </w:rPr>
        <w:t xml:space="preserve"> </w:t>
      </w:r>
      <w:r w:rsidRPr="009C5D74">
        <w:rPr>
          <w:rFonts w:cs="Calibri"/>
          <w:color w:val="000000" w:themeColor="text1"/>
        </w:rPr>
        <w:t xml:space="preserve">(DVA) para os </w:t>
      </w:r>
      <w:r w:rsidR="0010533A">
        <w:rPr>
          <w:rFonts w:cs="Calibri"/>
          <w:color w:val="000000" w:themeColor="text1"/>
        </w:rPr>
        <w:t>itens de cobertura</w:t>
      </w:r>
      <w:r w:rsidR="00485504">
        <w:rPr>
          <w:rFonts w:cs="Calibri"/>
          <w:color w:val="000000" w:themeColor="text1"/>
        </w:rPr>
        <w:t xml:space="preserve"> de forma agregada</w:t>
      </w:r>
      <w:r w:rsidR="00395002">
        <w:rPr>
          <w:rFonts w:cs="Calibri"/>
          <w:color w:val="000000" w:themeColor="text1"/>
        </w:rPr>
        <w:t>,</w:t>
      </w:r>
      <w:r w:rsidR="008E3C0B">
        <w:rPr>
          <w:rFonts w:cs="Calibri"/>
          <w:color w:val="000000" w:themeColor="text1"/>
        </w:rPr>
        <w:t xml:space="preserve"> que quantificam o impacto</w:t>
      </w:r>
      <w:r w:rsidR="00546DF4">
        <w:rPr>
          <w:rFonts w:cs="Calibri"/>
          <w:color w:val="000000" w:themeColor="text1"/>
        </w:rPr>
        <w:t xml:space="preserve"> </w:t>
      </w:r>
      <w:r w:rsidR="00307475">
        <w:rPr>
          <w:rFonts w:cs="Calibri"/>
          <w:color w:val="000000" w:themeColor="text1"/>
        </w:rPr>
        <w:t xml:space="preserve">do risco de crédito </w:t>
      </w:r>
      <w:r w:rsidR="002015C3">
        <w:rPr>
          <w:rFonts w:cs="Calibri"/>
          <w:color w:val="000000" w:themeColor="text1"/>
        </w:rPr>
        <w:t>da contraparte</w:t>
      </w:r>
      <w:r w:rsidR="009B4663">
        <w:rPr>
          <w:rFonts w:cs="Calibri"/>
          <w:color w:val="000000" w:themeColor="text1"/>
        </w:rPr>
        <w:t>, com esta metodologia o Banco</w:t>
      </w:r>
      <w:r w:rsidRPr="009C5D74">
        <w:rPr>
          <w:rFonts w:cs="Calibri"/>
          <w:color w:val="000000" w:themeColor="text1"/>
        </w:rPr>
        <w:t xml:space="preserve"> garant</w:t>
      </w:r>
      <w:r w:rsidR="009B4663">
        <w:rPr>
          <w:rFonts w:cs="Calibri"/>
          <w:color w:val="000000" w:themeColor="text1"/>
        </w:rPr>
        <w:t>e</w:t>
      </w:r>
      <w:r w:rsidRPr="009C5D74">
        <w:rPr>
          <w:rFonts w:cs="Calibri"/>
          <w:color w:val="000000" w:themeColor="text1"/>
        </w:rPr>
        <w:t xml:space="preserve"> que</w:t>
      </w:r>
      <w:r w:rsidR="00E211D4">
        <w:rPr>
          <w:rFonts w:cs="Calibri"/>
          <w:color w:val="000000" w:themeColor="text1"/>
        </w:rPr>
        <w:t xml:space="preserve"> </w:t>
      </w:r>
      <w:r w:rsidRPr="009C5D74">
        <w:rPr>
          <w:rFonts w:cs="Calibri"/>
          <w:color w:val="000000" w:themeColor="text1"/>
        </w:rPr>
        <w:t>qualquer impacto residual é identificado e controlado.</w:t>
      </w:r>
      <w:r w:rsidR="00043B71">
        <w:rPr>
          <w:rFonts w:cs="Calibri"/>
          <w:color w:val="000000" w:themeColor="text1"/>
        </w:rPr>
        <w:t xml:space="preserve"> </w:t>
      </w:r>
    </w:p>
    <w:p w14:paraId="6A5C86CE" w14:textId="3020F53F" w:rsidR="00941FF4" w:rsidRDefault="00941FF4" w:rsidP="009C5D74">
      <w:pPr>
        <w:pStyle w:val="Corpo"/>
        <w:spacing w:after="240"/>
        <w:jc w:val="both"/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 xml:space="preserve">Estes ajustes </w:t>
      </w:r>
      <w:r w:rsidR="001373E4">
        <w:rPr>
          <w:rFonts w:cs="Calibri"/>
          <w:color w:val="000000" w:themeColor="text1"/>
        </w:rPr>
        <w:t xml:space="preserve">(CVA/DVA) são isolados </w:t>
      </w:r>
      <w:r w:rsidR="00202C51">
        <w:rPr>
          <w:rFonts w:cs="Calibri"/>
          <w:color w:val="000000" w:themeColor="text1"/>
        </w:rPr>
        <w:t xml:space="preserve">do justo valor </w:t>
      </w:r>
      <w:r w:rsidR="00D17738">
        <w:rPr>
          <w:rFonts w:cs="Calibri"/>
          <w:color w:val="000000" w:themeColor="text1"/>
        </w:rPr>
        <w:t>total do</w:t>
      </w:r>
      <w:r w:rsidR="00485504">
        <w:rPr>
          <w:rFonts w:cs="Calibri"/>
          <w:color w:val="000000" w:themeColor="text1"/>
        </w:rPr>
        <w:t>s</w:t>
      </w:r>
      <w:r w:rsidR="00D17738">
        <w:rPr>
          <w:rFonts w:cs="Calibri"/>
          <w:color w:val="000000" w:themeColor="text1"/>
        </w:rPr>
        <w:t xml:space="preserve"> i</w:t>
      </w:r>
      <w:r w:rsidR="00E575AB">
        <w:rPr>
          <w:rFonts w:cs="Calibri"/>
          <w:color w:val="000000" w:themeColor="text1"/>
        </w:rPr>
        <w:t>nstrumentos</w:t>
      </w:r>
      <w:r w:rsidR="00D17738">
        <w:rPr>
          <w:rFonts w:cs="Calibri"/>
          <w:color w:val="000000" w:themeColor="text1"/>
        </w:rPr>
        <w:t xml:space="preserve"> de </w:t>
      </w:r>
      <w:r w:rsidR="00227D30">
        <w:rPr>
          <w:rFonts w:cs="Calibri"/>
          <w:color w:val="000000" w:themeColor="text1"/>
        </w:rPr>
        <w:t>cobertura de</w:t>
      </w:r>
      <w:r w:rsidR="007C2C0E">
        <w:rPr>
          <w:rFonts w:cs="Calibri"/>
          <w:color w:val="000000" w:themeColor="text1"/>
        </w:rPr>
        <w:t xml:space="preserve"> forma a permitir a avaliação da sua materialidade relativa </w:t>
      </w:r>
      <w:r w:rsidR="00250035">
        <w:rPr>
          <w:rFonts w:cs="Calibri"/>
          <w:color w:val="000000" w:themeColor="text1"/>
        </w:rPr>
        <w:t xml:space="preserve">face à variação total </w:t>
      </w:r>
      <w:r w:rsidR="00706BF3">
        <w:rPr>
          <w:rFonts w:cs="Calibri"/>
          <w:color w:val="000000" w:themeColor="text1"/>
        </w:rPr>
        <w:t>do valor do instrumento.</w:t>
      </w:r>
      <w:r w:rsidR="00AE0A08">
        <w:rPr>
          <w:rFonts w:cs="Calibri"/>
          <w:color w:val="000000" w:themeColor="text1"/>
        </w:rPr>
        <w:t xml:space="preserve"> Para esse efeito é calculado </w:t>
      </w:r>
      <w:r w:rsidR="00FC574F">
        <w:rPr>
          <w:rFonts w:cs="Calibri"/>
          <w:color w:val="000000" w:themeColor="text1"/>
        </w:rPr>
        <w:t xml:space="preserve">o rácio de dominância </w:t>
      </w:r>
      <w:r w:rsidR="009E16CC">
        <w:rPr>
          <w:rFonts w:cs="Calibri"/>
          <w:color w:val="000000" w:themeColor="text1"/>
        </w:rPr>
        <w:t xml:space="preserve">de risco de crédito, de acordo com </w:t>
      </w:r>
      <w:r w:rsidR="00937E52">
        <w:rPr>
          <w:rFonts w:cs="Calibri"/>
          <w:color w:val="000000" w:themeColor="text1"/>
        </w:rPr>
        <w:t>a seguinte formula:</w:t>
      </w:r>
    </w:p>
    <w:p w14:paraId="271A05EF" w14:textId="7B6D4115" w:rsidR="00937E52" w:rsidRDefault="00937E52" w:rsidP="009C5D74">
      <w:pPr>
        <w:pStyle w:val="Corpo"/>
        <w:spacing w:after="240"/>
        <w:jc w:val="both"/>
        <w:rPr>
          <w:rFonts w:cs="Calibri"/>
          <w:color w:val="000000" w:themeColor="text1"/>
        </w:rPr>
      </w:pPr>
      <m:oMathPara>
        <m:oMath>
          <m:r>
            <w:rPr>
              <w:rFonts w:ascii="Cambria Math" w:hAnsi="Cambria Math" w:cs="Calibri"/>
              <w:color w:val="000000" w:themeColor="text1"/>
            </w:rPr>
            <m:t xml:space="preserve">Rácio de Dominância= </m:t>
          </m:r>
          <m:f>
            <m:fPr>
              <m:ctrlPr>
                <w:rPr>
                  <w:rFonts w:ascii="Cambria Math" w:hAnsi="Cambria Math" w:cs="Calibri"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Calibri"/>
                  <w:color w:val="000000" w:themeColor="text1"/>
                </w:rPr>
                <m:t xml:space="preserve">CVA/ DVA agregado </m:t>
              </m:r>
            </m:num>
            <m:den>
              <m:r>
                <w:rPr>
                  <w:rFonts w:ascii="Cambria Math" w:hAnsi="Cambria Math" w:cs="Calibri"/>
                  <w:color w:val="000000" w:themeColor="text1"/>
                </w:rPr>
                <m:t>Fair Value dos Instrumentos de Cobertura</m:t>
              </m:r>
            </m:den>
          </m:f>
        </m:oMath>
      </m:oMathPara>
    </w:p>
    <w:p w14:paraId="2226AD3C" w14:textId="2966C29C" w:rsidR="00937E52" w:rsidRDefault="00300410" w:rsidP="009C5D74">
      <w:pPr>
        <w:pStyle w:val="Corpo"/>
        <w:spacing w:after="240"/>
        <w:jc w:val="both"/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 xml:space="preserve">Como referência, </w:t>
      </w:r>
      <w:r w:rsidR="00DD39CC">
        <w:rPr>
          <w:rFonts w:cs="Calibri"/>
          <w:color w:val="000000" w:themeColor="text1"/>
        </w:rPr>
        <w:t>e em linha</w:t>
      </w:r>
      <w:r w:rsidR="00CE749E">
        <w:rPr>
          <w:rFonts w:cs="Calibri"/>
          <w:color w:val="000000" w:themeColor="text1"/>
        </w:rPr>
        <w:t xml:space="preserve"> com as boas práticas de mercado, considera-se </w:t>
      </w:r>
      <w:r w:rsidR="00E75804">
        <w:rPr>
          <w:rFonts w:cs="Calibri"/>
          <w:color w:val="000000" w:themeColor="text1"/>
        </w:rPr>
        <w:t xml:space="preserve">que existe </w:t>
      </w:r>
      <w:r w:rsidR="00315CF4">
        <w:rPr>
          <w:rFonts w:cs="Calibri"/>
          <w:color w:val="000000" w:themeColor="text1"/>
        </w:rPr>
        <w:t>do</w:t>
      </w:r>
      <w:r w:rsidR="000729EA">
        <w:rPr>
          <w:rFonts w:cs="Calibri"/>
          <w:color w:val="000000" w:themeColor="text1"/>
        </w:rPr>
        <w:t xml:space="preserve">minância de risco de crédito quando </w:t>
      </w:r>
      <w:r w:rsidR="006955E9">
        <w:rPr>
          <w:rFonts w:cs="Calibri"/>
          <w:color w:val="000000" w:themeColor="text1"/>
        </w:rPr>
        <w:t xml:space="preserve">o rácio </w:t>
      </w:r>
      <w:r w:rsidR="00490B3C">
        <w:rPr>
          <w:rFonts w:cs="Calibri"/>
          <w:color w:val="000000" w:themeColor="text1"/>
        </w:rPr>
        <w:t>excede os 80%</w:t>
      </w:r>
      <w:r w:rsidR="0044410D">
        <w:rPr>
          <w:rFonts w:cs="Calibri"/>
          <w:color w:val="000000" w:themeColor="text1"/>
        </w:rPr>
        <w:t xml:space="preserve">, situação em </w:t>
      </w:r>
      <w:r w:rsidR="00334659">
        <w:rPr>
          <w:rFonts w:cs="Calibri"/>
          <w:color w:val="000000" w:themeColor="text1"/>
        </w:rPr>
        <w:t xml:space="preserve">que a elegibilidade da relação </w:t>
      </w:r>
      <w:r w:rsidR="00BA0142">
        <w:rPr>
          <w:rFonts w:cs="Calibri"/>
          <w:color w:val="000000" w:themeColor="text1"/>
        </w:rPr>
        <w:t>de cobertura à luz dos requisitos da IFRS9</w:t>
      </w:r>
      <w:r w:rsidR="00AB5E2D">
        <w:rPr>
          <w:rFonts w:cs="Calibri"/>
          <w:color w:val="000000" w:themeColor="text1"/>
        </w:rPr>
        <w:t xml:space="preserve"> ficaria comprometida, dado que </w:t>
      </w:r>
      <w:r w:rsidR="001A56D8">
        <w:rPr>
          <w:rFonts w:cs="Calibri"/>
          <w:color w:val="000000" w:themeColor="text1"/>
        </w:rPr>
        <w:t>a variação do valor do i</w:t>
      </w:r>
      <w:r w:rsidR="0052120C">
        <w:rPr>
          <w:rFonts w:cs="Calibri"/>
          <w:color w:val="000000" w:themeColor="text1"/>
        </w:rPr>
        <w:t>nstrumento</w:t>
      </w:r>
      <w:r w:rsidR="001A56D8">
        <w:rPr>
          <w:rFonts w:cs="Calibri"/>
          <w:color w:val="000000" w:themeColor="text1"/>
        </w:rPr>
        <w:t xml:space="preserve"> de cobertura seria explicada</w:t>
      </w:r>
      <w:r w:rsidR="00FF155C">
        <w:rPr>
          <w:rFonts w:cs="Calibri"/>
          <w:color w:val="000000" w:themeColor="text1"/>
        </w:rPr>
        <w:t xml:space="preserve">, em grande parte, </w:t>
      </w:r>
      <w:r w:rsidR="005E14B4">
        <w:rPr>
          <w:rFonts w:cs="Calibri"/>
          <w:color w:val="000000" w:themeColor="text1"/>
        </w:rPr>
        <w:t>pelo risco de crédito.</w:t>
      </w:r>
    </w:p>
    <w:p w14:paraId="40A99241" w14:textId="77777777" w:rsidR="009C00CE" w:rsidRDefault="009C00CE">
      <w:pPr>
        <w:rPr>
          <w:rFonts w:ascii="Calibri" w:hAnsi="Calibri" w:cs="Calibri"/>
          <w:b/>
          <w:bCs/>
          <w:color w:val="000000" w:themeColor="text1"/>
          <w:sz w:val="24"/>
        </w:rPr>
      </w:pPr>
      <w:r>
        <w:rPr>
          <w:rFonts w:cs="Calibri"/>
          <w:b/>
          <w:bCs/>
          <w:color w:val="000000" w:themeColor="text1"/>
        </w:rPr>
        <w:br w:type="page"/>
      </w:r>
    </w:p>
    <w:p w14:paraId="38FB50AE" w14:textId="49BBB207" w:rsidR="000A21A5" w:rsidRPr="000A21A5" w:rsidRDefault="000A21A5" w:rsidP="000A21A5">
      <w:pPr>
        <w:pStyle w:val="Corpo"/>
        <w:spacing w:after="240"/>
        <w:jc w:val="both"/>
        <w:rPr>
          <w:rFonts w:cs="Calibri"/>
          <w:b/>
          <w:bCs/>
          <w:color w:val="000000" w:themeColor="text1"/>
        </w:rPr>
      </w:pPr>
      <w:r w:rsidRPr="000A21A5">
        <w:rPr>
          <w:rFonts w:cs="Calibri"/>
          <w:b/>
          <w:bCs/>
          <w:color w:val="000000" w:themeColor="text1"/>
        </w:rPr>
        <w:lastRenderedPageBreak/>
        <w:t>Item coberto:</w:t>
      </w:r>
    </w:p>
    <w:p w14:paraId="1C52FEA0" w14:textId="3AF30CAA" w:rsidR="000A21A5" w:rsidRPr="000A21A5" w:rsidRDefault="000A21A5" w:rsidP="000A21A5">
      <w:pPr>
        <w:pStyle w:val="Corpo"/>
        <w:spacing w:after="240"/>
        <w:jc w:val="both"/>
        <w:rPr>
          <w:rFonts w:cs="Calibri"/>
          <w:color w:val="000000" w:themeColor="text1"/>
        </w:rPr>
      </w:pPr>
      <w:r w:rsidRPr="000A21A5">
        <w:rPr>
          <w:rFonts w:cs="Calibri"/>
          <w:color w:val="000000" w:themeColor="text1"/>
        </w:rPr>
        <w:t>Para avaliar a predominância do risco de crédito nos</w:t>
      </w:r>
      <w:r>
        <w:rPr>
          <w:rFonts w:cs="Calibri"/>
          <w:color w:val="000000" w:themeColor="text1"/>
        </w:rPr>
        <w:t xml:space="preserve"> itens</w:t>
      </w:r>
      <w:r w:rsidRPr="000A21A5">
        <w:rPr>
          <w:rFonts w:cs="Calibri"/>
          <w:color w:val="000000" w:themeColor="text1"/>
        </w:rPr>
        <w:t xml:space="preserve"> cobertos, o Banco classifica-os nas seguintes categorias com base no seu perfil de risco e na sua qualidade de crédito:</w:t>
      </w:r>
    </w:p>
    <w:tbl>
      <w:tblPr>
        <w:tblStyle w:val="TableGrid"/>
        <w:tblW w:w="9016" w:type="dxa"/>
        <w:tblInd w:w="600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913B9" w14:paraId="41110C0B" w14:textId="77777777" w:rsidTr="00726298">
        <w:tc>
          <w:tcPr>
            <w:tcW w:w="22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14267F20" w14:textId="77777777" w:rsidR="002913B9" w:rsidRPr="00B63DE0" w:rsidRDefault="002913B9" w:rsidP="00EA037D">
            <w:pPr>
              <w:pStyle w:val="Corpo"/>
              <w:spacing w:after="240"/>
              <w:ind w:left="0" w:right="0"/>
              <w:rPr>
                <w:rFonts w:cs="Calibri"/>
                <w:color w:val="000000" w:themeColor="text1"/>
                <w:lang w:val="pt-PT"/>
              </w:rPr>
            </w:pPr>
          </w:p>
        </w:tc>
        <w:tc>
          <w:tcPr>
            <w:tcW w:w="450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0000"/>
          </w:tcPr>
          <w:p w14:paraId="0B3F2EB8" w14:textId="09882B19" w:rsidR="002913B9" w:rsidRPr="00EA037D" w:rsidRDefault="00EA037D" w:rsidP="00EA037D">
            <w:pPr>
              <w:pStyle w:val="Corpo"/>
              <w:spacing w:after="240"/>
              <w:ind w:left="0" w:right="0"/>
              <w:jc w:val="center"/>
              <w:rPr>
                <w:rFonts w:cs="Calibri"/>
                <w:b/>
                <w:bCs/>
                <w:color w:val="FFFFFF" w:themeColor="background1"/>
                <w:lang w:val="pt-PT"/>
              </w:rPr>
            </w:pPr>
            <w:r w:rsidRPr="00EA037D">
              <w:rPr>
                <w:rFonts w:cs="Calibri"/>
                <w:b/>
                <w:bCs/>
                <w:color w:val="FFFFFF" w:themeColor="background1"/>
                <w:lang w:val="pt-PT"/>
              </w:rPr>
              <w:t>Sem dominância de risco de crédito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0000"/>
          </w:tcPr>
          <w:p w14:paraId="11F00C35" w14:textId="632859B6" w:rsidR="002913B9" w:rsidRPr="00EA037D" w:rsidRDefault="00EA037D" w:rsidP="00EA037D">
            <w:pPr>
              <w:pStyle w:val="Corpo"/>
              <w:spacing w:after="240"/>
              <w:ind w:left="0" w:right="0"/>
              <w:jc w:val="center"/>
              <w:rPr>
                <w:rFonts w:cs="Calibri"/>
                <w:b/>
                <w:bCs/>
                <w:color w:val="FFFFFF" w:themeColor="background1"/>
                <w:lang w:val="pt-PT"/>
              </w:rPr>
            </w:pPr>
            <w:r w:rsidRPr="00EA037D">
              <w:rPr>
                <w:rFonts w:cs="Calibri"/>
                <w:b/>
                <w:bCs/>
                <w:color w:val="FFFFFF" w:themeColor="background1"/>
                <w:lang w:val="pt-PT"/>
              </w:rPr>
              <w:t>Dominância de risco de crédito</w:t>
            </w:r>
          </w:p>
        </w:tc>
      </w:tr>
      <w:tr w:rsidR="002913B9" w14:paraId="450E6D00" w14:textId="77777777" w:rsidTr="00726298">
        <w:tc>
          <w:tcPr>
            <w:tcW w:w="22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07E414" w14:textId="784E416F" w:rsidR="002913B9" w:rsidRPr="00EA037D" w:rsidRDefault="00EA037D" w:rsidP="00EA037D">
            <w:pPr>
              <w:pStyle w:val="Corpo"/>
              <w:spacing w:after="240"/>
              <w:ind w:left="0" w:right="0"/>
              <w:jc w:val="center"/>
              <w:rPr>
                <w:rFonts w:cs="Calibri"/>
                <w:b/>
                <w:bCs/>
                <w:i/>
                <w:iCs/>
                <w:color w:val="000000" w:themeColor="text1"/>
                <w:lang w:val="pt-PT"/>
              </w:rPr>
            </w:pPr>
            <w:proofErr w:type="spellStart"/>
            <w:r w:rsidRPr="00EA037D">
              <w:rPr>
                <w:rFonts w:cs="Calibri"/>
                <w:b/>
                <w:bCs/>
                <w:i/>
                <w:iCs/>
                <w:color w:val="000000" w:themeColor="text1"/>
                <w:lang w:val="pt-PT"/>
              </w:rPr>
              <w:t>Stages</w:t>
            </w:r>
            <w:proofErr w:type="spellEnd"/>
          </w:p>
        </w:tc>
        <w:tc>
          <w:tcPr>
            <w:tcW w:w="22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C5A430" w14:textId="5CD65301" w:rsidR="002913B9" w:rsidRPr="00EA037D" w:rsidRDefault="00EA037D" w:rsidP="00EA037D">
            <w:pPr>
              <w:pStyle w:val="Corpo"/>
              <w:spacing w:after="240"/>
              <w:ind w:left="0" w:right="0"/>
              <w:jc w:val="center"/>
              <w:rPr>
                <w:rFonts w:cs="Calibri"/>
                <w:color w:val="000000" w:themeColor="text1"/>
                <w:lang w:val="pt-PT"/>
              </w:rPr>
            </w:pPr>
            <w:proofErr w:type="spellStart"/>
            <w:r w:rsidRPr="00EA037D">
              <w:rPr>
                <w:rFonts w:cs="Calibri"/>
                <w:i/>
                <w:iCs/>
                <w:color w:val="000000" w:themeColor="text1"/>
                <w:lang w:val="pt-PT"/>
              </w:rPr>
              <w:t>Stage</w:t>
            </w:r>
            <w:proofErr w:type="spellEnd"/>
            <w:r>
              <w:rPr>
                <w:rFonts w:cs="Calibri"/>
                <w:color w:val="000000" w:themeColor="text1"/>
                <w:lang w:val="pt-PT"/>
              </w:rPr>
              <w:t xml:space="preserve"> 1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38A5DF" w14:textId="6D0F7269" w:rsidR="002913B9" w:rsidRPr="00EA037D" w:rsidRDefault="00EA037D" w:rsidP="00EA037D">
            <w:pPr>
              <w:pStyle w:val="Corpo"/>
              <w:spacing w:after="240"/>
              <w:ind w:left="0" w:right="0"/>
              <w:jc w:val="center"/>
              <w:rPr>
                <w:rFonts w:cs="Calibri"/>
                <w:color w:val="000000" w:themeColor="text1"/>
                <w:lang w:val="pt-PT"/>
              </w:rPr>
            </w:pPr>
            <w:proofErr w:type="spellStart"/>
            <w:r w:rsidRPr="00EA037D">
              <w:rPr>
                <w:rFonts w:cs="Calibri"/>
                <w:i/>
                <w:iCs/>
                <w:color w:val="000000" w:themeColor="text1"/>
                <w:lang w:val="pt-PT"/>
              </w:rPr>
              <w:t>Stage</w:t>
            </w:r>
            <w:proofErr w:type="spellEnd"/>
            <w:r>
              <w:rPr>
                <w:rFonts w:cs="Calibri"/>
                <w:color w:val="000000" w:themeColor="text1"/>
                <w:lang w:val="pt-PT"/>
              </w:rPr>
              <w:t xml:space="preserve"> 2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402D15" w14:textId="0BA61CC2" w:rsidR="002913B9" w:rsidRPr="00EA037D" w:rsidRDefault="00EA037D" w:rsidP="00EA037D">
            <w:pPr>
              <w:pStyle w:val="Corpo"/>
              <w:spacing w:after="240"/>
              <w:ind w:left="0" w:right="0"/>
              <w:jc w:val="center"/>
              <w:rPr>
                <w:rFonts w:cs="Calibri"/>
                <w:color w:val="000000" w:themeColor="text1"/>
                <w:lang w:val="pt-PT"/>
              </w:rPr>
            </w:pPr>
            <w:proofErr w:type="spellStart"/>
            <w:r w:rsidRPr="00EA037D">
              <w:rPr>
                <w:rFonts w:cs="Calibri"/>
                <w:i/>
                <w:iCs/>
                <w:color w:val="000000" w:themeColor="text1"/>
                <w:lang w:val="pt-PT"/>
              </w:rPr>
              <w:t>Stage</w:t>
            </w:r>
            <w:proofErr w:type="spellEnd"/>
            <w:r>
              <w:rPr>
                <w:rFonts w:cs="Calibri"/>
                <w:color w:val="000000" w:themeColor="text1"/>
                <w:lang w:val="pt-PT"/>
              </w:rPr>
              <w:t xml:space="preserve"> 3</w:t>
            </w:r>
          </w:p>
        </w:tc>
      </w:tr>
    </w:tbl>
    <w:p w14:paraId="10D510BC" w14:textId="77777777" w:rsidR="00D44561" w:rsidRPr="00D44561" w:rsidRDefault="00D44561" w:rsidP="00D44561">
      <w:pPr>
        <w:pStyle w:val="Corpo"/>
        <w:spacing w:after="240"/>
        <w:jc w:val="both"/>
        <w:rPr>
          <w:rFonts w:cs="Calibri"/>
          <w:color w:val="000000" w:themeColor="text1"/>
        </w:rPr>
      </w:pPr>
      <w:r w:rsidRPr="00D44561">
        <w:rPr>
          <w:rFonts w:cs="Calibri"/>
          <w:color w:val="000000" w:themeColor="text1"/>
        </w:rPr>
        <w:t>A classificação do item coberto é crucial para avaliar a dominância do risco de crédito na relação de cobertura:</w:t>
      </w:r>
    </w:p>
    <w:p w14:paraId="1417395E" w14:textId="77777777" w:rsidR="002364A8" w:rsidRDefault="00D44561" w:rsidP="002364A8">
      <w:pPr>
        <w:pStyle w:val="Corpo"/>
        <w:numPr>
          <w:ilvl w:val="0"/>
          <w:numId w:val="31"/>
        </w:numPr>
        <w:spacing w:after="240"/>
        <w:jc w:val="both"/>
        <w:rPr>
          <w:rFonts w:cs="Calibri"/>
          <w:color w:val="000000" w:themeColor="text1"/>
        </w:rPr>
      </w:pPr>
      <w:proofErr w:type="spellStart"/>
      <w:r w:rsidRPr="00D44561">
        <w:rPr>
          <w:rFonts w:cs="Calibri"/>
          <w:b/>
          <w:bCs/>
          <w:i/>
          <w:iCs/>
          <w:color w:val="000000" w:themeColor="text1"/>
        </w:rPr>
        <w:t>Stage</w:t>
      </w:r>
      <w:proofErr w:type="spellEnd"/>
      <w:r w:rsidRPr="00D44561">
        <w:rPr>
          <w:rFonts w:cs="Calibri"/>
          <w:b/>
          <w:bCs/>
          <w:color w:val="000000" w:themeColor="text1"/>
        </w:rPr>
        <w:t xml:space="preserve"> 1 e 2:</w:t>
      </w:r>
      <w:r w:rsidRPr="00D44561">
        <w:rPr>
          <w:rFonts w:cs="Calibri"/>
          <w:color w:val="000000" w:themeColor="text1"/>
        </w:rPr>
        <w:t xml:space="preserve"> Considera-se que os itens classificados no </w:t>
      </w:r>
      <w:proofErr w:type="spellStart"/>
      <w:r w:rsidRPr="00D44561">
        <w:rPr>
          <w:rFonts w:cs="Calibri"/>
          <w:i/>
          <w:iCs/>
          <w:color w:val="000000" w:themeColor="text1"/>
        </w:rPr>
        <w:t>Stage</w:t>
      </w:r>
      <w:proofErr w:type="spellEnd"/>
      <w:r w:rsidRPr="00D44561">
        <w:rPr>
          <w:rFonts w:cs="Calibri"/>
          <w:color w:val="000000" w:themeColor="text1"/>
        </w:rPr>
        <w:t xml:space="preserve"> 1 ou </w:t>
      </w:r>
      <w:proofErr w:type="spellStart"/>
      <w:r w:rsidRPr="00D44561">
        <w:rPr>
          <w:rFonts w:cs="Calibri"/>
          <w:i/>
          <w:iCs/>
          <w:color w:val="000000" w:themeColor="text1"/>
        </w:rPr>
        <w:t>Stage</w:t>
      </w:r>
      <w:proofErr w:type="spellEnd"/>
      <w:r w:rsidRPr="00D44561">
        <w:rPr>
          <w:rFonts w:cs="Calibri"/>
          <w:color w:val="000000" w:themeColor="text1"/>
        </w:rPr>
        <w:t xml:space="preserve"> 2 não são dominados pelo risco de crédito.</w:t>
      </w:r>
    </w:p>
    <w:p w14:paraId="55E1CF30" w14:textId="61C500FA" w:rsidR="00D44561" w:rsidRPr="00D44561" w:rsidRDefault="00D44561" w:rsidP="002364A8">
      <w:pPr>
        <w:pStyle w:val="Corpo"/>
        <w:numPr>
          <w:ilvl w:val="0"/>
          <w:numId w:val="31"/>
        </w:numPr>
        <w:spacing w:after="240"/>
        <w:jc w:val="both"/>
        <w:rPr>
          <w:rFonts w:cs="Calibri"/>
          <w:color w:val="000000" w:themeColor="text1"/>
        </w:rPr>
      </w:pPr>
      <w:proofErr w:type="spellStart"/>
      <w:r w:rsidRPr="00D44561">
        <w:rPr>
          <w:rFonts w:cs="Calibri"/>
          <w:b/>
          <w:bCs/>
          <w:i/>
          <w:iCs/>
          <w:color w:val="000000" w:themeColor="text1"/>
        </w:rPr>
        <w:t>Stage</w:t>
      </w:r>
      <w:proofErr w:type="spellEnd"/>
      <w:r w:rsidRPr="00D44561">
        <w:rPr>
          <w:rFonts w:cs="Calibri"/>
          <w:b/>
          <w:bCs/>
          <w:color w:val="000000" w:themeColor="text1"/>
        </w:rPr>
        <w:t xml:space="preserve"> 3:</w:t>
      </w:r>
      <w:r w:rsidRPr="00D44561">
        <w:rPr>
          <w:rFonts w:cs="Calibri"/>
          <w:color w:val="000000" w:themeColor="text1"/>
        </w:rPr>
        <w:t xml:space="preserve"> Considera-se que os itens classificados no </w:t>
      </w:r>
      <w:proofErr w:type="spellStart"/>
      <w:r w:rsidRPr="00D44561">
        <w:rPr>
          <w:rFonts w:cs="Calibri"/>
          <w:i/>
          <w:iCs/>
          <w:color w:val="000000" w:themeColor="text1"/>
        </w:rPr>
        <w:t>Stage</w:t>
      </w:r>
      <w:proofErr w:type="spellEnd"/>
      <w:r w:rsidRPr="00D44561">
        <w:rPr>
          <w:rFonts w:cs="Calibri"/>
          <w:color w:val="000000" w:themeColor="text1"/>
        </w:rPr>
        <w:t xml:space="preserve"> 3 são dominados pelo risco de crédito.</w:t>
      </w:r>
    </w:p>
    <w:p w14:paraId="433D842E" w14:textId="66449770" w:rsidR="000A21A5" w:rsidRPr="00EC5B6B" w:rsidRDefault="00BE113B" w:rsidP="00C07585">
      <w:pPr>
        <w:pStyle w:val="Ttulo21"/>
        <w:rPr>
          <w:bCs/>
        </w:rPr>
      </w:pPr>
      <w:bookmarkStart w:id="22" w:name="_Toc205551773"/>
      <w:r>
        <w:rPr>
          <w:bCs/>
        </w:rPr>
        <w:t>8</w:t>
      </w:r>
      <w:r w:rsidR="00065CF1" w:rsidRPr="00EC5B6B">
        <w:rPr>
          <w:bCs/>
        </w:rPr>
        <w:t>.3 Rácio de Cobertura</w:t>
      </w:r>
      <w:bookmarkEnd w:id="22"/>
    </w:p>
    <w:p w14:paraId="1ECD9EB7" w14:textId="166F4154" w:rsidR="0033357C" w:rsidRPr="0033357C" w:rsidRDefault="0033357C" w:rsidP="0033357C">
      <w:pPr>
        <w:pStyle w:val="Corpo"/>
        <w:spacing w:after="240"/>
        <w:jc w:val="both"/>
        <w:rPr>
          <w:rFonts w:cs="Calibri"/>
          <w:color w:val="000000" w:themeColor="text1"/>
        </w:rPr>
      </w:pPr>
      <w:r w:rsidRPr="0033357C">
        <w:rPr>
          <w:rFonts w:cs="Calibri"/>
          <w:color w:val="000000" w:themeColor="text1"/>
        </w:rPr>
        <w:t>De forma a garantir que o rácio de cobertura se encontra alinhado com os requisitos definidos na IFRS 9, o Banco determinará o rácio de cobertura no momento da designação da cobertura</w:t>
      </w:r>
      <w:r w:rsidR="00CE0E55">
        <w:rPr>
          <w:rFonts w:cs="Calibri"/>
          <w:color w:val="000000" w:themeColor="text1"/>
        </w:rPr>
        <w:t>.</w:t>
      </w:r>
    </w:p>
    <w:p w14:paraId="514EA247" w14:textId="26106AF9" w:rsidR="0033357C" w:rsidRPr="0033357C" w:rsidRDefault="0033357C" w:rsidP="0033357C">
      <w:pPr>
        <w:pStyle w:val="Corpo"/>
        <w:spacing w:after="240"/>
        <w:jc w:val="both"/>
        <w:rPr>
          <w:rFonts w:cs="Calibri"/>
          <w:color w:val="000000" w:themeColor="text1"/>
        </w:rPr>
      </w:pPr>
      <w:r w:rsidRPr="0033357C">
        <w:rPr>
          <w:rFonts w:cs="Calibri"/>
          <w:color w:val="000000" w:themeColor="text1"/>
        </w:rPr>
        <w:t>O rácio de cobertura é calculado através da comparação dos valores nocionais do</w:t>
      </w:r>
      <w:r>
        <w:rPr>
          <w:rFonts w:cs="Calibri"/>
          <w:color w:val="000000" w:themeColor="text1"/>
        </w:rPr>
        <w:t xml:space="preserve"> i</w:t>
      </w:r>
      <w:r w:rsidR="00EB08AD">
        <w:rPr>
          <w:rFonts w:cs="Calibri"/>
          <w:color w:val="000000" w:themeColor="text1"/>
        </w:rPr>
        <w:t>nstrumento</w:t>
      </w:r>
      <w:r w:rsidRPr="0033357C">
        <w:rPr>
          <w:rFonts w:cs="Calibri"/>
          <w:color w:val="000000" w:themeColor="text1"/>
        </w:rPr>
        <w:t xml:space="preserve"> de cobertura e do item coberto</w:t>
      </w:r>
      <w:r w:rsidR="00895B14">
        <w:rPr>
          <w:rFonts w:cs="Calibri"/>
          <w:color w:val="000000" w:themeColor="text1"/>
        </w:rPr>
        <w:t>:</w:t>
      </w:r>
    </w:p>
    <w:p w14:paraId="275A5DD5" w14:textId="50C89634" w:rsidR="007C5AC2" w:rsidRDefault="00837F77" w:rsidP="00613257">
      <w:pPr>
        <w:pStyle w:val="Corpo"/>
        <w:spacing w:after="240"/>
        <w:jc w:val="both"/>
        <w:rPr>
          <w:rFonts w:cs="Calibri"/>
          <w:color w:val="000000" w:themeColor="text1"/>
        </w:rPr>
      </w:pPr>
      <m:oMathPara>
        <m:oMath>
          <m:r>
            <w:rPr>
              <w:rFonts w:ascii="Cambria Math" w:hAnsi="Cambria Math" w:cs="Calibri"/>
              <w:color w:val="000000" w:themeColor="text1"/>
            </w:rPr>
            <m:t>Rácio de Cobertura=</m:t>
          </m:r>
          <m:f>
            <m:fPr>
              <m:ctrlPr>
                <w:rPr>
                  <w:rFonts w:ascii="Cambria Math" w:hAnsi="Cambria Math" w:cs="Calibri"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Calibri"/>
                  <w:color w:val="000000" w:themeColor="text1"/>
                </w:rPr>
                <m:t>Valor nocional  do item de cobertura</m:t>
              </m:r>
            </m:num>
            <m:den>
              <m:r>
                <w:rPr>
                  <w:rFonts w:ascii="Cambria Math" w:hAnsi="Cambria Math" w:cs="Calibri"/>
                  <w:color w:val="000000" w:themeColor="text1"/>
                </w:rPr>
                <m:t>Valor nocional do item coberto</m:t>
              </m:r>
            </m:den>
          </m:f>
        </m:oMath>
      </m:oMathPara>
    </w:p>
    <w:p w14:paraId="682656F5" w14:textId="340E33A3" w:rsidR="00CE0E55" w:rsidRPr="00CE0E55" w:rsidRDefault="00CE0E55" w:rsidP="00CE0E55">
      <w:pPr>
        <w:pStyle w:val="Corpo"/>
        <w:spacing w:after="240"/>
        <w:jc w:val="both"/>
        <w:rPr>
          <w:rFonts w:cs="Calibri"/>
          <w:color w:val="000000" w:themeColor="text1"/>
        </w:rPr>
      </w:pPr>
      <w:r w:rsidRPr="00CE0E55">
        <w:rPr>
          <w:rFonts w:cs="Calibri"/>
          <w:color w:val="000000" w:themeColor="text1"/>
        </w:rPr>
        <w:t xml:space="preserve">Considera-se que o rácio de cobertura inicial se mantém constante quando o valor do rácio de cobertura </w:t>
      </w:r>
      <w:r w:rsidR="00D060A2">
        <w:rPr>
          <w:rFonts w:cs="Calibri"/>
          <w:color w:val="000000" w:themeColor="text1"/>
        </w:rPr>
        <w:t>atual</w:t>
      </w:r>
      <w:r w:rsidRPr="00CE0E55">
        <w:rPr>
          <w:rFonts w:cs="Calibri"/>
          <w:color w:val="000000" w:themeColor="text1"/>
        </w:rPr>
        <w:t xml:space="preserve"> coincide com o rácio de cobertura </w:t>
      </w:r>
      <w:proofErr w:type="gramStart"/>
      <w:r w:rsidRPr="00CE0E55">
        <w:rPr>
          <w:rFonts w:cs="Calibri"/>
          <w:color w:val="000000" w:themeColor="text1"/>
        </w:rPr>
        <w:t>no momento em que</w:t>
      </w:r>
      <w:proofErr w:type="gramEnd"/>
      <w:r w:rsidRPr="00CE0E55">
        <w:rPr>
          <w:rFonts w:cs="Calibri"/>
          <w:color w:val="000000" w:themeColor="text1"/>
        </w:rPr>
        <w:t xml:space="preserve"> a cobertura foi designada.</w:t>
      </w:r>
    </w:p>
    <w:p w14:paraId="33E02577" w14:textId="6D2C8C32" w:rsidR="00E53AC0" w:rsidRDefault="00CE0E55" w:rsidP="00A00A38">
      <w:pPr>
        <w:pStyle w:val="Corpo"/>
        <w:spacing w:after="240"/>
        <w:jc w:val="both"/>
        <w:rPr>
          <w:rFonts w:cs="Calibri"/>
          <w:color w:val="000000" w:themeColor="text1"/>
        </w:rPr>
      </w:pPr>
      <w:r w:rsidRPr="00CE0E55">
        <w:rPr>
          <w:rFonts w:cs="Calibri"/>
          <w:color w:val="000000" w:themeColor="text1"/>
        </w:rPr>
        <w:t xml:space="preserve">Para verificar a sua estabilidade, o rácio de cobertura será calculado </w:t>
      </w:r>
      <w:r w:rsidR="00E35ED8" w:rsidRPr="00CB1C15">
        <w:rPr>
          <w:rFonts w:cs="Calibri"/>
          <w:color w:val="000000" w:themeColor="text1"/>
        </w:rPr>
        <w:t>em cada data de reporte e sempre que requerido ou exista necessidade</w:t>
      </w:r>
      <w:r w:rsidRPr="00CE0E55">
        <w:rPr>
          <w:rFonts w:cs="Calibri"/>
          <w:color w:val="000000" w:themeColor="text1"/>
        </w:rPr>
        <w:t xml:space="preserve">, utilizando como referência o nocional </w:t>
      </w:r>
      <w:r w:rsidR="00F179BA">
        <w:rPr>
          <w:rFonts w:cs="Calibri"/>
          <w:color w:val="000000" w:themeColor="text1"/>
        </w:rPr>
        <w:t>atual</w:t>
      </w:r>
      <w:r w:rsidRPr="00CE0E55">
        <w:rPr>
          <w:rFonts w:cs="Calibri"/>
          <w:color w:val="000000" w:themeColor="text1"/>
        </w:rPr>
        <w:t xml:space="preserve"> de cada período específico.</w:t>
      </w:r>
      <w:r w:rsidR="00E53AC0">
        <w:rPr>
          <w:rFonts w:cs="Calibri"/>
          <w:color w:val="000000" w:themeColor="text1"/>
        </w:rPr>
        <w:t xml:space="preserve"> </w:t>
      </w:r>
    </w:p>
    <w:p w14:paraId="11617324" w14:textId="5EE49FEF" w:rsidR="00D37EFF" w:rsidRPr="00EC5B6B" w:rsidRDefault="00BE113B" w:rsidP="00D37EFF">
      <w:pPr>
        <w:pStyle w:val="Ttulo21"/>
        <w:rPr>
          <w:bCs/>
        </w:rPr>
      </w:pPr>
      <w:bookmarkStart w:id="23" w:name="_Toc205551774"/>
      <w:r>
        <w:rPr>
          <w:bCs/>
        </w:rPr>
        <w:t>8</w:t>
      </w:r>
      <w:r w:rsidR="00D37EFF" w:rsidRPr="00EC5B6B">
        <w:rPr>
          <w:bCs/>
        </w:rPr>
        <w:t>.4 Medição da ineficácia observada</w:t>
      </w:r>
      <w:bookmarkEnd w:id="23"/>
    </w:p>
    <w:p w14:paraId="0EC88FA6" w14:textId="3169F4A2" w:rsidR="00A00A38" w:rsidRDefault="00A00A38" w:rsidP="007277FA">
      <w:pPr>
        <w:pStyle w:val="Corpo"/>
        <w:spacing w:after="240"/>
        <w:jc w:val="both"/>
        <w:rPr>
          <w:rFonts w:cs="Calibri"/>
          <w:color w:val="000000" w:themeColor="text1"/>
        </w:rPr>
      </w:pPr>
      <w:r w:rsidRPr="00A00A38">
        <w:rPr>
          <w:rFonts w:cs="Calibri"/>
          <w:color w:val="000000" w:themeColor="text1"/>
        </w:rPr>
        <w:t>O</w:t>
      </w:r>
      <w:r>
        <w:rPr>
          <w:rFonts w:cs="Calibri"/>
          <w:color w:val="000000" w:themeColor="text1"/>
        </w:rPr>
        <w:t>s testes prospetivos serão</w:t>
      </w:r>
      <w:r w:rsidRPr="00A00A38">
        <w:rPr>
          <w:rFonts w:cs="Calibri"/>
          <w:color w:val="000000" w:themeColor="text1"/>
        </w:rPr>
        <w:t xml:space="preserve"> utilizado</w:t>
      </w:r>
      <w:r>
        <w:rPr>
          <w:rFonts w:cs="Calibri"/>
          <w:color w:val="000000" w:themeColor="text1"/>
        </w:rPr>
        <w:t>s</w:t>
      </w:r>
      <w:r w:rsidRPr="00A00A38">
        <w:rPr>
          <w:rFonts w:cs="Calibri"/>
          <w:color w:val="000000" w:themeColor="text1"/>
        </w:rPr>
        <w:t xml:space="preserve"> para determinar a ineficácia</w:t>
      </w:r>
      <w:r w:rsidR="007277FA">
        <w:rPr>
          <w:rFonts w:cs="Calibri"/>
          <w:color w:val="000000" w:themeColor="text1"/>
        </w:rPr>
        <w:t xml:space="preserve"> </w:t>
      </w:r>
      <w:proofErr w:type="gramStart"/>
      <w:r w:rsidR="007277FA">
        <w:rPr>
          <w:rFonts w:cs="Calibri"/>
          <w:color w:val="000000" w:themeColor="text1"/>
        </w:rPr>
        <w:t>e</w:t>
      </w:r>
      <w:r w:rsidRPr="00A00A38">
        <w:rPr>
          <w:rFonts w:cs="Calibri"/>
          <w:color w:val="000000" w:themeColor="text1"/>
        </w:rPr>
        <w:t xml:space="preserve"> </w:t>
      </w:r>
      <w:r w:rsidR="007277FA">
        <w:rPr>
          <w:rFonts w:cs="Calibri"/>
          <w:color w:val="000000" w:themeColor="text1"/>
        </w:rPr>
        <w:t xml:space="preserve"> </w:t>
      </w:r>
      <w:r w:rsidRPr="00A00A38">
        <w:rPr>
          <w:rFonts w:cs="Calibri"/>
          <w:color w:val="000000" w:themeColor="text1"/>
        </w:rPr>
        <w:t>consiste</w:t>
      </w:r>
      <w:proofErr w:type="gramEnd"/>
      <w:r w:rsidRPr="00A00A38">
        <w:rPr>
          <w:rFonts w:cs="Calibri"/>
          <w:color w:val="000000" w:themeColor="text1"/>
        </w:rPr>
        <w:t xml:space="preserve"> em comparar a variação do justo valor do </w:t>
      </w:r>
      <w:r>
        <w:rPr>
          <w:rFonts w:cs="Calibri"/>
          <w:color w:val="000000" w:themeColor="text1"/>
        </w:rPr>
        <w:t>item</w:t>
      </w:r>
      <w:r w:rsidRPr="00A00A38">
        <w:rPr>
          <w:rFonts w:cs="Calibri"/>
          <w:color w:val="000000" w:themeColor="text1"/>
        </w:rPr>
        <w:t xml:space="preserve"> coberto e do i</w:t>
      </w:r>
      <w:r w:rsidR="00EB08AD">
        <w:rPr>
          <w:rFonts w:cs="Calibri"/>
          <w:color w:val="000000" w:themeColor="text1"/>
        </w:rPr>
        <w:t>nstrumento</w:t>
      </w:r>
      <w:r w:rsidRPr="00A00A38">
        <w:rPr>
          <w:rFonts w:cs="Calibri"/>
          <w:color w:val="000000" w:themeColor="text1"/>
        </w:rPr>
        <w:t xml:space="preserve"> de cobertura, provocada pela variação da taxa de juro de referência (ver se</w:t>
      </w:r>
      <w:r w:rsidR="00F60885">
        <w:rPr>
          <w:rFonts w:cs="Calibri"/>
          <w:color w:val="000000" w:themeColor="text1"/>
        </w:rPr>
        <w:t>c</w:t>
      </w:r>
      <w:r w:rsidRPr="00A00A38">
        <w:rPr>
          <w:rFonts w:cs="Calibri"/>
          <w:color w:val="000000" w:themeColor="text1"/>
        </w:rPr>
        <w:t xml:space="preserve">ção </w:t>
      </w:r>
      <w:r w:rsidR="00881F4F">
        <w:rPr>
          <w:rFonts w:cs="Calibri"/>
          <w:color w:val="000000" w:themeColor="text1"/>
        </w:rPr>
        <w:t>8</w:t>
      </w:r>
      <w:r w:rsidRPr="00A00A38">
        <w:rPr>
          <w:rFonts w:cs="Calibri"/>
          <w:color w:val="000000" w:themeColor="text1"/>
        </w:rPr>
        <w:t>.1).</w:t>
      </w:r>
    </w:p>
    <w:p w14:paraId="0C3A0BEF" w14:textId="77777777" w:rsidR="007277FA" w:rsidRDefault="007277FA" w:rsidP="007277FA">
      <w:pPr>
        <w:pStyle w:val="Corpo"/>
        <w:spacing w:after="240"/>
        <w:jc w:val="both"/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>Se</w:t>
      </w:r>
      <w:r w:rsidRPr="009C00CE">
        <w:rPr>
          <w:rFonts w:cs="Calibri"/>
          <w:color w:val="000000" w:themeColor="text1"/>
        </w:rPr>
        <w:t xml:space="preserve"> em algum momento a eficácia da cobertura deixar de se situar no intervalo entre</w:t>
      </w:r>
      <w:r>
        <w:rPr>
          <w:rFonts w:cs="Calibri"/>
          <w:color w:val="000000" w:themeColor="text1"/>
        </w:rPr>
        <w:t xml:space="preserve"> </w:t>
      </w:r>
      <w:r w:rsidRPr="009C00CE">
        <w:rPr>
          <w:rFonts w:cs="Calibri"/>
          <w:color w:val="000000" w:themeColor="text1"/>
        </w:rPr>
        <w:t>80% e 125% a contabilidade de cobertura é descontinuada.</w:t>
      </w:r>
    </w:p>
    <w:p w14:paraId="3F3B8595" w14:textId="0D0809CE" w:rsidR="00A00A38" w:rsidRPr="00A00A38" w:rsidRDefault="007277FA" w:rsidP="007277FA">
      <w:pPr>
        <w:pStyle w:val="Corpo"/>
        <w:spacing w:after="240"/>
        <w:jc w:val="both"/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lastRenderedPageBreak/>
        <w:t>Dentro do</w:t>
      </w:r>
      <w:r w:rsidRPr="0073494D">
        <w:rPr>
          <w:rFonts w:cs="Calibri"/>
          <w:color w:val="000000" w:themeColor="text1"/>
        </w:rPr>
        <w:t xml:space="preserve"> limiar de eficácia de 80% a 125%, </w:t>
      </w:r>
      <w:r>
        <w:rPr>
          <w:rFonts w:cs="Calibri"/>
          <w:color w:val="000000" w:themeColor="text1"/>
        </w:rPr>
        <w:t xml:space="preserve">a cobertura é considerada eficaz, sendo os valores de ineficácia contabilizados nos resultados do </w:t>
      </w:r>
      <w:proofErr w:type="spellStart"/>
      <w:proofErr w:type="gramStart"/>
      <w:r>
        <w:rPr>
          <w:rFonts w:cs="Calibri"/>
          <w:color w:val="000000" w:themeColor="text1"/>
        </w:rPr>
        <w:t>período.Esta</w:t>
      </w:r>
      <w:proofErr w:type="spellEnd"/>
      <w:proofErr w:type="gramEnd"/>
      <w:r>
        <w:rPr>
          <w:rFonts w:cs="Calibri"/>
          <w:color w:val="000000" w:themeColor="text1"/>
        </w:rPr>
        <w:t xml:space="preserve"> </w:t>
      </w:r>
      <w:r w:rsidR="00A00A38" w:rsidRPr="00A00A38">
        <w:rPr>
          <w:rFonts w:cs="Calibri"/>
          <w:color w:val="000000" w:themeColor="text1"/>
        </w:rPr>
        <w:t xml:space="preserve">ineficácia </w:t>
      </w:r>
      <w:r>
        <w:rPr>
          <w:rFonts w:cs="Calibri"/>
          <w:color w:val="000000" w:themeColor="text1"/>
        </w:rPr>
        <w:t>fica</w:t>
      </w:r>
      <w:r w:rsidR="00A00A38" w:rsidRPr="00A00A38">
        <w:rPr>
          <w:rFonts w:cs="Calibri"/>
          <w:color w:val="000000" w:themeColor="text1"/>
        </w:rPr>
        <w:t xml:space="preserve"> registada mensalmente nos resultados </w:t>
      </w:r>
      <w:r w:rsidR="00375387">
        <w:rPr>
          <w:rFonts w:cs="Calibri"/>
          <w:color w:val="000000" w:themeColor="text1"/>
        </w:rPr>
        <w:t>através</w:t>
      </w:r>
      <w:r w:rsidR="00A00A38" w:rsidRPr="00A00A38">
        <w:rPr>
          <w:rFonts w:cs="Calibri"/>
          <w:color w:val="000000" w:themeColor="text1"/>
        </w:rPr>
        <w:t>:</w:t>
      </w:r>
    </w:p>
    <w:p w14:paraId="28CF0516" w14:textId="528729FE" w:rsidR="00132657" w:rsidRDefault="00F85507" w:rsidP="00132657">
      <w:pPr>
        <w:pStyle w:val="Corpo"/>
        <w:numPr>
          <w:ilvl w:val="0"/>
          <w:numId w:val="32"/>
        </w:numPr>
        <w:spacing w:after="240"/>
        <w:jc w:val="both"/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>Do registo</w:t>
      </w:r>
      <w:r w:rsidR="00C31BE1">
        <w:rPr>
          <w:rFonts w:cs="Calibri"/>
          <w:color w:val="000000" w:themeColor="text1"/>
        </w:rPr>
        <w:t xml:space="preserve"> em </w:t>
      </w:r>
      <w:r w:rsidR="00C31BE1" w:rsidRPr="00673E8F">
        <w:rPr>
          <w:rFonts w:cs="Calibri"/>
          <w:i/>
          <w:iCs/>
          <w:color w:val="000000" w:themeColor="text1"/>
        </w:rPr>
        <w:t>P&amp;L</w:t>
      </w:r>
      <w:r>
        <w:rPr>
          <w:rFonts w:cs="Calibri"/>
          <w:color w:val="000000" w:themeColor="text1"/>
        </w:rPr>
        <w:t xml:space="preserve"> das</w:t>
      </w:r>
      <w:r w:rsidR="00A00A38" w:rsidRPr="00A00A38">
        <w:rPr>
          <w:rFonts w:cs="Calibri"/>
          <w:color w:val="000000" w:themeColor="text1"/>
        </w:rPr>
        <w:t xml:space="preserve"> variações no justo valor dos </w:t>
      </w:r>
      <w:r w:rsidR="009C00CE">
        <w:rPr>
          <w:rFonts w:cs="Calibri"/>
          <w:color w:val="000000" w:themeColor="text1"/>
        </w:rPr>
        <w:t>instrumentos</w:t>
      </w:r>
      <w:r w:rsidR="009C00CE" w:rsidRPr="00A00A38">
        <w:rPr>
          <w:rFonts w:cs="Calibri"/>
          <w:color w:val="000000" w:themeColor="text1"/>
        </w:rPr>
        <w:t xml:space="preserve"> </w:t>
      </w:r>
      <w:r w:rsidR="00A00A38" w:rsidRPr="00A00A38">
        <w:rPr>
          <w:rFonts w:cs="Calibri"/>
          <w:color w:val="000000" w:themeColor="text1"/>
        </w:rPr>
        <w:t>de cobertura</w:t>
      </w:r>
      <w:r w:rsidR="002B4C60">
        <w:rPr>
          <w:rFonts w:cs="Calibri"/>
          <w:color w:val="000000" w:themeColor="text1"/>
        </w:rPr>
        <w:t>; e</w:t>
      </w:r>
    </w:p>
    <w:p w14:paraId="3628CAC8" w14:textId="27031487" w:rsidR="00D37EFF" w:rsidRPr="00785167" w:rsidRDefault="00C31BE1" w:rsidP="00785167">
      <w:pPr>
        <w:pStyle w:val="Corpo"/>
        <w:numPr>
          <w:ilvl w:val="0"/>
          <w:numId w:val="32"/>
        </w:numPr>
        <w:spacing w:after="240"/>
        <w:jc w:val="both"/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 xml:space="preserve">Do registo em </w:t>
      </w:r>
      <w:r w:rsidRPr="00673E8F">
        <w:rPr>
          <w:rFonts w:cs="Calibri"/>
          <w:i/>
          <w:iCs/>
          <w:color w:val="000000" w:themeColor="text1"/>
        </w:rPr>
        <w:t>P&amp;L</w:t>
      </w:r>
      <w:r>
        <w:rPr>
          <w:rFonts w:cs="Calibri"/>
          <w:color w:val="000000" w:themeColor="text1"/>
        </w:rPr>
        <w:t xml:space="preserve"> d</w:t>
      </w:r>
      <w:r w:rsidR="00A00A38" w:rsidRPr="00A00A38">
        <w:rPr>
          <w:rFonts w:cs="Calibri"/>
          <w:color w:val="000000" w:themeColor="text1"/>
        </w:rPr>
        <w:t xml:space="preserve">a variação do justo valor </w:t>
      </w:r>
      <w:r w:rsidR="009C00CE">
        <w:rPr>
          <w:rFonts w:cs="Calibri"/>
          <w:color w:val="000000" w:themeColor="text1"/>
        </w:rPr>
        <w:t xml:space="preserve">da componente coberta </w:t>
      </w:r>
      <w:r w:rsidR="00A00A38" w:rsidRPr="00A00A38">
        <w:rPr>
          <w:rFonts w:cs="Calibri"/>
          <w:color w:val="000000" w:themeColor="text1"/>
        </w:rPr>
        <w:t xml:space="preserve">do item coberto, </w:t>
      </w:r>
      <w:r w:rsidR="00673E8F" w:rsidRPr="00A00A38">
        <w:rPr>
          <w:rFonts w:cs="Calibri"/>
          <w:color w:val="000000" w:themeColor="text1"/>
        </w:rPr>
        <w:t>atribuível a alterações na taxa de juro designada,</w:t>
      </w:r>
      <w:r w:rsidR="00673E8F">
        <w:rPr>
          <w:rFonts w:cs="Calibri"/>
          <w:color w:val="000000" w:themeColor="text1"/>
        </w:rPr>
        <w:t xml:space="preserve"> </w:t>
      </w:r>
      <w:r>
        <w:rPr>
          <w:rFonts w:cs="Calibri"/>
          <w:color w:val="000000" w:themeColor="text1"/>
        </w:rPr>
        <w:t>caso a cobertura seja eficaz.</w:t>
      </w:r>
    </w:p>
    <w:p w14:paraId="1C154D2D" w14:textId="2662D6E8" w:rsidR="001C2788" w:rsidRPr="00EC5B6B" w:rsidRDefault="00BE113B" w:rsidP="00EC5B6B">
      <w:pPr>
        <w:pStyle w:val="Ttulo21"/>
        <w:rPr>
          <w:bCs/>
        </w:rPr>
      </w:pPr>
      <w:bookmarkStart w:id="24" w:name="_Toc205551775"/>
      <w:r>
        <w:rPr>
          <w:bCs/>
        </w:rPr>
        <w:t>8</w:t>
      </w:r>
      <w:r w:rsidR="001C2788" w:rsidRPr="00EC5B6B">
        <w:rPr>
          <w:bCs/>
        </w:rPr>
        <w:t>.5 Fontes de Ineficácia</w:t>
      </w:r>
      <w:bookmarkEnd w:id="24"/>
    </w:p>
    <w:p w14:paraId="223A5112" w14:textId="77777777" w:rsidR="00785167" w:rsidRPr="00785167" w:rsidRDefault="00785167" w:rsidP="005236A8">
      <w:pPr>
        <w:pStyle w:val="Corpo"/>
        <w:spacing w:after="240"/>
        <w:jc w:val="both"/>
        <w:rPr>
          <w:rFonts w:cs="Calibri"/>
          <w:color w:val="000000" w:themeColor="text1"/>
        </w:rPr>
      </w:pPr>
      <w:r w:rsidRPr="00785167">
        <w:rPr>
          <w:rFonts w:cs="Calibri"/>
          <w:color w:val="000000" w:themeColor="text1"/>
        </w:rPr>
        <w:t>Para cada tipo de cobertura, o Banco analisa as principais fontes de ineficácia, ou seja, os elementos ou caraterísticas da cobertura que podem afetar a sua avaliação e medição da eficácia.</w:t>
      </w:r>
    </w:p>
    <w:p w14:paraId="3244D603" w14:textId="3C416E73" w:rsidR="00785167" w:rsidRDefault="00785167" w:rsidP="005236A8">
      <w:pPr>
        <w:pStyle w:val="Corpo"/>
        <w:spacing w:after="240"/>
        <w:jc w:val="both"/>
        <w:rPr>
          <w:rFonts w:cs="Calibri"/>
          <w:color w:val="000000" w:themeColor="text1"/>
        </w:rPr>
      </w:pPr>
      <w:r w:rsidRPr="00785167">
        <w:rPr>
          <w:rFonts w:cs="Calibri"/>
          <w:color w:val="000000" w:themeColor="text1"/>
        </w:rPr>
        <w:t>De seguida, apresentam-se as principais fontes de ineficácia</w:t>
      </w:r>
      <w:r w:rsidR="0035525E">
        <w:rPr>
          <w:rFonts w:cs="Calibri"/>
          <w:color w:val="000000" w:themeColor="text1"/>
        </w:rPr>
        <w:t xml:space="preserve"> </w:t>
      </w:r>
      <w:r w:rsidRPr="00785167">
        <w:rPr>
          <w:rFonts w:cs="Calibri"/>
          <w:color w:val="000000" w:themeColor="text1"/>
        </w:rPr>
        <w:t>que podem ser aplicadas às coberturas abrangidas por este documento:</w:t>
      </w:r>
    </w:p>
    <w:p w14:paraId="47953684" w14:textId="3EA1BCC2" w:rsidR="0035525E" w:rsidRDefault="0035525E" w:rsidP="0028619B">
      <w:pPr>
        <w:pStyle w:val="NormalWeb"/>
        <w:numPr>
          <w:ilvl w:val="0"/>
          <w:numId w:val="33"/>
        </w:numPr>
        <w:spacing w:line="22" w:lineRule="atLeast"/>
        <w:ind w:left="714" w:hanging="357"/>
        <w:rPr>
          <w:rFonts w:ascii="Calibri" w:eastAsiaTheme="minorHAnsi" w:hAnsi="Calibri" w:cs="Calibri"/>
          <w:color w:val="000000" w:themeColor="text1"/>
          <w:kern w:val="2"/>
          <w:szCs w:val="22"/>
          <w:lang w:eastAsia="en-US"/>
          <w14:ligatures w14:val="standardContextual"/>
        </w:rPr>
      </w:pPr>
      <w:r w:rsidRPr="0035525E">
        <w:rPr>
          <w:rFonts w:ascii="Calibri" w:eastAsiaTheme="minorHAnsi" w:hAnsi="Calibri" w:cs="Calibri"/>
          <w:color w:val="000000" w:themeColor="text1"/>
          <w:kern w:val="2"/>
          <w:szCs w:val="22"/>
          <w:lang w:eastAsia="en-US"/>
          <w14:ligatures w14:val="standardContextual"/>
        </w:rPr>
        <w:t xml:space="preserve">Discrepâncias entre </w:t>
      </w:r>
      <w:r w:rsidR="00673E8F">
        <w:rPr>
          <w:rFonts w:ascii="Calibri" w:eastAsiaTheme="minorHAnsi" w:hAnsi="Calibri" w:cs="Calibri"/>
          <w:color w:val="000000" w:themeColor="text1"/>
          <w:kern w:val="2"/>
          <w:szCs w:val="22"/>
          <w:lang w:eastAsia="en-US"/>
          <w14:ligatures w14:val="standardContextual"/>
        </w:rPr>
        <w:t xml:space="preserve">os </w:t>
      </w:r>
      <w:r w:rsidRPr="00E549F3">
        <w:rPr>
          <w:rFonts w:ascii="Calibri" w:eastAsiaTheme="minorHAnsi" w:hAnsi="Calibri" w:cs="Calibri"/>
          <w:b/>
          <w:bCs/>
          <w:color w:val="000000" w:themeColor="text1"/>
          <w:kern w:val="2"/>
          <w:szCs w:val="22"/>
          <w:lang w:eastAsia="en-US"/>
          <w14:ligatures w14:val="standardContextual"/>
        </w:rPr>
        <w:t>termos económicos</w:t>
      </w:r>
      <w:r w:rsidRPr="0035525E">
        <w:rPr>
          <w:rFonts w:ascii="Calibri" w:eastAsiaTheme="minorHAnsi" w:hAnsi="Calibri" w:cs="Calibri"/>
          <w:color w:val="000000" w:themeColor="text1"/>
          <w:kern w:val="2"/>
          <w:szCs w:val="22"/>
          <w:lang w:eastAsia="en-US"/>
          <w14:ligatures w14:val="standardContextual"/>
        </w:rPr>
        <w:t xml:space="preserve"> do item coberto e do </w:t>
      </w:r>
      <w:r>
        <w:rPr>
          <w:rFonts w:ascii="Calibri" w:eastAsiaTheme="minorHAnsi" w:hAnsi="Calibri" w:cs="Calibri"/>
          <w:color w:val="000000" w:themeColor="text1"/>
          <w:kern w:val="2"/>
          <w:szCs w:val="22"/>
          <w:lang w:eastAsia="en-US"/>
          <w14:ligatures w14:val="standardContextual"/>
        </w:rPr>
        <w:t>i</w:t>
      </w:r>
      <w:r w:rsidR="000E0555">
        <w:rPr>
          <w:rFonts w:ascii="Calibri" w:eastAsiaTheme="minorHAnsi" w:hAnsi="Calibri" w:cs="Calibri"/>
          <w:color w:val="000000" w:themeColor="text1"/>
          <w:kern w:val="2"/>
          <w:szCs w:val="22"/>
          <w:lang w:eastAsia="en-US"/>
          <w14:ligatures w14:val="standardContextual"/>
        </w:rPr>
        <w:t>nstrumento</w:t>
      </w:r>
      <w:r w:rsidRPr="0035525E">
        <w:rPr>
          <w:rFonts w:ascii="Calibri" w:eastAsiaTheme="minorHAnsi" w:hAnsi="Calibri" w:cs="Calibri"/>
          <w:color w:val="000000" w:themeColor="text1"/>
          <w:kern w:val="2"/>
          <w:szCs w:val="22"/>
          <w:lang w:eastAsia="en-US"/>
          <w14:ligatures w14:val="standardContextual"/>
        </w:rPr>
        <w:t xml:space="preserve"> de </w:t>
      </w:r>
      <w:r w:rsidRPr="003121ED">
        <w:rPr>
          <w:rFonts w:ascii="Calibri" w:eastAsiaTheme="minorHAnsi" w:hAnsi="Calibri" w:cs="Calibri"/>
          <w:color w:val="000000" w:themeColor="text1"/>
          <w:kern w:val="2"/>
          <w:szCs w:val="22"/>
          <w:lang w:eastAsia="en-US"/>
          <w14:ligatures w14:val="standardContextual"/>
        </w:rPr>
        <w:t>cobertura, tais como</w:t>
      </w:r>
      <w:r w:rsidRPr="0035525E">
        <w:rPr>
          <w:rFonts w:ascii="Calibri" w:eastAsiaTheme="minorHAnsi" w:hAnsi="Calibri" w:cs="Calibri"/>
          <w:color w:val="000000" w:themeColor="text1"/>
          <w:kern w:val="2"/>
          <w:szCs w:val="22"/>
          <w:lang w:eastAsia="en-US"/>
          <w14:ligatures w14:val="standardContextual"/>
        </w:rPr>
        <w:t>:</w:t>
      </w:r>
    </w:p>
    <w:p w14:paraId="25B5253D" w14:textId="0AE23013" w:rsidR="00025F24" w:rsidRDefault="00025F24" w:rsidP="00035DE0">
      <w:pPr>
        <w:pStyle w:val="NormalWeb"/>
        <w:numPr>
          <w:ilvl w:val="0"/>
          <w:numId w:val="35"/>
        </w:numPr>
        <w:spacing w:before="240" w:beforeAutospacing="0" w:after="240" w:afterAutospacing="0" w:line="259" w:lineRule="auto"/>
        <w:ind w:left="1434" w:hanging="357"/>
        <w:rPr>
          <w:rFonts w:ascii="Calibri" w:eastAsiaTheme="minorHAnsi" w:hAnsi="Calibri" w:cs="Calibri"/>
          <w:color w:val="000000" w:themeColor="text1"/>
          <w:kern w:val="2"/>
          <w:szCs w:val="22"/>
          <w:lang w:eastAsia="en-US"/>
          <w14:ligatures w14:val="standardContextual"/>
        </w:rPr>
      </w:pPr>
      <w:r w:rsidRPr="00025F24">
        <w:rPr>
          <w:rFonts w:ascii="Calibri" w:eastAsiaTheme="minorHAnsi" w:hAnsi="Calibri" w:cs="Calibri"/>
          <w:color w:val="000000" w:themeColor="text1"/>
          <w:kern w:val="2"/>
          <w:szCs w:val="22"/>
          <w:lang w:eastAsia="en-US"/>
          <w14:ligatures w14:val="standardContextual"/>
        </w:rPr>
        <w:t xml:space="preserve">Desfasamento no horizonte temporal: quando a maturidade do </w:t>
      </w:r>
      <w:r w:rsidR="006D53F2">
        <w:rPr>
          <w:rFonts w:ascii="Calibri" w:eastAsiaTheme="minorHAnsi" w:hAnsi="Calibri" w:cs="Calibri"/>
          <w:color w:val="000000" w:themeColor="text1"/>
          <w:kern w:val="2"/>
          <w:szCs w:val="22"/>
          <w:lang w:eastAsia="en-US"/>
          <w14:ligatures w14:val="standardContextual"/>
        </w:rPr>
        <w:t>i</w:t>
      </w:r>
      <w:r w:rsidR="000E0555">
        <w:rPr>
          <w:rFonts w:ascii="Calibri" w:eastAsiaTheme="minorHAnsi" w:hAnsi="Calibri" w:cs="Calibri"/>
          <w:color w:val="000000" w:themeColor="text1"/>
          <w:kern w:val="2"/>
          <w:szCs w:val="22"/>
          <w:lang w:eastAsia="en-US"/>
          <w14:ligatures w14:val="standardContextual"/>
        </w:rPr>
        <w:t xml:space="preserve">nstrumento </w:t>
      </w:r>
      <w:r w:rsidRPr="00025F24">
        <w:rPr>
          <w:rFonts w:ascii="Calibri" w:eastAsiaTheme="minorHAnsi" w:hAnsi="Calibri" w:cs="Calibri"/>
          <w:color w:val="000000" w:themeColor="text1"/>
          <w:kern w:val="2"/>
          <w:szCs w:val="22"/>
          <w:lang w:eastAsia="en-US"/>
          <w14:ligatures w14:val="standardContextual"/>
        </w:rPr>
        <w:t>de cobertura não coincide exatamente com a maturidade do item coberto</w:t>
      </w:r>
      <w:r w:rsidR="002B4C60">
        <w:rPr>
          <w:rFonts w:ascii="Calibri" w:eastAsiaTheme="minorHAnsi" w:hAnsi="Calibri" w:cs="Calibri"/>
          <w:color w:val="000000" w:themeColor="text1"/>
          <w:kern w:val="2"/>
          <w:szCs w:val="22"/>
          <w:lang w:eastAsia="en-US"/>
          <w14:ligatures w14:val="standardContextual"/>
        </w:rPr>
        <w:t>;</w:t>
      </w:r>
    </w:p>
    <w:p w14:paraId="22DC872B" w14:textId="225B0DFD" w:rsidR="00025F24" w:rsidRDefault="00025F24" w:rsidP="00035DE0">
      <w:pPr>
        <w:pStyle w:val="NormalWeb"/>
        <w:numPr>
          <w:ilvl w:val="0"/>
          <w:numId w:val="35"/>
        </w:numPr>
        <w:spacing w:before="240" w:beforeAutospacing="0" w:after="240" w:afterAutospacing="0" w:line="259" w:lineRule="auto"/>
        <w:ind w:left="1434" w:hanging="357"/>
        <w:rPr>
          <w:rFonts w:ascii="Calibri" w:eastAsiaTheme="minorHAnsi" w:hAnsi="Calibri" w:cs="Calibri"/>
          <w:color w:val="000000" w:themeColor="text1"/>
          <w:kern w:val="2"/>
          <w:szCs w:val="22"/>
          <w:lang w:eastAsia="en-US"/>
          <w14:ligatures w14:val="standardContextual"/>
        </w:rPr>
      </w:pPr>
      <w:r w:rsidRPr="00025F24">
        <w:rPr>
          <w:rFonts w:ascii="Calibri" w:hAnsi="Calibri" w:cs="Calibri"/>
          <w:color w:val="000000" w:themeColor="text1"/>
        </w:rPr>
        <w:t xml:space="preserve">Desfasamento no capital: diferença entre o nocional do </w:t>
      </w:r>
      <w:r w:rsidR="006D53F2">
        <w:rPr>
          <w:rFonts w:ascii="Calibri" w:hAnsi="Calibri" w:cs="Calibri"/>
          <w:color w:val="000000" w:themeColor="text1"/>
        </w:rPr>
        <w:t>i</w:t>
      </w:r>
      <w:r w:rsidR="000E0555">
        <w:rPr>
          <w:rFonts w:ascii="Calibri" w:hAnsi="Calibri" w:cs="Calibri"/>
          <w:color w:val="000000" w:themeColor="text1"/>
        </w:rPr>
        <w:t>nstrumento</w:t>
      </w:r>
      <w:r w:rsidRPr="00025F24">
        <w:rPr>
          <w:rFonts w:ascii="Calibri" w:hAnsi="Calibri" w:cs="Calibri"/>
          <w:color w:val="000000" w:themeColor="text1"/>
        </w:rPr>
        <w:t xml:space="preserve"> de cobertura designado e o valor nominal do item coberto</w:t>
      </w:r>
      <w:r w:rsidR="002B4C60">
        <w:rPr>
          <w:rFonts w:ascii="Calibri" w:hAnsi="Calibri" w:cs="Calibri"/>
          <w:color w:val="000000" w:themeColor="text1"/>
        </w:rPr>
        <w:t>; ou</w:t>
      </w:r>
    </w:p>
    <w:p w14:paraId="15775EB2" w14:textId="1A346885" w:rsidR="00025F24" w:rsidRPr="00025F24" w:rsidRDefault="00025F24" w:rsidP="00035DE0">
      <w:pPr>
        <w:pStyle w:val="NormalWeb"/>
        <w:numPr>
          <w:ilvl w:val="0"/>
          <w:numId w:val="35"/>
        </w:numPr>
        <w:spacing w:before="240" w:beforeAutospacing="0" w:after="240" w:afterAutospacing="0" w:line="259" w:lineRule="auto"/>
        <w:ind w:left="1434" w:hanging="357"/>
        <w:rPr>
          <w:rFonts w:ascii="Calibri" w:eastAsiaTheme="minorHAnsi" w:hAnsi="Calibri" w:cs="Calibri"/>
          <w:color w:val="000000" w:themeColor="text1"/>
          <w:kern w:val="2"/>
          <w:szCs w:val="22"/>
          <w:lang w:eastAsia="en-US"/>
          <w14:ligatures w14:val="standardContextual"/>
        </w:rPr>
      </w:pPr>
      <w:r>
        <w:rPr>
          <w:rFonts w:ascii="Calibri" w:eastAsiaTheme="minorHAnsi" w:hAnsi="Calibri" w:cs="Calibri"/>
          <w:color w:val="000000" w:themeColor="text1"/>
          <w:kern w:val="2"/>
          <w:szCs w:val="22"/>
          <w:lang w:eastAsia="en-US"/>
          <w14:ligatures w14:val="standardContextual"/>
        </w:rPr>
        <w:t>D</w:t>
      </w:r>
      <w:r w:rsidRPr="00025F24">
        <w:rPr>
          <w:rFonts w:ascii="Calibri" w:hAnsi="Calibri" w:cs="Calibri"/>
          <w:color w:val="000000" w:themeColor="text1"/>
        </w:rPr>
        <w:t xml:space="preserve">esfasamento nas datas de </w:t>
      </w:r>
      <w:proofErr w:type="spellStart"/>
      <w:r w:rsidR="00E549F3" w:rsidRPr="00E549F3">
        <w:rPr>
          <w:rFonts w:ascii="Calibri" w:hAnsi="Calibri" w:cs="Calibri"/>
          <w:i/>
          <w:iCs/>
          <w:color w:val="000000" w:themeColor="text1"/>
        </w:rPr>
        <w:t>repricing</w:t>
      </w:r>
      <w:proofErr w:type="spellEnd"/>
      <w:r w:rsidRPr="00025F24">
        <w:rPr>
          <w:rFonts w:ascii="Calibri" w:hAnsi="Calibri" w:cs="Calibri"/>
          <w:color w:val="000000" w:themeColor="text1"/>
        </w:rPr>
        <w:t xml:space="preserve"> e de pagamento: diferença nas datas de </w:t>
      </w:r>
      <w:proofErr w:type="spellStart"/>
      <w:r w:rsidR="00E549F3" w:rsidRPr="00E549F3">
        <w:rPr>
          <w:rFonts w:ascii="Calibri" w:hAnsi="Calibri" w:cs="Calibri"/>
          <w:i/>
          <w:iCs/>
          <w:color w:val="000000" w:themeColor="text1"/>
        </w:rPr>
        <w:t>repricing</w:t>
      </w:r>
      <w:proofErr w:type="spellEnd"/>
      <w:r w:rsidRPr="00025F24">
        <w:rPr>
          <w:rFonts w:ascii="Calibri" w:hAnsi="Calibri" w:cs="Calibri"/>
          <w:color w:val="000000" w:themeColor="text1"/>
        </w:rPr>
        <w:t xml:space="preserve"> e/ou de liquidação do juro do item coberto e da correspondente parte fixa do</w:t>
      </w:r>
      <w:r w:rsidR="006D53F2">
        <w:rPr>
          <w:rFonts w:ascii="Calibri" w:hAnsi="Calibri" w:cs="Calibri"/>
          <w:color w:val="000000" w:themeColor="text1"/>
        </w:rPr>
        <w:t xml:space="preserve"> i</w:t>
      </w:r>
      <w:r w:rsidR="000E0555">
        <w:rPr>
          <w:rFonts w:ascii="Calibri" w:hAnsi="Calibri" w:cs="Calibri"/>
          <w:color w:val="000000" w:themeColor="text1"/>
        </w:rPr>
        <w:t>nstrumento</w:t>
      </w:r>
      <w:r w:rsidRPr="00025F24">
        <w:rPr>
          <w:rFonts w:ascii="Calibri" w:hAnsi="Calibri" w:cs="Calibri"/>
          <w:color w:val="000000" w:themeColor="text1"/>
        </w:rPr>
        <w:t xml:space="preserve"> de cobertura. Este desfasamento pode causar uma ineficácia temporária devido ao facto </w:t>
      </w:r>
      <w:proofErr w:type="gramStart"/>
      <w:r w:rsidR="006D53F2">
        <w:rPr>
          <w:rFonts w:ascii="Calibri" w:hAnsi="Calibri" w:cs="Calibri"/>
          <w:color w:val="000000" w:themeColor="text1"/>
        </w:rPr>
        <w:t>dos</w:t>
      </w:r>
      <w:proofErr w:type="gramEnd"/>
      <w:r w:rsidRPr="00025F24">
        <w:rPr>
          <w:rFonts w:ascii="Calibri" w:hAnsi="Calibri" w:cs="Calibri"/>
          <w:color w:val="000000" w:themeColor="text1"/>
        </w:rPr>
        <w:t xml:space="preserve"> fluxos de caixa não estarem perfeitamente alinhados.</w:t>
      </w:r>
    </w:p>
    <w:p w14:paraId="676D49EE" w14:textId="77777777" w:rsidR="0028619B" w:rsidRPr="0028619B" w:rsidRDefault="003121ED" w:rsidP="0028619B">
      <w:pPr>
        <w:pStyle w:val="NormalWeb"/>
        <w:numPr>
          <w:ilvl w:val="0"/>
          <w:numId w:val="33"/>
        </w:numPr>
        <w:spacing w:line="22" w:lineRule="atLeast"/>
        <w:ind w:left="714" w:hanging="357"/>
        <w:rPr>
          <w:rFonts w:ascii="Calibri" w:eastAsiaTheme="minorHAnsi" w:hAnsi="Calibri" w:cs="Calibri"/>
          <w:color w:val="000000" w:themeColor="text1"/>
          <w:kern w:val="2"/>
          <w:szCs w:val="22"/>
          <w:lang w:eastAsia="en-US"/>
          <w14:ligatures w14:val="standardContextual"/>
        </w:rPr>
      </w:pPr>
      <w:r w:rsidRPr="003121ED">
        <w:rPr>
          <w:rFonts w:ascii="Calibri" w:eastAsiaTheme="minorHAnsi" w:hAnsi="Calibri" w:cs="Calibri"/>
          <w:color w:val="000000" w:themeColor="text1"/>
          <w:kern w:val="2"/>
          <w:szCs w:val="22"/>
          <w:lang w:eastAsia="en-US"/>
          <w14:ligatures w14:val="standardContextual"/>
        </w:rPr>
        <w:t xml:space="preserve">Alterações no </w:t>
      </w:r>
      <w:r w:rsidRPr="00E549F3">
        <w:rPr>
          <w:rFonts w:ascii="Calibri" w:eastAsiaTheme="minorHAnsi" w:hAnsi="Calibri" w:cs="Calibri"/>
          <w:b/>
          <w:bCs/>
          <w:color w:val="000000" w:themeColor="text1"/>
          <w:kern w:val="2"/>
          <w:szCs w:val="22"/>
          <w:lang w:eastAsia="en-US"/>
          <w14:ligatures w14:val="standardContextual"/>
        </w:rPr>
        <w:t>rácio de cobertura</w:t>
      </w:r>
      <w:r w:rsidRPr="003121ED">
        <w:rPr>
          <w:rFonts w:ascii="Calibri" w:eastAsiaTheme="minorHAnsi" w:hAnsi="Calibri" w:cs="Calibri"/>
          <w:color w:val="000000" w:themeColor="text1"/>
          <w:kern w:val="2"/>
          <w:szCs w:val="22"/>
          <w:lang w:eastAsia="en-US"/>
          <w14:ligatures w14:val="standardContextual"/>
        </w:rPr>
        <w:t>, tais como:</w:t>
      </w:r>
      <w:r w:rsidR="0028619B" w:rsidRPr="0028619B">
        <w:t xml:space="preserve"> </w:t>
      </w:r>
    </w:p>
    <w:p w14:paraId="44E2EF27" w14:textId="679A8656" w:rsidR="0035525E" w:rsidRPr="0028619B" w:rsidRDefault="0028619B" w:rsidP="00E549F3">
      <w:pPr>
        <w:pStyle w:val="NormalWeb"/>
        <w:numPr>
          <w:ilvl w:val="0"/>
          <w:numId w:val="35"/>
        </w:numPr>
        <w:spacing w:before="240" w:beforeAutospacing="0" w:after="40" w:afterAutospacing="0" w:line="259" w:lineRule="auto"/>
        <w:ind w:left="1434" w:hanging="357"/>
        <w:rPr>
          <w:rFonts w:ascii="Calibri" w:eastAsiaTheme="minorHAnsi" w:hAnsi="Calibri" w:cs="Calibri"/>
          <w:color w:val="000000" w:themeColor="text1"/>
          <w:kern w:val="2"/>
          <w:szCs w:val="22"/>
          <w:lang w:eastAsia="en-US"/>
          <w14:ligatures w14:val="standardContextual"/>
        </w:rPr>
      </w:pPr>
      <w:r w:rsidRPr="0028619B">
        <w:rPr>
          <w:rFonts w:ascii="Calibri" w:eastAsiaTheme="minorHAnsi" w:hAnsi="Calibri" w:cs="Calibri"/>
          <w:color w:val="000000" w:themeColor="text1"/>
          <w:kern w:val="2"/>
          <w:szCs w:val="22"/>
          <w:lang w:eastAsia="en-US"/>
          <w14:ligatures w14:val="standardContextual"/>
        </w:rPr>
        <w:t xml:space="preserve">Alterações no item coberto (amortizações, outras modificações não substanciais) ou no </w:t>
      </w:r>
      <w:r w:rsidR="00025F24">
        <w:rPr>
          <w:rFonts w:ascii="Calibri" w:eastAsiaTheme="minorHAnsi" w:hAnsi="Calibri" w:cs="Calibri"/>
          <w:color w:val="000000" w:themeColor="text1"/>
          <w:kern w:val="2"/>
          <w:szCs w:val="22"/>
          <w:lang w:eastAsia="en-US"/>
          <w14:ligatures w14:val="standardContextual"/>
        </w:rPr>
        <w:t>i</w:t>
      </w:r>
      <w:r w:rsidR="00DC4BCA">
        <w:rPr>
          <w:rFonts w:ascii="Calibri" w:eastAsiaTheme="minorHAnsi" w:hAnsi="Calibri" w:cs="Calibri"/>
          <w:color w:val="000000" w:themeColor="text1"/>
          <w:kern w:val="2"/>
          <w:szCs w:val="22"/>
          <w:lang w:eastAsia="en-US"/>
          <w14:ligatures w14:val="standardContextual"/>
        </w:rPr>
        <w:t>nstrumento</w:t>
      </w:r>
      <w:r w:rsidR="00025F24">
        <w:rPr>
          <w:rFonts w:ascii="Calibri" w:eastAsiaTheme="minorHAnsi" w:hAnsi="Calibri" w:cs="Calibri"/>
          <w:color w:val="000000" w:themeColor="text1"/>
          <w:kern w:val="2"/>
          <w:szCs w:val="22"/>
          <w:lang w:eastAsia="en-US"/>
          <w14:ligatures w14:val="standardContextual"/>
        </w:rPr>
        <w:t xml:space="preserve"> </w:t>
      </w:r>
      <w:r w:rsidRPr="0028619B">
        <w:rPr>
          <w:rFonts w:ascii="Calibri" w:eastAsiaTheme="minorHAnsi" w:hAnsi="Calibri" w:cs="Calibri"/>
          <w:color w:val="000000" w:themeColor="text1"/>
          <w:kern w:val="2"/>
          <w:szCs w:val="22"/>
          <w:lang w:eastAsia="en-US"/>
          <w14:ligatures w14:val="standardContextual"/>
        </w:rPr>
        <w:t>de cobertura (amortizações, renovações) que pod</w:t>
      </w:r>
      <w:r w:rsidR="00FE2F79">
        <w:rPr>
          <w:rFonts w:ascii="Calibri" w:eastAsiaTheme="minorHAnsi" w:hAnsi="Calibri" w:cs="Calibri"/>
          <w:color w:val="000000" w:themeColor="text1"/>
          <w:kern w:val="2"/>
          <w:szCs w:val="22"/>
          <w:lang w:eastAsia="en-US"/>
          <w14:ligatures w14:val="standardContextual"/>
        </w:rPr>
        <w:t>em</w:t>
      </w:r>
      <w:r w:rsidRPr="0028619B">
        <w:rPr>
          <w:rFonts w:ascii="Calibri" w:eastAsiaTheme="minorHAnsi" w:hAnsi="Calibri" w:cs="Calibri"/>
          <w:color w:val="000000" w:themeColor="text1"/>
          <w:kern w:val="2"/>
          <w:szCs w:val="22"/>
          <w:lang w:eastAsia="en-US"/>
          <w14:ligatures w14:val="standardContextual"/>
        </w:rPr>
        <w:t xml:space="preserve"> </w:t>
      </w:r>
      <w:r w:rsidR="00FE2F79">
        <w:rPr>
          <w:rFonts w:ascii="Calibri" w:eastAsiaTheme="minorHAnsi" w:hAnsi="Calibri" w:cs="Calibri"/>
          <w:color w:val="000000" w:themeColor="text1"/>
          <w:kern w:val="2"/>
          <w:szCs w:val="22"/>
          <w:lang w:eastAsia="en-US"/>
          <w14:ligatures w14:val="standardContextual"/>
        </w:rPr>
        <w:t>alterar</w:t>
      </w:r>
      <w:r w:rsidRPr="0028619B">
        <w:rPr>
          <w:rFonts w:ascii="Calibri" w:eastAsiaTheme="minorHAnsi" w:hAnsi="Calibri" w:cs="Calibri"/>
          <w:color w:val="000000" w:themeColor="text1"/>
          <w:kern w:val="2"/>
          <w:szCs w:val="22"/>
          <w:lang w:eastAsia="en-US"/>
          <w14:ligatures w14:val="standardContextual"/>
        </w:rPr>
        <w:t xml:space="preserve"> o rácio de cobertura</w:t>
      </w:r>
      <w:r w:rsidR="00FE2F79">
        <w:rPr>
          <w:rFonts w:ascii="Calibri" w:eastAsiaTheme="minorHAnsi" w:hAnsi="Calibri" w:cs="Calibri"/>
          <w:color w:val="000000" w:themeColor="text1"/>
          <w:kern w:val="2"/>
          <w:szCs w:val="22"/>
          <w:lang w:eastAsia="en-US"/>
          <w14:ligatures w14:val="standardContextual"/>
        </w:rPr>
        <w:t xml:space="preserve"> atual</w:t>
      </w:r>
      <w:r w:rsidRPr="0028619B">
        <w:rPr>
          <w:rFonts w:ascii="Calibri" w:eastAsiaTheme="minorHAnsi" w:hAnsi="Calibri" w:cs="Calibri"/>
          <w:color w:val="000000" w:themeColor="text1"/>
          <w:kern w:val="2"/>
          <w:szCs w:val="22"/>
          <w:lang w:eastAsia="en-US"/>
          <w14:ligatures w14:val="standardContextual"/>
        </w:rPr>
        <w:t>.</w:t>
      </w:r>
    </w:p>
    <w:p w14:paraId="66D9EA7C" w14:textId="283547EB" w:rsidR="00993BC0" w:rsidRPr="007A2010" w:rsidRDefault="007A2010" w:rsidP="00993BC0">
      <w:pPr>
        <w:pStyle w:val="Corpo"/>
        <w:spacing w:after="240"/>
        <w:jc w:val="both"/>
        <w:rPr>
          <w:rFonts w:cs="Calibri"/>
          <w:color w:val="000000" w:themeColor="text1"/>
        </w:rPr>
      </w:pPr>
      <w:r w:rsidRPr="007A2010">
        <w:rPr>
          <w:rFonts w:cs="Calibri"/>
          <w:color w:val="000000" w:themeColor="text1"/>
        </w:rPr>
        <w:t xml:space="preserve">O Banco minimiza estas potenciais fontes de ineficácia tentando alinhar as caraterísticas económicas </w:t>
      </w:r>
      <w:proofErr w:type="gramStart"/>
      <w:r w:rsidRPr="007A2010">
        <w:rPr>
          <w:rFonts w:cs="Calibri"/>
          <w:color w:val="000000" w:themeColor="text1"/>
        </w:rPr>
        <w:t>d</w:t>
      </w:r>
      <w:r w:rsidR="00187B78">
        <w:rPr>
          <w:rFonts w:cs="Calibri"/>
          <w:color w:val="000000" w:themeColor="text1"/>
        </w:rPr>
        <w:t xml:space="preserve">o </w:t>
      </w:r>
      <w:r w:rsidR="00EF64E3">
        <w:rPr>
          <w:rFonts w:cs="Calibri"/>
          <w:color w:val="000000" w:themeColor="text1"/>
        </w:rPr>
        <w:t>instrumentos</w:t>
      </w:r>
      <w:proofErr w:type="gramEnd"/>
      <w:r w:rsidR="00EF64E3">
        <w:rPr>
          <w:rFonts w:cs="Calibri"/>
          <w:color w:val="000000" w:themeColor="text1"/>
        </w:rPr>
        <w:t xml:space="preserve"> de cobertura </w:t>
      </w:r>
      <w:r w:rsidRPr="007A2010">
        <w:rPr>
          <w:rFonts w:cs="Calibri"/>
          <w:color w:val="000000" w:themeColor="text1"/>
        </w:rPr>
        <w:t xml:space="preserve">com as do </w:t>
      </w:r>
      <w:r>
        <w:rPr>
          <w:rFonts w:cs="Calibri"/>
          <w:color w:val="000000" w:themeColor="text1"/>
        </w:rPr>
        <w:t>item</w:t>
      </w:r>
      <w:r w:rsidRPr="007A2010">
        <w:rPr>
          <w:rFonts w:cs="Calibri"/>
          <w:color w:val="000000" w:themeColor="text1"/>
        </w:rPr>
        <w:t xml:space="preserve"> </w:t>
      </w:r>
      <w:r w:rsidR="00EF64E3">
        <w:rPr>
          <w:rFonts w:cs="Calibri"/>
          <w:color w:val="000000" w:themeColor="text1"/>
        </w:rPr>
        <w:t>coberto</w:t>
      </w:r>
      <w:r w:rsidRPr="007A2010">
        <w:rPr>
          <w:rFonts w:cs="Calibri"/>
          <w:color w:val="000000" w:themeColor="text1"/>
        </w:rPr>
        <w:t xml:space="preserve"> e evidenciando-o através do teste</w:t>
      </w:r>
      <w:r>
        <w:rPr>
          <w:rFonts w:cs="Calibri"/>
          <w:color w:val="000000" w:themeColor="text1"/>
        </w:rPr>
        <w:t xml:space="preserve"> prospetivo</w:t>
      </w:r>
      <w:r w:rsidRPr="007A2010">
        <w:rPr>
          <w:rFonts w:cs="Calibri"/>
          <w:color w:val="000000" w:themeColor="text1"/>
        </w:rPr>
        <w:t xml:space="preserve">. Caso ocorram alterações em algum dos </w:t>
      </w:r>
      <w:r w:rsidR="00187B78">
        <w:rPr>
          <w:rFonts w:cs="Calibri"/>
          <w:color w:val="000000" w:themeColor="text1"/>
        </w:rPr>
        <w:t>itens</w:t>
      </w:r>
      <w:r w:rsidRPr="007A2010">
        <w:rPr>
          <w:rFonts w:cs="Calibri"/>
          <w:color w:val="000000" w:themeColor="text1"/>
        </w:rPr>
        <w:t xml:space="preserve"> </w:t>
      </w:r>
      <w:r w:rsidR="00DC4BCA">
        <w:rPr>
          <w:rFonts w:cs="Calibri"/>
          <w:color w:val="000000" w:themeColor="text1"/>
        </w:rPr>
        <w:t xml:space="preserve">e </w:t>
      </w:r>
      <w:r w:rsidRPr="007A2010">
        <w:rPr>
          <w:rFonts w:cs="Calibri"/>
          <w:color w:val="000000" w:themeColor="text1"/>
        </w:rPr>
        <w:t xml:space="preserve">a ineficácia ultrapasse os limiares estabelecidos, o Banco ajusta o rácio de cobertura </w:t>
      </w:r>
      <w:r w:rsidR="0045629B">
        <w:rPr>
          <w:rFonts w:cs="Calibri"/>
          <w:color w:val="000000" w:themeColor="text1"/>
        </w:rPr>
        <w:t>adicionando/removendo</w:t>
      </w:r>
      <w:r w:rsidRPr="007A2010">
        <w:rPr>
          <w:rFonts w:cs="Calibri"/>
          <w:color w:val="000000" w:themeColor="text1"/>
        </w:rPr>
        <w:t xml:space="preserve"> </w:t>
      </w:r>
      <w:r w:rsidR="00187B78">
        <w:rPr>
          <w:rFonts w:cs="Calibri"/>
          <w:color w:val="000000" w:themeColor="text1"/>
        </w:rPr>
        <w:t>itens</w:t>
      </w:r>
      <w:r w:rsidRPr="007A2010">
        <w:rPr>
          <w:rFonts w:cs="Calibri"/>
          <w:color w:val="000000" w:themeColor="text1"/>
        </w:rPr>
        <w:t xml:space="preserve"> de forma a garantir que a cobertura se mantém altamente eficaz e alinhada com a sua estratégia de gestão de risco</w:t>
      </w:r>
      <w:r w:rsidR="00DC4BCA">
        <w:rPr>
          <w:rFonts w:cs="Calibri"/>
          <w:color w:val="000000" w:themeColor="text1"/>
        </w:rPr>
        <w:t xml:space="preserve"> inicial</w:t>
      </w:r>
      <w:r w:rsidRPr="007A2010">
        <w:rPr>
          <w:rFonts w:cs="Calibri"/>
          <w:color w:val="000000" w:themeColor="text1"/>
        </w:rPr>
        <w:t>.</w:t>
      </w:r>
    </w:p>
    <w:p w14:paraId="07F3217D" w14:textId="2E77D612" w:rsidR="00993BC0" w:rsidRPr="00993BC0" w:rsidRDefault="009B352E" w:rsidP="00993BC0">
      <w:pPr>
        <w:pStyle w:val="Ttulo11"/>
        <w:numPr>
          <w:ilvl w:val="0"/>
          <w:numId w:val="6"/>
        </w:numPr>
        <w:rPr>
          <w:i/>
          <w:iCs/>
        </w:rPr>
      </w:pPr>
      <w:bookmarkStart w:id="25" w:name="_Toc205551776"/>
      <w:proofErr w:type="spellStart"/>
      <w:r w:rsidRPr="00993BC0">
        <w:rPr>
          <w:i/>
          <w:iCs/>
        </w:rPr>
        <w:lastRenderedPageBreak/>
        <w:t>Rebalacin</w:t>
      </w:r>
      <w:r w:rsidR="00993BC0" w:rsidRPr="00993BC0">
        <w:rPr>
          <w:i/>
          <w:iCs/>
        </w:rPr>
        <w:t>g</w:t>
      </w:r>
      <w:bookmarkEnd w:id="25"/>
      <w:proofErr w:type="spellEnd"/>
    </w:p>
    <w:p w14:paraId="7EC07F7D" w14:textId="00B314A9" w:rsidR="00993BC0" w:rsidRDefault="00993BC0" w:rsidP="00993BC0">
      <w:pPr>
        <w:pStyle w:val="Corpo"/>
        <w:spacing w:after="240"/>
        <w:ind w:left="-284"/>
        <w:jc w:val="both"/>
        <w:rPr>
          <w:rFonts w:cs="Calibri"/>
          <w:color w:val="000000" w:themeColor="text1"/>
        </w:rPr>
      </w:pPr>
      <w:r w:rsidRPr="00993BC0">
        <w:rPr>
          <w:rFonts w:cs="Calibri"/>
          <w:color w:val="000000" w:themeColor="text1"/>
        </w:rPr>
        <w:t>Conforme especificado no parágrafo 6.5.5 da IFRS 9, se um</w:t>
      </w:r>
      <w:r>
        <w:rPr>
          <w:rFonts w:cs="Calibri"/>
          <w:color w:val="000000" w:themeColor="text1"/>
        </w:rPr>
        <w:t>a relação</w:t>
      </w:r>
      <w:r w:rsidRPr="00993BC0">
        <w:rPr>
          <w:rFonts w:cs="Calibri"/>
          <w:color w:val="000000" w:themeColor="text1"/>
        </w:rPr>
        <w:t xml:space="preserve"> de cobertura deixar de cumprir o requisito de eficácia de cobertura, mas o objetivo de gestão de risco para </w:t>
      </w:r>
      <w:r>
        <w:rPr>
          <w:rFonts w:cs="Calibri"/>
          <w:color w:val="000000" w:themeColor="text1"/>
        </w:rPr>
        <w:t>essa relação</w:t>
      </w:r>
      <w:r w:rsidRPr="00993BC0">
        <w:rPr>
          <w:rFonts w:cs="Calibri"/>
          <w:color w:val="000000" w:themeColor="text1"/>
        </w:rPr>
        <w:t xml:space="preserve"> permanecer o mesmo, uma entidade deve ajustar o rácio de cobertura para que este volte a cumprir os critérios</w:t>
      </w:r>
      <w:r>
        <w:rPr>
          <w:rFonts w:cs="Calibri"/>
          <w:color w:val="000000" w:themeColor="text1"/>
        </w:rPr>
        <w:t>.</w:t>
      </w:r>
    </w:p>
    <w:p w14:paraId="5781803C" w14:textId="1F14DBC3" w:rsidR="00993BC0" w:rsidRDefault="00993BC0" w:rsidP="00993BC0">
      <w:pPr>
        <w:pStyle w:val="Corpo"/>
        <w:spacing w:after="240"/>
        <w:ind w:left="-284"/>
        <w:jc w:val="both"/>
        <w:rPr>
          <w:rFonts w:cs="Calibri"/>
          <w:color w:val="000000" w:themeColor="text1"/>
        </w:rPr>
      </w:pPr>
      <w:r w:rsidRPr="00993BC0">
        <w:rPr>
          <w:rFonts w:cs="Calibri"/>
          <w:color w:val="000000" w:themeColor="text1"/>
        </w:rPr>
        <w:t>Este ajust</w:t>
      </w:r>
      <w:r>
        <w:rPr>
          <w:rFonts w:cs="Calibri"/>
          <w:color w:val="000000" w:themeColor="text1"/>
        </w:rPr>
        <w:t>e</w:t>
      </w:r>
      <w:r w:rsidRPr="00993BC0">
        <w:rPr>
          <w:rFonts w:cs="Calibri"/>
          <w:color w:val="000000" w:themeColor="text1"/>
        </w:rPr>
        <w:t xml:space="preserve"> do rácio de cobertura é referido como “</w:t>
      </w:r>
      <w:proofErr w:type="spellStart"/>
      <w:r w:rsidRPr="00993BC0">
        <w:rPr>
          <w:rFonts w:cs="Calibri"/>
          <w:i/>
          <w:iCs/>
          <w:color w:val="000000" w:themeColor="text1"/>
        </w:rPr>
        <w:t>rebalacing</w:t>
      </w:r>
      <w:proofErr w:type="spellEnd"/>
      <w:r w:rsidRPr="00993BC0">
        <w:rPr>
          <w:rFonts w:cs="Calibri"/>
          <w:color w:val="000000" w:themeColor="text1"/>
        </w:rPr>
        <w:t>” e envolve o ajust</w:t>
      </w:r>
      <w:r>
        <w:rPr>
          <w:rFonts w:cs="Calibri"/>
          <w:color w:val="000000" w:themeColor="text1"/>
        </w:rPr>
        <w:t>e</w:t>
      </w:r>
      <w:r w:rsidRPr="00993BC0">
        <w:rPr>
          <w:rFonts w:cs="Calibri"/>
          <w:color w:val="000000" w:themeColor="text1"/>
        </w:rPr>
        <w:t xml:space="preserve"> </w:t>
      </w:r>
      <w:r>
        <w:rPr>
          <w:rFonts w:cs="Calibri"/>
          <w:color w:val="000000" w:themeColor="text1"/>
        </w:rPr>
        <w:t>da re</w:t>
      </w:r>
      <w:r w:rsidR="00C22FB8">
        <w:rPr>
          <w:rFonts w:cs="Calibri"/>
          <w:color w:val="000000" w:themeColor="text1"/>
        </w:rPr>
        <w:t>la</w:t>
      </w:r>
      <w:r>
        <w:rPr>
          <w:rFonts w:cs="Calibri"/>
          <w:color w:val="000000" w:themeColor="text1"/>
        </w:rPr>
        <w:t>ção</w:t>
      </w:r>
      <w:r w:rsidRPr="00993BC0">
        <w:rPr>
          <w:rFonts w:cs="Calibri"/>
          <w:color w:val="000000" w:themeColor="text1"/>
        </w:rPr>
        <w:t xml:space="preserve"> de cobertura para manter a sua eficácia em resposta a alterações nas condições de mercado ou nas caraterísticas do item coberto ou do </w:t>
      </w:r>
      <w:r>
        <w:rPr>
          <w:rFonts w:cs="Calibri"/>
          <w:color w:val="000000" w:themeColor="text1"/>
        </w:rPr>
        <w:t>i</w:t>
      </w:r>
      <w:r w:rsidR="0045629B">
        <w:rPr>
          <w:rFonts w:cs="Calibri"/>
          <w:color w:val="000000" w:themeColor="text1"/>
        </w:rPr>
        <w:t>nstrumento</w:t>
      </w:r>
      <w:r w:rsidRPr="00993BC0">
        <w:rPr>
          <w:rFonts w:cs="Calibri"/>
          <w:color w:val="000000" w:themeColor="text1"/>
        </w:rPr>
        <w:t xml:space="preserve"> de cobertura. O objetivo deste ajust</w:t>
      </w:r>
      <w:r>
        <w:rPr>
          <w:rFonts w:cs="Calibri"/>
          <w:color w:val="000000" w:themeColor="text1"/>
        </w:rPr>
        <w:t>e</w:t>
      </w:r>
      <w:r w:rsidRPr="00993BC0">
        <w:rPr>
          <w:rFonts w:cs="Calibri"/>
          <w:color w:val="000000" w:themeColor="text1"/>
        </w:rPr>
        <w:t xml:space="preserve"> é garantir que a cobertura continua a cumprir </w:t>
      </w:r>
      <w:r w:rsidR="00C22FB8">
        <w:rPr>
          <w:rFonts w:cs="Calibri"/>
          <w:color w:val="000000" w:themeColor="text1"/>
        </w:rPr>
        <w:t xml:space="preserve">com </w:t>
      </w:r>
      <w:r w:rsidRPr="00993BC0">
        <w:rPr>
          <w:rFonts w:cs="Calibri"/>
          <w:color w:val="000000" w:themeColor="text1"/>
        </w:rPr>
        <w:t>os requisitos de eficácia e está alinhada com a estratégia de gestão de risco do Banco.</w:t>
      </w:r>
    </w:p>
    <w:p w14:paraId="59D90915" w14:textId="3AC14376" w:rsidR="00B17F58" w:rsidRDefault="00993BC0" w:rsidP="00B17F58">
      <w:pPr>
        <w:pStyle w:val="Corpo"/>
        <w:spacing w:after="240"/>
        <w:ind w:left="-284"/>
        <w:jc w:val="both"/>
        <w:rPr>
          <w:rFonts w:cs="Calibri"/>
          <w:color w:val="000000" w:themeColor="text1"/>
        </w:rPr>
      </w:pPr>
      <w:r w:rsidRPr="00993BC0">
        <w:rPr>
          <w:rFonts w:cs="Calibri"/>
          <w:color w:val="000000" w:themeColor="text1"/>
        </w:rPr>
        <w:t xml:space="preserve">De seguida, apresentam-se as principais </w:t>
      </w:r>
      <w:r w:rsidRPr="00C22FB8">
        <w:rPr>
          <w:rFonts w:cs="Calibri"/>
          <w:b/>
          <w:bCs/>
          <w:color w:val="000000" w:themeColor="text1"/>
        </w:rPr>
        <w:t>causas</w:t>
      </w:r>
      <w:r w:rsidRPr="00993BC0">
        <w:rPr>
          <w:rFonts w:cs="Calibri"/>
          <w:color w:val="000000" w:themeColor="text1"/>
        </w:rPr>
        <w:t xml:space="preserve"> que podem desencadear o </w:t>
      </w:r>
      <w:proofErr w:type="spellStart"/>
      <w:r w:rsidRPr="00993BC0">
        <w:rPr>
          <w:rFonts w:cs="Calibri"/>
          <w:i/>
          <w:iCs/>
          <w:color w:val="000000" w:themeColor="text1"/>
        </w:rPr>
        <w:t>rebalacing</w:t>
      </w:r>
      <w:proofErr w:type="spellEnd"/>
      <w:r w:rsidRPr="00993BC0">
        <w:rPr>
          <w:rFonts w:cs="Calibri"/>
          <w:color w:val="000000" w:themeColor="text1"/>
        </w:rPr>
        <w:t xml:space="preserve">, as </w:t>
      </w:r>
      <w:r w:rsidRPr="00C22FB8">
        <w:rPr>
          <w:rFonts w:cs="Calibri"/>
          <w:b/>
          <w:bCs/>
          <w:color w:val="000000" w:themeColor="text1"/>
        </w:rPr>
        <w:t xml:space="preserve">ações </w:t>
      </w:r>
      <w:r w:rsidRPr="00993BC0">
        <w:rPr>
          <w:rFonts w:cs="Calibri"/>
          <w:color w:val="000000" w:themeColor="text1"/>
        </w:rPr>
        <w:t xml:space="preserve">potenciais para implementar este processo e as </w:t>
      </w:r>
      <w:r w:rsidRPr="00C22FB8">
        <w:rPr>
          <w:rFonts w:cs="Calibri"/>
          <w:b/>
          <w:bCs/>
          <w:color w:val="000000" w:themeColor="text1"/>
        </w:rPr>
        <w:t>implicações</w:t>
      </w:r>
      <w:r w:rsidRPr="00993BC0">
        <w:rPr>
          <w:rFonts w:cs="Calibri"/>
          <w:color w:val="000000" w:themeColor="text1"/>
        </w:rPr>
        <w:t>:</w:t>
      </w:r>
    </w:p>
    <w:p w14:paraId="00306BAD" w14:textId="42A17F59" w:rsidR="004621BB" w:rsidRDefault="004621BB" w:rsidP="004621BB">
      <w:pPr>
        <w:pStyle w:val="Corpo"/>
        <w:spacing w:after="240"/>
        <w:ind w:left="-284"/>
        <w:jc w:val="both"/>
        <w:rPr>
          <w:rFonts w:cs="Calibri"/>
          <w:b/>
          <w:bCs/>
          <w:i/>
          <w:iCs/>
          <w:color w:val="000000" w:themeColor="text1"/>
        </w:rPr>
      </w:pPr>
      <w:r w:rsidRPr="00073A7C">
        <w:rPr>
          <w:rFonts w:cs="Calibri"/>
          <w:b/>
          <w:bCs/>
          <w:color w:val="000000" w:themeColor="text1"/>
        </w:rPr>
        <w:t>Causas de</w:t>
      </w:r>
      <w:r w:rsidRPr="004621BB">
        <w:rPr>
          <w:rFonts w:cs="Calibri"/>
          <w:b/>
          <w:bCs/>
          <w:i/>
          <w:iCs/>
          <w:color w:val="000000" w:themeColor="text1"/>
        </w:rPr>
        <w:t xml:space="preserve"> </w:t>
      </w:r>
      <w:proofErr w:type="spellStart"/>
      <w:r w:rsidRPr="004621BB">
        <w:rPr>
          <w:rFonts w:cs="Calibri"/>
          <w:b/>
          <w:bCs/>
          <w:i/>
          <w:iCs/>
          <w:color w:val="000000" w:themeColor="text1"/>
        </w:rPr>
        <w:t>rebalacing</w:t>
      </w:r>
      <w:proofErr w:type="spellEnd"/>
      <w:r w:rsidRPr="004621BB">
        <w:rPr>
          <w:rFonts w:cs="Calibri"/>
          <w:b/>
          <w:bCs/>
          <w:i/>
          <w:iCs/>
          <w:color w:val="000000" w:themeColor="text1"/>
        </w:rPr>
        <w:t>:</w:t>
      </w:r>
    </w:p>
    <w:p w14:paraId="24DE22DA" w14:textId="7E3F9610" w:rsidR="00B17F58" w:rsidRDefault="00B17F58" w:rsidP="00B17F58">
      <w:pPr>
        <w:pStyle w:val="Corpo"/>
        <w:numPr>
          <w:ilvl w:val="0"/>
          <w:numId w:val="33"/>
        </w:numPr>
        <w:spacing w:after="240"/>
        <w:jc w:val="both"/>
        <w:rPr>
          <w:rFonts w:cs="Calibri"/>
          <w:color w:val="000000" w:themeColor="text1"/>
        </w:rPr>
      </w:pPr>
      <w:r w:rsidRPr="00B17F58">
        <w:rPr>
          <w:rFonts w:cs="Calibri"/>
          <w:color w:val="000000" w:themeColor="text1"/>
        </w:rPr>
        <w:t xml:space="preserve">Alterações nas condições de mercado: Variações significativas nas taxas de juro ou qualquer outro fator que influencie o valor do item coberto ou do </w:t>
      </w:r>
      <w:r w:rsidR="00506F9B">
        <w:rPr>
          <w:rFonts w:cs="Calibri"/>
          <w:color w:val="000000" w:themeColor="text1"/>
        </w:rPr>
        <w:t xml:space="preserve">instrumento </w:t>
      </w:r>
      <w:r w:rsidRPr="00B17F58">
        <w:rPr>
          <w:rFonts w:cs="Calibri"/>
          <w:color w:val="000000" w:themeColor="text1"/>
        </w:rPr>
        <w:t>de cobertura</w:t>
      </w:r>
      <w:r w:rsidR="00BD4101">
        <w:rPr>
          <w:rFonts w:cs="Calibri"/>
          <w:color w:val="000000" w:themeColor="text1"/>
        </w:rPr>
        <w:t>;</w:t>
      </w:r>
    </w:p>
    <w:p w14:paraId="73223D7A" w14:textId="6EF5B097" w:rsidR="00B17F58" w:rsidRDefault="00B17F58" w:rsidP="00B17F58">
      <w:pPr>
        <w:pStyle w:val="Corpo"/>
        <w:numPr>
          <w:ilvl w:val="0"/>
          <w:numId w:val="33"/>
        </w:numPr>
        <w:spacing w:after="240"/>
        <w:jc w:val="both"/>
        <w:rPr>
          <w:rFonts w:cs="Calibri"/>
          <w:color w:val="000000" w:themeColor="text1"/>
        </w:rPr>
      </w:pPr>
      <w:r w:rsidRPr="00B17F58">
        <w:rPr>
          <w:rFonts w:cs="Calibri"/>
          <w:color w:val="000000" w:themeColor="text1"/>
        </w:rPr>
        <w:t xml:space="preserve">Alterações nas caraterísticas do item coberto: Se o item coberto sofrer </w:t>
      </w:r>
      <w:r w:rsidR="006C2C37">
        <w:rPr>
          <w:rFonts w:cs="Calibri"/>
          <w:color w:val="000000" w:themeColor="text1"/>
        </w:rPr>
        <w:t>alterações</w:t>
      </w:r>
      <w:r w:rsidRPr="00B17F58">
        <w:rPr>
          <w:rFonts w:cs="Calibri"/>
          <w:color w:val="000000" w:themeColor="text1"/>
        </w:rPr>
        <w:t xml:space="preserve"> na sua natureza, tais como alterações nos fluxos de caixa esperados, maturidades ou valor</w:t>
      </w:r>
      <w:r w:rsidR="00BD4101">
        <w:rPr>
          <w:rFonts w:cs="Calibri"/>
          <w:color w:val="000000" w:themeColor="text1"/>
        </w:rPr>
        <w:t>;</w:t>
      </w:r>
    </w:p>
    <w:p w14:paraId="70589270" w14:textId="3257D784" w:rsidR="00B17F58" w:rsidRDefault="00B17F58" w:rsidP="00B17F58">
      <w:pPr>
        <w:pStyle w:val="Corpo"/>
        <w:numPr>
          <w:ilvl w:val="0"/>
          <w:numId w:val="33"/>
        </w:numPr>
        <w:spacing w:after="240"/>
        <w:jc w:val="both"/>
        <w:rPr>
          <w:rFonts w:cs="Calibri"/>
          <w:color w:val="000000" w:themeColor="text1"/>
        </w:rPr>
      </w:pPr>
      <w:r w:rsidRPr="00B17F58">
        <w:rPr>
          <w:rFonts w:cs="Calibri"/>
          <w:color w:val="000000" w:themeColor="text1"/>
        </w:rPr>
        <w:t xml:space="preserve">Alterações no </w:t>
      </w:r>
      <w:r w:rsidR="000A783E">
        <w:rPr>
          <w:rFonts w:cs="Calibri"/>
          <w:color w:val="000000" w:themeColor="text1"/>
        </w:rPr>
        <w:t>instrumento</w:t>
      </w:r>
      <w:r w:rsidR="000A783E" w:rsidRPr="00B17F58">
        <w:rPr>
          <w:rFonts w:cs="Calibri"/>
          <w:color w:val="000000" w:themeColor="text1"/>
        </w:rPr>
        <w:t xml:space="preserve"> </w:t>
      </w:r>
      <w:r w:rsidRPr="00B17F58">
        <w:rPr>
          <w:rFonts w:cs="Calibri"/>
          <w:color w:val="000000" w:themeColor="text1"/>
        </w:rPr>
        <w:t>de cobertura: Se o derivado ou outro instrumento utilizado como cobertura sofrer variações que afetem a sua eficácia, tais como alterações nos termos do contrato</w:t>
      </w:r>
      <w:r w:rsidR="00BD4101">
        <w:rPr>
          <w:rFonts w:cs="Calibri"/>
          <w:color w:val="000000" w:themeColor="text1"/>
        </w:rPr>
        <w:t>; ou</w:t>
      </w:r>
    </w:p>
    <w:p w14:paraId="7B69CCAB" w14:textId="0A1A308D" w:rsidR="00073A7C" w:rsidRDefault="00B17F58" w:rsidP="007E509B">
      <w:pPr>
        <w:pStyle w:val="Corpo"/>
        <w:numPr>
          <w:ilvl w:val="0"/>
          <w:numId w:val="33"/>
        </w:numPr>
        <w:spacing w:after="240"/>
        <w:jc w:val="both"/>
        <w:rPr>
          <w:rFonts w:cs="Calibri"/>
          <w:color w:val="000000" w:themeColor="text1"/>
        </w:rPr>
      </w:pPr>
      <w:r w:rsidRPr="00B17F58">
        <w:rPr>
          <w:rFonts w:cs="Calibri"/>
          <w:color w:val="000000" w:themeColor="text1"/>
        </w:rPr>
        <w:t xml:space="preserve">Diferenças nos movimentos do item coberto e do </w:t>
      </w:r>
      <w:r w:rsidR="000A783E">
        <w:rPr>
          <w:rFonts w:cs="Calibri"/>
          <w:color w:val="000000" w:themeColor="text1"/>
        </w:rPr>
        <w:t>instrumento</w:t>
      </w:r>
      <w:r w:rsidR="000A783E" w:rsidRPr="00B17F58">
        <w:rPr>
          <w:rFonts w:cs="Calibri"/>
          <w:color w:val="000000" w:themeColor="text1"/>
        </w:rPr>
        <w:t xml:space="preserve"> </w:t>
      </w:r>
      <w:r w:rsidRPr="00B17F58">
        <w:rPr>
          <w:rFonts w:cs="Calibri"/>
          <w:color w:val="000000" w:themeColor="text1"/>
        </w:rPr>
        <w:t xml:space="preserve">de cobertura: Se a relação entre o item coberto e o </w:t>
      </w:r>
      <w:r w:rsidR="000A783E">
        <w:rPr>
          <w:rFonts w:cs="Calibri"/>
          <w:color w:val="000000" w:themeColor="text1"/>
        </w:rPr>
        <w:t>inst</w:t>
      </w:r>
      <w:r w:rsidR="00E43B22">
        <w:rPr>
          <w:rFonts w:cs="Calibri"/>
          <w:color w:val="000000" w:themeColor="text1"/>
        </w:rPr>
        <w:t>ru</w:t>
      </w:r>
      <w:r w:rsidR="000A783E">
        <w:rPr>
          <w:rFonts w:cs="Calibri"/>
          <w:color w:val="000000" w:themeColor="text1"/>
        </w:rPr>
        <w:t>mento</w:t>
      </w:r>
      <w:r w:rsidR="000A783E" w:rsidRPr="00B17F58">
        <w:rPr>
          <w:rFonts w:cs="Calibri"/>
          <w:color w:val="000000" w:themeColor="text1"/>
        </w:rPr>
        <w:t xml:space="preserve"> </w:t>
      </w:r>
      <w:r w:rsidRPr="00B17F58">
        <w:rPr>
          <w:rFonts w:cs="Calibri"/>
          <w:color w:val="000000" w:themeColor="text1"/>
        </w:rPr>
        <w:t>de cobertura deixar de compensar adequadamente as alterações no risco coberto, como por exemplo quando a correlação enfraquece ao longo do tempo.</w:t>
      </w:r>
    </w:p>
    <w:p w14:paraId="34D2717E" w14:textId="1E26D4A8" w:rsidR="007E509B" w:rsidRPr="00073A7C" w:rsidRDefault="007E509B" w:rsidP="00073A7C">
      <w:pPr>
        <w:pStyle w:val="Corpo"/>
        <w:spacing w:after="240"/>
        <w:ind w:left="-284"/>
        <w:jc w:val="both"/>
        <w:rPr>
          <w:rFonts w:cs="Calibri"/>
          <w:b/>
          <w:bCs/>
          <w:i/>
          <w:iCs/>
          <w:color w:val="000000" w:themeColor="text1"/>
        </w:rPr>
      </w:pPr>
      <w:r w:rsidRPr="00073A7C">
        <w:rPr>
          <w:rFonts w:cs="Calibri"/>
          <w:b/>
          <w:bCs/>
          <w:color w:val="000000" w:themeColor="text1"/>
        </w:rPr>
        <w:t>Potenciais ações de</w:t>
      </w:r>
      <w:r w:rsidRPr="00073A7C">
        <w:rPr>
          <w:rFonts w:cs="Calibri"/>
          <w:b/>
          <w:bCs/>
          <w:i/>
          <w:iCs/>
          <w:color w:val="000000" w:themeColor="text1"/>
        </w:rPr>
        <w:t xml:space="preserve"> </w:t>
      </w:r>
      <w:proofErr w:type="spellStart"/>
      <w:r w:rsidRPr="00073A7C">
        <w:rPr>
          <w:rFonts w:cs="Calibri"/>
          <w:b/>
          <w:bCs/>
          <w:i/>
          <w:iCs/>
          <w:color w:val="000000" w:themeColor="text1"/>
        </w:rPr>
        <w:t>re</w:t>
      </w:r>
      <w:r w:rsidR="00073A7C">
        <w:rPr>
          <w:rFonts w:cs="Calibri"/>
          <w:b/>
          <w:bCs/>
          <w:i/>
          <w:iCs/>
          <w:color w:val="000000" w:themeColor="text1"/>
        </w:rPr>
        <w:t>balacing</w:t>
      </w:r>
      <w:proofErr w:type="spellEnd"/>
      <w:r w:rsidRPr="00073A7C">
        <w:rPr>
          <w:rFonts w:cs="Calibri"/>
          <w:b/>
          <w:bCs/>
          <w:i/>
          <w:iCs/>
          <w:color w:val="000000" w:themeColor="text1"/>
        </w:rPr>
        <w:t>:</w:t>
      </w:r>
    </w:p>
    <w:p w14:paraId="7C206C7A" w14:textId="77777777" w:rsidR="00563AA5" w:rsidRDefault="007E509B" w:rsidP="00563AA5">
      <w:pPr>
        <w:pStyle w:val="Corpo"/>
        <w:spacing w:after="240"/>
        <w:ind w:left="-284"/>
        <w:jc w:val="both"/>
        <w:rPr>
          <w:rFonts w:ascii="Times New Roman" w:eastAsia="Times New Roman" w:hAnsi="Times New Roman" w:cs="Times New Roman"/>
          <w:kern w:val="0"/>
          <w:szCs w:val="24"/>
          <w:lang w:eastAsia="pt-PT"/>
          <w14:ligatures w14:val="none"/>
        </w:rPr>
      </w:pPr>
      <w:r w:rsidRPr="00073A7C">
        <w:rPr>
          <w:rFonts w:cs="Calibri"/>
          <w:color w:val="000000" w:themeColor="text1"/>
        </w:rPr>
        <w:t xml:space="preserve">Se for determinado que o </w:t>
      </w:r>
      <w:proofErr w:type="spellStart"/>
      <w:r w:rsidRPr="00073A7C">
        <w:rPr>
          <w:rFonts w:cs="Calibri"/>
          <w:i/>
          <w:iCs/>
          <w:color w:val="000000" w:themeColor="text1"/>
        </w:rPr>
        <w:t>re</w:t>
      </w:r>
      <w:r w:rsidR="00073A7C" w:rsidRPr="00073A7C">
        <w:rPr>
          <w:rFonts w:cs="Calibri"/>
          <w:i/>
          <w:iCs/>
          <w:color w:val="000000" w:themeColor="text1"/>
        </w:rPr>
        <w:t>balacing</w:t>
      </w:r>
      <w:proofErr w:type="spellEnd"/>
      <w:r w:rsidRPr="00073A7C">
        <w:rPr>
          <w:rFonts w:cs="Calibri"/>
          <w:color w:val="000000" w:themeColor="text1"/>
        </w:rPr>
        <w:t xml:space="preserve"> é necessário, o Banco definirá as ações a tomar para ajustar a cobertura. As ações mais comuns são:</w:t>
      </w:r>
      <w:r w:rsidR="00563AA5" w:rsidRPr="00563AA5">
        <w:rPr>
          <w:rFonts w:ascii="Times New Roman" w:eastAsia="Times New Roman" w:hAnsi="Times New Roman" w:cs="Times New Roman"/>
          <w:kern w:val="0"/>
          <w:szCs w:val="24"/>
          <w:lang w:eastAsia="pt-PT"/>
          <w14:ligatures w14:val="none"/>
        </w:rPr>
        <w:t xml:space="preserve"> </w:t>
      </w:r>
    </w:p>
    <w:p w14:paraId="78798296" w14:textId="2157CBF4" w:rsidR="00563AA5" w:rsidRPr="00563AA5" w:rsidRDefault="00563AA5" w:rsidP="00563AA5">
      <w:pPr>
        <w:pStyle w:val="Corpo"/>
        <w:numPr>
          <w:ilvl w:val="0"/>
          <w:numId w:val="38"/>
        </w:numPr>
        <w:spacing w:after="240"/>
        <w:jc w:val="both"/>
        <w:rPr>
          <w:rFonts w:cs="Calibri"/>
          <w:color w:val="000000" w:themeColor="text1"/>
        </w:rPr>
      </w:pPr>
      <w:r w:rsidRPr="00563AA5">
        <w:rPr>
          <w:rFonts w:cs="Calibri"/>
          <w:color w:val="000000" w:themeColor="text1"/>
        </w:rPr>
        <w:t>Ajust</w:t>
      </w:r>
      <w:r w:rsidR="00F42D93">
        <w:rPr>
          <w:rFonts w:cs="Calibri"/>
          <w:color w:val="000000" w:themeColor="text1"/>
        </w:rPr>
        <w:t>e</w:t>
      </w:r>
      <w:r w:rsidRPr="00563AA5">
        <w:rPr>
          <w:rFonts w:cs="Calibri"/>
          <w:color w:val="000000" w:themeColor="text1"/>
        </w:rPr>
        <w:t xml:space="preserve"> </w:t>
      </w:r>
      <w:r w:rsidR="00F42D93">
        <w:rPr>
          <w:rFonts w:cs="Calibri"/>
          <w:color w:val="000000" w:themeColor="text1"/>
        </w:rPr>
        <w:t>d</w:t>
      </w:r>
      <w:r w:rsidRPr="00563AA5">
        <w:rPr>
          <w:rFonts w:cs="Calibri"/>
          <w:color w:val="000000" w:themeColor="text1"/>
        </w:rPr>
        <w:t xml:space="preserve">o </w:t>
      </w:r>
      <w:r w:rsidR="000A783E">
        <w:rPr>
          <w:rFonts w:cs="Calibri"/>
          <w:color w:val="000000" w:themeColor="text1"/>
        </w:rPr>
        <w:t>instrumento</w:t>
      </w:r>
      <w:r w:rsidR="000A783E" w:rsidRPr="00563AA5">
        <w:rPr>
          <w:rFonts w:cs="Calibri"/>
          <w:color w:val="000000" w:themeColor="text1"/>
        </w:rPr>
        <w:t xml:space="preserve"> </w:t>
      </w:r>
      <w:r w:rsidRPr="00563AA5">
        <w:rPr>
          <w:rFonts w:cs="Calibri"/>
          <w:color w:val="000000" w:themeColor="text1"/>
        </w:rPr>
        <w:t>de cobertura, por exemplo:</w:t>
      </w:r>
    </w:p>
    <w:p w14:paraId="4C1B0ACE" w14:textId="2D54696E" w:rsidR="00563AA5" w:rsidRDefault="00563AA5" w:rsidP="00563AA5">
      <w:pPr>
        <w:pStyle w:val="Corpo"/>
        <w:numPr>
          <w:ilvl w:val="0"/>
          <w:numId w:val="35"/>
        </w:numPr>
        <w:spacing w:after="240"/>
        <w:jc w:val="both"/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 xml:space="preserve">Através </w:t>
      </w:r>
      <w:r w:rsidR="00F42D93">
        <w:rPr>
          <w:rFonts w:cs="Calibri"/>
          <w:color w:val="000000" w:themeColor="text1"/>
        </w:rPr>
        <w:t>do ajuste</w:t>
      </w:r>
      <w:r>
        <w:rPr>
          <w:rFonts w:cs="Calibri"/>
          <w:color w:val="000000" w:themeColor="text1"/>
        </w:rPr>
        <w:t xml:space="preserve"> d</w:t>
      </w:r>
      <w:r w:rsidRPr="00563AA5">
        <w:rPr>
          <w:rFonts w:cs="Calibri"/>
          <w:color w:val="000000" w:themeColor="text1"/>
        </w:rPr>
        <w:t>a quantia nocional do derivado já designado</w:t>
      </w:r>
      <w:r w:rsidR="00BD4101">
        <w:rPr>
          <w:rFonts w:cs="Calibri"/>
          <w:color w:val="000000" w:themeColor="text1"/>
        </w:rPr>
        <w:t>;</w:t>
      </w:r>
    </w:p>
    <w:p w14:paraId="14D7C543" w14:textId="49A3CE0E" w:rsidR="00563AA5" w:rsidRDefault="00563AA5" w:rsidP="00563AA5">
      <w:pPr>
        <w:pStyle w:val="Corpo"/>
        <w:numPr>
          <w:ilvl w:val="0"/>
          <w:numId w:val="35"/>
        </w:numPr>
        <w:spacing w:after="240"/>
        <w:jc w:val="both"/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>Através da reestruturação d</w:t>
      </w:r>
      <w:r w:rsidRPr="00563AA5">
        <w:rPr>
          <w:rFonts w:cs="Calibri"/>
          <w:color w:val="000000" w:themeColor="text1"/>
        </w:rPr>
        <w:t xml:space="preserve">a data de maturidade do </w:t>
      </w:r>
      <w:r w:rsidR="00506F9B">
        <w:rPr>
          <w:rFonts w:cs="Calibri"/>
          <w:color w:val="000000" w:themeColor="text1"/>
        </w:rPr>
        <w:t>derivado</w:t>
      </w:r>
      <w:r w:rsidR="00506F9B" w:rsidRPr="00563AA5">
        <w:rPr>
          <w:rFonts w:cs="Calibri"/>
          <w:color w:val="000000" w:themeColor="text1"/>
        </w:rPr>
        <w:t xml:space="preserve"> </w:t>
      </w:r>
      <w:r w:rsidRPr="00563AA5">
        <w:rPr>
          <w:rFonts w:cs="Calibri"/>
          <w:color w:val="000000" w:themeColor="text1"/>
        </w:rPr>
        <w:t>de cobertura se esta já não corresponder ao horizonte temporal do item coberto</w:t>
      </w:r>
      <w:r w:rsidR="00BD4101">
        <w:rPr>
          <w:rFonts w:cs="Calibri"/>
          <w:color w:val="000000" w:themeColor="text1"/>
        </w:rPr>
        <w:t>; ou</w:t>
      </w:r>
    </w:p>
    <w:p w14:paraId="26F3B5FF" w14:textId="18CD0E53" w:rsidR="00563AA5" w:rsidRPr="00563AA5" w:rsidRDefault="00563AA5" w:rsidP="00563AA5">
      <w:pPr>
        <w:pStyle w:val="Corpo"/>
        <w:numPr>
          <w:ilvl w:val="0"/>
          <w:numId w:val="35"/>
        </w:numPr>
        <w:spacing w:after="240"/>
        <w:jc w:val="both"/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lastRenderedPageBreak/>
        <w:t xml:space="preserve">Através </w:t>
      </w:r>
      <w:r w:rsidR="00F42D93">
        <w:rPr>
          <w:rFonts w:cs="Calibri"/>
          <w:color w:val="000000" w:themeColor="text1"/>
        </w:rPr>
        <w:t>do ajuste</w:t>
      </w:r>
      <w:r w:rsidRPr="00563AA5">
        <w:rPr>
          <w:rFonts w:cs="Calibri"/>
          <w:color w:val="000000" w:themeColor="text1"/>
        </w:rPr>
        <w:t xml:space="preserve"> </w:t>
      </w:r>
      <w:r>
        <w:rPr>
          <w:rFonts w:cs="Calibri"/>
          <w:color w:val="000000" w:themeColor="text1"/>
        </w:rPr>
        <w:t>d</w:t>
      </w:r>
      <w:r w:rsidRPr="00563AA5">
        <w:rPr>
          <w:rFonts w:cs="Calibri"/>
          <w:color w:val="000000" w:themeColor="text1"/>
        </w:rPr>
        <w:t xml:space="preserve">o </w:t>
      </w:r>
      <w:r w:rsidR="000A783E">
        <w:rPr>
          <w:rFonts w:cs="Calibri"/>
          <w:color w:val="000000" w:themeColor="text1"/>
        </w:rPr>
        <w:t>derivado</w:t>
      </w:r>
      <w:r w:rsidR="00506F9B" w:rsidRPr="00563AA5">
        <w:rPr>
          <w:rFonts w:cs="Calibri"/>
          <w:color w:val="000000" w:themeColor="text1"/>
        </w:rPr>
        <w:t xml:space="preserve"> </w:t>
      </w:r>
      <w:r w:rsidRPr="00563AA5">
        <w:rPr>
          <w:rFonts w:cs="Calibri"/>
          <w:color w:val="000000" w:themeColor="text1"/>
        </w:rPr>
        <w:t>de cobertura</w:t>
      </w:r>
      <w:r w:rsidR="00BD4101">
        <w:rPr>
          <w:rFonts w:cs="Calibri"/>
          <w:color w:val="000000" w:themeColor="text1"/>
        </w:rPr>
        <w:t xml:space="preserve">, </w:t>
      </w:r>
      <w:r w:rsidRPr="00563AA5">
        <w:rPr>
          <w:rFonts w:cs="Calibri"/>
          <w:color w:val="000000" w:themeColor="text1"/>
        </w:rPr>
        <w:t xml:space="preserve">por exemplo, </w:t>
      </w:r>
      <w:r w:rsidR="00BD4101">
        <w:rPr>
          <w:rFonts w:cs="Calibri"/>
          <w:color w:val="000000" w:themeColor="text1"/>
        </w:rPr>
        <w:t xml:space="preserve">através da </w:t>
      </w:r>
      <w:r w:rsidRPr="00563AA5">
        <w:rPr>
          <w:rFonts w:cs="Calibri"/>
          <w:color w:val="000000" w:themeColor="text1"/>
        </w:rPr>
        <w:t>adi</w:t>
      </w:r>
      <w:r w:rsidR="00BD4101">
        <w:rPr>
          <w:rFonts w:cs="Calibri"/>
          <w:color w:val="000000" w:themeColor="text1"/>
        </w:rPr>
        <w:t>ção</w:t>
      </w:r>
      <w:r w:rsidRPr="00563AA5">
        <w:rPr>
          <w:rFonts w:cs="Calibri"/>
          <w:color w:val="000000" w:themeColor="text1"/>
        </w:rPr>
        <w:t xml:space="preserve"> ou remo</w:t>
      </w:r>
      <w:r w:rsidR="00BD4101">
        <w:rPr>
          <w:rFonts w:cs="Calibri"/>
          <w:color w:val="000000" w:themeColor="text1"/>
        </w:rPr>
        <w:t>ção dos</w:t>
      </w:r>
      <w:r w:rsidRPr="00563AA5">
        <w:rPr>
          <w:rFonts w:cs="Calibri"/>
          <w:color w:val="000000" w:themeColor="text1"/>
        </w:rPr>
        <w:t xml:space="preserve"> derivados para conseguir um melhor alinhamento com a quantia do item coberto.</w:t>
      </w:r>
    </w:p>
    <w:p w14:paraId="534E114C" w14:textId="57E01283" w:rsidR="00F42D93" w:rsidRPr="00F42D93" w:rsidRDefault="00F42D93" w:rsidP="00F42D93">
      <w:pPr>
        <w:pStyle w:val="Corpo"/>
        <w:numPr>
          <w:ilvl w:val="0"/>
          <w:numId w:val="38"/>
        </w:numPr>
        <w:spacing w:after="240"/>
        <w:jc w:val="both"/>
        <w:rPr>
          <w:rFonts w:cs="Calibri"/>
          <w:color w:val="000000" w:themeColor="text1"/>
        </w:rPr>
      </w:pPr>
      <w:r w:rsidRPr="00F42D93">
        <w:rPr>
          <w:rFonts w:cs="Calibri"/>
          <w:color w:val="000000" w:themeColor="text1"/>
        </w:rPr>
        <w:t>Ajust</w:t>
      </w:r>
      <w:r>
        <w:rPr>
          <w:rFonts w:cs="Calibri"/>
          <w:color w:val="000000" w:themeColor="text1"/>
        </w:rPr>
        <w:t>e</w:t>
      </w:r>
      <w:r w:rsidRPr="00F42D93">
        <w:rPr>
          <w:rFonts w:cs="Calibri"/>
          <w:color w:val="000000" w:themeColor="text1"/>
        </w:rPr>
        <w:t xml:space="preserve"> </w:t>
      </w:r>
      <w:r>
        <w:rPr>
          <w:rFonts w:cs="Calibri"/>
          <w:color w:val="000000" w:themeColor="text1"/>
        </w:rPr>
        <w:t>d</w:t>
      </w:r>
      <w:r w:rsidRPr="00F42D93">
        <w:rPr>
          <w:rFonts w:cs="Calibri"/>
          <w:color w:val="000000" w:themeColor="text1"/>
        </w:rPr>
        <w:t>o item coberto, por exemplo:</w:t>
      </w:r>
    </w:p>
    <w:p w14:paraId="6B23E0AF" w14:textId="0DAB55F4" w:rsidR="00396642" w:rsidRPr="00396642" w:rsidRDefault="00F42D93" w:rsidP="00396642">
      <w:pPr>
        <w:pStyle w:val="Corpo"/>
        <w:numPr>
          <w:ilvl w:val="0"/>
          <w:numId w:val="35"/>
        </w:numPr>
        <w:spacing w:after="240"/>
        <w:jc w:val="both"/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 xml:space="preserve">Através do ajuste da </w:t>
      </w:r>
      <w:r w:rsidRPr="00F42D93">
        <w:rPr>
          <w:rFonts w:cs="Calibri"/>
          <w:color w:val="000000" w:themeColor="text1"/>
        </w:rPr>
        <w:t>quantia no</w:t>
      </w:r>
      <w:r w:rsidR="009500AA">
        <w:rPr>
          <w:rFonts w:cs="Calibri"/>
          <w:color w:val="000000" w:themeColor="text1"/>
        </w:rPr>
        <w:t>minal</w:t>
      </w:r>
      <w:r w:rsidRPr="00F42D93">
        <w:rPr>
          <w:rFonts w:cs="Calibri"/>
          <w:color w:val="000000" w:themeColor="text1"/>
        </w:rPr>
        <w:t xml:space="preserve"> do item coberto designado.</w:t>
      </w:r>
      <w:r w:rsidR="00396642" w:rsidRPr="00396642">
        <w:rPr>
          <w:rFonts w:ascii="Times New Roman" w:eastAsia="Times New Roman" w:hAnsi="Times New Roman" w:cs="Times New Roman"/>
          <w:kern w:val="0"/>
          <w:szCs w:val="24"/>
          <w:lang w:eastAsia="pt-PT"/>
          <w14:ligatures w14:val="none"/>
        </w:rPr>
        <w:t xml:space="preserve"> </w:t>
      </w:r>
    </w:p>
    <w:p w14:paraId="71592AC1" w14:textId="334EDD24" w:rsidR="00396642" w:rsidRPr="00396642" w:rsidRDefault="00396642" w:rsidP="00396642">
      <w:pPr>
        <w:pStyle w:val="Corpo"/>
        <w:numPr>
          <w:ilvl w:val="0"/>
          <w:numId w:val="38"/>
        </w:numPr>
        <w:spacing w:after="240"/>
        <w:jc w:val="both"/>
        <w:rPr>
          <w:rFonts w:cs="Calibri"/>
          <w:color w:val="000000" w:themeColor="text1"/>
        </w:rPr>
      </w:pPr>
      <w:r w:rsidRPr="00396642">
        <w:rPr>
          <w:rFonts w:cs="Calibri"/>
          <w:color w:val="000000" w:themeColor="text1"/>
        </w:rPr>
        <w:t>Ajust</w:t>
      </w:r>
      <w:r>
        <w:rPr>
          <w:rFonts w:cs="Calibri"/>
          <w:color w:val="000000" w:themeColor="text1"/>
        </w:rPr>
        <w:t>e</w:t>
      </w:r>
      <w:r w:rsidRPr="00396642">
        <w:rPr>
          <w:rFonts w:cs="Calibri"/>
          <w:color w:val="000000" w:themeColor="text1"/>
        </w:rPr>
        <w:t xml:space="preserve"> </w:t>
      </w:r>
      <w:r>
        <w:rPr>
          <w:rFonts w:cs="Calibri"/>
          <w:color w:val="000000" w:themeColor="text1"/>
        </w:rPr>
        <w:t>d</w:t>
      </w:r>
      <w:r w:rsidRPr="00396642">
        <w:rPr>
          <w:rFonts w:cs="Calibri"/>
          <w:color w:val="000000" w:themeColor="text1"/>
        </w:rPr>
        <w:t>o rácio de cobertura:</w:t>
      </w:r>
    </w:p>
    <w:p w14:paraId="5A2C18EF" w14:textId="010D3647" w:rsidR="00396642" w:rsidRPr="00396642" w:rsidRDefault="00396642" w:rsidP="00396642">
      <w:pPr>
        <w:pStyle w:val="Corpo"/>
        <w:numPr>
          <w:ilvl w:val="0"/>
          <w:numId w:val="35"/>
        </w:numPr>
        <w:spacing w:after="240"/>
        <w:jc w:val="both"/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>E</w:t>
      </w:r>
      <w:r w:rsidRPr="00396642">
        <w:rPr>
          <w:rFonts w:cs="Calibri"/>
          <w:color w:val="000000" w:themeColor="text1"/>
        </w:rPr>
        <w:t xml:space="preserve">nvolve o ajuste da proporção do item coberto em relação ao </w:t>
      </w:r>
      <w:r>
        <w:rPr>
          <w:rFonts w:cs="Calibri"/>
          <w:color w:val="000000" w:themeColor="text1"/>
        </w:rPr>
        <w:t>i</w:t>
      </w:r>
      <w:r w:rsidR="009500AA">
        <w:rPr>
          <w:rFonts w:cs="Calibri"/>
          <w:color w:val="000000" w:themeColor="text1"/>
        </w:rPr>
        <w:t>nstrumento</w:t>
      </w:r>
      <w:r w:rsidRPr="00396642">
        <w:rPr>
          <w:rFonts w:cs="Calibri"/>
          <w:color w:val="000000" w:themeColor="text1"/>
        </w:rPr>
        <w:t xml:space="preserve"> de cobertura. Por exemplo, se o rácio de cobertura inicial for de 1:1 e for necessário um </w:t>
      </w:r>
      <w:proofErr w:type="spellStart"/>
      <w:r w:rsidRPr="00396642">
        <w:rPr>
          <w:rFonts w:cs="Calibri"/>
          <w:i/>
          <w:iCs/>
          <w:color w:val="000000" w:themeColor="text1"/>
        </w:rPr>
        <w:t>rebalacing</w:t>
      </w:r>
      <w:proofErr w:type="spellEnd"/>
      <w:r w:rsidRPr="00396642">
        <w:rPr>
          <w:rFonts w:cs="Calibri"/>
          <w:color w:val="000000" w:themeColor="text1"/>
        </w:rPr>
        <w:t xml:space="preserve">, o Banco pode considerar a possibilidade de </w:t>
      </w:r>
      <w:r w:rsidR="006E5DCA">
        <w:rPr>
          <w:rFonts w:cs="Calibri"/>
          <w:color w:val="000000" w:themeColor="text1"/>
        </w:rPr>
        <w:t>alterar</w:t>
      </w:r>
      <w:r w:rsidRPr="00396642">
        <w:rPr>
          <w:rFonts w:cs="Calibri"/>
          <w:color w:val="000000" w:themeColor="text1"/>
        </w:rPr>
        <w:t xml:space="preserve"> o rácio para 1:0,8 ou 1:1,2, a fim de melhorar a compensação do risco, sempre em função do objetivo da cobertura e da estratégia de gestão do risco.</w:t>
      </w:r>
    </w:p>
    <w:p w14:paraId="3FD17596" w14:textId="3E52BA42" w:rsidR="00EE7A53" w:rsidRPr="00EE7A53" w:rsidRDefault="00EE7A53" w:rsidP="00EE7A53">
      <w:pPr>
        <w:pStyle w:val="Corpo"/>
        <w:spacing w:after="240"/>
        <w:ind w:left="-284"/>
        <w:jc w:val="both"/>
        <w:rPr>
          <w:rFonts w:cs="Calibri"/>
          <w:b/>
          <w:bCs/>
          <w:color w:val="000000" w:themeColor="text1"/>
        </w:rPr>
      </w:pPr>
      <w:r>
        <w:rPr>
          <w:rFonts w:cs="Calibri"/>
          <w:b/>
          <w:bCs/>
          <w:color w:val="000000" w:themeColor="text1"/>
        </w:rPr>
        <w:t>Implicações do</w:t>
      </w:r>
      <w:r w:rsidRPr="00EE7A53">
        <w:rPr>
          <w:rFonts w:cs="Calibri"/>
          <w:b/>
          <w:bCs/>
          <w:color w:val="000000" w:themeColor="text1"/>
        </w:rPr>
        <w:t xml:space="preserve"> </w:t>
      </w:r>
      <w:proofErr w:type="spellStart"/>
      <w:r w:rsidRPr="006047F5">
        <w:rPr>
          <w:rFonts w:cs="Calibri"/>
          <w:b/>
          <w:bCs/>
          <w:i/>
          <w:iCs/>
          <w:color w:val="000000" w:themeColor="text1"/>
        </w:rPr>
        <w:t>rebalacing</w:t>
      </w:r>
      <w:proofErr w:type="spellEnd"/>
      <w:r w:rsidRPr="00EE7A53">
        <w:rPr>
          <w:rFonts w:cs="Calibri"/>
          <w:b/>
          <w:bCs/>
          <w:color w:val="000000" w:themeColor="text1"/>
        </w:rPr>
        <w:t>:</w:t>
      </w:r>
    </w:p>
    <w:p w14:paraId="054811A8" w14:textId="1ED87D75" w:rsidR="006047F5" w:rsidRPr="006047F5" w:rsidRDefault="006047F5" w:rsidP="006047F5">
      <w:pPr>
        <w:pStyle w:val="Corpo"/>
        <w:spacing w:after="240"/>
        <w:ind w:left="-284"/>
        <w:jc w:val="both"/>
        <w:rPr>
          <w:rFonts w:cs="Calibri"/>
          <w:color w:val="000000" w:themeColor="text1"/>
        </w:rPr>
      </w:pPr>
      <w:r w:rsidRPr="006047F5">
        <w:rPr>
          <w:rFonts w:cs="Calibri"/>
          <w:color w:val="000000" w:themeColor="text1"/>
        </w:rPr>
        <w:t xml:space="preserve">O </w:t>
      </w:r>
      <w:proofErr w:type="spellStart"/>
      <w:r w:rsidRPr="006047F5">
        <w:rPr>
          <w:rFonts w:cs="Calibri"/>
          <w:i/>
          <w:iCs/>
          <w:color w:val="000000" w:themeColor="text1"/>
        </w:rPr>
        <w:t>rebalacing</w:t>
      </w:r>
      <w:proofErr w:type="spellEnd"/>
      <w:r w:rsidRPr="006047F5">
        <w:rPr>
          <w:rFonts w:cs="Calibri"/>
          <w:color w:val="000000" w:themeColor="text1"/>
        </w:rPr>
        <w:t xml:space="preserve"> é considerado uma continuação da relação de cobertura de acordo com a IFRS 9</w:t>
      </w:r>
      <w:r w:rsidR="0025736F">
        <w:rPr>
          <w:rFonts w:cs="Calibri"/>
          <w:color w:val="000000" w:themeColor="text1"/>
        </w:rPr>
        <w:t xml:space="preserve"> (</w:t>
      </w:r>
      <w:r w:rsidRPr="006047F5">
        <w:rPr>
          <w:rFonts w:cs="Calibri"/>
          <w:color w:val="000000" w:themeColor="text1"/>
        </w:rPr>
        <w:t>B6.5.8</w:t>
      </w:r>
      <w:r w:rsidR="0025736F">
        <w:rPr>
          <w:rFonts w:cs="Calibri"/>
          <w:color w:val="000000" w:themeColor="text1"/>
        </w:rPr>
        <w:t xml:space="preserve">). </w:t>
      </w:r>
      <w:r w:rsidRPr="006047F5">
        <w:rPr>
          <w:rFonts w:cs="Calibri"/>
          <w:color w:val="000000" w:themeColor="text1"/>
        </w:rPr>
        <w:t xml:space="preserve">Aquando do </w:t>
      </w:r>
      <w:proofErr w:type="spellStart"/>
      <w:r w:rsidRPr="006047F5">
        <w:rPr>
          <w:rFonts w:cs="Calibri"/>
          <w:i/>
          <w:iCs/>
          <w:color w:val="000000" w:themeColor="text1"/>
        </w:rPr>
        <w:t>r</w:t>
      </w:r>
      <w:r>
        <w:rPr>
          <w:rFonts w:cs="Calibri"/>
          <w:i/>
          <w:iCs/>
          <w:color w:val="000000" w:themeColor="text1"/>
        </w:rPr>
        <w:t>e</w:t>
      </w:r>
      <w:r w:rsidRPr="006047F5">
        <w:rPr>
          <w:rFonts w:cs="Calibri"/>
          <w:i/>
          <w:iCs/>
          <w:color w:val="000000" w:themeColor="text1"/>
        </w:rPr>
        <w:t>balacing</w:t>
      </w:r>
      <w:proofErr w:type="spellEnd"/>
      <w:r w:rsidRPr="006047F5">
        <w:rPr>
          <w:rFonts w:cs="Calibri"/>
          <w:color w:val="000000" w:themeColor="text1"/>
        </w:rPr>
        <w:t xml:space="preserve">, qualquer ineficácia de </w:t>
      </w:r>
      <w:r w:rsidR="003A5A13">
        <w:rPr>
          <w:rFonts w:cs="Calibri"/>
          <w:color w:val="000000" w:themeColor="text1"/>
        </w:rPr>
        <w:t>cobertura</w:t>
      </w:r>
      <w:r w:rsidRPr="006047F5">
        <w:rPr>
          <w:rFonts w:cs="Calibri"/>
          <w:color w:val="000000" w:themeColor="text1"/>
        </w:rPr>
        <w:t xml:space="preserve"> é imediatamente reconhecida </w:t>
      </w:r>
      <w:r w:rsidR="00F60885">
        <w:rPr>
          <w:rFonts w:cs="Calibri"/>
          <w:color w:val="000000" w:themeColor="text1"/>
        </w:rPr>
        <w:t xml:space="preserve">nos resultados do período </w:t>
      </w:r>
      <w:r w:rsidRPr="006047F5">
        <w:rPr>
          <w:rFonts w:cs="Calibri"/>
          <w:color w:val="000000" w:themeColor="text1"/>
        </w:rPr>
        <w:t>antes de ajustar a relação</w:t>
      </w:r>
      <w:r w:rsidR="003A5A13">
        <w:rPr>
          <w:rFonts w:cs="Calibri"/>
          <w:color w:val="000000" w:themeColor="text1"/>
        </w:rPr>
        <w:t xml:space="preserve"> de cobertura</w:t>
      </w:r>
      <w:r w:rsidRPr="006047F5">
        <w:rPr>
          <w:rFonts w:cs="Calibri"/>
          <w:color w:val="000000" w:themeColor="text1"/>
        </w:rPr>
        <w:t>.</w:t>
      </w:r>
    </w:p>
    <w:p w14:paraId="38DA13A7" w14:textId="136C2F29" w:rsidR="006047F5" w:rsidRPr="006047F5" w:rsidRDefault="006047F5" w:rsidP="006047F5">
      <w:pPr>
        <w:pStyle w:val="Corpo"/>
        <w:spacing w:after="240"/>
        <w:ind w:left="-284"/>
        <w:jc w:val="both"/>
        <w:rPr>
          <w:rFonts w:cs="Calibri"/>
          <w:color w:val="000000" w:themeColor="text1"/>
        </w:rPr>
      </w:pPr>
      <w:r w:rsidRPr="006047F5">
        <w:rPr>
          <w:rFonts w:cs="Calibri"/>
          <w:color w:val="000000" w:themeColor="text1"/>
        </w:rPr>
        <w:t xml:space="preserve">O </w:t>
      </w:r>
      <w:proofErr w:type="spellStart"/>
      <w:r w:rsidRPr="006047F5">
        <w:rPr>
          <w:rFonts w:cs="Calibri"/>
          <w:i/>
          <w:iCs/>
          <w:color w:val="000000" w:themeColor="text1"/>
        </w:rPr>
        <w:t>rebalacing</w:t>
      </w:r>
      <w:proofErr w:type="spellEnd"/>
      <w:r w:rsidRPr="006047F5">
        <w:rPr>
          <w:rFonts w:cs="Calibri"/>
          <w:color w:val="000000" w:themeColor="text1"/>
        </w:rPr>
        <w:t xml:space="preserve"> da cobertura através d</w:t>
      </w:r>
      <w:r>
        <w:rPr>
          <w:rFonts w:cs="Calibri"/>
          <w:color w:val="000000" w:themeColor="text1"/>
        </w:rPr>
        <w:t xml:space="preserve">o ajuste </w:t>
      </w:r>
      <w:r w:rsidRPr="006047F5">
        <w:rPr>
          <w:rFonts w:cs="Calibri"/>
          <w:color w:val="000000" w:themeColor="text1"/>
        </w:rPr>
        <w:t>do i</w:t>
      </w:r>
      <w:r w:rsidR="0052120C">
        <w:rPr>
          <w:rFonts w:cs="Calibri"/>
          <w:color w:val="000000" w:themeColor="text1"/>
        </w:rPr>
        <w:t>nstrumento</w:t>
      </w:r>
      <w:r>
        <w:rPr>
          <w:rFonts w:cs="Calibri"/>
          <w:color w:val="000000" w:themeColor="text1"/>
        </w:rPr>
        <w:t xml:space="preserve"> </w:t>
      </w:r>
      <w:r w:rsidRPr="006047F5">
        <w:rPr>
          <w:rFonts w:cs="Calibri"/>
          <w:color w:val="000000" w:themeColor="text1"/>
        </w:rPr>
        <w:t xml:space="preserve">de cobertura ou do item coberto não afeta a forma como as alterações no justo valor do item coberto ou do </w:t>
      </w:r>
      <w:r>
        <w:rPr>
          <w:rFonts w:cs="Calibri"/>
          <w:color w:val="000000" w:themeColor="text1"/>
        </w:rPr>
        <w:t>i</w:t>
      </w:r>
      <w:r w:rsidR="00C42664">
        <w:rPr>
          <w:rFonts w:cs="Calibri"/>
          <w:color w:val="000000" w:themeColor="text1"/>
        </w:rPr>
        <w:t xml:space="preserve">nstrumento </w:t>
      </w:r>
      <w:r w:rsidRPr="006047F5">
        <w:rPr>
          <w:rFonts w:cs="Calibri"/>
          <w:color w:val="000000" w:themeColor="text1"/>
        </w:rPr>
        <w:t>de cobertura são mensuradas.</w:t>
      </w:r>
    </w:p>
    <w:p w14:paraId="2130BB4C" w14:textId="3A522AC6" w:rsidR="006047F5" w:rsidRPr="006047F5" w:rsidRDefault="006047F5" w:rsidP="006047F5">
      <w:pPr>
        <w:pStyle w:val="Corpo"/>
        <w:spacing w:after="240"/>
        <w:ind w:left="-284"/>
        <w:jc w:val="both"/>
        <w:rPr>
          <w:rFonts w:cs="Calibri"/>
          <w:color w:val="000000" w:themeColor="text1"/>
        </w:rPr>
      </w:pPr>
      <w:r w:rsidRPr="006047F5">
        <w:rPr>
          <w:rFonts w:cs="Calibri"/>
          <w:color w:val="000000" w:themeColor="text1"/>
        </w:rPr>
        <w:t xml:space="preserve">As alterações no justo valor dos instrumentos </w:t>
      </w:r>
      <w:r>
        <w:rPr>
          <w:rFonts w:cs="Calibri"/>
          <w:color w:val="000000" w:themeColor="text1"/>
        </w:rPr>
        <w:t>ajustados</w:t>
      </w:r>
      <w:r w:rsidRPr="006047F5">
        <w:rPr>
          <w:rFonts w:cs="Calibri"/>
          <w:color w:val="000000" w:themeColor="text1"/>
        </w:rPr>
        <w:t xml:space="preserve"> serão avaliadas a partir da data de </w:t>
      </w:r>
      <w:proofErr w:type="spellStart"/>
      <w:r w:rsidRPr="006047F5">
        <w:rPr>
          <w:rFonts w:cs="Calibri"/>
          <w:i/>
          <w:iCs/>
          <w:color w:val="000000" w:themeColor="text1"/>
        </w:rPr>
        <w:t>rebalacing</w:t>
      </w:r>
      <w:proofErr w:type="spellEnd"/>
      <w:r w:rsidRPr="006047F5">
        <w:rPr>
          <w:rFonts w:cs="Calibri"/>
          <w:color w:val="000000" w:themeColor="text1"/>
        </w:rPr>
        <w:t xml:space="preserve">, e com referência a esta data, </w:t>
      </w:r>
      <w:r>
        <w:rPr>
          <w:rFonts w:cs="Calibri"/>
          <w:color w:val="000000" w:themeColor="text1"/>
        </w:rPr>
        <w:t>ao invés da</w:t>
      </w:r>
      <w:r w:rsidRPr="006047F5">
        <w:rPr>
          <w:rFonts w:cs="Calibri"/>
          <w:color w:val="000000" w:themeColor="text1"/>
        </w:rPr>
        <w:t xml:space="preserve"> data em que a relação de cobertura foi originalmente designada. Se ocorrer uma redução no item coberto ou no </w:t>
      </w:r>
      <w:r w:rsidR="00F60885">
        <w:rPr>
          <w:rFonts w:cs="Calibri"/>
          <w:color w:val="000000" w:themeColor="text1"/>
        </w:rPr>
        <w:t>instrumento</w:t>
      </w:r>
      <w:r w:rsidR="00F60885" w:rsidRPr="006047F5">
        <w:rPr>
          <w:rFonts w:cs="Calibri"/>
          <w:color w:val="000000" w:themeColor="text1"/>
        </w:rPr>
        <w:t xml:space="preserve"> </w:t>
      </w:r>
      <w:r w:rsidRPr="006047F5">
        <w:rPr>
          <w:rFonts w:cs="Calibri"/>
          <w:color w:val="000000" w:themeColor="text1"/>
        </w:rPr>
        <w:t>de cobertura, esta será contabilizada de acordo com os requisitos para a descontinuação da cobertura (a menos que seja designada como parte de uma relação de cobertura diferente).</w:t>
      </w:r>
    </w:p>
    <w:p w14:paraId="1C508684" w14:textId="7BB76FF2" w:rsidR="005710EB" w:rsidRPr="006047F5" w:rsidRDefault="006047F5" w:rsidP="005710EB">
      <w:pPr>
        <w:pStyle w:val="Corpo"/>
        <w:spacing w:after="240"/>
        <w:ind w:left="-284"/>
        <w:jc w:val="both"/>
        <w:rPr>
          <w:rFonts w:cs="Calibri"/>
          <w:color w:val="000000" w:themeColor="text1"/>
        </w:rPr>
      </w:pPr>
      <w:r w:rsidRPr="007A5C8A">
        <w:rPr>
          <w:rFonts w:cs="Calibri"/>
          <w:color w:val="000000" w:themeColor="text1"/>
        </w:rPr>
        <w:t xml:space="preserve">Adicionalmente, ao </w:t>
      </w:r>
      <w:r w:rsidR="00B8736E" w:rsidRPr="007A5C8A">
        <w:rPr>
          <w:rFonts w:cs="Calibri"/>
          <w:color w:val="000000" w:themeColor="text1"/>
        </w:rPr>
        <w:t xml:space="preserve">efetuar o </w:t>
      </w:r>
      <w:proofErr w:type="spellStart"/>
      <w:r w:rsidR="00B8736E" w:rsidRPr="007A5C8A">
        <w:rPr>
          <w:rFonts w:cs="Calibri"/>
          <w:i/>
          <w:iCs/>
          <w:color w:val="000000" w:themeColor="text1"/>
        </w:rPr>
        <w:t>rebalacing</w:t>
      </w:r>
      <w:proofErr w:type="spellEnd"/>
      <w:r w:rsidRPr="007A5C8A">
        <w:rPr>
          <w:rFonts w:cs="Calibri"/>
          <w:color w:val="000000" w:themeColor="text1"/>
        </w:rPr>
        <w:t>, o Banco atualizará a correspondente documentação de cobertura em conformidade</w:t>
      </w:r>
      <w:r w:rsidR="007A5C8A" w:rsidRPr="007A5C8A">
        <w:rPr>
          <w:rFonts w:cs="Calibri"/>
          <w:color w:val="000000" w:themeColor="text1"/>
        </w:rPr>
        <w:t xml:space="preserve"> com as alterações impostas pelo </w:t>
      </w:r>
      <w:proofErr w:type="spellStart"/>
      <w:r w:rsidR="007A5C8A" w:rsidRPr="007A5C8A">
        <w:rPr>
          <w:rFonts w:cs="Calibri"/>
          <w:i/>
          <w:iCs/>
          <w:color w:val="000000" w:themeColor="text1"/>
        </w:rPr>
        <w:t>rebalacing</w:t>
      </w:r>
      <w:proofErr w:type="spellEnd"/>
      <w:r w:rsidRPr="007A5C8A">
        <w:rPr>
          <w:rFonts w:cs="Calibri"/>
          <w:color w:val="000000" w:themeColor="text1"/>
        </w:rPr>
        <w:t>.</w:t>
      </w:r>
    </w:p>
    <w:p w14:paraId="4390A3A6" w14:textId="01447E01" w:rsidR="005710EB" w:rsidRDefault="008F0788" w:rsidP="005710EB">
      <w:pPr>
        <w:pStyle w:val="Ttulo11"/>
        <w:numPr>
          <w:ilvl w:val="0"/>
          <w:numId w:val="6"/>
        </w:numPr>
      </w:pPr>
      <w:bookmarkStart w:id="26" w:name="_Toc205551777"/>
      <w:r>
        <w:t xml:space="preserve">Descontinuação </w:t>
      </w:r>
      <w:r w:rsidR="005710EB">
        <w:t>da Cobertura</w:t>
      </w:r>
      <w:bookmarkEnd w:id="26"/>
    </w:p>
    <w:p w14:paraId="2D6D83B9" w14:textId="76CEB51E" w:rsidR="005710EB" w:rsidRDefault="005710EB" w:rsidP="005710EB">
      <w:pPr>
        <w:pStyle w:val="Corpo"/>
        <w:spacing w:after="240"/>
        <w:ind w:left="-284"/>
        <w:jc w:val="both"/>
        <w:rPr>
          <w:rFonts w:cs="Calibri"/>
          <w:color w:val="000000" w:themeColor="text1"/>
        </w:rPr>
      </w:pPr>
      <w:r w:rsidRPr="005710EB">
        <w:rPr>
          <w:rFonts w:cs="Calibri"/>
          <w:color w:val="000000" w:themeColor="text1"/>
        </w:rPr>
        <w:t>De acordo com a IFRS 9, uma relação de cobertura pode ser descontinuada ou terminada antes da sua maturidade natural por diversas razões. De acordo com o parágrafo 6.5.6</w:t>
      </w:r>
      <w:r w:rsidR="0039224C">
        <w:rPr>
          <w:rFonts w:cs="Calibri"/>
          <w:color w:val="000000" w:themeColor="text1"/>
        </w:rPr>
        <w:t xml:space="preserve"> da IFRS9</w:t>
      </w:r>
      <w:r w:rsidRPr="005710EB">
        <w:rPr>
          <w:rFonts w:cs="Calibri"/>
          <w:color w:val="000000" w:themeColor="text1"/>
        </w:rPr>
        <w:t xml:space="preserve">, o Banco irá descontinuar a contabilidade de cobertura </w:t>
      </w:r>
      <w:proofErr w:type="spellStart"/>
      <w:r w:rsidRPr="005710EB">
        <w:rPr>
          <w:rFonts w:cs="Calibri"/>
          <w:color w:val="000000" w:themeColor="text1"/>
        </w:rPr>
        <w:t>prospetivamente</w:t>
      </w:r>
      <w:proofErr w:type="spellEnd"/>
      <w:r w:rsidRPr="005710EB">
        <w:rPr>
          <w:rFonts w:cs="Calibri"/>
          <w:color w:val="000000" w:themeColor="text1"/>
        </w:rPr>
        <w:t xml:space="preserve"> apenas quando a relação de cobertura, ou parte dela, deixar de cumprir os critérios exigidos</w:t>
      </w:r>
      <w:r w:rsidR="00F60885">
        <w:rPr>
          <w:rFonts w:cs="Calibri"/>
          <w:color w:val="000000" w:themeColor="text1"/>
        </w:rPr>
        <w:t xml:space="preserve"> (conforme descrito </w:t>
      </w:r>
      <w:r w:rsidR="00E158F6">
        <w:rPr>
          <w:rFonts w:cs="Calibri"/>
          <w:color w:val="000000" w:themeColor="text1"/>
        </w:rPr>
        <w:t>no ponto</w:t>
      </w:r>
      <w:r w:rsidR="00F60885">
        <w:rPr>
          <w:rFonts w:cs="Calibri"/>
          <w:color w:val="000000" w:themeColor="text1"/>
        </w:rPr>
        <w:t xml:space="preserve"> </w:t>
      </w:r>
      <w:r w:rsidR="00881F4F">
        <w:rPr>
          <w:rFonts w:cs="Calibri"/>
          <w:color w:val="000000" w:themeColor="text1"/>
        </w:rPr>
        <w:t>8</w:t>
      </w:r>
      <w:r w:rsidR="00E158F6">
        <w:rPr>
          <w:rFonts w:cs="Calibri"/>
          <w:color w:val="000000" w:themeColor="text1"/>
        </w:rPr>
        <w:t>.</w:t>
      </w:r>
      <w:r w:rsidR="00F60885">
        <w:rPr>
          <w:rFonts w:cs="Calibri"/>
          <w:color w:val="000000" w:themeColor="text1"/>
        </w:rPr>
        <w:t>)</w:t>
      </w:r>
      <w:r w:rsidRPr="005710EB">
        <w:rPr>
          <w:rFonts w:cs="Calibri"/>
          <w:color w:val="000000" w:themeColor="text1"/>
        </w:rPr>
        <w:t xml:space="preserve">, após considerar qualquer </w:t>
      </w:r>
      <w:proofErr w:type="spellStart"/>
      <w:r w:rsidRPr="005710EB">
        <w:rPr>
          <w:rFonts w:cs="Calibri"/>
          <w:i/>
          <w:iCs/>
          <w:color w:val="000000" w:themeColor="text1"/>
        </w:rPr>
        <w:t>rebalacing</w:t>
      </w:r>
      <w:proofErr w:type="spellEnd"/>
      <w:r>
        <w:rPr>
          <w:rFonts w:cs="Calibri"/>
          <w:color w:val="000000" w:themeColor="text1"/>
        </w:rPr>
        <w:t xml:space="preserve"> </w:t>
      </w:r>
      <w:r w:rsidRPr="005710EB">
        <w:rPr>
          <w:rFonts w:cs="Calibri"/>
          <w:color w:val="000000" w:themeColor="text1"/>
        </w:rPr>
        <w:t>necessário</w:t>
      </w:r>
      <w:r w:rsidR="004E4628">
        <w:rPr>
          <w:rFonts w:cs="Calibri"/>
          <w:color w:val="000000" w:themeColor="text1"/>
        </w:rPr>
        <w:t>.</w:t>
      </w:r>
    </w:p>
    <w:p w14:paraId="61D6CC56" w14:textId="77777777" w:rsidR="002758F7" w:rsidRDefault="005710EB" w:rsidP="005710EB">
      <w:pPr>
        <w:pStyle w:val="Corpo"/>
        <w:spacing w:after="240"/>
        <w:ind w:left="-284"/>
        <w:jc w:val="both"/>
        <w:rPr>
          <w:rFonts w:cs="Calibri"/>
          <w:color w:val="000000" w:themeColor="text1"/>
        </w:rPr>
      </w:pPr>
      <w:r w:rsidRPr="005710EB">
        <w:rPr>
          <w:rFonts w:cs="Calibri"/>
          <w:color w:val="000000" w:themeColor="text1"/>
        </w:rPr>
        <w:t xml:space="preserve">A descontinuação da cobertura pode afetar a totalidade da relação de cobertura ou apenas parte dela. Neste caso, a contabilidade de cobertura continuará a ser aplicada à parte remanescente da relação de cobertura. </w:t>
      </w:r>
    </w:p>
    <w:p w14:paraId="5FD30F7D" w14:textId="7A00F36D" w:rsidR="007072CB" w:rsidRPr="002758F7" w:rsidRDefault="002758F7" w:rsidP="005710EB">
      <w:pPr>
        <w:pStyle w:val="Corpo"/>
        <w:spacing w:after="240"/>
        <w:ind w:left="-284"/>
        <w:jc w:val="both"/>
        <w:rPr>
          <w:rFonts w:cs="Calibri"/>
          <w:b/>
          <w:bCs/>
          <w:color w:val="000000" w:themeColor="text1"/>
        </w:rPr>
      </w:pPr>
      <w:r w:rsidRPr="002758F7">
        <w:rPr>
          <w:rFonts w:cs="Calibri"/>
          <w:b/>
          <w:bCs/>
          <w:color w:val="000000" w:themeColor="text1"/>
        </w:rPr>
        <w:lastRenderedPageBreak/>
        <w:t>P</w:t>
      </w:r>
      <w:r w:rsidR="00022C36" w:rsidRPr="005710EB">
        <w:rPr>
          <w:rFonts w:cs="Calibri"/>
          <w:b/>
          <w:bCs/>
          <w:color w:val="000000" w:themeColor="text1"/>
        </w:rPr>
        <w:t xml:space="preserve">rincipais </w:t>
      </w:r>
      <w:r w:rsidR="00022C36" w:rsidRPr="002758F7">
        <w:rPr>
          <w:rFonts w:cs="Calibri"/>
          <w:b/>
          <w:bCs/>
          <w:color w:val="000000" w:themeColor="text1"/>
        </w:rPr>
        <w:t>causas de</w:t>
      </w:r>
      <w:r w:rsidR="00022C36" w:rsidRPr="005710EB">
        <w:rPr>
          <w:rFonts w:cs="Calibri"/>
          <w:b/>
          <w:bCs/>
          <w:color w:val="000000" w:themeColor="text1"/>
        </w:rPr>
        <w:t xml:space="preserve"> descontinuação da cobertura</w:t>
      </w:r>
      <w:r w:rsidR="00022C36" w:rsidRPr="002758F7">
        <w:rPr>
          <w:rFonts w:cs="Calibri"/>
          <w:b/>
          <w:bCs/>
          <w:color w:val="000000" w:themeColor="text1"/>
        </w:rPr>
        <w:t>:</w:t>
      </w:r>
    </w:p>
    <w:p w14:paraId="67371FA8" w14:textId="646C234F" w:rsidR="005710EB" w:rsidRDefault="007072CB" w:rsidP="007072CB">
      <w:pPr>
        <w:pStyle w:val="Corpo"/>
        <w:spacing w:after="240"/>
        <w:ind w:left="-284"/>
        <w:jc w:val="both"/>
        <w:rPr>
          <w:rFonts w:cs="Calibri"/>
          <w:color w:val="000000" w:themeColor="text1"/>
        </w:rPr>
      </w:pPr>
      <w:r w:rsidRPr="007072CB">
        <w:rPr>
          <w:rFonts w:cs="Calibri"/>
          <w:color w:val="000000" w:themeColor="text1"/>
        </w:rPr>
        <w:t xml:space="preserve">São várias as situações que podem levar à interrupção de uma relação de cobertura ao abrigo da IFRS 9, tendo em conta que </w:t>
      </w:r>
      <w:r w:rsidR="00BC7498">
        <w:rPr>
          <w:rFonts w:cs="Calibri"/>
          <w:color w:val="000000" w:themeColor="text1"/>
        </w:rPr>
        <w:t xml:space="preserve">esta </w:t>
      </w:r>
      <w:r w:rsidRPr="007072CB">
        <w:rPr>
          <w:rFonts w:cs="Calibri"/>
          <w:color w:val="000000" w:themeColor="text1"/>
        </w:rPr>
        <w:t>não permite a descontinuação voluntária de relações de cobertura</w:t>
      </w:r>
      <w:r w:rsidR="00604FB7">
        <w:rPr>
          <w:rFonts w:cs="Calibri"/>
          <w:color w:val="000000" w:themeColor="text1"/>
        </w:rPr>
        <w:t xml:space="preserve">: </w:t>
      </w:r>
    </w:p>
    <w:p w14:paraId="6E4E7EAD" w14:textId="77777777" w:rsidR="0008788F" w:rsidRDefault="0008788F" w:rsidP="0008788F">
      <w:pPr>
        <w:pStyle w:val="Corpo"/>
        <w:numPr>
          <w:ilvl w:val="0"/>
          <w:numId w:val="38"/>
        </w:numPr>
        <w:spacing w:after="240"/>
        <w:jc w:val="both"/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>Ajustes</w:t>
      </w:r>
      <w:r w:rsidRPr="00916482">
        <w:rPr>
          <w:rFonts w:cs="Calibri"/>
          <w:color w:val="000000" w:themeColor="text1"/>
        </w:rPr>
        <w:t xml:space="preserve"> do item coberto: Se o item coberto for amortizado, vendido ou modificado de tal forma que deixe de estar alinhado com os termos da cobertura, a relação também pode terminar (IFRS 9, parágrafo B6.5.27).</w:t>
      </w:r>
    </w:p>
    <w:p w14:paraId="3DC2A4C1" w14:textId="53C3A44A" w:rsidR="00673F70" w:rsidRDefault="00673F70" w:rsidP="00673F70">
      <w:pPr>
        <w:pStyle w:val="Corpo"/>
        <w:numPr>
          <w:ilvl w:val="0"/>
          <w:numId w:val="38"/>
        </w:numPr>
        <w:spacing w:after="240"/>
        <w:jc w:val="both"/>
        <w:rPr>
          <w:rFonts w:cs="Calibri"/>
          <w:color w:val="000000" w:themeColor="text1"/>
        </w:rPr>
      </w:pPr>
      <w:r w:rsidRPr="00673F70">
        <w:rPr>
          <w:rFonts w:cs="Calibri"/>
          <w:color w:val="000000" w:themeColor="text1"/>
        </w:rPr>
        <w:t>Alteração da estratégia de gestão do risco: Se a estratégia de gestão de risco da relação de cobertura designada se alterar, o Banco pode decidir descontinuar a cobertura. Esta alteração pode resultar de variações na envolvente económica, de ajust</w:t>
      </w:r>
      <w:r>
        <w:rPr>
          <w:rFonts w:cs="Calibri"/>
          <w:color w:val="000000" w:themeColor="text1"/>
        </w:rPr>
        <w:t xml:space="preserve">es </w:t>
      </w:r>
      <w:r w:rsidRPr="00673F70">
        <w:rPr>
          <w:rFonts w:cs="Calibri"/>
          <w:color w:val="000000" w:themeColor="text1"/>
        </w:rPr>
        <w:t>nas políticas de gestão de risco ou de alterações na exposição ao risco subjacente (IFRS 9, parágrafo 6.5.6).</w:t>
      </w:r>
    </w:p>
    <w:p w14:paraId="535A99E2" w14:textId="200BD547" w:rsidR="00673F70" w:rsidRDefault="00673F70" w:rsidP="00673F70">
      <w:pPr>
        <w:pStyle w:val="Corpo"/>
        <w:numPr>
          <w:ilvl w:val="0"/>
          <w:numId w:val="38"/>
        </w:numPr>
        <w:spacing w:after="240"/>
        <w:jc w:val="both"/>
        <w:rPr>
          <w:rFonts w:cs="Calibri"/>
          <w:color w:val="000000" w:themeColor="text1"/>
        </w:rPr>
      </w:pPr>
      <w:r w:rsidRPr="00673F70">
        <w:rPr>
          <w:rFonts w:cs="Calibri"/>
          <w:color w:val="000000" w:themeColor="text1"/>
        </w:rPr>
        <w:t xml:space="preserve">Ineficácia da Cobertura: Se a cobertura deixar de cumprir </w:t>
      </w:r>
      <w:r w:rsidR="002172A7">
        <w:rPr>
          <w:rFonts w:cs="Calibri"/>
          <w:color w:val="000000" w:themeColor="text1"/>
        </w:rPr>
        <w:t xml:space="preserve">com </w:t>
      </w:r>
      <w:r w:rsidRPr="00673F70">
        <w:rPr>
          <w:rFonts w:cs="Calibri"/>
          <w:color w:val="000000" w:themeColor="text1"/>
        </w:rPr>
        <w:t>os critérios de eficácia exigidos pela IFRS 9, a relação de cobertura deve ser descontinuada. Isto pode ocorrer se a razão de cobertura já não for válida e não puder ser reequilibrada para restaurar a efetividade (IFRS 9, parágrafo 6.5.5).</w:t>
      </w:r>
    </w:p>
    <w:p w14:paraId="2FA7074B" w14:textId="50180AD1" w:rsidR="00673F70" w:rsidRDefault="00673F70" w:rsidP="00673F70">
      <w:pPr>
        <w:pStyle w:val="Corpo"/>
        <w:numPr>
          <w:ilvl w:val="0"/>
          <w:numId w:val="38"/>
        </w:numPr>
        <w:spacing w:after="240"/>
        <w:jc w:val="both"/>
        <w:rPr>
          <w:rFonts w:cs="Calibri"/>
          <w:color w:val="000000" w:themeColor="text1"/>
        </w:rPr>
      </w:pPr>
      <w:r w:rsidRPr="00673F70">
        <w:rPr>
          <w:rFonts w:cs="Calibri"/>
          <w:color w:val="000000" w:themeColor="text1"/>
        </w:rPr>
        <w:t xml:space="preserve">Liquidação do </w:t>
      </w:r>
      <w:r w:rsidR="00E158F6">
        <w:rPr>
          <w:rFonts w:cs="Calibri"/>
          <w:color w:val="000000" w:themeColor="text1"/>
        </w:rPr>
        <w:t>instrumento</w:t>
      </w:r>
      <w:r w:rsidR="00E158F6" w:rsidRPr="00673F70">
        <w:rPr>
          <w:rFonts w:cs="Calibri"/>
          <w:color w:val="000000" w:themeColor="text1"/>
        </w:rPr>
        <w:t xml:space="preserve"> </w:t>
      </w:r>
      <w:r w:rsidRPr="00673F70">
        <w:rPr>
          <w:rFonts w:cs="Calibri"/>
          <w:color w:val="000000" w:themeColor="text1"/>
        </w:rPr>
        <w:t xml:space="preserve">de </w:t>
      </w:r>
      <w:r>
        <w:rPr>
          <w:rFonts w:cs="Calibri"/>
          <w:color w:val="000000" w:themeColor="text1"/>
        </w:rPr>
        <w:t>c</w:t>
      </w:r>
      <w:r w:rsidRPr="00673F70">
        <w:rPr>
          <w:rFonts w:cs="Calibri"/>
          <w:color w:val="000000" w:themeColor="text1"/>
        </w:rPr>
        <w:t xml:space="preserve">obertura: Se o </w:t>
      </w:r>
      <w:r>
        <w:rPr>
          <w:rFonts w:cs="Calibri"/>
          <w:color w:val="000000" w:themeColor="text1"/>
        </w:rPr>
        <w:t>i</w:t>
      </w:r>
      <w:r w:rsidR="0052120C">
        <w:rPr>
          <w:rFonts w:cs="Calibri"/>
          <w:color w:val="000000" w:themeColor="text1"/>
        </w:rPr>
        <w:t>nstrumento</w:t>
      </w:r>
      <w:r w:rsidRPr="00673F70">
        <w:rPr>
          <w:rFonts w:cs="Calibri"/>
          <w:color w:val="000000" w:themeColor="text1"/>
        </w:rPr>
        <w:t xml:space="preserve"> de cobertura for vendido ou liquidado antes da sua data de maturidade, a relação de cobertura é interrompida (IFRS 9, parágrafo B6.5.26). Para estes efeitos, não ocorrerá qualquer cessação ou liquidação do</w:t>
      </w:r>
      <w:r>
        <w:rPr>
          <w:rFonts w:cs="Calibri"/>
          <w:color w:val="000000" w:themeColor="text1"/>
        </w:rPr>
        <w:t xml:space="preserve"> </w:t>
      </w:r>
      <w:r w:rsidR="00E158F6">
        <w:rPr>
          <w:rFonts w:cs="Calibri"/>
          <w:color w:val="000000" w:themeColor="text1"/>
        </w:rPr>
        <w:t>instrumento</w:t>
      </w:r>
      <w:r w:rsidR="00E158F6" w:rsidRPr="00673F70">
        <w:rPr>
          <w:rFonts w:cs="Calibri"/>
          <w:color w:val="000000" w:themeColor="text1"/>
        </w:rPr>
        <w:t xml:space="preserve"> </w:t>
      </w:r>
      <w:r w:rsidRPr="00673F70">
        <w:rPr>
          <w:rFonts w:cs="Calibri"/>
          <w:color w:val="000000" w:themeColor="text1"/>
        </w:rPr>
        <w:t>de cobertura se:</w:t>
      </w:r>
    </w:p>
    <w:p w14:paraId="5DFE5252" w14:textId="4563E657" w:rsidR="004F7B9F" w:rsidRPr="004F7B9F" w:rsidRDefault="004F7B9F" w:rsidP="004F7B9F">
      <w:pPr>
        <w:pStyle w:val="Corpo"/>
        <w:numPr>
          <w:ilvl w:val="0"/>
          <w:numId w:val="35"/>
        </w:numPr>
        <w:spacing w:after="240"/>
        <w:jc w:val="both"/>
        <w:rPr>
          <w:rFonts w:cs="Calibri"/>
          <w:color w:val="000000" w:themeColor="text1"/>
        </w:rPr>
      </w:pPr>
      <w:r w:rsidRPr="004F7B9F">
        <w:rPr>
          <w:rFonts w:cs="Calibri"/>
          <w:color w:val="000000" w:themeColor="text1"/>
        </w:rPr>
        <w:t xml:space="preserve">A substituição ou a renovação sucessiva do </w:t>
      </w:r>
      <w:r>
        <w:rPr>
          <w:rFonts w:cs="Calibri"/>
          <w:color w:val="000000" w:themeColor="text1"/>
        </w:rPr>
        <w:t>i</w:t>
      </w:r>
      <w:r w:rsidR="00C42664">
        <w:rPr>
          <w:rFonts w:cs="Calibri"/>
          <w:color w:val="000000" w:themeColor="text1"/>
        </w:rPr>
        <w:t>nstrumento</w:t>
      </w:r>
      <w:r>
        <w:rPr>
          <w:rFonts w:cs="Calibri"/>
          <w:color w:val="000000" w:themeColor="text1"/>
        </w:rPr>
        <w:t xml:space="preserve"> </w:t>
      </w:r>
      <w:r w:rsidRPr="004F7B9F">
        <w:rPr>
          <w:rFonts w:cs="Calibri"/>
          <w:color w:val="000000" w:themeColor="text1"/>
        </w:rPr>
        <w:t>de cobertura por outro faz parte do objetivo de gestão do risco do Banco</w:t>
      </w:r>
      <w:r w:rsidR="002172A7">
        <w:rPr>
          <w:rFonts w:cs="Calibri"/>
          <w:color w:val="000000" w:themeColor="text1"/>
        </w:rPr>
        <w:t>;</w:t>
      </w:r>
    </w:p>
    <w:p w14:paraId="77D9B3A1" w14:textId="24887F75" w:rsidR="004F7B9F" w:rsidRPr="004F7B9F" w:rsidRDefault="004F7B9F" w:rsidP="004F7B9F">
      <w:pPr>
        <w:pStyle w:val="Corpo"/>
        <w:numPr>
          <w:ilvl w:val="0"/>
          <w:numId w:val="35"/>
        </w:numPr>
        <w:spacing w:after="240"/>
        <w:jc w:val="both"/>
        <w:rPr>
          <w:rFonts w:cs="Calibri"/>
          <w:color w:val="000000" w:themeColor="text1"/>
        </w:rPr>
      </w:pPr>
      <w:r w:rsidRPr="004F7B9F">
        <w:rPr>
          <w:rFonts w:cs="Calibri"/>
          <w:color w:val="000000" w:themeColor="text1"/>
        </w:rPr>
        <w:t>Devido a disposições legais ou regulamentares aplicáveis, as partes do i</w:t>
      </w:r>
      <w:r w:rsidR="00C42664">
        <w:rPr>
          <w:rFonts w:cs="Calibri"/>
          <w:color w:val="000000" w:themeColor="text1"/>
        </w:rPr>
        <w:t>nstrumento</w:t>
      </w:r>
      <w:r w:rsidRPr="004F7B9F">
        <w:rPr>
          <w:rFonts w:cs="Calibri"/>
          <w:color w:val="000000" w:themeColor="text1"/>
        </w:rPr>
        <w:t xml:space="preserve"> de cobertura acordam em substituir a contraparte original por uma ou mais contrapartes compensadoras</w:t>
      </w:r>
      <w:r w:rsidR="002172A7">
        <w:rPr>
          <w:rFonts w:cs="Calibri"/>
          <w:color w:val="000000" w:themeColor="text1"/>
        </w:rPr>
        <w:t>; ou</w:t>
      </w:r>
    </w:p>
    <w:p w14:paraId="31EC57C4" w14:textId="238E7BE7" w:rsidR="004F7B9F" w:rsidRDefault="004F7B9F" w:rsidP="004F7B9F">
      <w:pPr>
        <w:pStyle w:val="Corpo"/>
        <w:numPr>
          <w:ilvl w:val="0"/>
          <w:numId w:val="35"/>
        </w:numPr>
        <w:spacing w:after="240"/>
        <w:jc w:val="both"/>
        <w:rPr>
          <w:rFonts w:cs="Calibri"/>
          <w:color w:val="000000" w:themeColor="text1"/>
        </w:rPr>
      </w:pPr>
      <w:r w:rsidRPr="004F7B9F">
        <w:rPr>
          <w:rFonts w:cs="Calibri"/>
          <w:color w:val="000000" w:themeColor="text1"/>
        </w:rPr>
        <w:t>Quaisquer outras alterações introduzidas no i</w:t>
      </w:r>
      <w:r w:rsidR="000C4089">
        <w:rPr>
          <w:rFonts w:cs="Calibri"/>
          <w:color w:val="000000" w:themeColor="text1"/>
        </w:rPr>
        <w:t>nstrumento</w:t>
      </w:r>
      <w:r w:rsidRPr="004F7B9F">
        <w:rPr>
          <w:rFonts w:cs="Calibri"/>
          <w:color w:val="000000" w:themeColor="text1"/>
        </w:rPr>
        <w:t xml:space="preserve"> de cobertura limitam-se às necessárias para a substituição da contraparte (por exemplo, alterações nos requisitos de colateral, direitos de compensação de créditos e débitos, etc.).</w:t>
      </w:r>
    </w:p>
    <w:p w14:paraId="7E2C1A88" w14:textId="3A65DED1" w:rsidR="00BB4E36" w:rsidRPr="00BB4E36" w:rsidRDefault="00A77727" w:rsidP="00BB4E36">
      <w:pPr>
        <w:pStyle w:val="Corpo"/>
        <w:spacing w:after="240"/>
        <w:ind w:left="-284"/>
        <w:jc w:val="both"/>
        <w:rPr>
          <w:rFonts w:cs="Calibri"/>
          <w:b/>
          <w:bCs/>
          <w:color w:val="000000" w:themeColor="text1"/>
        </w:rPr>
      </w:pPr>
      <w:r w:rsidRPr="00A77727">
        <w:rPr>
          <w:rFonts w:cs="Calibri"/>
          <w:b/>
          <w:bCs/>
          <w:color w:val="000000" w:themeColor="text1"/>
        </w:rPr>
        <w:t xml:space="preserve">O </w:t>
      </w:r>
      <w:proofErr w:type="spellStart"/>
      <w:r w:rsidRPr="00A77727">
        <w:rPr>
          <w:rFonts w:cs="Calibri"/>
          <w:b/>
          <w:bCs/>
          <w:i/>
          <w:iCs/>
          <w:color w:val="000000" w:themeColor="text1"/>
        </w:rPr>
        <w:t>rebalacing</w:t>
      </w:r>
      <w:proofErr w:type="spellEnd"/>
      <w:r w:rsidRPr="00A77727">
        <w:rPr>
          <w:rFonts w:cs="Calibri"/>
          <w:b/>
          <w:bCs/>
          <w:color w:val="000000" w:themeColor="text1"/>
        </w:rPr>
        <w:t xml:space="preserve"> como alternativa à descontinuação</w:t>
      </w:r>
    </w:p>
    <w:p w14:paraId="7D02D780" w14:textId="16A9026D" w:rsidR="00BB4E36" w:rsidRPr="00BB4E36" w:rsidRDefault="00BB4E36" w:rsidP="00BB4E36">
      <w:pPr>
        <w:pStyle w:val="Corpo"/>
        <w:spacing w:after="240"/>
        <w:ind w:left="-284"/>
        <w:jc w:val="both"/>
        <w:rPr>
          <w:rFonts w:cs="Calibri"/>
          <w:color w:val="000000" w:themeColor="text1"/>
        </w:rPr>
      </w:pPr>
      <w:r w:rsidRPr="00BB4E36">
        <w:rPr>
          <w:rFonts w:cs="Calibri"/>
          <w:color w:val="000000" w:themeColor="text1"/>
        </w:rPr>
        <w:t xml:space="preserve">A IFRS 9 permite o </w:t>
      </w:r>
      <w:proofErr w:type="spellStart"/>
      <w:r w:rsidRPr="00BB4E36">
        <w:rPr>
          <w:rFonts w:cs="Calibri"/>
          <w:i/>
          <w:iCs/>
          <w:color w:val="000000" w:themeColor="text1"/>
        </w:rPr>
        <w:t>rebalacing</w:t>
      </w:r>
      <w:proofErr w:type="spellEnd"/>
      <w:r w:rsidRPr="00BB4E36">
        <w:rPr>
          <w:rFonts w:cs="Calibri"/>
          <w:color w:val="000000" w:themeColor="text1"/>
        </w:rPr>
        <w:t xml:space="preserve"> da cobertura (parágrafo 6.5.5 da IFRS 9 e ponto “</w:t>
      </w:r>
      <w:r w:rsidR="00FA33AA">
        <w:rPr>
          <w:rFonts w:cs="Calibri"/>
          <w:color w:val="000000" w:themeColor="text1"/>
        </w:rPr>
        <w:t>8</w:t>
      </w:r>
      <w:r w:rsidRPr="00BB4E36">
        <w:rPr>
          <w:rFonts w:cs="Calibri"/>
          <w:color w:val="000000" w:themeColor="text1"/>
        </w:rPr>
        <w:t xml:space="preserve">. </w:t>
      </w:r>
      <w:proofErr w:type="spellStart"/>
      <w:r w:rsidR="0070756C" w:rsidRPr="0070756C">
        <w:rPr>
          <w:rFonts w:cs="Calibri"/>
          <w:i/>
          <w:iCs/>
          <w:color w:val="000000" w:themeColor="text1"/>
        </w:rPr>
        <w:t>Rebalacing</w:t>
      </w:r>
      <w:proofErr w:type="spellEnd"/>
      <w:r w:rsidRPr="00BB4E36">
        <w:rPr>
          <w:rFonts w:cs="Calibri"/>
          <w:color w:val="000000" w:themeColor="text1"/>
        </w:rPr>
        <w:t xml:space="preserve">” deste documento), o que facilita o ajuste da relação de cobertura sem a necessidade de a descontinuar. Embora o </w:t>
      </w:r>
      <w:proofErr w:type="spellStart"/>
      <w:r w:rsidRPr="00BB4E36">
        <w:rPr>
          <w:rFonts w:cs="Calibri"/>
          <w:i/>
          <w:iCs/>
          <w:color w:val="000000" w:themeColor="text1"/>
        </w:rPr>
        <w:t>rebala</w:t>
      </w:r>
      <w:r w:rsidR="0070756C" w:rsidRPr="0070756C">
        <w:rPr>
          <w:rFonts w:cs="Calibri"/>
          <w:i/>
          <w:iCs/>
          <w:color w:val="000000" w:themeColor="text1"/>
        </w:rPr>
        <w:t>cing</w:t>
      </w:r>
      <w:proofErr w:type="spellEnd"/>
      <w:r w:rsidRPr="00BB4E36">
        <w:rPr>
          <w:rFonts w:cs="Calibri"/>
          <w:color w:val="000000" w:themeColor="text1"/>
        </w:rPr>
        <w:t xml:space="preserve"> seja uma ferramenta útil para evitar a descontinuidade, nem sempre é aplicável, especialmente se houver mudanças na estratégia de gestão de risco.</w:t>
      </w:r>
    </w:p>
    <w:p w14:paraId="118B13DE" w14:textId="0F91C4D5" w:rsidR="00613257" w:rsidRDefault="00BB4E36" w:rsidP="0070756C">
      <w:pPr>
        <w:pStyle w:val="Corpo"/>
        <w:spacing w:after="240"/>
        <w:ind w:left="-284"/>
        <w:jc w:val="both"/>
        <w:rPr>
          <w:rFonts w:cs="Calibri"/>
          <w:color w:val="000000" w:themeColor="text1"/>
        </w:rPr>
      </w:pPr>
      <w:r w:rsidRPr="00BB4E36">
        <w:rPr>
          <w:rFonts w:cs="Calibri"/>
          <w:color w:val="000000" w:themeColor="text1"/>
        </w:rPr>
        <w:t xml:space="preserve">O </w:t>
      </w:r>
      <w:proofErr w:type="spellStart"/>
      <w:r w:rsidRPr="00BB4E36">
        <w:rPr>
          <w:rFonts w:cs="Calibri"/>
          <w:i/>
          <w:iCs/>
          <w:color w:val="000000" w:themeColor="text1"/>
        </w:rPr>
        <w:t>rebala</w:t>
      </w:r>
      <w:r w:rsidR="0070756C" w:rsidRPr="0070756C">
        <w:rPr>
          <w:rFonts w:cs="Calibri"/>
          <w:i/>
          <w:iCs/>
          <w:color w:val="000000" w:themeColor="text1"/>
        </w:rPr>
        <w:t>cing</w:t>
      </w:r>
      <w:proofErr w:type="spellEnd"/>
      <w:r w:rsidRPr="00BB4E36">
        <w:rPr>
          <w:rFonts w:cs="Calibri"/>
          <w:color w:val="000000" w:themeColor="text1"/>
        </w:rPr>
        <w:t xml:space="preserve"> é efetuado quando a relação de cobertura deixa de ser eficaz devido a alterações nas variáveis subjacentes, mas o objetivo de gestão do risco permanece o mesmo. Por conseguinte, a cobertura pode continuar sem necessidade de a cancelar e restabelecer.</w:t>
      </w:r>
    </w:p>
    <w:p w14:paraId="77587197" w14:textId="481B1CC5" w:rsidR="00D907C2" w:rsidRPr="00D907C2" w:rsidRDefault="00D907C2" w:rsidP="00D907C2">
      <w:pPr>
        <w:pStyle w:val="Corpo"/>
        <w:spacing w:after="240"/>
        <w:ind w:left="-284"/>
        <w:jc w:val="both"/>
        <w:rPr>
          <w:rFonts w:cs="Calibri"/>
          <w:b/>
          <w:bCs/>
          <w:color w:val="000000" w:themeColor="text1"/>
        </w:rPr>
      </w:pPr>
      <w:r w:rsidRPr="00726298">
        <w:rPr>
          <w:rFonts w:cs="Calibri"/>
          <w:b/>
          <w:bCs/>
          <w:color w:val="000000" w:themeColor="text1"/>
        </w:rPr>
        <w:lastRenderedPageBreak/>
        <w:t>Contabilização da descontinuação da cobertura de fluxos de caixa:</w:t>
      </w:r>
    </w:p>
    <w:p w14:paraId="170A96E8" w14:textId="77777777" w:rsidR="00D907C2" w:rsidRPr="00726298" w:rsidRDefault="00D907C2" w:rsidP="00D907C2">
      <w:pPr>
        <w:pStyle w:val="Corpo"/>
        <w:spacing w:after="240"/>
        <w:jc w:val="both"/>
        <w:rPr>
          <w:rFonts w:cs="Calibri"/>
          <w:color w:val="000000" w:themeColor="text1"/>
        </w:rPr>
      </w:pPr>
      <w:r w:rsidRPr="00726298">
        <w:rPr>
          <w:rFonts w:cs="Calibri"/>
          <w:color w:val="000000" w:themeColor="text1"/>
        </w:rPr>
        <w:t xml:space="preserve">Caso a contabilidade de cobertura seja descontinuada numa cobertura de cash </w:t>
      </w:r>
      <w:proofErr w:type="spellStart"/>
      <w:r w:rsidRPr="00726298">
        <w:rPr>
          <w:rFonts w:cs="Calibri"/>
          <w:color w:val="000000" w:themeColor="text1"/>
        </w:rPr>
        <w:t>flow</w:t>
      </w:r>
      <w:proofErr w:type="spellEnd"/>
      <w:r w:rsidRPr="00726298">
        <w:rPr>
          <w:rFonts w:cs="Calibri"/>
          <w:color w:val="000000" w:themeColor="text1"/>
        </w:rPr>
        <w:t xml:space="preserve">, o ganho ou perda acumulado resultante do instrumento de cobertura deve permanecer reconhecido separadamente no capital próprio, sendo refletido em resultados no mesmo </w:t>
      </w:r>
      <w:proofErr w:type="gramStart"/>
      <w:r w:rsidRPr="00726298">
        <w:rPr>
          <w:rFonts w:cs="Calibri"/>
          <w:color w:val="000000" w:themeColor="text1"/>
        </w:rPr>
        <w:t>período de tempo</w:t>
      </w:r>
      <w:proofErr w:type="gramEnd"/>
      <w:r w:rsidRPr="00726298">
        <w:rPr>
          <w:rFonts w:cs="Calibri"/>
          <w:color w:val="000000" w:themeColor="text1"/>
        </w:rPr>
        <w:t xml:space="preserve"> do reconhecimento em resultados dos ganhos ou perdas no elemento coberto.</w:t>
      </w:r>
    </w:p>
    <w:p w14:paraId="0FFD88D5" w14:textId="77777777" w:rsidR="00D907C2" w:rsidRPr="002758F7" w:rsidRDefault="00D907C2" w:rsidP="004218B6">
      <w:pPr>
        <w:pStyle w:val="Corpo"/>
        <w:spacing w:after="240"/>
        <w:ind w:left="-284"/>
        <w:jc w:val="both"/>
        <w:rPr>
          <w:rFonts w:cs="Calibri"/>
          <w:b/>
          <w:bCs/>
          <w:color w:val="000000" w:themeColor="text1"/>
        </w:rPr>
      </w:pPr>
    </w:p>
    <w:p w14:paraId="2D7ED36A" w14:textId="703BC437" w:rsidR="004218B6" w:rsidRPr="0070756C" w:rsidRDefault="00B5523D" w:rsidP="0070756C">
      <w:pPr>
        <w:pStyle w:val="Corpo"/>
        <w:spacing w:after="240"/>
        <w:ind w:left="-284"/>
        <w:jc w:val="both"/>
        <w:rPr>
          <w:rFonts w:cs="Calibri"/>
          <w:color w:val="000000" w:themeColor="text1"/>
        </w:rPr>
      </w:pPr>
      <w:r>
        <w:rPr>
          <w:rFonts w:cs="Calibri"/>
          <w:b/>
          <w:bCs/>
          <w:color w:val="000000" w:themeColor="text1"/>
          <w:highlight w:val="green"/>
        </w:rPr>
        <w:t xml:space="preserve"> </w:t>
      </w:r>
    </w:p>
    <w:sectPr w:rsidR="004218B6" w:rsidRPr="0070756C" w:rsidSect="00CE38A1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354DA7" w14:textId="77777777" w:rsidR="00C162E9" w:rsidRDefault="00C162E9" w:rsidP="00CE38A1">
      <w:pPr>
        <w:spacing w:after="0" w:line="240" w:lineRule="auto"/>
      </w:pPr>
      <w:r>
        <w:separator/>
      </w:r>
    </w:p>
  </w:endnote>
  <w:endnote w:type="continuationSeparator" w:id="0">
    <w:p w14:paraId="5EF3E700" w14:textId="77777777" w:rsidR="00C162E9" w:rsidRDefault="00C162E9" w:rsidP="00CE38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eo Sans Std">
    <w:altName w:val="Calibri"/>
    <w:charset w:val="00"/>
    <w:family w:val="swiss"/>
    <w:pitch w:val="variable"/>
    <w:sig w:usb0="800000AF" w:usb1="5000205B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286947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C846A5" w14:textId="035D3A5A" w:rsidR="00AE7C00" w:rsidRPr="00C73AFC" w:rsidRDefault="00AE7C00">
        <w:pPr>
          <w:pStyle w:val="Footer"/>
          <w:jc w:val="right"/>
          <w:rPr>
            <w:lang w:val="en-US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C73AFC">
          <w:rPr>
            <w:noProof/>
            <w:lang w:val="en-US"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5CA7D9" w14:textId="77777777" w:rsidR="00C162E9" w:rsidRDefault="00C162E9" w:rsidP="00CE38A1">
      <w:pPr>
        <w:spacing w:after="0" w:line="240" w:lineRule="auto"/>
      </w:pPr>
      <w:r>
        <w:separator/>
      </w:r>
    </w:p>
  </w:footnote>
  <w:footnote w:type="continuationSeparator" w:id="0">
    <w:p w14:paraId="40433341" w14:textId="77777777" w:rsidR="00C162E9" w:rsidRDefault="00C162E9" w:rsidP="00CE38A1">
      <w:pPr>
        <w:spacing w:after="0" w:line="240" w:lineRule="auto"/>
      </w:pPr>
      <w:r>
        <w:continuationSeparator/>
      </w:r>
    </w:p>
  </w:footnote>
  <w:footnote w:id="1">
    <w:p w14:paraId="6C62F259" w14:textId="440A1007" w:rsidR="008565B0" w:rsidRPr="008565B0" w:rsidRDefault="008565B0" w:rsidP="008565B0">
      <w:pPr>
        <w:pStyle w:val="Footer"/>
        <w:rPr>
          <w:rFonts w:ascii="Calibri" w:hAnsi="Calibri" w:cs="Calibri"/>
          <w:sz w:val="20"/>
          <w:szCs w:val="20"/>
          <w:lang w:val="en-US"/>
        </w:rPr>
      </w:pPr>
      <w:r>
        <w:rPr>
          <w:rStyle w:val="FootnoteReference"/>
        </w:rPr>
        <w:footnoteRef/>
      </w:r>
      <w:r w:rsidRPr="008565B0">
        <w:rPr>
          <w:lang w:val="en-US"/>
        </w:rPr>
        <w:t xml:space="preserve"> </w:t>
      </w:r>
      <w:r w:rsidRPr="00602FFD">
        <w:rPr>
          <w:rFonts w:ascii="Calibri" w:hAnsi="Calibri" w:cs="Calibri"/>
          <w:i/>
          <w:iCs/>
          <w:sz w:val="20"/>
          <w:szCs w:val="20"/>
          <w:lang w:val="en-US"/>
        </w:rPr>
        <w:t>International Accounting Standards Board</w:t>
      </w:r>
      <w:r w:rsidRPr="00C73AFC">
        <w:rPr>
          <w:rFonts w:ascii="Calibri" w:hAnsi="Calibri" w:cs="Calibri"/>
          <w:sz w:val="20"/>
          <w:szCs w:val="20"/>
          <w:lang w:val="en-US"/>
        </w:rPr>
        <w:t xml:space="preserve"> (</w:t>
      </w:r>
      <w:r w:rsidRPr="00602FFD">
        <w:rPr>
          <w:rFonts w:ascii="Calibri" w:hAnsi="Calibri" w:cs="Calibri"/>
          <w:i/>
          <w:iCs/>
          <w:sz w:val="20"/>
          <w:szCs w:val="20"/>
          <w:lang w:val="en-US"/>
        </w:rPr>
        <w:t>IASB</w:t>
      </w:r>
      <w:r w:rsidRPr="00C73AFC">
        <w:rPr>
          <w:rFonts w:ascii="Calibri" w:hAnsi="Calibri" w:cs="Calibri"/>
          <w:sz w:val="20"/>
          <w:szCs w:val="20"/>
          <w:lang w:val="en-US"/>
        </w:rPr>
        <w:t xml:space="preserve">), </w:t>
      </w:r>
      <w:r w:rsidRPr="00C73AFC">
        <w:rPr>
          <w:rFonts w:ascii="Calibri" w:hAnsi="Calibri" w:cs="Calibri"/>
          <w:i/>
          <w:iCs/>
          <w:sz w:val="20"/>
          <w:szCs w:val="20"/>
          <w:lang w:val="en-US"/>
        </w:rPr>
        <w:t>IFRS 9 – Financial Instrument</w:t>
      </w:r>
      <w:r>
        <w:rPr>
          <w:rFonts w:ascii="Calibri" w:hAnsi="Calibri" w:cs="Calibri"/>
          <w:i/>
          <w:iCs/>
          <w:sz w:val="20"/>
          <w:szCs w:val="20"/>
          <w:lang w:val="en-US"/>
        </w:rPr>
        <w:t xml:space="preserve">s, </w:t>
      </w:r>
      <w:r w:rsidRPr="00602FFD">
        <w:rPr>
          <w:rFonts w:ascii="Calibri" w:hAnsi="Calibri" w:cs="Calibri"/>
          <w:sz w:val="20"/>
          <w:szCs w:val="20"/>
          <w:lang w:val="en-US"/>
        </w:rPr>
        <w:t>Julho</w:t>
      </w:r>
      <w:r>
        <w:rPr>
          <w:rFonts w:ascii="Calibri" w:hAnsi="Calibri" w:cs="Calibri"/>
          <w:i/>
          <w:iCs/>
          <w:sz w:val="20"/>
          <w:szCs w:val="20"/>
          <w:lang w:val="en-US"/>
        </w:rPr>
        <w:t xml:space="preserve"> </w:t>
      </w:r>
      <w:r w:rsidRPr="00602FFD">
        <w:rPr>
          <w:rFonts w:ascii="Calibri" w:hAnsi="Calibri" w:cs="Calibri"/>
          <w:sz w:val="20"/>
          <w:szCs w:val="20"/>
          <w:lang w:val="en-US"/>
        </w:rPr>
        <w:t>2014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182B48" w14:textId="0353685A" w:rsidR="00CE38A1" w:rsidRDefault="00CE38A1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1EE50CC5" wp14:editId="31F49B59">
              <wp:simplePos x="0" y="0"/>
              <wp:positionH relativeFrom="margin">
                <wp:posOffset>-472440</wp:posOffset>
              </wp:positionH>
              <wp:positionV relativeFrom="margin">
                <wp:posOffset>-673735</wp:posOffset>
              </wp:positionV>
              <wp:extent cx="6629400" cy="457200"/>
              <wp:effectExtent l="0" t="0" r="0" b="0"/>
              <wp:wrapSquare wrapText="bothSides"/>
              <wp:docPr id="2136430758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2940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B3EC7B" w14:textId="6A9C28AF" w:rsidR="00CE38A1" w:rsidRPr="003B15B7" w:rsidRDefault="000A535C" w:rsidP="00D33F95">
                          <w:pPr>
                            <w:pStyle w:val="Header"/>
                            <w:spacing w:before="100" w:beforeAutospacing="1"/>
                            <w:ind w:right="-96"/>
                            <w:rPr>
                              <w:rFonts w:ascii="Calibri" w:hAnsi="Calibri" w:cs="Calibri"/>
                              <w:b/>
                              <w:color w:val="808080"/>
                            </w:rPr>
                          </w:pPr>
                          <w:r w:rsidRPr="003E367F">
                            <w:rPr>
                              <w:rFonts w:ascii="Calibri" w:hAnsi="Calibri" w:cs="Calibri"/>
                              <w:b/>
                              <w:color w:val="808080"/>
                            </w:rPr>
                            <w:t xml:space="preserve">Micro-coberturas </w:t>
                          </w:r>
                          <w:r w:rsidR="00914110" w:rsidRPr="003E367F">
                            <w:rPr>
                              <w:rFonts w:ascii="Calibri" w:hAnsi="Calibri" w:cs="Calibri"/>
                              <w:b/>
                              <w:color w:val="808080"/>
                            </w:rPr>
                            <w:t xml:space="preserve">de </w:t>
                          </w:r>
                          <w:r w:rsidR="00FC1892" w:rsidRPr="00726298">
                            <w:rPr>
                              <w:rFonts w:ascii="Calibri" w:hAnsi="Calibri" w:cs="Calibri"/>
                              <w:b/>
                              <w:i/>
                              <w:iCs/>
                              <w:color w:val="808080"/>
                            </w:rPr>
                            <w:t>Cash-Flow</w:t>
                          </w:r>
                          <w:r w:rsidR="00FC1892">
                            <w:rPr>
                              <w:rFonts w:ascii="Calibri" w:hAnsi="Calibri" w:cs="Calibri"/>
                              <w:b/>
                              <w:color w:val="808080"/>
                            </w:rPr>
                            <w:t xml:space="preserve"> </w:t>
                          </w:r>
                          <w:r w:rsidR="00444F75" w:rsidRPr="003E367F">
                            <w:rPr>
                              <w:rFonts w:ascii="Calibri" w:hAnsi="Calibri" w:cs="Calibri"/>
                              <w:b/>
                              <w:color w:val="808080"/>
                            </w:rPr>
                            <w:t xml:space="preserve">– </w:t>
                          </w:r>
                          <w:r w:rsidR="00FC1892" w:rsidRPr="00726298">
                            <w:rPr>
                              <w:rFonts w:ascii="Calibri" w:hAnsi="Calibri" w:cs="Calibri"/>
                              <w:b/>
                              <w:i/>
                              <w:iCs/>
                              <w:color w:val="808080"/>
                            </w:rPr>
                            <w:t>Pools</w:t>
                          </w:r>
                          <w:r w:rsidR="00FC1892">
                            <w:rPr>
                              <w:rFonts w:ascii="Calibri" w:hAnsi="Calibri" w:cs="Calibri"/>
                              <w:b/>
                              <w:color w:val="808080"/>
                            </w:rPr>
                            <w:t xml:space="preserve"> de crédito hipotecário</w:t>
                          </w:r>
                          <w:r w:rsidR="003B15B7">
                            <w:rPr>
                              <w:rFonts w:ascii="Calibri" w:hAnsi="Calibri" w:cs="Calibri"/>
                              <w:b/>
                              <w:color w:val="808080"/>
                            </w:rPr>
                            <w:t xml:space="preserve"> </w:t>
                          </w:r>
                          <w:r w:rsidR="00444F75" w:rsidRPr="004563E9">
                            <w:rPr>
                              <w:rFonts w:ascii="Calibri" w:hAnsi="Calibri" w:cs="Calibri"/>
                              <w:b/>
                              <w:color w:val="808080"/>
                            </w:rPr>
                            <w:t xml:space="preserve">– IRS – </w:t>
                          </w:r>
                          <w:r w:rsidR="005753A2">
                            <w:rPr>
                              <w:rFonts w:ascii="Calibri" w:hAnsi="Calibri" w:cs="Calibri"/>
                              <w:b/>
                              <w:color w:val="808080"/>
                            </w:rPr>
                            <w:t>Risco de taxa de juro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EE50CC5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54" type="#_x0000_t202" style="position:absolute;margin-left:-37.2pt;margin-top:-53.05pt;width:522pt;height:36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" stroked="f">
              <v:textbox>
                <w:txbxContent>
                  <w:p w14:paraId="4FB3EC7B" w14:textId="6A9C28AF" w:rsidR="00CE38A1" w:rsidRPr="003B15B7" w:rsidRDefault="000A535C" w:rsidP="00D33F95">
                    <w:pPr>
                      <w:pStyle w:val="Header"/>
                      <w:spacing w:before="100" w:beforeAutospacing="1"/>
                      <w:ind w:right="-96"/>
                      <w:rPr>
                        <w:rFonts w:ascii="Calibri" w:hAnsi="Calibri" w:cs="Calibri"/>
                        <w:b/>
                        <w:color w:val="808080"/>
                      </w:rPr>
                    </w:pPr>
                    <w:r w:rsidRPr="003E367F">
                      <w:rPr>
                        <w:rFonts w:ascii="Calibri" w:hAnsi="Calibri" w:cs="Calibri"/>
                        <w:b/>
                        <w:color w:val="808080"/>
                      </w:rPr>
                      <w:t xml:space="preserve">Micro-coberturas </w:t>
                    </w:r>
                    <w:r w:rsidR="00914110" w:rsidRPr="003E367F">
                      <w:rPr>
                        <w:rFonts w:ascii="Calibri" w:hAnsi="Calibri" w:cs="Calibri"/>
                        <w:b/>
                        <w:color w:val="808080"/>
                      </w:rPr>
                      <w:t xml:space="preserve">de </w:t>
                    </w:r>
                    <w:r w:rsidR="00FC1892" w:rsidRPr="00726298">
                      <w:rPr>
                        <w:rFonts w:ascii="Calibri" w:hAnsi="Calibri" w:cs="Calibri"/>
                        <w:b/>
                        <w:i/>
                        <w:iCs/>
                        <w:color w:val="808080"/>
                      </w:rPr>
                      <w:t>Cash-Flow</w:t>
                    </w:r>
                    <w:r w:rsidR="00FC1892">
                      <w:rPr>
                        <w:rFonts w:ascii="Calibri" w:hAnsi="Calibri" w:cs="Calibri"/>
                        <w:b/>
                        <w:color w:val="808080"/>
                      </w:rPr>
                      <w:t xml:space="preserve"> </w:t>
                    </w:r>
                    <w:r w:rsidR="00444F75" w:rsidRPr="003E367F">
                      <w:rPr>
                        <w:rFonts w:ascii="Calibri" w:hAnsi="Calibri" w:cs="Calibri"/>
                        <w:b/>
                        <w:color w:val="808080"/>
                      </w:rPr>
                      <w:t xml:space="preserve">– </w:t>
                    </w:r>
                    <w:r w:rsidR="00FC1892" w:rsidRPr="00726298">
                      <w:rPr>
                        <w:rFonts w:ascii="Calibri" w:hAnsi="Calibri" w:cs="Calibri"/>
                        <w:b/>
                        <w:i/>
                        <w:iCs/>
                        <w:color w:val="808080"/>
                      </w:rPr>
                      <w:t>Pools</w:t>
                    </w:r>
                    <w:r w:rsidR="00FC1892">
                      <w:rPr>
                        <w:rFonts w:ascii="Calibri" w:hAnsi="Calibri" w:cs="Calibri"/>
                        <w:b/>
                        <w:color w:val="808080"/>
                      </w:rPr>
                      <w:t xml:space="preserve"> de crédito hipotecário</w:t>
                    </w:r>
                    <w:r w:rsidR="003B15B7">
                      <w:rPr>
                        <w:rFonts w:ascii="Calibri" w:hAnsi="Calibri" w:cs="Calibri"/>
                        <w:b/>
                        <w:color w:val="808080"/>
                      </w:rPr>
                      <w:t xml:space="preserve"> </w:t>
                    </w:r>
                    <w:r w:rsidR="00444F75" w:rsidRPr="004563E9">
                      <w:rPr>
                        <w:rFonts w:ascii="Calibri" w:hAnsi="Calibri" w:cs="Calibri"/>
                        <w:b/>
                        <w:color w:val="808080"/>
                      </w:rPr>
                      <w:t xml:space="preserve">– IRS – </w:t>
                    </w:r>
                    <w:r w:rsidR="005753A2">
                      <w:rPr>
                        <w:rFonts w:ascii="Calibri" w:hAnsi="Calibri" w:cs="Calibri"/>
                        <w:b/>
                        <w:color w:val="808080"/>
                      </w:rPr>
                      <w:t>Risco de taxa de juro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77FCC"/>
    <w:multiLevelType w:val="hybridMultilevel"/>
    <w:tmpl w:val="10249C76"/>
    <w:lvl w:ilvl="0" w:tplc="0816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65C27C0"/>
    <w:multiLevelType w:val="hybridMultilevel"/>
    <w:tmpl w:val="9FE2333A"/>
    <w:lvl w:ilvl="0" w:tplc="2214B386">
      <w:start w:val="1"/>
      <w:numFmt w:val="upperRoman"/>
      <w:lvlText w:val="%1."/>
      <w:lvlJc w:val="left"/>
      <w:pPr>
        <w:ind w:left="16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040" w:hanging="360"/>
      </w:pPr>
    </w:lvl>
    <w:lvl w:ilvl="2" w:tplc="0816001B" w:tentative="1">
      <w:start w:val="1"/>
      <w:numFmt w:val="lowerRoman"/>
      <w:lvlText w:val="%3."/>
      <w:lvlJc w:val="right"/>
      <w:pPr>
        <w:ind w:left="2760" w:hanging="180"/>
      </w:pPr>
    </w:lvl>
    <w:lvl w:ilvl="3" w:tplc="0816000F" w:tentative="1">
      <w:start w:val="1"/>
      <w:numFmt w:val="decimal"/>
      <w:lvlText w:val="%4."/>
      <w:lvlJc w:val="left"/>
      <w:pPr>
        <w:ind w:left="3480" w:hanging="360"/>
      </w:pPr>
    </w:lvl>
    <w:lvl w:ilvl="4" w:tplc="08160019" w:tentative="1">
      <w:start w:val="1"/>
      <w:numFmt w:val="lowerLetter"/>
      <w:lvlText w:val="%5."/>
      <w:lvlJc w:val="left"/>
      <w:pPr>
        <w:ind w:left="4200" w:hanging="360"/>
      </w:pPr>
    </w:lvl>
    <w:lvl w:ilvl="5" w:tplc="0816001B" w:tentative="1">
      <w:start w:val="1"/>
      <w:numFmt w:val="lowerRoman"/>
      <w:lvlText w:val="%6."/>
      <w:lvlJc w:val="right"/>
      <w:pPr>
        <w:ind w:left="4920" w:hanging="180"/>
      </w:pPr>
    </w:lvl>
    <w:lvl w:ilvl="6" w:tplc="0816000F" w:tentative="1">
      <w:start w:val="1"/>
      <w:numFmt w:val="decimal"/>
      <w:lvlText w:val="%7."/>
      <w:lvlJc w:val="left"/>
      <w:pPr>
        <w:ind w:left="5640" w:hanging="360"/>
      </w:pPr>
    </w:lvl>
    <w:lvl w:ilvl="7" w:tplc="08160019" w:tentative="1">
      <w:start w:val="1"/>
      <w:numFmt w:val="lowerLetter"/>
      <w:lvlText w:val="%8."/>
      <w:lvlJc w:val="left"/>
      <w:pPr>
        <w:ind w:left="6360" w:hanging="360"/>
      </w:pPr>
    </w:lvl>
    <w:lvl w:ilvl="8" w:tplc="0816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2" w15:restartNumberingAfterBreak="0">
    <w:nsid w:val="0E1D152F"/>
    <w:multiLevelType w:val="multilevel"/>
    <w:tmpl w:val="2F565F90"/>
    <w:lvl w:ilvl="0">
      <w:start w:val="1"/>
      <w:numFmt w:val="decimal"/>
      <w:lvlText w:val="%1."/>
      <w:lvlJc w:val="left"/>
      <w:pPr>
        <w:ind w:left="76" w:hanging="360"/>
      </w:pPr>
      <w:rPr>
        <w:rFonts w:hint="default"/>
        <w:i w:val="0"/>
        <w:iCs w:val="0"/>
      </w:rPr>
    </w:lvl>
    <w:lvl w:ilvl="1">
      <w:start w:val="3"/>
      <w:numFmt w:val="decimal"/>
      <w:isLgl/>
      <w:lvlText w:val="%1.%2"/>
      <w:lvlJc w:val="left"/>
      <w:pPr>
        <w:ind w:left="503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2" w:hanging="2160"/>
      </w:pPr>
      <w:rPr>
        <w:rFonts w:hint="default"/>
      </w:rPr>
    </w:lvl>
  </w:abstractNum>
  <w:abstractNum w:abstractNumId="3" w15:restartNumberingAfterBreak="0">
    <w:nsid w:val="164F79BD"/>
    <w:multiLevelType w:val="hybridMultilevel"/>
    <w:tmpl w:val="5442BD1E"/>
    <w:lvl w:ilvl="0" w:tplc="08160001">
      <w:start w:val="1"/>
      <w:numFmt w:val="bullet"/>
      <w:lvlText w:val=""/>
      <w:lvlJc w:val="left"/>
      <w:pPr>
        <w:ind w:left="55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2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9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4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1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8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5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10" w:hanging="360"/>
      </w:pPr>
      <w:rPr>
        <w:rFonts w:ascii="Wingdings" w:hAnsi="Wingdings" w:hint="default"/>
      </w:rPr>
    </w:lvl>
  </w:abstractNum>
  <w:abstractNum w:abstractNumId="4" w15:restartNumberingAfterBreak="0">
    <w:nsid w:val="17E011A3"/>
    <w:multiLevelType w:val="multilevel"/>
    <w:tmpl w:val="B2980672"/>
    <w:lvl w:ilvl="0">
      <w:start w:val="3"/>
      <w:numFmt w:val="decimal"/>
      <w:lvlText w:val="%1"/>
      <w:lvlJc w:val="left"/>
      <w:pPr>
        <w:ind w:left="576" w:hanging="576"/>
      </w:pPr>
      <w:rPr>
        <w:rFonts w:cs="Calibri" w:hint="default"/>
        <w:sz w:val="32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cs="Calibri" w:hint="default"/>
        <w:sz w:val="32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cs="Calibri" w:hint="default"/>
        <w:sz w:val="3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Calibri" w:hint="default"/>
        <w:sz w:val="32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cs="Calibri" w:hint="default"/>
        <w:sz w:val="3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Calibri" w:hint="default"/>
        <w:sz w:val="32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="Calibri" w:hint="default"/>
        <w:sz w:val="32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cs="Calibri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Calibri" w:hint="default"/>
        <w:sz w:val="32"/>
      </w:rPr>
    </w:lvl>
  </w:abstractNum>
  <w:abstractNum w:abstractNumId="5" w15:restartNumberingAfterBreak="0">
    <w:nsid w:val="206B4E95"/>
    <w:multiLevelType w:val="hybridMultilevel"/>
    <w:tmpl w:val="DB90A992"/>
    <w:lvl w:ilvl="0" w:tplc="08160001">
      <w:start w:val="1"/>
      <w:numFmt w:val="bullet"/>
      <w:lvlText w:val=""/>
      <w:lvlJc w:val="left"/>
      <w:pPr>
        <w:ind w:left="55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2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9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4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1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8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5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10" w:hanging="360"/>
      </w:pPr>
      <w:rPr>
        <w:rFonts w:ascii="Wingdings" w:hAnsi="Wingdings" w:hint="default"/>
      </w:rPr>
    </w:lvl>
  </w:abstractNum>
  <w:abstractNum w:abstractNumId="6" w15:restartNumberingAfterBreak="0">
    <w:nsid w:val="2169756C"/>
    <w:multiLevelType w:val="hybridMultilevel"/>
    <w:tmpl w:val="EF563BE2"/>
    <w:lvl w:ilvl="0" w:tplc="8A4857F6">
      <w:start w:val="1"/>
      <w:numFmt w:val="upperRoman"/>
      <w:lvlText w:val="%1."/>
      <w:lvlJc w:val="left"/>
      <w:pPr>
        <w:ind w:left="16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040" w:hanging="360"/>
      </w:pPr>
    </w:lvl>
    <w:lvl w:ilvl="2" w:tplc="0816001B" w:tentative="1">
      <w:start w:val="1"/>
      <w:numFmt w:val="lowerRoman"/>
      <w:lvlText w:val="%3."/>
      <w:lvlJc w:val="right"/>
      <w:pPr>
        <w:ind w:left="2760" w:hanging="180"/>
      </w:pPr>
    </w:lvl>
    <w:lvl w:ilvl="3" w:tplc="0816000F" w:tentative="1">
      <w:start w:val="1"/>
      <w:numFmt w:val="decimal"/>
      <w:lvlText w:val="%4."/>
      <w:lvlJc w:val="left"/>
      <w:pPr>
        <w:ind w:left="3480" w:hanging="360"/>
      </w:pPr>
    </w:lvl>
    <w:lvl w:ilvl="4" w:tplc="08160019" w:tentative="1">
      <w:start w:val="1"/>
      <w:numFmt w:val="lowerLetter"/>
      <w:lvlText w:val="%5."/>
      <w:lvlJc w:val="left"/>
      <w:pPr>
        <w:ind w:left="4200" w:hanging="360"/>
      </w:pPr>
    </w:lvl>
    <w:lvl w:ilvl="5" w:tplc="0816001B" w:tentative="1">
      <w:start w:val="1"/>
      <w:numFmt w:val="lowerRoman"/>
      <w:lvlText w:val="%6."/>
      <w:lvlJc w:val="right"/>
      <w:pPr>
        <w:ind w:left="4920" w:hanging="180"/>
      </w:pPr>
    </w:lvl>
    <w:lvl w:ilvl="6" w:tplc="0816000F" w:tentative="1">
      <w:start w:val="1"/>
      <w:numFmt w:val="decimal"/>
      <w:lvlText w:val="%7."/>
      <w:lvlJc w:val="left"/>
      <w:pPr>
        <w:ind w:left="5640" w:hanging="360"/>
      </w:pPr>
    </w:lvl>
    <w:lvl w:ilvl="7" w:tplc="08160019" w:tentative="1">
      <w:start w:val="1"/>
      <w:numFmt w:val="lowerLetter"/>
      <w:lvlText w:val="%8."/>
      <w:lvlJc w:val="left"/>
      <w:pPr>
        <w:ind w:left="6360" w:hanging="360"/>
      </w:pPr>
    </w:lvl>
    <w:lvl w:ilvl="8" w:tplc="0816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7" w15:restartNumberingAfterBreak="0">
    <w:nsid w:val="27425B49"/>
    <w:multiLevelType w:val="hybridMultilevel"/>
    <w:tmpl w:val="A8D0D00E"/>
    <w:lvl w:ilvl="0" w:tplc="08160001">
      <w:start w:val="1"/>
      <w:numFmt w:val="bullet"/>
      <w:lvlText w:val=""/>
      <w:lvlJc w:val="left"/>
      <w:pPr>
        <w:ind w:left="55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2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9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4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1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8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5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10" w:hanging="360"/>
      </w:pPr>
      <w:rPr>
        <w:rFonts w:ascii="Wingdings" w:hAnsi="Wingdings" w:hint="default"/>
      </w:rPr>
    </w:lvl>
  </w:abstractNum>
  <w:abstractNum w:abstractNumId="8" w15:restartNumberingAfterBreak="0">
    <w:nsid w:val="29E8542C"/>
    <w:multiLevelType w:val="hybridMultilevel"/>
    <w:tmpl w:val="B74C8260"/>
    <w:lvl w:ilvl="0" w:tplc="08160001">
      <w:start w:val="1"/>
      <w:numFmt w:val="bullet"/>
      <w:lvlText w:val=""/>
      <w:lvlJc w:val="left"/>
      <w:pPr>
        <w:ind w:left="55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2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9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4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1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8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5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10" w:hanging="360"/>
      </w:pPr>
      <w:rPr>
        <w:rFonts w:ascii="Wingdings" w:hAnsi="Wingdings" w:hint="default"/>
      </w:rPr>
    </w:lvl>
  </w:abstractNum>
  <w:abstractNum w:abstractNumId="9" w15:restartNumberingAfterBreak="0">
    <w:nsid w:val="2FEE0804"/>
    <w:multiLevelType w:val="multilevel"/>
    <w:tmpl w:val="8BDC0BB8"/>
    <w:lvl w:ilvl="0">
      <w:start w:val="1"/>
      <w:numFmt w:val="bullet"/>
      <w:lvlText w:val=""/>
      <w:lvlJc w:val="left"/>
      <w:pPr>
        <w:ind w:left="76" w:hanging="360"/>
      </w:pPr>
      <w:rPr>
        <w:rFonts w:ascii="Symbol" w:hAnsi="Symbol" w:hint="default"/>
      </w:rPr>
    </w:lvl>
    <w:lvl w:ilvl="1">
      <w:start w:val="3"/>
      <w:numFmt w:val="decimal"/>
      <w:isLgl/>
      <w:lvlText w:val="%1.%2"/>
      <w:lvlJc w:val="left"/>
      <w:pPr>
        <w:ind w:left="503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2" w:hanging="2160"/>
      </w:pPr>
      <w:rPr>
        <w:rFonts w:hint="default"/>
      </w:rPr>
    </w:lvl>
  </w:abstractNum>
  <w:abstractNum w:abstractNumId="10" w15:restartNumberingAfterBreak="0">
    <w:nsid w:val="31EE3941"/>
    <w:multiLevelType w:val="hybridMultilevel"/>
    <w:tmpl w:val="620E0E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C05BB7"/>
    <w:multiLevelType w:val="hybridMultilevel"/>
    <w:tmpl w:val="884420BE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8F43E0"/>
    <w:multiLevelType w:val="hybridMultilevel"/>
    <w:tmpl w:val="E5C0822C"/>
    <w:lvl w:ilvl="0" w:tplc="1B8ADA1C">
      <w:start w:val="1"/>
      <w:numFmt w:val="upperRoman"/>
      <w:lvlText w:val="%1."/>
      <w:lvlJc w:val="left"/>
      <w:pPr>
        <w:ind w:left="16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040" w:hanging="360"/>
      </w:pPr>
    </w:lvl>
    <w:lvl w:ilvl="2" w:tplc="0816001B" w:tentative="1">
      <w:start w:val="1"/>
      <w:numFmt w:val="lowerRoman"/>
      <w:lvlText w:val="%3."/>
      <w:lvlJc w:val="right"/>
      <w:pPr>
        <w:ind w:left="2760" w:hanging="180"/>
      </w:pPr>
    </w:lvl>
    <w:lvl w:ilvl="3" w:tplc="0816000F" w:tentative="1">
      <w:start w:val="1"/>
      <w:numFmt w:val="decimal"/>
      <w:lvlText w:val="%4."/>
      <w:lvlJc w:val="left"/>
      <w:pPr>
        <w:ind w:left="3480" w:hanging="360"/>
      </w:pPr>
    </w:lvl>
    <w:lvl w:ilvl="4" w:tplc="08160019" w:tentative="1">
      <w:start w:val="1"/>
      <w:numFmt w:val="lowerLetter"/>
      <w:lvlText w:val="%5."/>
      <w:lvlJc w:val="left"/>
      <w:pPr>
        <w:ind w:left="4200" w:hanging="360"/>
      </w:pPr>
    </w:lvl>
    <w:lvl w:ilvl="5" w:tplc="0816001B" w:tentative="1">
      <w:start w:val="1"/>
      <w:numFmt w:val="lowerRoman"/>
      <w:lvlText w:val="%6."/>
      <w:lvlJc w:val="right"/>
      <w:pPr>
        <w:ind w:left="4920" w:hanging="180"/>
      </w:pPr>
    </w:lvl>
    <w:lvl w:ilvl="6" w:tplc="0816000F" w:tentative="1">
      <w:start w:val="1"/>
      <w:numFmt w:val="decimal"/>
      <w:lvlText w:val="%7."/>
      <w:lvlJc w:val="left"/>
      <w:pPr>
        <w:ind w:left="5640" w:hanging="360"/>
      </w:pPr>
    </w:lvl>
    <w:lvl w:ilvl="7" w:tplc="08160019" w:tentative="1">
      <w:start w:val="1"/>
      <w:numFmt w:val="lowerLetter"/>
      <w:lvlText w:val="%8."/>
      <w:lvlJc w:val="left"/>
      <w:pPr>
        <w:ind w:left="6360" w:hanging="360"/>
      </w:pPr>
    </w:lvl>
    <w:lvl w:ilvl="8" w:tplc="0816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3" w15:restartNumberingAfterBreak="0">
    <w:nsid w:val="3C7D47EB"/>
    <w:multiLevelType w:val="hybridMultilevel"/>
    <w:tmpl w:val="6EEA7672"/>
    <w:lvl w:ilvl="0" w:tplc="08160001">
      <w:start w:val="1"/>
      <w:numFmt w:val="bullet"/>
      <w:lvlText w:val=""/>
      <w:lvlJc w:val="left"/>
      <w:pPr>
        <w:ind w:left="55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2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9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4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1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8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5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10" w:hanging="360"/>
      </w:pPr>
      <w:rPr>
        <w:rFonts w:ascii="Wingdings" w:hAnsi="Wingdings" w:hint="default"/>
      </w:rPr>
    </w:lvl>
  </w:abstractNum>
  <w:abstractNum w:abstractNumId="14" w15:restartNumberingAfterBreak="0">
    <w:nsid w:val="3D616977"/>
    <w:multiLevelType w:val="hybridMultilevel"/>
    <w:tmpl w:val="98F69A1C"/>
    <w:lvl w:ilvl="0" w:tplc="08160003">
      <w:start w:val="1"/>
      <w:numFmt w:val="bullet"/>
      <w:lvlText w:val="o"/>
      <w:lvlJc w:val="left"/>
      <w:pPr>
        <w:ind w:left="55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2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9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4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1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8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5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10" w:hanging="360"/>
      </w:pPr>
      <w:rPr>
        <w:rFonts w:ascii="Wingdings" w:hAnsi="Wingdings" w:hint="default"/>
      </w:rPr>
    </w:lvl>
  </w:abstractNum>
  <w:abstractNum w:abstractNumId="15" w15:restartNumberingAfterBreak="0">
    <w:nsid w:val="3F9E5631"/>
    <w:multiLevelType w:val="hybridMultilevel"/>
    <w:tmpl w:val="A2B43E08"/>
    <w:lvl w:ilvl="0" w:tplc="08160001">
      <w:start w:val="1"/>
      <w:numFmt w:val="bullet"/>
      <w:lvlText w:val=""/>
      <w:lvlJc w:val="left"/>
      <w:pPr>
        <w:ind w:left="55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2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9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4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1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8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5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10" w:hanging="360"/>
      </w:pPr>
      <w:rPr>
        <w:rFonts w:ascii="Wingdings" w:hAnsi="Wingdings" w:hint="default"/>
      </w:rPr>
    </w:lvl>
  </w:abstractNum>
  <w:abstractNum w:abstractNumId="16" w15:restartNumberingAfterBreak="0">
    <w:nsid w:val="3FC519B1"/>
    <w:multiLevelType w:val="hybridMultilevel"/>
    <w:tmpl w:val="86F87B50"/>
    <w:lvl w:ilvl="0" w:tplc="08160001">
      <w:start w:val="1"/>
      <w:numFmt w:val="bullet"/>
      <w:lvlText w:val=""/>
      <w:lvlJc w:val="left"/>
      <w:pPr>
        <w:ind w:left="55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2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9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4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1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8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5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10" w:hanging="360"/>
      </w:pPr>
      <w:rPr>
        <w:rFonts w:ascii="Wingdings" w:hAnsi="Wingdings" w:hint="default"/>
      </w:rPr>
    </w:lvl>
  </w:abstractNum>
  <w:abstractNum w:abstractNumId="17" w15:restartNumberingAfterBreak="0">
    <w:nsid w:val="450F22D1"/>
    <w:multiLevelType w:val="hybridMultilevel"/>
    <w:tmpl w:val="A986135A"/>
    <w:lvl w:ilvl="0" w:tplc="08160001">
      <w:start w:val="1"/>
      <w:numFmt w:val="bullet"/>
      <w:lvlText w:val=""/>
      <w:lvlJc w:val="left"/>
      <w:pPr>
        <w:ind w:left="55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2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9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4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1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8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5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10" w:hanging="360"/>
      </w:pPr>
      <w:rPr>
        <w:rFonts w:ascii="Wingdings" w:hAnsi="Wingdings" w:hint="default"/>
      </w:rPr>
    </w:lvl>
  </w:abstractNum>
  <w:abstractNum w:abstractNumId="18" w15:restartNumberingAfterBreak="0">
    <w:nsid w:val="463C405A"/>
    <w:multiLevelType w:val="hybridMultilevel"/>
    <w:tmpl w:val="1CC4CD02"/>
    <w:lvl w:ilvl="0" w:tplc="08160001">
      <w:start w:val="1"/>
      <w:numFmt w:val="bullet"/>
      <w:lvlText w:val=""/>
      <w:lvlJc w:val="left"/>
      <w:pPr>
        <w:ind w:left="55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2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9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4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1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8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5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10" w:hanging="360"/>
      </w:pPr>
      <w:rPr>
        <w:rFonts w:ascii="Wingdings" w:hAnsi="Wingdings" w:hint="default"/>
      </w:rPr>
    </w:lvl>
  </w:abstractNum>
  <w:abstractNum w:abstractNumId="19" w15:restartNumberingAfterBreak="0">
    <w:nsid w:val="49B862EE"/>
    <w:multiLevelType w:val="hybridMultilevel"/>
    <w:tmpl w:val="004A9488"/>
    <w:lvl w:ilvl="0" w:tplc="08160003">
      <w:start w:val="1"/>
      <w:numFmt w:val="bullet"/>
      <w:lvlText w:val="o"/>
      <w:lvlJc w:val="left"/>
      <w:pPr>
        <w:ind w:left="55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2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10" w:hanging="360"/>
      </w:pPr>
      <w:rPr>
        <w:rFonts w:ascii="Wingdings" w:hAnsi="Wingdings" w:hint="default"/>
      </w:rPr>
    </w:lvl>
  </w:abstractNum>
  <w:abstractNum w:abstractNumId="20" w15:restartNumberingAfterBreak="0">
    <w:nsid w:val="4BC03AE2"/>
    <w:multiLevelType w:val="hybridMultilevel"/>
    <w:tmpl w:val="3F6201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786594"/>
    <w:multiLevelType w:val="hybridMultilevel"/>
    <w:tmpl w:val="3D3CB456"/>
    <w:lvl w:ilvl="0" w:tplc="0816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2" w15:restartNumberingAfterBreak="0">
    <w:nsid w:val="529E416B"/>
    <w:multiLevelType w:val="hybridMultilevel"/>
    <w:tmpl w:val="F424AC6A"/>
    <w:lvl w:ilvl="0" w:tplc="08160013">
      <w:start w:val="1"/>
      <w:numFmt w:val="upperRoman"/>
      <w:lvlText w:val="%1."/>
      <w:lvlJc w:val="right"/>
      <w:pPr>
        <w:ind w:left="1270" w:hanging="360"/>
      </w:pPr>
    </w:lvl>
    <w:lvl w:ilvl="1" w:tplc="08160019" w:tentative="1">
      <w:start w:val="1"/>
      <w:numFmt w:val="lowerLetter"/>
      <w:lvlText w:val="%2."/>
      <w:lvlJc w:val="left"/>
      <w:pPr>
        <w:ind w:left="1990" w:hanging="360"/>
      </w:pPr>
    </w:lvl>
    <w:lvl w:ilvl="2" w:tplc="0816001B" w:tentative="1">
      <w:start w:val="1"/>
      <w:numFmt w:val="lowerRoman"/>
      <w:lvlText w:val="%3."/>
      <w:lvlJc w:val="right"/>
      <w:pPr>
        <w:ind w:left="2710" w:hanging="180"/>
      </w:pPr>
    </w:lvl>
    <w:lvl w:ilvl="3" w:tplc="0816000F" w:tentative="1">
      <w:start w:val="1"/>
      <w:numFmt w:val="decimal"/>
      <w:lvlText w:val="%4."/>
      <w:lvlJc w:val="left"/>
      <w:pPr>
        <w:ind w:left="3430" w:hanging="360"/>
      </w:pPr>
    </w:lvl>
    <w:lvl w:ilvl="4" w:tplc="08160019" w:tentative="1">
      <w:start w:val="1"/>
      <w:numFmt w:val="lowerLetter"/>
      <w:lvlText w:val="%5."/>
      <w:lvlJc w:val="left"/>
      <w:pPr>
        <w:ind w:left="4150" w:hanging="360"/>
      </w:pPr>
    </w:lvl>
    <w:lvl w:ilvl="5" w:tplc="0816001B" w:tentative="1">
      <w:start w:val="1"/>
      <w:numFmt w:val="lowerRoman"/>
      <w:lvlText w:val="%6."/>
      <w:lvlJc w:val="right"/>
      <w:pPr>
        <w:ind w:left="4870" w:hanging="180"/>
      </w:pPr>
    </w:lvl>
    <w:lvl w:ilvl="6" w:tplc="0816000F" w:tentative="1">
      <w:start w:val="1"/>
      <w:numFmt w:val="decimal"/>
      <w:lvlText w:val="%7."/>
      <w:lvlJc w:val="left"/>
      <w:pPr>
        <w:ind w:left="5590" w:hanging="360"/>
      </w:pPr>
    </w:lvl>
    <w:lvl w:ilvl="7" w:tplc="08160019" w:tentative="1">
      <w:start w:val="1"/>
      <w:numFmt w:val="lowerLetter"/>
      <w:lvlText w:val="%8."/>
      <w:lvlJc w:val="left"/>
      <w:pPr>
        <w:ind w:left="6310" w:hanging="360"/>
      </w:pPr>
    </w:lvl>
    <w:lvl w:ilvl="8" w:tplc="0816001B" w:tentative="1">
      <w:start w:val="1"/>
      <w:numFmt w:val="lowerRoman"/>
      <w:lvlText w:val="%9."/>
      <w:lvlJc w:val="right"/>
      <w:pPr>
        <w:ind w:left="7030" w:hanging="180"/>
      </w:pPr>
    </w:lvl>
  </w:abstractNum>
  <w:abstractNum w:abstractNumId="23" w15:restartNumberingAfterBreak="0">
    <w:nsid w:val="52C75623"/>
    <w:multiLevelType w:val="hybridMultilevel"/>
    <w:tmpl w:val="5718B9F2"/>
    <w:lvl w:ilvl="0" w:tplc="08160001">
      <w:start w:val="1"/>
      <w:numFmt w:val="bullet"/>
      <w:lvlText w:val=""/>
      <w:lvlJc w:val="left"/>
      <w:pPr>
        <w:ind w:left="55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2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9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4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1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8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5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10" w:hanging="360"/>
      </w:pPr>
      <w:rPr>
        <w:rFonts w:ascii="Wingdings" w:hAnsi="Wingdings" w:hint="default"/>
      </w:rPr>
    </w:lvl>
  </w:abstractNum>
  <w:abstractNum w:abstractNumId="24" w15:restartNumberingAfterBreak="0">
    <w:nsid w:val="5CA90819"/>
    <w:multiLevelType w:val="hybridMultilevel"/>
    <w:tmpl w:val="E7ECF8F6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E7329C8"/>
    <w:multiLevelType w:val="hybridMultilevel"/>
    <w:tmpl w:val="57281820"/>
    <w:lvl w:ilvl="0" w:tplc="08160001">
      <w:start w:val="1"/>
      <w:numFmt w:val="bullet"/>
      <w:lvlText w:val=""/>
      <w:lvlJc w:val="left"/>
      <w:pPr>
        <w:ind w:left="55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2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9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4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1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8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5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10" w:hanging="360"/>
      </w:pPr>
      <w:rPr>
        <w:rFonts w:ascii="Wingdings" w:hAnsi="Wingdings" w:hint="default"/>
      </w:rPr>
    </w:lvl>
  </w:abstractNum>
  <w:abstractNum w:abstractNumId="26" w15:restartNumberingAfterBreak="0">
    <w:nsid w:val="61CE5462"/>
    <w:multiLevelType w:val="hybridMultilevel"/>
    <w:tmpl w:val="EA8816EE"/>
    <w:lvl w:ilvl="0" w:tplc="08160001">
      <w:start w:val="1"/>
      <w:numFmt w:val="bullet"/>
      <w:lvlText w:val=""/>
      <w:lvlJc w:val="left"/>
      <w:pPr>
        <w:ind w:left="55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2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9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4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1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8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5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10" w:hanging="360"/>
      </w:pPr>
      <w:rPr>
        <w:rFonts w:ascii="Wingdings" w:hAnsi="Wingdings" w:hint="default"/>
      </w:rPr>
    </w:lvl>
  </w:abstractNum>
  <w:abstractNum w:abstractNumId="27" w15:restartNumberingAfterBreak="0">
    <w:nsid w:val="645F68F7"/>
    <w:multiLevelType w:val="hybridMultilevel"/>
    <w:tmpl w:val="3D08B35E"/>
    <w:lvl w:ilvl="0" w:tplc="08160013">
      <w:start w:val="1"/>
      <w:numFmt w:val="upperRoman"/>
      <w:lvlText w:val="%1."/>
      <w:lvlJc w:val="right"/>
      <w:pPr>
        <w:ind w:left="1320" w:hanging="360"/>
      </w:pPr>
    </w:lvl>
    <w:lvl w:ilvl="1" w:tplc="08160019" w:tentative="1">
      <w:start w:val="1"/>
      <w:numFmt w:val="lowerLetter"/>
      <w:lvlText w:val="%2."/>
      <w:lvlJc w:val="left"/>
      <w:pPr>
        <w:ind w:left="2040" w:hanging="360"/>
      </w:pPr>
    </w:lvl>
    <w:lvl w:ilvl="2" w:tplc="0816001B" w:tentative="1">
      <w:start w:val="1"/>
      <w:numFmt w:val="lowerRoman"/>
      <w:lvlText w:val="%3."/>
      <w:lvlJc w:val="right"/>
      <w:pPr>
        <w:ind w:left="2760" w:hanging="180"/>
      </w:pPr>
    </w:lvl>
    <w:lvl w:ilvl="3" w:tplc="0816000F" w:tentative="1">
      <w:start w:val="1"/>
      <w:numFmt w:val="decimal"/>
      <w:lvlText w:val="%4."/>
      <w:lvlJc w:val="left"/>
      <w:pPr>
        <w:ind w:left="3480" w:hanging="360"/>
      </w:pPr>
    </w:lvl>
    <w:lvl w:ilvl="4" w:tplc="08160019" w:tentative="1">
      <w:start w:val="1"/>
      <w:numFmt w:val="lowerLetter"/>
      <w:lvlText w:val="%5."/>
      <w:lvlJc w:val="left"/>
      <w:pPr>
        <w:ind w:left="4200" w:hanging="360"/>
      </w:pPr>
    </w:lvl>
    <w:lvl w:ilvl="5" w:tplc="0816001B" w:tentative="1">
      <w:start w:val="1"/>
      <w:numFmt w:val="lowerRoman"/>
      <w:lvlText w:val="%6."/>
      <w:lvlJc w:val="right"/>
      <w:pPr>
        <w:ind w:left="4920" w:hanging="180"/>
      </w:pPr>
    </w:lvl>
    <w:lvl w:ilvl="6" w:tplc="0816000F" w:tentative="1">
      <w:start w:val="1"/>
      <w:numFmt w:val="decimal"/>
      <w:lvlText w:val="%7."/>
      <w:lvlJc w:val="left"/>
      <w:pPr>
        <w:ind w:left="5640" w:hanging="360"/>
      </w:pPr>
    </w:lvl>
    <w:lvl w:ilvl="7" w:tplc="08160019" w:tentative="1">
      <w:start w:val="1"/>
      <w:numFmt w:val="lowerLetter"/>
      <w:lvlText w:val="%8."/>
      <w:lvlJc w:val="left"/>
      <w:pPr>
        <w:ind w:left="6360" w:hanging="360"/>
      </w:pPr>
    </w:lvl>
    <w:lvl w:ilvl="8" w:tplc="0816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28" w15:restartNumberingAfterBreak="0">
    <w:nsid w:val="69275A16"/>
    <w:multiLevelType w:val="hybridMultilevel"/>
    <w:tmpl w:val="9D7624C6"/>
    <w:lvl w:ilvl="0" w:tplc="08160001">
      <w:start w:val="1"/>
      <w:numFmt w:val="bullet"/>
      <w:lvlText w:val=""/>
      <w:lvlJc w:val="left"/>
      <w:pPr>
        <w:ind w:left="55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2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9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4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1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8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5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10" w:hanging="360"/>
      </w:pPr>
      <w:rPr>
        <w:rFonts w:ascii="Wingdings" w:hAnsi="Wingdings" w:hint="default"/>
      </w:rPr>
    </w:lvl>
  </w:abstractNum>
  <w:abstractNum w:abstractNumId="29" w15:restartNumberingAfterBreak="0">
    <w:nsid w:val="6B9B658D"/>
    <w:multiLevelType w:val="hybridMultilevel"/>
    <w:tmpl w:val="20EED2B4"/>
    <w:lvl w:ilvl="0" w:tplc="08160001">
      <w:start w:val="1"/>
      <w:numFmt w:val="bullet"/>
      <w:lvlText w:val=""/>
      <w:lvlJc w:val="left"/>
      <w:pPr>
        <w:ind w:left="55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2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9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4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1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8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5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10" w:hanging="360"/>
      </w:pPr>
      <w:rPr>
        <w:rFonts w:ascii="Wingdings" w:hAnsi="Wingdings" w:hint="default"/>
      </w:rPr>
    </w:lvl>
  </w:abstractNum>
  <w:abstractNum w:abstractNumId="30" w15:restartNumberingAfterBreak="0">
    <w:nsid w:val="6E6F6ECB"/>
    <w:multiLevelType w:val="hybridMultilevel"/>
    <w:tmpl w:val="3D08B35E"/>
    <w:lvl w:ilvl="0" w:tplc="FFFFFFFF">
      <w:start w:val="1"/>
      <w:numFmt w:val="upperRoman"/>
      <w:lvlText w:val="%1."/>
      <w:lvlJc w:val="right"/>
      <w:pPr>
        <w:ind w:left="1320" w:hanging="360"/>
      </w:pPr>
    </w:lvl>
    <w:lvl w:ilvl="1" w:tplc="FFFFFFFF" w:tentative="1">
      <w:start w:val="1"/>
      <w:numFmt w:val="lowerLetter"/>
      <w:lvlText w:val="%2."/>
      <w:lvlJc w:val="left"/>
      <w:pPr>
        <w:ind w:left="2040" w:hanging="360"/>
      </w:pPr>
    </w:lvl>
    <w:lvl w:ilvl="2" w:tplc="FFFFFFFF" w:tentative="1">
      <w:start w:val="1"/>
      <w:numFmt w:val="lowerRoman"/>
      <w:lvlText w:val="%3."/>
      <w:lvlJc w:val="right"/>
      <w:pPr>
        <w:ind w:left="2760" w:hanging="180"/>
      </w:pPr>
    </w:lvl>
    <w:lvl w:ilvl="3" w:tplc="FFFFFFFF" w:tentative="1">
      <w:start w:val="1"/>
      <w:numFmt w:val="decimal"/>
      <w:lvlText w:val="%4."/>
      <w:lvlJc w:val="left"/>
      <w:pPr>
        <w:ind w:left="3480" w:hanging="360"/>
      </w:pPr>
    </w:lvl>
    <w:lvl w:ilvl="4" w:tplc="FFFFFFFF" w:tentative="1">
      <w:start w:val="1"/>
      <w:numFmt w:val="lowerLetter"/>
      <w:lvlText w:val="%5."/>
      <w:lvlJc w:val="left"/>
      <w:pPr>
        <w:ind w:left="4200" w:hanging="360"/>
      </w:pPr>
    </w:lvl>
    <w:lvl w:ilvl="5" w:tplc="FFFFFFFF" w:tentative="1">
      <w:start w:val="1"/>
      <w:numFmt w:val="lowerRoman"/>
      <w:lvlText w:val="%6."/>
      <w:lvlJc w:val="right"/>
      <w:pPr>
        <w:ind w:left="4920" w:hanging="180"/>
      </w:pPr>
    </w:lvl>
    <w:lvl w:ilvl="6" w:tplc="FFFFFFFF" w:tentative="1">
      <w:start w:val="1"/>
      <w:numFmt w:val="decimal"/>
      <w:lvlText w:val="%7."/>
      <w:lvlJc w:val="left"/>
      <w:pPr>
        <w:ind w:left="5640" w:hanging="360"/>
      </w:pPr>
    </w:lvl>
    <w:lvl w:ilvl="7" w:tplc="FFFFFFFF" w:tentative="1">
      <w:start w:val="1"/>
      <w:numFmt w:val="lowerLetter"/>
      <w:lvlText w:val="%8."/>
      <w:lvlJc w:val="left"/>
      <w:pPr>
        <w:ind w:left="6360" w:hanging="360"/>
      </w:pPr>
    </w:lvl>
    <w:lvl w:ilvl="8" w:tplc="FFFFFFFF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1" w15:restartNumberingAfterBreak="0">
    <w:nsid w:val="6F567B77"/>
    <w:multiLevelType w:val="hybridMultilevel"/>
    <w:tmpl w:val="9EA80ACE"/>
    <w:lvl w:ilvl="0" w:tplc="08160001">
      <w:start w:val="1"/>
      <w:numFmt w:val="bullet"/>
      <w:lvlText w:val=""/>
      <w:lvlJc w:val="left"/>
      <w:pPr>
        <w:ind w:left="55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2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9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4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1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8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5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10" w:hanging="360"/>
      </w:pPr>
      <w:rPr>
        <w:rFonts w:ascii="Wingdings" w:hAnsi="Wingdings" w:hint="default"/>
      </w:rPr>
    </w:lvl>
  </w:abstractNum>
  <w:abstractNum w:abstractNumId="32" w15:restartNumberingAfterBreak="0">
    <w:nsid w:val="709B3B17"/>
    <w:multiLevelType w:val="hybridMultilevel"/>
    <w:tmpl w:val="2E92DD78"/>
    <w:lvl w:ilvl="0" w:tplc="08160001">
      <w:start w:val="1"/>
      <w:numFmt w:val="bullet"/>
      <w:lvlText w:val=""/>
      <w:lvlJc w:val="left"/>
      <w:pPr>
        <w:ind w:left="55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2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9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4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1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8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5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10" w:hanging="360"/>
      </w:pPr>
      <w:rPr>
        <w:rFonts w:ascii="Wingdings" w:hAnsi="Wingdings" w:hint="default"/>
      </w:rPr>
    </w:lvl>
  </w:abstractNum>
  <w:abstractNum w:abstractNumId="33" w15:restartNumberingAfterBreak="0">
    <w:nsid w:val="71577755"/>
    <w:multiLevelType w:val="hybridMultilevel"/>
    <w:tmpl w:val="714004D2"/>
    <w:lvl w:ilvl="0" w:tplc="08160003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4" w15:restartNumberingAfterBreak="0">
    <w:nsid w:val="749C68AA"/>
    <w:multiLevelType w:val="hybridMultilevel"/>
    <w:tmpl w:val="3D08B35E"/>
    <w:lvl w:ilvl="0" w:tplc="FFFFFFFF">
      <w:start w:val="1"/>
      <w:numFmt w:val="upperRoman"/>
      <w:lvlText w:val="%1."/>
      <w:lvlJc w:val="right"/>
      <w:pPr>
        <w:ind w:left="1320" w:hanging="360"/>
      </w:pPr>
    </w:lvl>
    <w:lvl w:ilvl="1" w:tplc="FFFFFFFF" w:tentative="1">
      <w:start w:val="1"/>
      <w:numFmt w:val="lowerLetter"/>
      <w:lvlText w:val="%2."/>
      <w:lvlJc w:val="left"/>
      <w:pPr>
        <w:ind w:left="2040" w:hanging="360"/>
      </w:pPr>
    </w:lvl>
    <w:lvl w:ilvl="2" w:tplc="FFFFFFFF" w:tentative="1">
      <w:start w:val="1"/>
      <w:numFmt w:val="lowerRoman"/>
      <w:lvlText w:val="%3."/>
      <w:lvlJc w:val="right"/>
      <w:pPr>
        <w:ind w:left="2760" w:hanging="180"/>
      </w:pPr>
    </w:lvl>
    <w:lvl w:ilvl="3" w:tplc="FFFFFFFF" w:tentative="1">
      <w:start w:val="1"/>
      <w:numFmt w:val="decimal"/>
      <w:lvlText w:val="%4."/>
      <w:lvlJc w:val="left"/>
      <w:pPr>
        <w:ind w:left="3480" w:hanging="360"/>
      </w:pPr>
    </w:lvl>
    <w:lvl w:ilvl="4" w:tplc="FFFFFFFF" w:tentative="1">
      <w:start w:val="1"/>
      <w:numFmt w:val="lowerLetter"/>
      <w:lvlText w:val="%5."/>
      <w:lvlJc w:val="left"/>
      <w:pPr>
        <w:ind w:left="4200" w:hanging="360"/>
      </w:pPr>
    </w:lvl>
    <w:lvl w:ilvl="5" w:tplc="FFFFFFFF" w:tentative="1">
      <w:start w:val="1"/>
      <w:numFmt w:val="lowerRoman"/>
      <w:lvlText w:val="%6."/>
      <w:lvlJc w:val="right"/>
      <w:pPr>
        <w:ind w:left="4920" w:hanging="180"/>
      </w:pPr>
    </w:lvl>
    <w:lvl w:ilvl="6" w:tplc="FFFFFFFF" w:tentative="1">
      <w:start w:val="1"/>
      <w:numFmt w:val="decimal"/>
      <w:lvlText w:val="%7."/>
      <w:lvlJc w:val="left"/>
      <w:pPr>
        <w:ind w:left="5640" w:hanging="360"/>
      </w:pPr>
    </w:lvl>
    <w:lvl w:ilvl="7" w:tplc="FFFFFFFF" w:tentative="1">
      <w:start w:val="1"/>
      <w:numFmt w:val="lowerLetter"/>
      <w:lvlText w:val="%8."/>
      <w:lvlJc w:val="left"/>
      <w:pPr>
        <w:ind w:left="6360" w:hanging="360"/>
      </w:pPr>
    </w:lvl>
    <w:lvl w:ilvl="8" w:tplc="FFFFFFFF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5" w15:restartNumberingAfterBreak="0">
    <w:nsid w:val="7A6E207A"/>
    <w:multiLevelType w:val="hybridMultilevel"/>
    <w:tmpl w:val="11286A36"/>
    <w:lvl w:ilvl="0" w:tplc="46D00F6C">
      <w:start w:val="1"/>
      <w:numFmt w:val="decimal"/>
      <w:lvlText w:val="%1."/>
      <w:lvlJc w:val="left"/>
      <w:pPr>
        <w:ind w:left="90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624" w:hanging="360"/>
      </w:pPr>
    </w:lvl>
    <w:lvl w:ilvl="2" w:tplc="0816001B" w:tentative="1">
      <w:start w:val="1"/>
      <w:numFmt w:val="lowerRoman"/>
      <w:lvlText w:val="%3."/>
      <w:lvlJc w:val="right"/>
      <w:pPr>
        <w:ind w:left="2344" w:hanging="180"/>
      </w:pPr>
    </w:lvl>
    <w:lvl w:ilvl="3" w:tplc="0816000F" w:tentative="1">
      <w:start w:val="1"/>
      <w:numFmt w:val="decimal"/>
      <w:lvlText w:val="%4."/>
      <w:lvlJc w:val="left"/>
      <w:pPr>
        <w:ind w:left="3064" w:hanging="360"/>
      </w:pPr>
    </w:lvl>
    <w:lvl w:ilvl="4" w:tplc="08160019" w:tentative="1">
      <w:start w:val="1"/>
      <w:numFmt w:val="lowerLetter"/>
      <w:lvlText w:val="%5."/>
      <w:lvlJc w:val="left"/>
      <w:pPr>
        <w:ind w:left="3784" w:hanging="360"/>
      </w:pPr>
    </w:lvl>
    <w:lvl w:ilvl="5" w:tplc="0816001B" w:tentative="1">
      <w:start w:val="1"/>
      <w:numFmt w:val="lowerRoman"/>
      <w:lvlText w:val="%6."/>
      <w:lvlJc w:val="right"/>
      <w:pPr>
        <w:ind w:left="4504" w:hanging="180"/>
      </w:pPr>
    </w:lvl>
    <w:lvl w:ilvl="6" w:tplc="0816000F" w:tentative="1">
      <w:start w:val="1"/>
      <w:numFmt w:val="decimal"/>
      <w:lvlText w:val="%7."/>
      <w:lvlJc w:val="left"/>
      <w:pPr>
        <w:ind w:left="5224" w:hanging="360"/>
      </w:pPr>
    </w:lvl>
    <w:lvl w:ilvl="7" w:tplc="08160019" w:tentative="1">
      <w:start w:val="1"/>
      <w:numFmt w:val="lowerLetter"/>
      <w:lvlText w:val="%8."/>
      <w:lvlJc w:val="left"/>
      <w:pPr>
        <w:ind w:left="5944" w:hanging="360"/>
      </w:pPr>
    </w:lvl>
    <w:lvl w:ilvl="8" w:tplc="0816001B" w:tentative="1">
      <w:start w:val="1"/>
      <w:numFmt w:val="lowerRoman"/>
      <w:lvlText w:val="%9."/>
      <w:lvlJc w:val="right"/>
      <w:pPr>
        <w:ind w:left="6664" w:hanging="180"/>
      </w:pPr>
    </w:lvl>
  </w:abstractNum>
  <w:abstractNum w:abstractNumId="36" w15:restartNumberingAfterBreak="0">
    <w:nsid w:val="7B605B6E"/>
    <w:multiLevelType w:val="hybridMultilevel"/>
    <w:tmpl w:val="9CB6A0F2"/>
    <w:lvl w:ilvl="0" w:tplc="08160003">
      <w:start w:val="1"/>
      <w:numFmt w:val="bullet"/>
      <w:lvlText w:val="o"/>
      <w:lvlJc w:val="left"/>
      <w:pPr>
        <w:ind w:left="1074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37" w15:restartNumberingAfterBreak="0">
    <w:nsid w:val="7D4E7F20"/>
    <w:multiLevelType w:val="hybridMultilevel"/>
    <w:tmpl w:val="A336B73C"/>
    <w:lvl w:ilvl="0" w:tplc="08160001">
      <w:start w:val="1"/>
      <w:numFmt w:val="bullet"/>
      <w:lvlText w:val=""/>
      <w:lvlJc w:val="left"/>
      <w:pPr>
        <w:ind w:left="55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2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9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4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1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8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5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10" w:hanging="360"/>
      </w:pPr>
      <w:rPr>
        <w:rFonts w:ascii="Wingdings" w:hAnsi="Wingdings" w:hint="default"/>
      </w:rPr>
    </w:lvl>
  </w:abstractNum>
  <w:abstractNum w:abstractNumId="38" w15:restartNumberingAfterBreak="0">
    <w:nsid w:val="7E096BAE"/>
    <w:multiLevelType w:val="hybridMultilevel"/>
    <w:tmpl w:val="A118918E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63688">
    <w:abstractNumId w:val="19"/>
  </w:num>
  <w:num w:numId="2" w16cid:durableId="1089501497">
    <w:abstractNumId w:val="11"/>
  </w:num>
  <w:num w:numId="3" w16cid:durableId="1255434968">
    <w:abstractNumId w:val="14"/>
  </w:num>
  <w:num w:numId="4" w16cid:durableId="158276115">
    <w:abstractNumId w:val="37"/>
  </w:num>
  <w:num w:numId="5" w16cid:durableId="1273244944">
    <w:abstractNumId w:val="32"/>
  </w:num>
  <w:num w:numId="6" w16cid:durableId="296617548">
    <w:abstractNumId w:val="2"/>
  </w:num>
  <w:num w:numId="7" w16cid:durableId="1352142615">
    <w:abstractNumId w:val="4"/>
  </w:num>
  <w:num w:numId="8" w16cid:durableId="451171625">
    <w:abstractNumId w:val="18"/>
  </w:num>
  <w:num w:numId="9" w16cid:durableId="129981408">
    <w:abstractNumId w:val="26"/>
  </w:num>
  <w:num w:numId="10" w16cid:durableId="1035273762">
    <w:abstractNumId w:val="28"/>
  </w:num>
  <w:num w:numId="11" w16cid:durableId="525798070">
    <w:abstractNumId w:val="8"/>
  </w:num>
  <w:num w:numId="12" w16cid:durableId="2095936141">
    <w:abstractNumId w:val="27"/>
  </w:num>
  <w:num w:numId="13" w16cid:durableId="854809981">
    <w:abstractNumId w:val="22"/>
  </w:num>
  <w:num w:numId="14" w16cid:durableId="1429080799">
    <w:abstractNumId w:val="6"/>
  </w:num>
  <w:num w:numId="15" w16cid:durableId="697389017">
    <w:abstractNumId w:val="12"/>
  </w:num>
  <w:num w:numId="16" w16cid:durableId="1082603483">
    <w:abstractNumId w:val="1"/>
  </w:num>
  <w:num w:numId="17" w16cid:durableId="512962436">
    <w:abstractNumId w:val="34"/>
  </w:num>
  <w:num w:numId="18" w16cid:durableId="2070689250">
    <w:abstractNumId w:val="20"/>
  </w:num>
  <w:num w:numId="19" w16cid:durableId="721172237">
    <w:abstractNumId w:val="5"/>
  </w:num>
  <w:num w:numId="20" w16cid:durableId="172691784">
    <w:abstractNumId w:val="7"/>
  </w:num>
  <w:num w:numId="21" w16cid:durableId="1015039433">
    <w:abstractNumId w:val="30"/>
  </w:num>
  <w:num w:numId="22" w16cid:durableId="577861615">
    <w:abstractNumId w:val="31"/>
  </w:num>
  <w:num w:numId="23" w16cid:durableId="491723808">
    <w:abstractNumId w:val="35"/>
  </w:num>
  <w:num w:numId="24" w16cid:durableId="1015035375">
    <w:abstractNumId w:val="9"/>
  </w:num>
  <w:num w:numId="25" w16cid:durableId="690306499">
    <w:abstractNumId w:val="3"/>
  </w:num>
  <w:num w:numId="26" w16cid:durableId="1953246652">
    <w:abstractNumId w:val="15"/>
  </w:num>
  <w:num w:numId="27" w16cid:durableId="1271859058">
    <w:abstractNumId w:val="25"/>
  </w:num>
  <w:num w:numId="28" w16cid:durableId="17317309">
    <w:abstractNumId w:val="17"/>
  </w:num>
  <w:num w:numId="29" w16cid:durableId="1775399244">
    <w:abstractNumId w:val="16"/>
  </w:num>
  <w:num w:numId="30" w16cid:durableId="560212059">
    <w:abstractNumId w:val="23"/>
  </w:num>
  <w:num w:numId="31" w16cid:durableId="1362702408">
    <w:abstractNumId w:val="29"/>
  </w:num>
  <w:num w:numId="32" w16cid:durableId="1636133212">
    <w:abstractNumId w:val="13"/>
  </w:num>
  <w:num w:numId="33" w16cid:durableId="744568259">
    <w:abstractNumId w:val="10"/>
  </w:num>
  <w:num w:numId="34" w16cid:durableId="304432919">
    <w:abstractNumId w:val="38"/>
  </w:num>
  <w:num w:numId="35" w16cid:durableId="2120946917">
    <w:abstractNumId w:val="24"/>
  </w:num>
  <w:num w:numId="36" w16cid:durableId="147980924">
    <w:abstractNumId w:val="33"/>
  </w:num>
  <w:num w:numId="37" w16cid:durableId="750197160">
    <w:abstractNumId w:val="36"/>
  </w:num>
  <w:num w:numId="38" w16cid:durableId="1318219535">
    <w:abstractNumId w:val="21"/>
  </w:num>
  <w:num w:numId="39" w16cid:durableId="771389864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8A1"/>
    <w:rsid w:val="0000171B"/>
    <w:rsid w:val="000021C2"/>
    <w:rsid w:val="00002AA0"/>
    <w:rsid w:val="00003883"/>
    <w:rsid w:val="00003A95"/>
    <w:rsid w:val="00003AB7"/>
    <w:rsid w:val="00003F95"/>
    <w:rsid w:val="000040DD"/>
    <w:rsid w:val="000041A4"/>
    <w:rsid w:val="0000577A"/>
    <w:rsid w:val="00006284"/>
    <w:rsid w:val="000066A9"/>
    <w:rsid w:val="00007346"/>
    <w:rsid w:val="00007A38"/>
    <w:rsid w:val="000106E9"/>
    <w:rsid w:val="00010F7F"/>
    <w:rsid w:val="00011020"/>
    <w:rsid w:val="000112E9"/>
    <w:rsid w:val="00011D7D"/>
    <w:rsid w:val="00012AEA"/>
    <w:rsid w:val="000136A3"/>
    <w:rsid w:val="0001389F"/>
    <w:rsid w:val="00013F0C"/>
    <w:rsid w:val="00015163"/>
    <w:rsid w:val="00015476"/>
    <w:rsid w:val="00015706"/>
    <w:rsid w:val="00016C39"/>
    <w:rsid w:val="00016FB7"/>
    <w:rsid w:val="0001752C"/>
    <w:rsid w:val="0002084B"/>
    <w:rsid w:val="00020876"/>
    <w:rsid w:val="00020CFE"/>
    <w:rsid w:val="00021053"/>
    <w:rsid w:val="000216A7"/>
    <w:rsid w:val="00022287"/>
    <w:rsid w:val="000225AC"/>
    <w:rsid w:val="00022785"/>
    <w:rsid w:val="00022C36"/>
    <w:rsid w:val="00022CAE"/>
    <w:rsid w:val="0002311B"/>
    <w:rsid w:val="00024254"/>
    <w:rsid w:val="00024532"/>
    <w:rsid w:val="000248F6"/>
    <w:rsid w:val="00024ABB"/>
    <w:rsid w:val="0002520F"/>
    <w:rsid w:val="00025782"/>
    <w:rsid w:val="00025CA8"/>
    <w:rsid w:val="00025F24"/>
    <w:rsid w:val="000266DC"/>
    <w:rsid w:val="0002679A"/>
    <w:rsid w:val="00026BDD"/>
    <w:rsid w:val="0002700A"/>
    <w:rsid w:val="00027350"/>
    <w:rsid w:val="00027AE6"/>
    <w:rsid w:val="00030098"/>
    <w:rsid w:val="00030BD8"/>
    <w:rsid w:val="000315CC"/>
    <w:rsid w:val="000319D7"/>
    <w:rsid w:val="00031A1A"/>
    <w:rsid w:val="00032977"/>
    <w:rsid w:val="00032C25"/>
    <w:rsid w:val="000331AD"/>
    <w:rsid w:val="00034EDA"/>
    <w:rsid w:val="000350B7"/>
    <w:rsid w:val="00035DE0"/>
    <w:rsid w:val="00036413"/>
    <w:rsid w:val="00036D32"/>
    <w:rsid w:val="00037E5F"/>
    <w:rsid w:val="00040248"/>
    <w:rsid w:val="00040E4F"/>
    <w:rsid w:val="000415F1"/>
    <w:rsid w:val="000416C0"/>
    <w:rsid w:val="000420F7"/>
    <w:rsid w:val="0004276D"/>
    <w:rsid w:val="00042F00"/>
    <w:rsid w:val="00043406"/>
    <w:rsid w:val="000435B0"/>
    <w:rsid w:val="000439AD"/>
    <w:rsid w:val="00043B71"/>
    <w:rsid w:val="00044C43"/>
    <w:rsid w:val="00044CA6"/>
    <w:rsid w:val="00044FC2"/>
    <w:rsid w:val="00045886"/>
    <w:rsid w:val="00046237"/>
    <w:rsid w:val="00046340"/>
    <w:rsid w:val="0004655D"/>
    <w:rsid w:val="000466D7"/>
    <w:rsid w:val="00047B7E"/>
    <w:rsid w:val="000501B7"/>
    <w:rsid w:val="000505B6"/>
    <w:rsid w:val="0005068C"/>
    <w:rsid w:val="00050D5E"/>
    <w:rsid w:val="00051A05"/>
    <w:rsid w:val="00052387"/>
    <w:rsid w:val="00053935"/>
    <w:rsid w:val="000559AC"/>
    <w:rsid w:val="00055A79"/>
    <w:rsid w:val="000568CB"/>
    <w:rsid w:val="00056BE9"/>
    <w:rsid w:val="00056CF9"/>
    <w:rsid w:val="0005726E"/>
    <w:rsid w:val="00060315"/>
    <w:rsid w:val="00060E03"/>
    <w:rsid w:val="00060FBA"/>
    <w:rsid w:val="000615BD"/>
    <w:rsid w:val="000620DE"/>
    <w:rsid w:val="00062F9A"/>
    <w:rsid w:val="00064A12"/>
    <w:rsid w:val="00064ACA"/>
    <w:rsid w:val="00064EC4"/>
    <w:rsid w:val="000651E8"/>
    <w:rsid w:val="00065CF1"/>
    <w:rsid w:val="00065FA9"/>
    <w:rsid w:val="00071AED"/>
    <w:rsid w:val="000729EA"/>
    <w:rsid w:val="00072F9E"/>
    <w:rsid w:val="00073698"/>
    <w:rsid w:val="00073A7C"/>
    <w:rsid w:val="00074C83"/>
    <w:rsid w:val="00074F2A"/>
    <w:rsid w:val="0007508F"/>
    <w:rsid w:val="0007516D"/>
    <w:rsid w:val="000755AD"/>
    <w:rsid w:val="000764ED"/>
    <w:rsid w:val="00076685"/>
    <w:rsid w:val="00076ED9"/>
    <w:rsid w:val="00077062"/>
    <w:rsid w:val="0007771C"/>
    <w:rsid w:val="00080B31"/>
    <w:rsid w:val="00081A0B"/>
    <w:rsid w:val="0008234C"/>
    <w:rsid w:val="000827E5"/>
    <w:rsid w:val="000828D3"/>
    <w:rsid w:val="00082BBB"/>
    <w:rsid w:val="0008357B"/>
    <w:rsid w:val="000836EC"/>
    <w:rsid w:val="00084AA9"/>
    <w:rsid w:val="000870A9"/>
    <w:rsid w:val="000872A4"/>
    <w:rsid w:val="000875E1"/>
    <w:rsid w:val="0008788F"/>
    <w:rsid w:val="00087C40"/>
    <w:rsid w:val="000906DF"/>
    <w:rsid w:val="00090909"/>
    <w:rsid w:val="00090F5F"/>
    <w:rsid w:val="00092594"/>
    <w:rsid w:val="00092D66"/>
    <w:rsid w:val="00092F4A"/>
    <w:rsid w:val="00096219"/>
    <w:rsid w:val="00096F07"/>
    <w:rsid w:val="000974E2"/>
    <w:rsid w:val="00097B76"/>
    <w:rsid w:val="00097CFE"/>
    <w:rsid w:val="00097EAF"/>
    <w:rsid w:val="000A0448"/>
    <w:rsid w:val="000A046E"/>
    <w:rsid w:val="000A120E"/>
    <w:rsid w:val="000A1D08"/>
    <w:rsid w:val="000A21A5"/>
    <w:rsid w:val="000A2AB9"/>
    <w:rsid w:val="000A3146"/>
    <w:rsid w:val="000A3263"/>
    <w:rsid w:val="000A38A3"/>
    <w:rsid w:val="000A3CA0"/>
    <w:rsid w:val="000A3F71"/>
    <w:rsid w:val="000A48EF"/>
    <w:rsid w:val="000A5275"/>
    <w:rsid w:val="000A535C"/>
    <w:rsid w:val="000A60C5"/>
    <w:rsid w:val="000A739F"/>
    <w:rsid w:val="000A783E"/>
    <w:rsid w:val="000B0554"/>
    <w:rsid w:val="000B0A84"/>
    <w:rsid w:val="000B2A11"/>
    <w:rsid w:val="000B2B6B"/>
    <w:rsid w:val="000B3CB3"/>
    <w:rsid w:val="000B5BCD"/>
    <w:rsid w:val="000B6CB6"/>
    <w:rsid w:val="000B7B98"/>
    <w:rsid w:val="000B7F7A"/>
    <w:rsid w:val="000C0309"/>
    <w:rsid w:val="000C0AB4"/>
    <w:rsid w:val="000C167F"/>
    <w:rsid w:val="000C2557"/>
    <w:rsid w:val="000C2FD5"/>
    <w:rsid w:val="000C346E"/>
    <w:rsid w:val="000C4089"/>
    <w:rsid w:val="000C4261"/>
    <w:rsid w:val="000C4641"/>
    <w:rsid w:val="000C5192"/>
    <w:rsid w:val="000C5DAB"/>
    <w:rsid w:val="000C75CE"/>
    <w:rsid w:val="000C78DE"/>
    <w:rsid w:val="000C7E74"/>
    <w:rsid w:val="000D01D4"/>
    <w:rsid w:val="000D0446"/>
    <w:rsid w:val="000D0A54"/>
    <w:rsid w:val="000D14B7"/>
    <w:rsid w:val="000D1F03"/>
    <w:rsid w:val="000D2516"/>
    <w:rsid w:val="000D2953"/>
    <w:rsid w:val="000D2C59"/>
    <w:rsid w:val="000D363D"/>
    <w:rsid w:val="000D4635"/>
    <w:rsid w:val="000D559D"/>
    <w:rsid w:val="000D5C04"/>
    <w:rsid w:val="000D642A"/>
    <w:rsid w:val="000E0555"/>
    <w:rsid w:val="000E0B04"/>
    <w:rsid w:val="000E0DD9"/>
    <w:rsid w:val="000E1BCA"/>
    <w:rsid w:val="000E27BF"/>
    <w:rsid w:val="000E2B00"/>
    <w:rsid w:val="000E3068"/>
    <w:rsid w:val="000E333E"/>
    <w:rsid w:val="000E6395"/>
    <w:rsid w:val="000E6527"/>
    <w:rsid w:val="000E7430"/>
    <w:rsid w:val="000E792A"/>
    <w:rsid w:val="000F0FBD"/>
    <w:rsid w:val="000F1832"/>
    <w:rsid w:val="000F1A0B"/>
    <w:rsid w:val="000F2928"/>
    <w:rsid w:val="000F2AC5"/>
    <w:rsid w:val="000F2D5B"/>
    <w:rsid w:val="000F30A1"/>
    <w:rsid w:val="000F3E41"/>
    <w:rsid w:val="000F44F3"/>
    <w:rsid w:val="000F510E"/>
    <w:rsid w:val="000F59F7"/>
    <w:rsid w:val="000F6031"/>
    <w:rsid w:val="000F60F2"/>
    <w:rsid w:val="000F6561"/>
    <w:rsid w:val="000F67DA"/>
    <w:rsid w:val="000F747B"/>
    <w:rsid w:val="000F7737"/>
    <w:rsid w:val="001013A8"/>
    <w:rsid w:val="00104054"/>
    <w:rsid w:val="00104286"/>
    <w:rsid w:val="0010533A"/>
    <w:rsid w:val="001053A4"/>
    <w:rsid w:val="00105DFB"/>
    <w:rsid w:val="00106798"/>
    <w:rsid w:val="0010721A"/>
    <w:rsid w:val="00107852"/>
    <w:rsid w:val="001078CF"/>
    <w:rsid w:val="00110652"/>
    <w:rsid w:val="001116F4"/>
    <w:rsid w:val="0011207C"/>
    <w:rsid w:val="00112C03"/>
    <w:rsid w:val="00112E14"/>
    <w:rsid w:val="0011364E"/>
    <w:rsid w:val="00113FA2"/>
    <w:rsid w:val="00114FA6"/>
    <w:rsid w:val="001158D5"/>
    <w:rsid w:val="00116802"/>
    <w:rsid w:val="001170F8"/>
    <w:rsid w:val="001171E3"/>
    <w:rsid w:val="001176A8"/>
    <w:rsid w:val="00117728"/>
    <w:rsid w:val="00121EEA"/>
    <w:rsid w:val="001228E6"/>
    <w:rsid w:val="00122916"/>
    <w:rsid w:val="0012417C"/>
    <w:rsid w:val="001248CA"/>
    <w:rsid w:val="00125710"/>
    <w:rsid w:val="00125FAA"/>
    <w:rsid w:val="00126B48"/>
    <w:rsid w:val="00126FF3"/>
    <w:rsid w:val="001270BD"/>
    <w:rsid w:val="001274A1"/>
    <w:rsid w:val="001274C4"/>
    <w:rsid w:val="001279CD"/>
    <w:rsid w:val="001300F9"/>
    <w:rsid w:val="00131AB9"/>
    <w:rsid w:val="00132638"/>
    <w:rsid w:val="00132657"/>
    <w:rsid w:val="00132C46"/>
    <w:rsid w:val="00133B25"/>
    <w:rsid w:val="0013432E"/>
    <w:rsid w:val="00134407"/>
    <w:rsid w:val="00134C6E"/>
    <w:rsid w:val="001355BB"/>
    <w:rsid w:val="001373E4"/>
    <w:rsid w:val="0013752A"/>
    <w:rsid w:val="00137B05"/>
    <w:rsid w:val="001404C4"/>
    <w:rsid w:val="00140527"/>
    <w:rsid w:val="00141165"/>
    <w:rsid w:val="001418AA"/>
    <w:rsid w:val="00141C33"/>
    <w:rsid w:val="00141DBD"/>
    <w:rsid w:val="00142CD7"/>
    <w:rsid w:val="00143937"/>
    <w:rsid w:val="00143A15"/>
    <w:rsid w:val="00143A76"/>
    <w:rsid w:val="00144DEA"/>
    <w:rsid w:val="00145148"/>
    <w:rsid w:val="00145602"/>
    <w:rsid w:val="00145706"/>
    <w:rsid w:val="00145B3A"/>
    <w:rsid w:val="00146910"/>
    <w:rsid w:val="00146932"/>
    <w:rsid w:val="00146E29"/>
    <w:rsid w:val="00146F8E"/>
    <w:rsid w:val="001502FA"/>
    <w:rsid w:val="0015088A"/>
    <w:rsid w:val="00150CE6"/>
    <w:rsid w:val="00151067"/>
    <w:rsid w:val="00151A7C"/>
    <w:rsid w:val="00151AE6"/>
    <w:rsid w:val="00151F93"/>
    <w:rsid w:val="00152617"/>
    <w:rsid w:val="00152F27"/>
    <w:rsid w:val="0015329F"/>
    <w:rsid w:val="0015334F"/>
    <w:rsid w:val="00153C63"/>
    <w:rsid w:val="00154438"/>
    <w:rsid w:val="00154B02"/>
    <w:rsid w:val="00155823"/>
    <w:rsid w:val="0015592A"/>
    <w:rsid w:val="00157793"/>
    <w:rsid w:val="00157B5C"/>
    <w:rsid w:val="00160609"/>
    <w:rsid w:val="00161005"/>
    <w:rsid w:val="00161A7B"/>
    <w:rsid w:val="00161ED4"/>
    <w:rsid w:val="00161F05"/>
    <w:rsid w:val="00162952"/>
    <w:rsid w:val="00162D20"/>
    <w:rsid w:val="001636DB"/>
    <w:rsid w:val="00163902"/>
    <w:rsid w:val="00163956"/>
    <w:rsid w:val="00163AC4"/>
    <w:rsid w:val="00163E8F"/>
    <w:rsid w:val="00163EA3"/>
    <w:rsid w:val="001641F5"/>
    <w:rsid w:val="00164FBF"/>
    <w:rsid w:val="001673AE"/>
    <w:rsid w:val="00167F08"/>
    <w:rsid w:val="00167F65"/>
    <w:rsid w:val="001704CA"/>
    <w:rsid w:val="001713D6"/>
    <w:rsid w:val="00172018"/>
    <w:rsid w:val="00172511"/>
    <w:rsid w:val="001729DE"/>
    <w:rsid w:val="00172C45"/>
    <w:rsid w:val="00172CA2"/>
    <w:rsid w:val="001737A6"/>
    <w:rsid w:val="00173FF2"/>
    <w:rsid w:val="001742D4"/>
    <w:rsid w:val="00175050"/>
    <w:rsid w:val="00175961"/>
    <w:rsid w:val="0017677B"/>
    <w:rsid w:val="00176EB5"/>
    <w:rsid w:val="00177374"/>
    <w:rsid w:val="00180022"/>
    <w:rsid w:val="0018016C"/>
    <w:rsid w:val="001805F0"/>
    <w:rsid w:val="00180A42"/>
    <w:rsid w:val="001811F7"/>
    <w:rsid w:val="00182287"/>
    <w:rsid w:val="001837E3"/>
    <w:rsid w:val="00183F0C"/>
    <w:rsid w:val="00185091"/>
    <w:rsid w:val="00185573"/>
    <w:rsid w:val="001857FC"/>
    <w:rsid w:val="00185AEE"/>
    <w:rsid w:val="00187B78"/>
    <w:rsid w:val="00187F44"/>
    <w:rsid w:val="00187FCB"/>
    <w:rsid w:val="00191145"/>
    <w:rsid w:val="001946CD"/>
    <w:rsid w:val="00195364"/>
    <w:rsid w:val="00195CC3"/>
    <w:rsid w:val="001965B4"/>
    <w:rsid w:val="00196A11"/>
    <w:rsid w:val="00196C80"/>
    <w:rsid w:val="00197C8B"/>
    <w:rsid w:val="001A075E"/>
    <w:rsid w:val="001A0FB4"/>
    <w:rsid w:val="001A106D"/>
    <w:rsid w:val="001A1397"/>
    <w:rsid w:val="001A24D6"/>
    <w:rsid w:val="001A2913"/>
    <w:rsid w:val="001A29D0"/>
    <w:rsid w:val="001A33CF"/>
    <w:rsid w:val="001A4A39"/>
    <w:rsid w:val="001A52E1"/>
    <w:rsid w:val="001A55DA"/>
    <w:rsid w:val="001A56D8"/>
    <w:rsid w:val="001A56FC"/>
    <w:rsid w:val="001A7389"/>
    <w:rsid w:val="001A7E73"/>
    <w:rsid w:val="001B026E"/>
    <w:rsid w:val="001B0D67"/>
    <w:rsid w:val="001B0FDF"/>
    <w:rsid w:val="001B0FE0"/>
    <w:rsid w:val="001B1F3D"/>
    <w:rsid w:val="001B2878"/>
    <w:rsid w:val="001B3096"/>
    <w:rsid w:val="001B3B7E"/>
    <w:rsid w:val="001B43B1"/>
    <w:rsid w:val="001B4843"/>
    <w:rsid w:val="001B4B2E"/>
    <w:rsid w:val="001B4D48"/>
    <w:rsid w:val="001B7B09"/>
    <w:rsid w:val="001C0072"/>
    <w:rsid w:val="001C0508"/>
    <w:rsid w:val="001C06A0"/>
    <w:rsid w:val="001C0F70"/>
    <w:rsid w:val="001C1196"/>
    <w:rsid w:val="001C25FC"/>
    <w:rsid w:val="001C2788"/>
    <w:rsid w:val="001C2C0A"/>
    <w:rsid w:val="001C2D50"/>
    <w:rsid w:val="001C4AA3"/>
    <w:rsid w:val="001C4BAF"/>
    <w:rsid w:val="001C6954"/>
    <w:rsid w:val="001C6B55"/>
    <w:rsid w:val="001C6C30"/>
    <w:rsid w:val="001C7474"/>
    <w:rsid w:val="001C7F0D"/>
    <w:rsid w:val="001C7F82"/>
    <w:rsid w:val="001D197C"/>
    <w:rsid w:val="001D25AB"/>
    <w:rsid w:val="001D2D19"/>
    <w:rsid w:val="001D3023"/>
    <w:rsid w:val="001D31FD"/>
    <w:rsid w:val="001D3BD9"/>
    <w:rsid w:val="001D4073"/>
    <w:rsid w:val="001D411F"/>
    <w:rsid w:val="001D4BDC"/>
    <w:rsid w:val="001D4C32"/>
    <w:rsid w:val="001D64F6"/>
    <w:rsid w:val="001D66DB"/>
    <w:rsid w:val="001D6C20"/>
    <w:rsid w:val="001D757E"/>
    <w:rsid w:val="001D7CB8"/>
    <w:rsid w:val="001E0623"/>
    <w:rsid w:val="001E1502"/>
    <w:rsid w:val="001E17BB"/>
    <w:rsid w:val="001E21DC"/>
    <w:rsid w:val="001E2FBB"/>
    <w:rsid w:val="001E47C4"/>
    <w:rsid w:val="001E5537"/>
    <w:rsid w:val="001E5A76"/>
    <w:rsid w:val="001E5AB4"/>
    <w:rsid w:val="001E64FA"/>
    <w:rsid w:val="001E6C47"/>
    <w:rsid w:val="001F045A"/>
    <w:rsid w:val="001F10ED"/>
    <w:rsid w:val="001F12AD"/>
    <w:rsid w:val="001F14AF"/>
    <w:rsid w:val="001F1632"/>
    <w:rsid w:val="001F22BA"/>
    <w:rsid w:val="001F2E0B"/>
    <w:rsid w:val="001F3694"/>
    <w:rsid w:val="001F3B47"/>
    <w:rsid w:val="001F3F67"/>
    <w:rsid w:val="001F464B"/>
    <w:rsid w:val="001F48E4"/>
    <w:rsid w:val="001F4E9A"/>
    <w:rsid w:val="001F5313"/>
    <w:rsid w:val="001F5762"/>
    <w:rsid w:val="001F5DE9"/>
    <w:rsid w:val="001F6AC4"/>
    <w:rsid w:val="001F7266"/>
    <w:rsid w:val="00201268"/>
    <w:rsid w:val="002012DF"/>
    <w:rsid w:val="002015C3"/>
    <w:rsid w:val="00201F71"/>
    <w:rsid w:val="002029CE"/>
    <w:rsid w:val="00202C51"/>
    <w:rsid w:val="00202F67"/>
    <w:rsid w:val="002043AB"/>
    <w:rsid w:val="00206E03"/>
    <w:rsid w:val="00207E92"/>
    <w:rsid w:val="002106F0"/>
    <w:rsid w:val="0021122F"/>
    <w:rsid w:val="00212C23"/>
    <w:rsid w:val="00212D6D"/>
    <w:rsid w:val="00213F7F"/>
    <w:rsid w:val="002153E8"/>
    <w:rsid w:val="002172A7"/>
    <w:rsid w:val="00217D0B"/>
    <w:rsid w:val="00220D7E"/>
    <w:rsid w:val="00221D24"/>
    <w:rsid w:val="00221EE9"/>
    <w:rsid w:val="00221FCE"/>
    <w:rsid w:val="00223A8C"/>
    <w:rsid w:val="00224257"/>
    <w:rsid w:val="00225DD0"/>
    <w:rsid w:val="00225EB9"/>
    <w:rsid w:val="00226E02"/>
    <w:rsid w:val="00226EA4"/>
    <w:rsid w:val="00227007"/>
    <w:rsid w:val="002277B9"/>
    <w:rsid w:val="00227D30"/>
    <w:rsid w:val="00230439"/>
    <w:rsid w:val="0023071C"/>
    <w:rsid w:val="00230BB4"/>
    <w:rsid w:val="002310AF"/>
    <w:rsid w:val="002316D4"/>
    <w:rsid w:val="00231DA5"/>
    <w:rsid w:val="00231E02"/>
    <w:rsid w:val="00231FEC"/>
    <w:rsid w:val="00232803"/>
    <w:rsid w:val="00233177"/>
    <w:rsid w:val="002338C4"/>
    <w:rsid w:val="00233C58"/>
    <w:rsid w:val="00234296"/>
    <w:rsid w:val="00234538"/>
    <w:rsid w:val="00234AE4"/>
    <w:rsid w:val="002353C8"/>
    <w:rsid w:val="002355C3"/>
    <w:rsid w:val="002356B6"/>
    <w:rsid w:val="002356E3"/>
    <w:rsid w:val="00235ACC"/>
    <w:rsid w:val="002364A8"/>
    <w:rsid w:val="00236C95"/>
    <w:rsid w:val="00237860"/>
    <w:rsid w:val="00240033"/>
    <w:rsid w:val="00240958"/>
    <w:rsid w:val="00240BDD"/>
    <w:rsid w:val="002411FA"/>
    <w:rsid w:val="00241F35"/>
    <w:rsid w:val="00242093"/>
    <w:rsid w:val="00242C76"/>
    <w:rsid w:val="00242CB8"/>
    <w:rsid w:val="00242E0E"/>
    <w:rsid w:val="00243577"/>
    <w:rsid w:val="0024432C"/>
    <w:rsid w:val="00244445"/>
    <w:rsid w:val="002464C2"/>
    <w:rsid w:val="002469F7"/>
    <w:rsid w:val="00246C8C"/>
    <w:rsid w:val="00246EDF"/>
    <w:rsid w:val="00247625"/>
    <w:rsid w:val="00250035"/>
    <w:rsid w:val="00250FAF"/>
    <w:rsid w:val="002515C9"/>
    <w:rsid w:val="002519D4"/>
    <w:rsid w:val="00251C70"/>
    <w:rsid w:val="00252343"/>
    <w:rsid w:val="0025337D"/>
    <w:rsid w:val="0025395D"/>
    <w:rsid w:val="00254EF1"/>
    <w:rsid w:val="002551E6"/>
    <w:rsid w:val="00255269"/>
    <w:rsid w:val="00255468"/>
    <w:rsid w:val="00255606"/>
    <w:rsid w:val="00255A23"/>
    <w:rsid w:val="00255C8B"/>
    <w:rsid w:val="0025601F"/>
    <w:rsid w:val="00256457"/>
    <w:rsid w:val="00256673"/>
    <w:rsid w:val="00256D8D"/>
    <w:rsid w:val="0025736F"/>
    <w:rsid w:val="0025753D"/>
    <w:rsid w:val="00260969"/>
    <w:rsid w:val="00262D70"/>
    <w:rsid w:val="00263253"/>
    <w:rsid w:val="00264836"/>
    <w:rsid w:val="00266235"/>
    <w:rsid w:val="0026696C"/>
    <w:rsid w:val="0026739E"/>
    <w:rsid w:val="00267999"/>
    <w:rsid w:val="00270E70"/>
    <w:rsid w:val="00270E78"/>
    <w:rsid w:val="00271EEE"/>
    <w:rsid w:val="002730D8"/>
    <w:rsid w:val="002738BD"/>
    <w:rsid w:val="00274A4B"/>
    <w:rsid w:val="0027554B"/>
    <w:rsid w:val="002758F7"/>
    <w:rsid w:val="00275B33"/>
    <w:rsid w:val="00276CF1"/>
    <w:rsid w:val="00276EC5"/>
    <w:rsid w:val="002779A8"/>
    <w:rsid w:val="00281873"/>
    <w:rsid w:val="002820D9"/>
    <w:rsid w:val="0028265A"/>
    <w:rsid w:val="00283770"/>
    <w:rsid w:val="00285BE5"/>
    <w:rsid w:val="00285CA3"/>
    <w:rsid w:val="0028619B"/>
    <w:rsid w:val="00286849"/>
    <w:rsid w:val="002870DD"/>
    <w:rsid w:val="002873B8"/>
    <w:rsid w:val="00290451"/>
    <w:rsid w:val="002908EE"/>
    <w:rsid w:val="002913B9"/>
    <w:rsid w:val="00291738"/>
    <w:rsid w:val="00291D17"/>
    <w:rsid w:val="0029226B"/>
    <w:rsid w:val="00294482"/>
    <w:rsid w:val="00295124"/>
    <w:rsid w:val="002951D8"/>
    <w:rsid w:val="00295A3B"/>
    <w:rsid w:val="00295FEC"/>
    <w:rsid w:val="002960C2"/>
    <w:rsid w:val="00296EE6"/>
    <w:rsid w:val="00297111"/>
    <w:rsid w:val="002A04DE"/>
    <w:rsid w:val="002A0FD0"/>
    <w:rsid w:val="002A139E"/>
    <w:rsid w:val="002A160E"/>
    <w:rsid w:val="002A184F"/>
    <w:rsid w:val="002A3103"/>
    <w:rsid w:val="002A3488"/>
    <w:rsid w:val="002A37DB"/>
    <w:rsid w:val="002A3962"/>
    <w:rsid w:val="002A3E23"/>
    <w:rsid w:val="002A4192"/>
    <w:rsid w:val="002A65CE"/>
    <w:rsid w:val="002A65DA"/>
    <w:rsid w:val="002A6B85"/>
    <w:rsid w:val="002A70B0"/>
    <w:rsid w:val="002A78AC"/>
    <w:rsid w:val="002B0C0F"/>
    <w:rsid w:val="002B14F0"/>
    <w:rsid w:val="002B162A"/>
    <w:rsid w:val="002B1A08"/>
    <w:rsid w:val="002B28B3"/>
    <w:rsid w:val="002B4B89"/>
    <w:rsid w:val="002B4C60"/>
    <w:rsid w:val="002B5774"/>
    <w:rsid w:val="002B59BC"/>
    <w:rsid w:val="002B5D43"/>
    <w:rsid w:val="002B5D4E"/>
    <w:rsid w:val="002B6309"/>
    <w:rsid w:val="002B7C00"/>
    <w:rsid w:val="002C0A5C"/>
    <w:rsid w:val="002C11E0"/>
    <w:rsid w:val="002C177C"/>
    <w:rsid w:val="002C309A"/>
    <w:rsid w:val="002C30D1"/>
    <w:rsid w:val="002C31B4"/>
    <w:rsid w:val="002C4B17"/>
    <w:rsid w:val="002C4B69"/>
    <w:rsid w:val="002C5062"/>
    <w:rsid w:val="002C58FF"/>
    <w:rsid w:val="002C6F9A"/>
    <w:rsid w:val="002C719B"/>
    <w:rsid w:val="002C799C"/>
    <w:rsid w:val="002D314E"/>
    <w:rsid w:val="002D32AA"/>
    <w:rsid w:val="002D40E7"/>
    <w:rsid w:val="002D43AB"/>
    <w:rsid w:val="002D44AC"/>
    <w:rsid w:val="002D465B"/>
    <w:rsid w:val="002D58D1"/>
    <w:rsid w:val="002D5FD6"/>
    <w:rsid w:val="002D72E2"/>
    <w:rsid w:val="002E0AEE"/>
    <w:rsid w:val="002E0CC9"/>
    <w:rsid w:val="002E0D48"/>
    <w:rsid w:val="002E1359"/>
    <w:rsid w:val="002E188C"/>
    <w:rsid w:val="002E196E"/>
    <w:rsid w:val="002E3CDB"/>
    <w:rsid w:val="002E4E4C"/>
    <w:rsid w:val="002E50AC"/>
    <w:rsid w:val="002E5130"/>
    <w:rsid w:val="002E620C"/>
    <w:rsid w:val="002E6BBA"/>
    <w:rsid w:val="002E763C"/>
    <w:rsid w:val="002E7995"/>
    <w:rsid w:val="002F0244"/>
    <w:rsid w:val="002F06B8"/>
    <w:rsid w:val="002F06E8"/>
    <w:rsid w:val="002F24C5"/>
    <w:rsid w:val="002F2935"/>
    <w:rsid w:val="002F392B"/>
    <w:rsid w:val="002F3B6A"/>
    <w:rsid w:val="002F4523"/>
    <w:rsid w:val="002F560B"/>
    <w:rsid w:val="002F5E42"/>
    <w:rsid w:val="002F6033"/>
    <w:rsid w:val="002F6E75"/>
    <w:rsid w:val="002F6EBF"/>
    <w:rsid w:val="002F7034"/>
    <w:rsid w:val="002F7B70"/>
    <w:rsid w:val="00300244"/>
    <w:rsid w:val="00300410"/>
    <w:rsid w:val="003008F9"/>
    <w:rsid w:val="0030126A"/>
    <w:rsid w:val="003015E4"/>
    <w:rsid w:val="00301B2B"/>
    <w:rsid w:val="00302E43"/>
    <w:rsid w:val="00303B8F"/>
    <w:rsid w:val="003041FD"/>
    <w:rsid w:val="003046C6"/>
    <w:rsid w:val="00305734"/>
    <w:rsid w:val="00306CAD"/>
    <w:rsid w:val="00306E75"/>
    <w:rsid w:val="00307475"/>
    <w:rsid w:val="003105B5"/>
    <w:rsid w:val="003110AD"/>
    <w:rsid w:val="00311F79"/>
    <w:rsid w:val="003121ED"/>
    <w:rsid w:val="00312C00"/>
    <w:rsid w:val="00312E15"/>
    <w:rsid w:val="00312EAD"/>
    <w:rsid w:val="003134C1"/>
    <w:rsid w:val="00313DB1"/>
    <w:rsid w:val="003144B1"/>
    <w:rsid w:val="00314A16"/>
    <w:rsid w:val="00314FAF"/>
    <w:rsid w:val="003152BF"/>
    <w:rsid w:val="003159FF"/>
    <w:rsid w:val="00315CF4"/>
    <w:rsid w:val="00316A39"/>
    <w:rsid w:val="00317A96"/>
    <w:rsid w:val="00317AE8"/>
    <w:rsid w:val="00320005"/>
    <w:rsid w:val="003212D2"/>
    <w:rsid w:val="00321597"/>
    <w:rsid w:val="00321F00"/>
    <w:rsid w:val="003222D9"/>
    <w:rsid w:val="00322631"/>
    <w:rsid w:val="003233DA"/>
    <w:rsid w:val="0032384A"/>
    <w:rsid w:val="003239FC"/>
    <w:rsid w:val="00323DF7"/>
    <w:rsid w:val="00323EBE"/>
    <w:rsid w:val="00324E86"/>
    <w:rsid w:val="00324F8D"/>
    <w:rsid w:val="00324FCE"/>
    <w:rsid w:val="0032613C"/>
    <w:rsid w:val="00326812"/>
    <w:rsid w:val="003269F1"/>
    <w:rsid w:val="003271A9"/>
    <w:rsid w:val="00327C9C"/>
    <w:rsid w:val="00327E30"/>
    <w:rsid w:val="003313BB"/>
    <w:rsid w:val="00331763"/>
    <w:rsid w:val="00331A37"/>
    <w:rsid w:val="00332B11"/>
    <w:rsid w:val="00332DE9"/>
    <w:rsid w:val="0033357C"/>
    <w:rsid w:val="00333DFA"/>
    <w:rsid w:val="00333F0D"/>
    <w:rsid w:val="00334659"/>
    <w:rsid w:val="00334B32"/>
    <w:rsid w:val="00334E03"/>
    <w:rsid w:val="00335B0B"/>
    <w:rsid w:val="00335BA0"/>
    <w:rsid w:val="00336D9C"/>
    <w:rsid w:val="003375B8"/>
    <w:rsid w:val="00337D2D"/>
    <w:rsid w:val="00337FD9"/>
    <w:rsid w:val="00341512"/>
    <w:rsid w:val="00341FE1"/>
    <w:rsid w:val="003437C0"/>
    <w:rsid w:val="00343DF1"/>
    <w:rsid w:val="00344718"/>
    <w:rsid w:val="003450E7"/>
    <w:rsid w:val="0034553A"/>
    <w:rsid w:val="00345D8E"/>
    <w:rsid w:val="00345E73"/>
    <w:rsid w:val="00345FAC"/>
    <w:rsid w:val="0034771B"/>
    <w:rsid w:val="0035199D"/>
    <w:rsid w:val="00351C15"/>
    <w:rsid w:val="00351F23"/>
    <w:rsid w:val="0035243A"/>
    <w:rsid w:val="00352493"/>
    <w:rsid w:val="00353828"/>
    <w:rsid w:val="003538DA"/>
    <w:rsid w:val="00354550"/>
    <w:rsid w:val="00354C7C"/>
    <w:rsid w:val="0035525E"/>
    <w:rsid w:val="0035542C"/>
    <w:rsid w:val="00355519"/>
    <w:rsid w:val="00355949"/>
    <w:rsid w:val="00356E53"/>
    <w:rsid w:val="00357470"/>
    <w:rsid w:val="00357BAC"/>
    <w:rsid w:val="00357C97"/>
    <w:rsid w:val="00360AA4"/>
    <w:rsid w:val="003612F3"/>
    <w:rsid w:val="0036239F"/>
    <w:rsid w:val="0036279C"/>
    <w:rsid w:val="00362A01"/>
    <w:rsid w:val="00363E69"/>
    <w:rsid w:val="00364E69"/>
    <w:rsid w:val="00364E9F"/>
    <w:rsid w:val="00365623"/>
    <w:rsid w:val="003660B6"/>
    <w:rsid w:val="00367FC2"/>
    <w:rsid w:val="003701D8"/>
    <w:rsid w:val="00371827"/>
    <w:rsid w:val="00371AFA"/>
    <w:rsid w:val="003720A9"/>
    <w:rsid w:val="003720D2"/>
    <w:rsid w:val="0037299B"/>
    <w:rsid w:val="00372AC7"/>
    <w:rsid w:val="0037340B"/>
    <w:rsid w:val="003739F1"/>
    <w:rsid w:val="00375385"/>
    <w:rsid w:val="00375387"/>
    <w:rsid w:val="003777A3"/>
    <w:rsid w:val="00380657"/>
    <w:rsid w:val="00380F96"/>
    <w:rsid w:val="00381A00"/>
    <w:rsid w:val="003831D1"/>
    <w:rsid w:val="0038563D"/>
    <w:rsid w:val="003861B6"/>
    <w:rsid w:val="00386F22"/>
    <w:rsid w:val="00387A03"/>
    <w:rsid w:val="00390935"/>
    <w:rsid w:val="00391313"/>
    <w:rsid w:val="003914A9"/>
    <w:rsid w:val="0039185A"/>
    <w:rsid w:val="0039224C"/>
    <w:rsid w:val="00392700"/>
    <w:rsid w:val="003929AF"/>
    <w:rsid w:val="00394A10"/>
    <w:rsid w:val="00394F23"/>
    <w:rsid w:val="00395002"/>
    <w:rsid w:val="00395358"/>
    <w:rsid w:val="00395997"/>
    <w:rsid w:val="003959C3"/>
    <w:rsid w:val="00396399"/>
    <w:rsid w:val="00396642"/>
    <w:rsid w:val="003967CE"/>
    <w:rsid w:val="00397527"/>
    <w:rsid w:val="00397A6B"/>
    <w:rsid w:val="003A0006"/>
    <w:rsid w:val="003A0038"/>
    <w:rsid w:val="003A00EB"/>
    <w:rsid w:val="003A195F"/>
    <w:rsid w:val="003A19AE"/>
    <w:rsid w:val="003A2C71"/>
    <w:rsid w:val="003A3372"/>
    <w:rsid w:val="003A37CA"/>
    <w:rsid w:val="003A3BE5"/>
    <w:rsid w:val="003A4243"/>
    <w:rsid w:val="003A4264"/>
    <w:rsid w:val="003A4C68"/>
    <w:rsid w:val="003A5A13"/>
    <w:rsid w:val="003A5D83"/>
    <w:rsid w:val="003A6132"/>
    <w:rsid w:val="003A64F9"/>
    <w:rsid w:val="003A66E5"/>
    <w:rsid w:val="003A688F"/>
    <w:rsid w:val="003A6D78"/>
    <w:rsid w:val="003A6E8A"/>
    <w:rsid w:val="003A7641"/>
    <w:rsid w:val="003B03FE"/>
    <w:rsid w:val="003B049C"/>
    <w:rsid w:val="003B0818"/>
    <w:rsid w:val="003B15B7"/>
    <w:rsid w:val="003B166B"/>
    <w:rsid w:val="003B1E5E"/>
    <w:rsid w:val="003B1E77"/>
    <w:rsid w:val="003B2091"/>
    <w:rsid w:val="003B240B"/>
    <w:rsid w:val="003B243D"/>
    <w:rsid w:val="003B313B"/>
    <w:rsid w:val="003B51ED"/>
    <w:rsid w:val="003B5264"/>
    <w:rsid w:val="003B5450"/>
    <w:rsid w:val="003B584B"/>
    <w:rsid w:val="003B5C95"/>
    <w:rsid w:val="003B6065"/>
    <w:rsid w:val="003B6236"/>
    <w:rsid w:val="003B67B6"/>
    <w:rsid w:val="003B700D"/>
    <w:rsid w:val="003B7602"/>
    <w:rsid w:val="003B7857"/>
    <w:rsid w:val="003B7B1E"/>
    <w:rsid w:val="003C01D5"/>
    <w:rsid w:val="003C028C"/>
    <w:rsid w:val="003C0631"/>
    <w:rsid w:val="003C1345"/>
    <w:rsid w:val="003C14BE"/>
    <w:rsid w:val="003C1714"/>
    <w:rsid w:val="003C1C16"/>
    <w:rsid w:val="003C1FD8"/>
    <w:rsid w:val="003C2035"/>
    <w:rsid w:val="003C3E0B"/>
    <w:rsid w:val="003C47B6"/>
    <w:rsid w:val="003C619B"/>
    <w:rsid w:val="003C6579"/>
    <w:rsid w:val="003C682C"/>
    <w:rsid w:val="003C6C2C"/>
    <w:rsid w:val="003C7396"/>
    <w:rsid w:val="003D00AC"/>
    <w:rsid w:val="003D011F"/>
    <w:rsid w:val="003D02AB"/>
    <w:rsid w:val="003D0573"/>
    <w:rsid w:val="003D0B01"/>
    <w:rsid w:val="003D1F5D"/>
    <w:rsid w:val="003D24E0"/>
    <w:rsid w:val="003D2A3B"/>
    <w:rsid w:val="003D31F6"/>
    <w:rsid w:val="003D333F"/>
    <w:rsid w:val="003D3D56"/>
    <w:rsid w:val="003D49FA"/>
    <w:rsid w:val="003D5649"/>
    <w:rsid w:val="003D5DB3"/>
    <w:rsid w:val="003D5FBF"/>
    <w:rsid w:val="003D679F"/>
    <w:rsid w:val="003D6A38"/>
    <w:rsid w:val="003D6DDA"/>
    <w:rsid w:val="003D6F5F"/>
    <w:rsid w:val="003E016E"/>
    <w:rsid w:val="003E0C8D"/>
    <w:rsid w:val="003E145C"/>
    <w:rsid w:val="003E1505"/>
    <w:rsid w:val="003E1AB0"/>
    <w:rsid w:val="003E2A73"/>
    <w:rsid w:val="003E2FAE"/>
    <w:rsid w:val="003E3304"/>
    <w:rsid w:val="003E367F"/>
    <w:rsid w:val="003E3EE5"/>
    <w:rsid w:val="003E4361"/>
    <w:rsid w:val="003E4A60"/>
    <w:rsid w:val="003E4AE1"/>
    <w:rsid w:val="003E687F"/>
    <w:rsid w:val="003E6967"/>
    <w:rsid w:val="003E7293"/>
    <w:rsid w:val="003E78B0"/>
    <w:rsid w:val="003E79D6"/>
    <w:rsid w:val="003E7C02"/>
    <w:rsid w:val="003F1AE6"/>
    <w:rsid w:val="003F2622"/>
    <w:rsid w:val="003F2C62"/>
    <w:rsid w:val="003F2D12"/>
    <w:rsid w:val="003F30C7"/>
    <w:rsid w:val="003F4125"/>
    <w:rsid w:val="003F5955"/>
    <w:rsid w:val="003F683F"/>
    <w:rsid w:val="003F68BD"/>
    <w:rsid w:val="003F691D"/>
    <w:rsid w:val="003F6CF6"/>
    <w:rsid w:val="003F6E99"/>
    <w:rsid w:val="003F7036"/>
    <w:rsid w:val="003F7152"/>
    <w:rsid w:val="003F7245"/>
    <w:rsid w:val="003F73D0"/>
    <w:rsid w:val="003F776D"/>
    <w:rsid w:val="003F7B20"/>
    <w:rsid w:val="0040017A"/>
    <w:rsid w:val="00402033"/>
    <w:rsid w:val="00402849"/>
    <w:rsid w:val="00403557"/>
    <w:rsid w:val="004040D9"/>
    <w:rsid w:val="00404130"/>
    <w:rsid w:val="00404F26"/>
    <w:rsid w:val="004050D3"/>
    <w:rsid w:val="00405AA2"/>
    <w:rsid w:val="00405ADC"/>
    <w:rsid w:val="00405BBD"/>
    <w:rsid w:val="00405E35"/>
    <w:rsid w:val="0040643A"/>
    <w:rsid w:val="00406A41"/>
    <w:rsid w:val="00406C14"/>
    <w:rsid w:val="00406F93"/>
    <w:rsid w:val="00407227"/>
    <w:rsid w:val="00407746"/>
    <w:rsid w:val="00411032"/>
    <w:rsid w:val="004111AF"/>
    <w:rsid w:val="004123BD"/>
    <w:rsid w:val="00412D32"/>
    <w:rsid w:val="00412D92"/>
    <w:rsid w:val="004130F6"/>
    <w:rsid w:val="00413535"/>
    <w:rsid w:val="004137A3"/>
    <w:rsid w:val="00413B71"/>
    <w:rsid w:val="00413BB1"/>
    <w:rsid w:val="004141D2"/>
    <w:rsid w:val="004157F2"/>
    <w:rsid w:val="00415FFA"/>
    <w:rsid w:val="00416ACD"/>
    <w:rsid w:val="0041736B"/>
    <w:rsid w:val="00417A33"/>
    <w:rsid w:val="00417F13"/>
    <w:rsid w:val="004218B6"/>
    <w:rsid w:val="00422268"/>
    <w:rsid w:val="00422B63"/>
    <w:rsid w:val="00422C67"/>
    <w:rsid w:val="004234C5"/>
    <w:rsid w:val="00423704"/>
    <w:rsid w:val="00423BBB"/>
    <w:rsid w:val="00423D6D"/>
    <w:rsid w:val="004244D0"/>
    <w:rsid w:val="004246F6"/>
    <w:rsid w:val="00425821"/>
    <w:rsid w:val="00425CE1"/>
    <w:rsid w:val="00425FE2"/>
    <w:rsid w:val="00426D8A"/>
    <w:rsid w:val="004300EE"/>
    <w:rsid w:val="00430FAC"/>
    <w:rsid w:val="00431D78"/>
    <w:rsid w:val="00431E4B"/>
    <w:rsid w:val="00432476"/>
    <w:rsid w:val="004337E5"/>
    <w:rsid w:val="00435ED6"/>
    <w:rsid w:val="00436500"/>
    <w:rsid w:val="004365AD"/>
    <w:rsid w:val="004367FE"/>
    <w:rsid w:val="00436A23"/>
    <w:rsid w:val="00437DFD"/>
    <w:rsid w:val="00440872"/>
    <w:rsid w:val="00440C9D"/>
    <w:rsid w:val="0044106B"/>
    <w:rsid w:val="00442443"/>
    <w:rsid w:val="004433DB"/>
    <w:rsid w:val="004436E5"/>
    <w:rsid w:val="0044410D"/>
    <w:rsid w:val="004441BD"/>
    <w:rsid w:val="00444DC1"/>
    <w:rsid w:val="00444E2D"/>
    <w:rsid w:val="00444F6A"/>
    <w:rsid w:val="00444F75"/>
    <w:rsid w:val="0044524B"/>
    <w:rsid w:val="0044617A"/>
    <w:rsid w:val="00446306"/>
    <w:rsid w:val="00446476"/>
    <w:rsid w:val="00446813"/>
    <w:rsid w:val="00447121"/>
    <w:rsid w:val="0044721C"/>
    <w:rsid w:val="00447263"/>
    <w:rsid w:val="00447707"/>
    <w:rsid w:val="00451778"/>
    <w:rsid w:val="00451F49"/>
    <w:rsid w:val="00452675"/>
    <w:rsid w:val="00452E6D"/>
    <w:rsid w:val="00455916"/>
    <w:rsid w:val="004559B4"/>
    <w:rsid w:val="0045629B"/>
    <w:rsid w:val="004563E9"/>
    <w:rsid w:val="00456507"/>
    <w:rsid w:val="004566E8"/>
    <w:rsid w:val="00456BAF"/>
    <w:rsid w:val="00457D88"/>
    <w:rsid w:val="0046022A"/>
    <w:rsid w:val="00460415"/>
    <w:rsid w:val="00460F65"/>
    <w:rsid w:val="004621BB"/>
    <w:rsid w:val="00462B52"/>
    <w:rsid w:val="00462B89"/>
    <w:rsid w:val="004630E6"/>
    <w:rsid w:val="00463189"/>
    <w:rsid w:val="00464A32"/>
    <w:rsid w:val="00465B16"/>
    <w:rsid w:val="00466385"/>
    <w:rsid w:val="004668AD"/>
    <w:rsid w:val="004672C0"/>
    <w:rsid w:val="004673F0"/>
    <w:rsid w:val="00467F03"/>
    <w:rsid w:val="00470ABA"/>
    <w:rsid w:val="00470C4C"/>
    <w:rsid w:val="00471457"/>
    <w:rsid w:val="004719BB"/>
    <w:rsid w:val="004727C6"/>
    <w:rsid w:val="00472EEA"/>
    <w:rsid w:val="00473876"/>
    <w:rsid w:val="004743B9"/>
    <w:rsid w:val="00474B9B"/>
    <w:rsid w:val="00476844"/>
    <w:rsid w:val="00476AD9"/>
    <w:rsid w:val="0048102D"/>
    <w:rsid w:val="004815AB"/>
    <w:rsid w:val="0048185C"/>
    <w:rsid w:val="00482FEA"/>
    <w:rsid w:val="00483159"/>
    <w:rsid w:val="00483182"/>
    <w:rsid w:val="004836DA"/>
    <w:rsid w:val="004840DD"/>
    <w:rsid w:val="00485504"/>
    <w:rsid w:val="00485C9F"/>
    <w:rsid w:val="0048658C"/>
    <w:rsid w:val="00486DCF"/>
    <w:rsid w:val="004875BA"/>
    <w:rsid w:val="004876F9"/>
    <w:rsid w:val="00487DD8"/>
    <w:rsid w:val="00490B3C"/>
    <w:rsid w:val="004917DF"/>
    <w:rsid w:val="0049288E"/>
    <w:rsid w:val="00492DE6"/>
    <w:rsid w:val="0049566E"/>
    <w:rsid w:val="00495FC7"/>
    <w:rsid w:val="00496576"/>
    <w:rsid w:val="0049687F"/>
    <w:rsid w:val="00497153"/>
    <w:rsid w:val="004A0125"/>
    <w:rsid w:val="004A105D"/>
    <w:rsid w:val="004A1A00"/>
    <w:rsid w:val="004A22AE"/>
    <w:rsid w:val="004A28B1"/>
    <w:rsid w:val="004A2BFE"/>
    <w:rsid w:val="004A3AD0"/>
    <w:rsid w:val="004A3FDB"/>
    <w:rsid w:val="004A432A"/>
    <w:rsid w:val="004A4ED3"/>
    <w:rsid w:val="004A4F28"/>
    <w:rsid w:val="004A4F6C"/>
    <w:rsid w:val="004A50E3"/>
    <w:rsid w:val="004A54EF"/>
    <w:rsid w:val="004A59DC"/>
    <w:rsid w:val="004A7AF7"/>
    <w:rsid w:val="004B0601"/>
    <w:rsid w:val="004B07AD"/>
    <w:rsid w:val="004B0935"/>
    <w:rsid w:val="004B0B0E"/>
    <w:rsid w:val="004B1D47"/>
    <w:rsid w:val="004B1F0B"/>
    <w:rsid w:val="004B2A24"/>
    <w:rsid w:val="004B327C"/>
    <w:rsid w:val="004B36C7"/>
    <w:rsid w:val="004B4074"/>
    <w:rsid w:val="004B431C"/>
    <w:rsid w:val="004B459D"/>
    <w:rsid w:val="004B485C"/>
    <w:rsid w:val="004B53DA"/>
    <w:rsid w:val="004B56A1"/>
    <w:rsid w:val="004B5A7E"/>
    <w:rsid w:val="004B6252"/>
    <w:rsid w:val="004B6B70"/>
    <w:rsid w:val="004B755E"/>
    <w:rsid w:val="004B790E"/>
    <w:rsid w:val="004B7C1E"/>
    <w:rsid w:val="004C0045"/>
    <w:rsid w:val="004C0139"/>
    <w:rsid w:val="004C02FC"/>
    <w:rsid w:val="004C2893"/>
    <w:rsid w:val="004C301A"/>
    <w:rsid w:val="004C3AE5"/>
    <w:rsid w:val="004C46B3"/>
    <w:rsid w:val="004C5B13"/>
    <w:rsid w:val="004C5CE8"/>
    <w:rsid w:val="004C60B1"/>
    <w:rsid w:val="004C750A"/>
    <w:rsid w:val="004C754B"/>
    <w:rsid w:val="004D0071"/>
    <w:rsid w:val="004D0127"/>
    <w:rsid w:val="004D0534"/>
    <w:rsid w:val="004D058E"/>
    <w:rsid w:val="004D2474"/>
    <w:rsid w:val="004D2E66"/>
    <w:rsid w:val="004D3346"/>
    <w:rsid w:val="004D3437"/>
    <w:rsid w:val="004D3597"/>
    <w:rsid w:val="004D3C17"/>
    <w:rsid w:val="004D4B52"/>
    <w:rsid w:val="004D4CB5"/>
    <w:rsid w:val="004D582B"/>
    <w:rsid w:val="004D5EE6"/>
    <w:rsid w:val="004D704E"/>
    <w:rsid w:val="004D71DE"/>
    <w:rsid w:val="004E4628"/>
    <w:rsid w:val="004E5037"/>
    <w:rsid w:val="004E50AE"/>
    <w:rsid w:val="004E64F3"/>
    <w:rsid w:val="004E700E"/>
    <w:rsid w:val="004E7078"/>
    <w:rsid w:val="004E7570"/>
    <w:rsid w:val="004E7C55"/>
    <w:rsid w:val="004F154B"/>
    <w:rsid w:val="004F26C9"/>
    <w:rsid w:val="004F29E3"/>
    <w:rsid w:val="004F33A3"/>
    <w:rsid w:val="004F37C2"/>
    <w:rsid w:val="004F3836"/>
    <w:rsid w:val="004F4333"/>
    <w:rsid w:val="004F468F"/>
    <w:rsid w:val="004F553A"/>
    <w:rsid w:val="004F5CB6"/>
    <w:rsid w:val="004F68BD"/>
    <w:rsid w:val="004F6E9F"/>
    <w:rsid w:val="004F6FD9"/>
    <w:rsid w:val="004F761A"/>
    <w:rsid w:val="004F7B9F"/>
    <w:rsid w:val="004F7BB1"/>
    <w:rsid w:val="004F7F55"/>
    <w:rsid w:val="00500675"/>
    <w:rsid w:val="00500793"/>
    <w:rsid w:val="005007E5"/>
    <w:rsid w:val="00500BC9"/>
    <w:rsid w:val="0050132E"/>
    <w:rsid w:val="0050187C"/>
    <w:rsid w:val="00501A96"/>
    <w:rsid w:val="00501CE9"/>
    <w:rsid w:val="00501E81"/>
    <w:rsid w:val="005022F1"/>
    <w:rsid w:val="00503790"/>
    <w:rsid w:val="00503C9A"/>
    <w:rsid w:val="00504030"/>
    <w:rsid w:val="00504C5F"/>
    <w:rsid w:val="00505591"/>
    <w:rsid w:val="00505D8B"/>
    <w:rsid w:val="00505E13"/>
    <w:rsid w:val="00506063"/>
    <w:rsid w:val="0050663D"/>
    <w:rsid w:val="00506F9B"/>
    <w:rsid w:val="0050729F"/>
    <w:rsid w:val="005074ED"/>
    <w:rsid w:val="00507782"/>
    <w:rsid w:val="0050793B"/>
    <w:rsid w:val="00507CE5"/>
    <w:rsid w:val="0051019A"/>
    <w:rsid w:val="00510E51"/>
    <w:rsid w:val="00510FC1"/>
    <w:rsid w:val="0051135C"/>
    <w:rsid w:val="00511A3A"/>
    <w:rsid w:val="00511CD6"/>
    <w:rsid w:val="00512A2F"/>
    <w:rsid w:val="005131FE"/>
    <w:rsid w:val="00513776"/>
    <w:rsid w:val="00513D07"/>
    <w:rsid w:val="005140B9"/>
    <w:rsid w:val="005150DB"/>
    <w:rsid w:val="005159B9"/>
    <w:rsid w:val="0051707B"/>
    <w:rsid w:val="00517563"/>
    <w:rsid w:val="00517613"/>
    <w:rsid w:val="00517EDF"/>
    <w:rsid w:val="00520717"/>
    <w:rsid w:val="0052120C"/>
    <w:rsid w:val="00521CAD"/>
    <w:rsid w:val="00522055"/>
    <w:rsid w:val="00522218"/>
    <w:rsid w:val="00522841"/>
    <w:rsid w:val="00522910"/>
    <w:rsid w:val="005229FB"/>
    <w:rsid w:val="005236A8"/>
    <w:rsid w:val="00523CBB"/>
    <w:rsid w:val="00523EFB"/>
    <w:rsid w:val="00524B8B"/>
    <w:rsid w:val="00524EC9"/>
    <w:rsid w:val="0052522F"/>
    <w:rsid w:val="00525693"/>
    <w:rsid w:val="00526AB2"/>
    <w:rsid w:val="00527511"/>
    <w:rsid w:val="005312CA"/>
    <w:rsid w:val="005315DD"/>
    <w:rsid w:val="00531824"/>
    <w:rsid w:val="00531FA8"/>
    <w:rsid w:val="00532538"/>
    <w:rsid w:val="00533B9B"/>
    <w:rsid w:val="005340C7"/>
    <w:rsid w:val="00534318"/>
    <w:rsid w:val="00534945"/>
    <w:rsid w:val="00534FA3"/>
    <w:rsid w:val="00535CDD"/>
    <w:rsid w:val="005361A5"/>
    <w:rsid w:val="00536ED1"/>
    <w:rsid w:val="00536F60"/>
    <w:rsid w:val="00536F95"/>
    <w:rsid w:val="0053751E"/>
    <w:rsid w:val="00537C47"/>
    <w:rsid w:val="00537EC4"/>
    <w:rsid w:val="00540E5E"/>
    <w:rsid w:val="00542414"/>
    <w:rsid w:val="005439D5"/>
    <w:rsid w:val="00544372"/>
    <w:rsid w:val="00544B5C"/>
    <w:rsid w:val="00544DC3"/>
    <w:rsid w:val="00545A63"/>
    <w:rsid w:val="00545CBA"/>
    <w:rsid w:val="0054604B"/>
    <w:rsid w:val="00546273"/>
    <w:rsid w:val="005465BD"/>
    <w:rsid w:val="00546DF4"/>
    <w:rsid w:val="00546E9B"/>
    <w:rsid w:val="005470A1"/>
    <w:rsid w:val="00547492"/>
    <w:rsid w:val="00547B5E"/>
    <w:rsid w:val="00555680"/>
    <w:rsid w:val="00555CA1"/>
    <w:rsid w:val="00556A0C"/>
    <w:rsid w:val="00557AB3"/>
    <w:rsid w:val="00560076"/>
    <w:rsid w:val="00560642"/>
    <w:rsid w:val="00560C11"/>
    <w:rsid w:val="00560CF5"/>
    <w:rsid w:val="00560EBA"/>
    <w:rsid w:val="005613F1"/>
    <w:rsid w:val="00561AA7"/>
    <w:rsid w:val="00561B61"/>
    <w:rsid w:val="005622EE"/>
    <w:rsid w:val="005625B9"/>
    <w:rsid w:val="00562EB9"/>
    <w:rsid w:val="0056376D"/>
    <w:rsid w:val="005637E5"/>
    <w:rsid w:val="00563A48"/>
    <w:rsid w:val="00563AA5"/>
    <w:rsid w:val="00563EDB"/>
    <w:rsid w:val="00563FC3"/>
    <w:rsid w:val="005651D9"/>
    <w:rsid w:val="00567763"/>
    <w:rsid w:val="00567E6C"/>
    <w:rsid w:val="00567F33"/>
    <w:rsid w:val="005705A6"/>
    <w:rsid w:val="00570B38"/>
    <w:rsid w:val="005710EB"/>
    <w:rsid w:val="005735A5"/>
    <w:rsid w:val="00573800"/>
    <w:rsid w:val="005751C6"/>
    <w:rsid w:val="005753A2"/>
    <w:rsid w:val="00576441"/>
    <w:rsid w:val="00577929"/>
    <w:rsid w:val="005803FF"/>
    <w:rsid w:val="00580BB2"/>
    <w:rsid w:val="00581E73"/>
    <w:rsid w:val="00582010"/>
    <w:rsid w:val="0058206B"/>
    <w:rsid w:val="0058216D"/>
    <w:rsid w:val="005822F4"/>
    <w:rsid w:val="005824F0"/>
    <w:rsid w:val="00583112"/>
    <w:rsid w:val="005831AA"/>
    <w:rsid w:val="005860A7"/>
    <w:rsid w:val="00587D63"/>
    <w:rsid w:val="00590542"/>
    <w:rsid w:val="00592188"/>
    <w:rsid w:val="00592264"/>
    <w:rsid w:val="005923A6"/>
    <w:rsid w:val="00592444"/>
    <w:rsid w:val="005926AE"/>
    <w:rsid w:val="00592D24"/>
    <w:rsid w:val="005936DA"/>
    <w:rsid w:val="005944BC"/>
    <w:rsid w:val="00594937"/>
    <w:rsid w:val="005952E4"/>
    <w:rsid w:val="00595608"/>
    <w:rsid w:val="00595B29"/>
    <w:rsid w:val="00595B4C"/>
    <w:rsid w:val="00596CD9"/>
    <w:rsid w:val="005A152A"/>
    <w:rsid w:val="005A2450"/>
    <w:rsid w:val="005A37D1"/>
    <w:rsid w:val="005A3CC8"/>
    <w:rsid w:val="005A43E9"/>
    <w:rsid w:val="005A4615"/>
    <w:rsid w:val="005A49ED"/>
    <w:rsid w:val="005A4E3C"/>
    <w:rsid w:val="005A515E"/>
    <w:rsid w:val="005A5D4A"/>
    <w:rsid w:val="005A5EA8"/>
    <w:rsid w:val="005A6372"/>
    <w:rsid w:val="005A658B"/>
    <w:rsid w:val="005A72E7"/>
    <w:rsid w:val="005A7D02"/>
    <w:rsid w:val="005B074D"/>
    <w:rsid w:val="005B0BD2"/>
    <w:rsid w:val="005B0CA0"/>
    <w:rsid w:val="005B1B44"/>
    <w:rsid w:val="005B28E7"/>
    <w:rsid w:val="005B2DBC"/>
    <w:rsid w:val="005B35C5"/>
    <w:rsid w:val="005B3F70"/>
    <w:rsid w:val="005B4602"/>
    <w:rsid w:val="005B4ABB"/>
    <w:rsid w:val="005B4EBC"/>
    <w:rsid w:val="005B5F24"/>
    <w:rsid w:val="005B675A"/>
    <w:rsid w:val="005B7AE3"/>
    <w:rsid w:val="005C0EF4"/>
    <w:rsid w:val="005C1637"/>
    <w:rsid w:val="005C1FC8"/>
    <w:rsid w:val="005C1FFD"/>
    <w:rsid w:val="005C24B0"/>
    <w:rsid w:val="005C43AB"/>
    <w:rsid w:val="005C440B"/>
    <w:rsid w:val="005C44B3"/>
    <w:rsid w:val="005C4914"/>
    <w:rsid w:val="005C6AA2"/>
    <w:rsid w:val="005C6E57"/>
    <w:rsid w:val="005C6FAB"/>
    <w:rsid w:val="005C75E4"/>
    <w:rsid w:val="005C7EE2"/>
    <w:rsid w:val="005D03F0"/>
    <w:rsid w:val="005D0630"/>
    <w:rsid w:val="005D08E3"/>
    <w:rsid w:val="005D09A7"/>
    <w:rsid w:val="005D1960"/>
    <w:rsid w:val="005D1F86"/>
    <w:rsid w:val="005D2599"/>
    <w:rsid w:val="005D3799"/>
    <w:rsid w:val="005D380D"/>
    <w:rsid w:val="005D3C58"/>
    <w:rsid w:val="005D3D86"/>
    <w:rsid w:val="005D4941"/>
    <w:rsid w:val="005D59A3"/>
    <w:rsid w:val="005D6AB6"/>
    <w:rsid w:val="005D7AC3"/>
    <w:rsid w:val="005E00A4"/>
    <w:rsid w:val="005E10F5"/>
    <w:rsid w:val="005E14B4"/>
    <w:rsid w:val="005E21FB"/>
    <w:rsid w:val="005E272D"/>
    <w:rsid w:val="005E27F8"/>
    <w:rsid w:val="005E3366"/>
    <w:rsid w:val="005E3E79"/>
    <w:rsid w:val="005E42D3"/>
    <w:rsid w:val="005E57CE"/>
    <w:rsid w:val="005E6B70"/>
    <w:rsid w:val="005E74E0"/>
    <w:rsid w:val="005E7B56"/>
    <w:rsid w:val="005F0774"/>
    <w:rsid w:val="005F0821"/>
    <w:rsid w:val="005F0F69"/>
    <w:rsid w:val="005F101E"/>
    <w:rsid w:val="005F1755"/>
    <w:rsid w:val="005F1DA5"/>
    <w:rsid w:val="005F2E57"/>
    <w:rsid w:val="005F3B1B"/>
    <w:rsid w:val="005F40BF"/>
    <w:rsid w:val="005F453F"/>
    <w:rsid w:val="005F461B"/>
    <w:rsid w:val="005F4BE0"/>
    <w:rsid w:val="005F6A32"/>
    <w:rsid w:val="006001FB"/>
    <w:rsid w:val="00600293"/>
    <w:rsid w:val="0060069A"/>
    <w:rsid w:val="00601774"/>
    <w:rsid w:val="006022B3"/>
    <w:rsid w:val="00602562"/>
    <w:rsid w:val="0060297B"/>
    <w:rsid w:val="00602C3F"/>
    <w:rsid w:val="00602C4C"/>
    <w:rsid w:val="00602FFD"/>
    <w:rsid w:val="00603F42"/>
    <w:rsid w:val="006047F5"/>
    <w:rsid w:val="00604893"/>
    <w:rsid w:val="00604FB7"/>
    <w:rsid w:val="006055BA"/>
    <w:rsid w:val="00605E5D"/>
    <w:rsid w:val="00606819"/>
    <w:rsid w:val="006068DD"/>
    <w:rsid w:val="006069F1"/>
    <w:rsid w:val="006075F6"/>
    <w:rsid w:val="0061145E"/>
    <w:rsid w:val="00611A46"/>
    <w:rsid w:val="00612885"/>
    <w:rsid w:val="00612D2E"/>
    <w:rsid w:val="00613257"/>
    <w:rsid w:val="00613F9C"/>
    <w:rsid w:val="0061410F"/>
    <w:rsid w:val="006147F5"/>
    <w:rsid w:val="00614DC7"/>
    <w:rsid w:val="00615275"/>
    <w:rsid w:val="00616D3A"/>
    <w:rsid w:val="006179A4"/>
    <w:rsid w:val="00617EA6"/>
    <w:rsid w:val="00620899"/>
    <w:rsid w:val="006212F0"/>
    <w:rsid w:val="006220DE"/>
    <w:rsid w:val="00622AC1"/>
    <w:rsid w:val="00623DA6"/>
    <w:rsid w:val="00623FEE"/>
    <w:rsid w:val="00625276"/>
    <w:rsid w:val="00626523"/>
    <w:rsid w:val="0062664A"/>
    <w:rsid w:val="00626A7A"/>
    <w:rsid w:val="00626F4F"/>
    <w:rsid w:val="00627708"/>
    <w:rsid w:val="006278C2"/>
    <w:rsid w:val="00627E55"/>
    <w:rsid w:val="0063048D"/>
    <w:rsid w:val="00630AB7"/>
    <w:rsid w:val="00631851"/>
    <w:rsid w:val="00631C39"/>
    <w:rsid w:val="00631CB3"/>
    <w:rsid w:val="00632F3D"/>
    <w:rsid w:val="00633BA3"/>
    <w:rsid w:val="006344DC"/>
    <w:rsid w:val="006353AF"/>
    <w:rsid w:val="0063633E"/>
    <w:rsid w:val="00636860"/>
    <w:rsid w:val="00636BB6"/>
    <w:rsid w:val="006410EB"/>
    <w:rsid w:val="0064155F"/>
    <w:rsid w:val="00641935"/>
    <w:rsid w:val="00642BFD"/>
    <w:rsid w:val="00644C14"/>
    <w:rsid w:val="006450DD"/>
    <w:rsid w:val="0064694A"/>
    <w:rsid w:val="0064753C"/>
    <w:rsid w:val="00647E04"/>
    <w:rsid w:val="00647EDF"/>
    <w:rsid w:val="006509BF"/>
    <w:rsid w:val="00652A44"/>
    <w:rsid w:val="00653F10"/>
    <w:rsid w:val="00654276"/>
    <w:rsid w:val="00654E83"/>
    <w:rsid w:val="00655233"/>
    <w:rsid w:val="006555B8"/>
    <w:rsid w:val="00656083"/>
    <w:rsid w:val="00656291"/>
    <w:rsid w:val="00656783"/>
    <w:rsid w:val="00657849"/>
    <w:rsid w:val="0066073E"/>
    <w:rsid w:val="00660A92"/>
    <w:rsid w:val="006613E0"/>
    <w:rsid w:val="00661AB1"/>
    <w:rsid w:val="00661AFE"/>
    <w:rsid w:val="00662037"/>
    <w:rsid w:val="00662ED7"/>
    <w:rsid w:val="00662F2D"/>
    <w:rsid w:val="00663196"/>
    <w:rsid w:val="0066348B"/>
    <w:rsid w:val="006643F2"/>
    <w:rsid w:val="0066451D"/>
    <w:rsid w:val="00664E65"/>
    <w:rsid w:val="00664E9B"/>
    <w:rsid w:val="00667112"/>
    <w:rsid w:val="00667FE4"/>
    <w:rsid w:val="00670871"/>
    <w:rsid w:val="00670BAC"/>
    <w:rsid w:val="00670C1A"/>
    <w:rsid w:val="0067146F"/>
    <w:rsid w:val="00671A3D"/>
    <w:rsid w:val="006721C0"/>
    <w:rsid w:val="00673066"/>
    <w:rsid w:val="00673667"/>
    <w:rsid w:val="006736D2"/>
    <w:rsid w:val="00673E8F"/>
    <w:rsid w:val="00673F70"/>
    <w:rsid w:val="006742E2"/>
    <w:rsid w:val="006744CC"/>
    <w:rsid w:val="0067522E"/>
    <w:rsid w:val="006762F3"/>
    <w:rsid w:val="00676633"/>
    <w:rsid w:val="00677226"/>
    <w:rsid w:val="0068004B"/>
    <w:rsid w:val="006813DF"/>
    <w:rsid w:val="00681764"/>
    <w:rsid w:val="006819F8"/>
    <w:rsid w:val="00682E07"/>
    <w:rsid w:val="00683047"/>
    <w:rsid w:val="0068314D"/>
    <w:rsid w:val="0068325E"/>
    <w:rsid w:val="00684323"/>
    <w:rsid w:val="0068502D"/>
    <w:rsid w:val="00685DDA"/>
    <w:rsid w:val="00686177"/>
    <w:rsid w:val="00690C1C"/>
    <w:rsid w:val="006910A6"/>
    <w:rsid w:val="00691BE0"/>
    <w:rsid w:val="00692801"/>
    <w:rsid w:val="00692D7D"/>
    <w:rsid w:val="00692DDA"/>
    <w:rsid w:val="00692F4B"/>
    <w:rsid w:val="00693429"/>
    <w:rsid w:val="00693626"/>
    <w:rsid w:val="00693E8C"/>
    <w:rsid w:val="006944E4"/>
    <w:rsid w:val="006955E9"/>
    <w:rsid w:val="00695F6F"/>
    <w:rsid w:val="006962A0"/>
    <w:rsid w:val="0069630A"/>
    <w:rsid w:val="00696D9D"/>
    <w:rsid w:val="00696E8D"/>
    <w:rsid w:val="006977DE"/>
    <w:rsid w:val="006A06A1"/>
    <w:rsid w:val="006A072D"/>
    <w:rsid w:val="006A0A1B"/>
    <w:rsid w:val="006A1832"/>
    <w:rsid w:val="006A19BF"/>
    <w:rsid w:val="006A1C17"/>
    <w:rsid w:val="006A1C9B"/>
    <w:rsid w:val="006A1FAD"/>
    <w:rsid w:val="006A3DA5"/>
    <w:rsid w:val="006A55CA"/>
    <w:rsid w:val="006A5899"/>
    <w:rsid w:val="006A5B1E"/>
    <w:rsid w:val="006A634E"/>
    <w:rsid w:val="006A66F1"/>
    <w:rsid w:val="006B0183"/>
    <w:rsid w:val="006B0EA9"/>
    <w:rsid w:val="006B11A9"/>
    <w:rsid w:val="006B1541"/>
    <w:rsid w:val="006B1BB4"/>
    <w:rsid w:val="006B32E7"/>
    <w:rsid w:val="006B3461"/>
    <w:rsid w:val="006B3B48"/>
    <w:rsid w:val="006B3FE7"/>
    <w:rsid w:val="006B444A"/>
    <w:rsid w:val="006B456F"/>
    <w:rsid w:val="006B54D6"/>
    <w:rsid w:val="006B632B"/>
    <w:rsid w:val="006B7A89"/>
    <w:rsid w:val="006B7C48"/>
    <w:rsid w:val="006C01A3"/>
    <w:rsid w:val="006C1290"/>
    <w:rsid w:val="006C18D8"/>
    <w:rsid w:val="006C262D"/>
    <w:rsid w:val="006C26E2"/>
    <w:rsid w:val="006C2A39"/>
    <w:rsid w:val="006C2C37"/>
    <w:rsid w:val="006C3C79"/>
    <w:rsid w:val="006C3C8D"/>
    <w:rsid w:val="006C4959"/>
    <w:rsid w:val="006C49E4"/>
    <w:rsid w:val="006C4E27"/>
    <w:rsid w:val="006C5B93"/>
    <w:rsid w:val="006C6171"/>
    <w:rsid w:val="006C6195"/>
    <w:rsid w:val="006C711F"/>
    <w:rsid w:val="006C7DEB"/>
    <w:rsid w:val="006C7EFE"/>
    <w:rsid w:val="006C7F6F"/>
    <w:rsid w:val="006C7FF4"/>
    <w:rsid w:val="006D08BE"/>
    <w:rsid w:val="006D0AC5"/>
    <w:rsid w:val="006D1717"/>
    <w:rsid w:val="006D2B2B"/>
    <w:rsid w:val="006D2D43"/>
    <w:rsid w:val="006D319A"/>
    <w:rsid w:val="006D3C7D"/>
    <w:rsid w:val="006D5091"/>
    <w:rsid w:val="006D53F2"/>
    <w:rsid w:val="006D5EAD"/>
    <w:rsid w:val="006D61A3"/>
    <w:rsid w:val="006D7F22"/>
    <w:rsid w:val="006E019D"/>
    <w:rsid w:val="006E080A"/>
    <w:rsid w:val="006E15A0"/>
    <w:rsid w:val="006E1A38"/>
    <w:rsid w:val="006E2AC2"/>
    <w:rsid w:val="006E2D55"/>
    <w:rsid w:val="006E2DB3"/>
    <w:rsid w:val="006E4865"/>
    <w:rsid w:val="006E4BA6"/>
    <w:rsid w:val="006E5212"/>
    <w:rsid w:val="006E5DCA"/>
    <w:rsid w:val="006E5F19"/>
    <w:rsid w:val="006E632B"/>
    <w:rsid w:val="006E662E"/>
    <w:rsid w:val="006E695F"/>
    <w:rsid w:val="006E72A1"/>
    <w:rsid w:val="006E746E"/>
    <w:rsid w:val="006E7C11"/>
    <w:rsid w:val="006F04A9"/>
    <w:rsid w:val="006F18AE"/>
    <w:rsid w:val="006F1EA3"/>
    <w:rsid w:val="006F1EFE"/>
    <w:rsid w:val="006F1F00"/>
    <w:rsid w:val="006F1F7E"/>
    <w:rsid w:val="006F27BB"/>
    <w:rsid w:val="006F2C02"/>
    <w:rsid w:val="006F3CA3"/>
    <w:rsid w:val="006F50D0"/>
    <w:rsid w:val="006F56AF"/>
    <w:rsid w:val="006F5726"/>
    <w:rsid w:val="006F70DC"/>
    <w:rsid w:val="006F7B46"/>
    <w:rsid w:val="007002AE"/>
    <w:rsid w:val="00700361"/>
    <w:rsid w:val="0070043F"/>
    <w:rsid w:val="00700DB3"/>
    <w:rsid w:val="00701485"/>
    <w:rsid w:val="007017DC"/>
    <w:rsid w:val="00701D28"/>
    <w:rsid w:val="007036EE"/>
    <w:rsid w:val="0070383E"/>
    <w:rsid w:val="0070432E"/>
    <w:rsid w:val="00704880"/>
    <w:rsid w:val="00704F43"/>
    <w:rsid w:val="007062D1"/>
    <w:rsid w:val="00706369"/>
    <w:rsid w:val="00706B79"/>
    <w:rsid w:val="00706BF3"/>
    <w:rsid w:val="007072CB"/>
    <w:rsid w:val="0070756C"/>
    <w:rsid w:val="0070764A"/>
    <w:rsid w:val="00707815"/>
    <w:rsid w:val="00707A4F"/>
    <w:rsid w:val="00710B1B"/>
    <w:rsid w:val="007118D1"/>
    <w:rsid w:val="00711C8C"/>
    <w:rsid w:val="00711EE2"/>
    <w:rsid w:val="00712254"/>
    <w:rsid w:val="007122FD"/>
    <w:rsid w:val="00712815"/>
    <w:rsid w:val="00713593"/>
    <w:rsid w:val="007140C3"/>
    <w:rsid w:val="00714DC7"/>
    <w:rsid w:val="00714F4E"/>
    <w:rsid w:val="00715455"/>
    <w:rsid w:val="007168BC"/>
    <w:rsid w:val="00717493"/>
    <w:rsid w:val="00717C41"/>
    <w:rsid w:val="0072003E"/>
    <w:rsid w:val="00720AF7"/>
    <w:rsid w:val="0072225D"/>
    <w:rsid w:val="00722A47"/>
    <w:rsid w:val="00723CC3"/>
    <w:rsid w:val="00723FBC"/>
    <w:rsid w:val="00724A69"/>
    <w:rsid w:val="00724ABF"/>
    <w:rsid w:val="00724C7F"/>
    <w:rsid w:val="00725365"/>
    <w:rsid w:val="0072552B"/>
    <w:rsid w:val="00725A6C"/>
    <w:rsid w:val="00725F77"/>
    <w:rsid w:val="00726298"/>
    <w:rsid w:val="007269DF"/>
    <w:rsid w:val="00726FA1"/>
    <w:rsid w:val="007277FA"/>
    <w:rsid w:val="00730CA5"/>
    <w:rsid w:val="00730F60"/>
    <w:rsid w:val="007318F3"/>
    <w:rsid w:val="00732DBB"/>
    <w:rsid w:val="00732FC5"/>
    <w:rsid w:val="007348C7"/>
    <w:rsid w:val="0073494D"/>
    <w:rsid w:val="00734AB7"/>
    <w:rsid w:val="00735442"/>
    <w:rsid w:val="00735557"/>
    <w:rsid w:val="00735745"/>
    <w:rsid w:val="00736748"/>
    <w:rsid w:val="00737F54"/>
    <w:rsid w:val="007401CE"/>
    <w:rsid w:val="00740A8C"/>
    <w:rsid w:val="00741325"/>
    <w:rsid w:val="007433DB"/>
    <w:rsid w:val="00743474"/>
    <w:rsid w:val="007439BA"/>
    <w:rsid w:val="00744196"/>
    <w:rsid w:val="007468E9"/>
    <w:rsid w:val="007469F5"/>
    <w:rsid w:val="007512AE"/>
    <w:rsid w:val="00751E1E"/>
    <w:rsid w:val="00752FB7"/>
    <w:rsid w:val="00752FDA"/>
    <w:rsid w:val="00753918"/>
    <w:rsid w:val="00753996"/>
    <w:rsid w:val="007546A9"/>
    <w:rsid w:val="00757D04"/>
    <w:rsid w:val="00761853"/>
    <w:rsid w:val="007622F9"/>
    <w:rsid w:val="007624AA"/>
    <w:rsid w:val="0076361A"/>
    <w:rsid w:val="00763C47"/>
    <w:rsid w:val="00763CB2"/>
    <w:rsid w:val="0076470E"/>
    <w:rsid w:val="00765DB1"/>
    <w:rsid w:val="007665C1"/>
    <w:rsid w:val="00766A84"/>
    <w:rsid w:val="00767749"/>
    <w:rsid w:val="00767F3E"/>
    <w:rsid w:val="00770FEC"/>
    <w:rsid w:val="0077182E"/>
    <w:rsid w:val="007727D1"/>
    <w:rsid w:val="00772A2E"/>
    <w:rsid w:val="00772D37"/>
    <w:rsid w:val="00773E6D"/>
    <w:rsid w:val="00773FAD"/>
    <w:rsid w:val="0077599D"/>
    <w:rsid w:val="00776448"/>
    <w:rsid w:val="00776DC7"/>
    <w:rsid w:val="007772A0"/>
    <w:rsid w:val="00777D08"/>
    <w:rsid w:val="00777F09"/>
    <w:rsid w:val="00780EDB"/>
    <w:rsid w:val="00781517"/>
    <w:rsid w:val="007816B9"/>
    <w:rsid w:val="00781B40"/>
    <w:rsid w:val="00783074"/>
    <w:rsid w:val="00783757"/>
    <w:rsid w:val="00783925"/>
    <w:rsid w:val="00783E3A"/>
    <w:rsid w:val="00784030"/>
    <w:rsid w:val="00785167"/>
    <w:rsid w:val="007859B0"/>
    <w:rsid w:val="00786432"/>
    <w:rsid w:val="0078740D"/>
    <w:rsid w:val="0078799D"/>
    <w:rsid w:val="00787D42"/>
    <w:rsid w:val="00790753"/>
    <w:rsid w:val="0079088A"/>
    <w:rsid w:val="00791379"/>
    <w:rsid w:val="0079193A"/>
    <w:rsid w:val="00791E11"/>
    <w:rsid w:val="007926C9"/>
    <w:rsid w:val="007928F3"/>
    <w:rsid w:val="0079345D"/>
    <w:rsid w:val="00793640"/>
    <w:rsid w:val="00793ED8"/>
    <w:rsid w:val="00793FE3"/>
    <w:rsid w:val="0079409A"/>
    <w:rsid w:val="00794150"/>
    <w:rsid w:val="0079430D"/>
    <w:rsid w:val="007949E7"/>
    <w:rsid w:val="007951B1"/>
    <w:rsid w:val="007955A2"/>
    <w:rsid w:val="00795607"/>
    <w:rsid w:val="007956F6"/>
    <w:rsid w:val="00795755"/>
    <w:rsid w:val="0079642C"/>
    <w:rsid w:val="00796E86"/>
    <w:rsid w:val="007977CC"/>
    <w:rsid w:val="00797B2E"/>
    <w:rsid w:val="007A08F5"/>
    <w:rsid w:val="007A0A50"/>
    <w:rsid w:val="007A2010"/>
    <w:rsid w:val="007A2AF4"/>
    <w:rsid w:val="007A33A6"/>
    <w:rsid w:val="007A4A38"/>
    <w:rsid w:val="007A4E6C"/>
    <w:rsid w:val="007A5272"/>
    <w:rsid w:val="007A596A"/>
    <w:rsid w:val="007A5AC7"/>
    <w:rsid w:val="007A5C8A"/>
    <w:rsid w:val="007A5DA0"/>
    <w:rsid w:val="007A669C"/>
    <w:rsid w:val="007A6800"/>
    <w:rsid w:val="007A691D"/>
    <w:rsid w:val="007A78B7"/>
    <w:rsid w:val="007B026B"/>
    <w:rsid w:val="007B0EA0"/>
    <w:rsid w:val="007B1BC0"/>
    <w:rsid w:val="007B2773"/>
    <w:rsid w:val="007B2791"/>
    <w:rsid w:val="007B3C02"/>
    <w:rsid w:val="007B5138"/>
    <w:rsid w:val="007B5348"/>
    <w:rsid w:val="007B73E0"/>
    <w:rsid w:val="007B7623"/>
    <w:rsid w:val="007B7D8C"/>
    <w:rsid w:val="007C0853"/>
    <w:rsid w:val="007C0965"/>
    <w:rsid w:val="007C1C98"/>
    <w:rsid w:val="007C1E28"/>
    <w:rsid w:val="007C2024"/>
    <w:rsid w:val="007C2C0E"/>
    <w:rsid w:val="007C2C3F"/>
    <w:rsid w:val="007C2C4A"/>
    <w:rsid w:val="007C3089"/>
    <w:rsid w:val="007C3FB3"/>
    <w:rsid w:val="007C42DC"/>
    <w:rsid w:val="007C4863"/>
    <w:rsid w:val="007C4D73"/>
    <w:rsid w:val="007C5AC2"/>
    <w:rsid w:val="007C6ADC"/>
    <w:rsid w:val="007C705C"/>
    <w:rsid w:val="007C7FCB"/>
    <w:rsid w:val="007D08D5"/>
    <w:rsid w:val="007D0EE3"/>
    <w:rsid w:val="007D18ED"/>
    <w:rsid w:val="007D1B26"/>
    <w:rsid w:val="007D20C3"/>
    <w:rsid w:val="007D23EE"/>
    <w:rsid w:val="007D2747"/>
    <w:rsid w:val="007D2B1F"/>
    <w:rsid w:val="007D33B5"/>
    <w:rsid w:val="007D3761"/>
    <w:rsid w:val="007D3B59"/>
    <w:rsid w:val="007D55A5"/>
    <w:rsid w:val="007D610D"/>
    <w:rsid w:val="007D6157"/>
    <w:rsid w:val="007D6526"/>
    <w:rsid w:val="007D6F63"/>
    <w:rsid w:val="007D6FFB"/>
    <w:rsid w:val="007D7B60"/>
    <w:rsid w:val="007D7B6D"/>
    <w:rsid w:val="007E07A9"/>
    <w:rsid w:val="007E114B"/>
    <w:rsid w:val="007E11CE"/>
    <w:rsid w:val="007E1765"/>
    <w:rsid w:val="007E1800"/>
    <w:rsid w:val="007E18B2"/>
    <w:rsid w:val="007E22AE"/>
    <w:rsid w:val="007E2934"/>
    <w:rsid w:val="007E2C37"/>
    <w:rsid w:val="007E2D49"/>
    <w:rsid w:val="007E2EFF"/>
    <w:rsid w:val="007E3F05"/>
    <w:rsid w:val="007E4AD7"/>
    <w:rsid w:val="007E4B21"/>
    <w:rsid w:val="007E504C"/>
    <w:rsid w:val="007E509B"/>
    <w:rsid w:val="007E50FA"/>
    <w:rsid w:val="007E66CA"/>
    <w:rsid w:val="007E67F2"/>
    <w:rsid w:val="007E6F55"/>
    <w:rsid w:val="007E7115"/>
    <w:rsid w:val="007E7A2B"/>
    <w:rsid w:val="007E7F16"/>
    <w:rsid w:val="007F09F1"/>
    <w:rsid w:val="007F0D8E"/>
    <w:rsid w:val="007F2BCE"/>
    <w:rsid w:val="007F3977"/>
    <w:rsid w:val="007F4ECF"/>
    <w:rsid w:val="007F5027"/>
    <w:rsid w:val="007F532A"/>
    <w:rsid w:val="007F5E12"/>
    <w:rsid w:val="007F66CF"/>
    <w:rsid w:val="007F6927"/>
    <w:rsid w:val="007F6BFA"/>
    <w:rsid w:val="007F6CCD"/>
    <w:rsid w:val="007F6EE0"/>
    <w:rsid w:val="007F6F6B"/>
    <w:rsid w:val="007F7616"/>
    <w:rsid w:val="00800165"/>
    <w:rsid w:val="00800506"/>
    <w:rsid w:val="00800570"/>
    <w:rsid w:val="00800D90"/>
    <w:rsid w:val="00802698"/>
    <w:rsid w:val="008031F8"/>
    <w:rsid w:val="00803CD2"/>
    <w:rsid w:val="00803EC7"/>
    <w:rsid w:val="00804251"/>
    <w:rsid w:val="00804F95"/>
    <w:rsid w:val="008067D6"/>
    <w:rsid w:val="00812447"/>
    <w:rsid w:val="00813350"/>
    <w:rsid w:val="008141B6"/>
    <w:rsid w:val="008155C7"/>
    <w:rsid w:val="0081570D"/>
    <w:rsid w:val="00816074"/>
    <w:rsid w:val="0081641B"/>
    <w:rsid w:val="00817F29"/>
    <w:rsid w:val="008202EF"/>
    <w:rsid w:val="00820936"/>
    <w:rsid w:val="00821723"/>
    <w:rsid w:val="00822906"/>
    <w:rsid w:val="00822FF3"/>
    <w:rsid w:val="008230F5"/>
    <w:rsid w:val="008239AF"/>
    <w:rsid w:val="008253B6"/>
    <w:rsid w:val="00825DD6"/>
    <w:rsid w:val="008264CE"/>
    <w:rsid w:val="00826772"/>
    <w:rsid w:val="00830416"/>
    <w:rsid w:val="008305E3"/>
    <w:rsid w:val="00830CF0"/>
    <w:rsid w:val="00831A8C"/>
    <w:rsid w:val="00832838"/>
    <w:rsid w:val="00832C6C"/>
    <w:rsid w:val="008333A6"/>
    <w:rsid w:val="00834101"/>
    <w:rsid w:val="00834FB2"/>
    <w:rsid w:val="0083657D"/>
    <w:rsid w:val="00836D3F"/>
    <w:rsid w:val="00837D1F"/>
    <w:rsid w:val="00837F77"/>
    <w:rsid w:val="00840DD3"/>
    <w:rsid w:val="008411E7"/>
    <w:rsid w:val="00841669"/>
    <w:rsid w:val="00841AF1"/>
    <w:rsid w:val="00841F7D"/>
    <w:rsid w:val="0084213B"/>
    <w:rsid w:val="00842355"/>
    <w:rsid w:val="00842695"/>
    <w:rsid w:val="00842F52"/>
    <w:rsid w:val="00843345"/>
    <w:rsid w:val="00845838"/>
    <w:rsid w:val="00846C77"/>
    <w:rsid w:val="008475FD"/>
    <w:rsid w:val="008506BF"/>
    <w:rsid w:val="00850F6E"/>
    <w:rsid w:val="00850F97"/>
    <w:rsid w:val="008521B4"/>
    <w:rsid w:val="00852FF7"/>
    <w:rsid w:val="008535F2"/>
    <w:rsid w:val="0085401B"/>
    <w:rsid w:val="00854A9C"/>
    <w:rsid w:val="0085591F"/>
    <w:rsid w:val="00856292"/>
    <w:rsid w:val="00856319"/>
    <w:rsid w:val="008565B0"/>
    <w:rsid w:val="00856C8F"/>
    <w:rsid w:val="00856EB0"/>
    <w:rsid w:val="008575C0"/>
    <w:rsid w:val="00857AD1"/>
    <w:rsid w:val="00860604"/>
    <w:rsid w:val="00860F9F"/>
    <w:rsid w:val="00862C17"/>
    <w:rsid w:val="008636A5"/>
    <w:rsid w:val="008636F6"/>
    <w:rsid w:val="008647A2"/>
    <w:rsid w:val="00864843"/>
    <w:rsid w:val="00866B7B"/>
    <w:rsid w:val="00867170"/>
    <w:rsid w:val="00867CDF"/>
    <w:rsid w:val="00870693"/>
    <w:rsid w:val="00870CAC"/>
    <w:rsid w:val="008712FE"/>
    <w:rsid w:val="0087154D"/>
    <w:rsid w:val="00871627"/>
    <w:rsid w:val="008717F5"/>
    <w:rsid w:val="00872460"/>
    <w:rsid w:val="0087293A"/>
    <w:rsid w:val="00872D9E"/>
    <w:rsid w:val="00872DBB"/>
    <w:rsid w:val="00873331"/>
    <w:rsid w:val="00873813"/>
    <w:rsid w:val="00873A76"/>
    <w:rsid w:val="008751CC"/>
    <w:rsid w:val="008753C6"/>
    <w:rsid w:val="008755A5"/>
    <w:rsid w:val="0087586E"/>
    <w:rsid w:val="00875BC9"/>
    <w:rsid w:val="00875E84"/>
    <w:rsid w:val="00876112"/>
    <w:rsid w:val="00876A72"/>
    <w:rsid w:val="008811C3"/>
    <w:rsid w:val="008813F9"/>
    <w:rsid w:val="00881BF2"/>
    <w:rsid w:val="00881F4F"/>
    <w:rsid w:val="00881F72"/>
    <w:rsid w:val="00882677"/>
    <w:rsid w:val="008830B0"/>
    <w:rsid w:val="00883C3D"/>
    <w:rsid w:val="0088523B"/>
    <w:rsid w:val="00885CE8"/>
    <w:rsid w:val="00887018"/>
    <w:rsid w:val="00887053"/>
    <w:rsid w:val="008877C4"/>
    <w:rsid w:val="00887AD6"/>
    <w:rsid w:val="00887CC7"/>
    <w:rsid w:val="00887FAD"/>
    <w:rsid w:val="008900EE"/>
    <w:rsid w:val="008906A1"/>
    <w:rsid w:val="0089072A"/>
    <w:rsid w:val="00890CA0"/>
    <w:rsid w:val="00890D99"/>
    <w:rsid w:val="0089188E"/>
    <w:rsid w:val="00891C64"/>
    <w:rsid w:val="00892159"/>
    <w:rsid w:val="008926FC"/>
    <w:rsid w:val="00894193"/>
    <w:rsid w:val="00894516"/>
    <w:rsid w:val="00895B14"/>
    <w:rsid w:val="00895F96"/>
    <w:rsid w:val="00895FCA"/>
    <w:rsid w:val="00895FCF"/>
    <w:rsid w:val="00897396"/>
    <w:rsid w:val="00897542"/>
    <w:rsid w:val="00897B37"/>
    <w:rsid w:val="00897C00"/>
    <w:rsid w:val="00897D02"/>
    <w:rsid w:val="008A02DA"/>
    <w:rsid w:val="008A03E8"/>
    <w:rsid w:val="008A04B5"/>
    <w:rsid w:val="008A0F35"/>
    <w:rsid w:val="008A1086"/>
    <w:rsid w:val="008A24A6"/>
    <w:rsid w:val="008A3474"/>
    <w:rsid w:val="008A3BBE"/>
    <w:rsid w:val="008A4F80"/>
    <w:rsid w:val="008A524F"/>
    <w:rsid w:val="008A5F69"/>
    <w:rsid w:val="008A65D2"/>
    <w:rsid w:val="008A6B7D"/>
    <w:rsid w:val="008A776B"/>
    <w:rsid w:val="008B0266"/>
    <w:rsid w:val="008B0E1A"/>
    <w:rsid w:val="008B0F12"/>
    <w:rsid w:val="008B0FA6"/>
    <w:rsid w:val="008B1AC7"/>
    <w:rsid w:val="008B1FD6"/>
    <w:rsid w:val="008B265F"/>
    <w:rsid w:val="008B2F97"/>
    <w:rsid w:val="008B30D8"/>
    <w:rsid w:val="008B32BA"/>
    <w:rsid w:val="008B32DE"/>
    <w:rsid w:val="008B3A21"/>
    <w:rsid w:val="008B3F9D"/>
    <w:rsid w:val="008B5294"/>
    <w:rsid w:val="008B5E43"/>
    <w:rsid w:val="008B6035"/>
    <w:rsid w:val="008B673A"/>
    <w:rsid w:val="008B6B2B"/>
    <w:rsid w:val="008B6C51"/>
    <w:rsid w:val="008B71CA"/>
    <w:rsid w:val="008C07A6"/>
    <w:rsid w:val="008C1C16"/>
    <w:rsid w:val="008C22D8"/>
    <w:rsid w:val="008C2623"/>
    <w:rsid w:val="008C2EB8"/>
    <w:rsid w:val="008C42BA"/>
    <w:rsid w:val="008C44CF"/>
    <w:rsid w:val="008C4C1A"/>
    <w:rsid w:val="008C4D6B"/>
    <w:rsid w:val="008C5998"/>
    <w:rsid w:val="008C6224"/>
    <w:rsid w:val="008C69EF"/>
    <w:rsid w:val="008D1D90"/>
    <w:rsid w:val="008D237D"/>
    <w:rsid w:val="008D329F"/>
    <w:rsid w:val="008D3E44"/>
    <w:rsid w:val="008D4C50"/>
    <w:rsid w:val="008D4F6F"/>
    <w:rsid w:val="008D5149"/>
    <w:rsid w:val="008D54F8"/>
    <w:rsid w:val="008D57A4"/>
    <w:rsid w:val="008D6337"/>
    <w:rsid w:val="008D6EE3"/>
    <w:rsid w:val="008E130A"/>
    <w:rsid w:val="008E183B"/>
    <w:rsid w:val="008E2410"/>
    <w:rsid w:val="008E3502"/>
    <w:rsid w:val="008E3925"/>
    <w:rsid w:val="008E3951"/>
    <w:rsid w:val="008E3C0B"/>
    <w:rsid w:val="008E406A"/>
    <w:rsid w:val="008E488C"/>
    <w:rsid w:val="008E5048"/>
    <w:rsid w:val="008E5110"/>
    <w:rsid w:val="008E52F2"/>
    <w:rsid w:val="008E53FE"/>
    <w:rsid w:val="008E5CF9"/>
    <w:rsid w:val="008E6878"/>
    <w:rsid w:val="008E69FF"/>
    <w:rsid w:val="008E6EBF"/>
    <w:rsid w:val="008E7873"/>
    <w:rsid w:val="008F0788"/>
    <w:rsid w:val="008F08EB"/>
    <w:rsid w:val="008F0E72"/>
    <w:rsid w:val="008F1E2B"/>
    <w:rsid w:val="008F2A15"/>
    <w:rsid w:val="008F4AD8"/>
    <w:rsid w:val="008F50C1"/>
    <w:rsid w:val="008F5B2D"/>
    <w:rsid w:val="008F6492"/>
    <w:rsid w:val="008F669C"/>
    <w:rsid w:val="008F6BE2"/>
    <w:rsid w:val="008F7AD4"/>
    <w:rsid w:val="008F7F8B"/>
    <w:rsid w:val="008F7FC7"/>
    <w:rsid w:val="009006A7"/>
    <w:rsid w:val="009006DD"/>
    <w:rsid w:val="00900737"/>
    <w:rsid w:val="00900BE7"/>
    <w:rsid w:val="00900D0A"/>
    <w:rsid w:val="00900E1E"/>
    <w:rsid w:val="00900E5D"/>
    <w:rsid w:val="009065E9"/>
    <w:rsid w:val="00906700"/>
    <w:rsid w:val="00906DA3"/>
    <w:rsid w:val="009074CF"/>
    <w:rsid w:val="009077A2"/>
    <w:rsid w:val="00907F98"/>
    <w:rsid w:val="009106FA"/>
    <w:rsid w:val="00912643"/>
    <w:rsid w:val="00912D8B"/>
    <w:rsid w:val="00913170"/>
    <w:rsid w:val="00913D2C"/>
    <w:rsid w:val="00914110"/>
    <w:rsid w:val="009145ED"/>
    <w:rsid w:val="0091481F"/>
    <w:rsid w:val="00916482"/>
    <w:rsid w:val="00916C6D"/>
    <w:rsid w:val="00917181"/>
    <w:rsid w:val="00917B52"/>
    <w:rsid w:val="00920EE4"/>
    <w:rsid w:val="009215F7"/>
    <w:rsid w:val="00921BD7"/>
    <w:rsid w:val="00922458"/>
    <w:rsid w:val="00922C6D"/>
    <w:rsid w:val="00923249"/>
    <w:rsid w:val="009239F6"/>
    <w:rsid w:val="00923A3E"/>
    <w:rsid w:val="00923A81"/>
    <w:rsid w:val="0092406C"/>
    <w:rsid w:val="0092418F"/>
    <w:rsid w:val="00924A26"/>
    <w:rsid w:val="00925315"/>
    <w:rsid w:val="00925568"/>
    <w:rsid w:val="00925F31"/>
    <w:rsid w:val="00925F7D"/>
    <w:rsid w:val="0092636B"/>
    <w:rsid w:val="00927FA0"/>
    <w:rsid w:val="0093189F"/>
    <w:rsid w:val="00931BF0"/>
    <w:rsid w:val="0093276F"/>
    <w:rsid w:val="00934098"/>
    <w:rsid w:val="00934C26"/>
    <w:rsid w:val="00934CCE"/>
    <w:rsid w:val="009355D7"/>
    <w:rsid w:val="00936277"/>
    <w:rsid w:val="009371E3"/>
    <w:rsid w:val="00937D88"/>
    <w:rsid w:val="00937E52"/>
    <w:rsid w:val="009405C7"/>
    <w:rsid w:val="00940D11"/>
    <w:rsid w:val="009416A2"/>
    <w:rsid w:val="00941FF4"/>
    <w:rsid w:val="009425CA"/>
    <w:rsid w:val="009428FB"/>
    <w:rsid w:val="00942905"/>
    <w:rsid w:val="00942A5F"/>
    <w:rsid w:val="009451C7"/>
    <w:rsid w:val="009455A4"/>
    <w:rsid w:val="0094571D"/>
    <w:rsid w:val="00945CE8"/>
    <w:rsid w:val="00945EBB"/>
    <w:rsid w:val="00946489"/>
    <w:rsid w:val="00946544"/>
    <w:rsid w:val="00946EE3"/>
    <w:rsid w:val="00946FFD"/>
    <w:rsid w:val="00947DA2"/>
    <w:rsid w:val="00950055"/>
    <w:rsid w:val="009500AA"/>
    <w:rsid w:val="00950AB9"/>
    <w:rsid w:val="00950BD5"/>
    <w:rsid w:val="00951CAE"/>
    <w:rsid w:val="00951E33"/>
    <w:rsid w:val="00953E72"/>
    <w:rsid w:val="00953EEF"/>
    <w:rsid w:val="0095404B"/>
    <w:rsid w:val="00954DE1"/>
    <w:rsid w:val="00955843"/>
    <w:rsid w:val="00955996"/>
    <w:rsid w:val="00955E0D"/>
    <w:rsid w:val="009566CC"/>
    <w:rsid w:val="00956AF2"/>
    <w:rsid w:val="00957AEF"/>
    <w:rsid w:val="0096064A"/>
    <w:rsid w:val="0096093C"/>
    <w:rsid w:val="009626B8"/>
    <w:rsid w:val="00962D1F"/>
    <w:rsid w:val="009631C1"/>
    <w:rsid w:val="0096429D"/>
    <w:rsid w:val="00965867"/>
    <w:rsid w:val="00966982"/>
    <w:rsid w:val="0096714A"/>
    <w:rsid w:val="00967389"/>
    <w:rsid w:val="009706F6"/>
    <w:rsid w:val="00970B2B"/>
    <w:rsid w:val="00971A0D"/>
    <w:rsid w:val="00971B58"/>
    <w:rsid w:val="00972231"/>
    <w:rsid w:val="0097288C"/>
    <w:rsid w:val="0097302C"/>
    <w:rsid w:val="009734F0"/>
    <w:rsid w:val="00973558"/>
    <w:rsid w:val="0097360A"/>
    <w:rsid w:val="00973C3B"/>
    <w:rsid w:val="0097532E"/>
    <w:rsid w:val="00976605"/>
    <w:rsid w:val="00977020"/>
    <w:rsid w:val="00982AAD"/>
    <w:rsid w:val="00982DF3"/>
    <w:rsid w:val="0098341F"/>
    <w:rsid w:val="00983F05"/>
    <w:rsid w:val="00985619"/>
    <w:rsid w:val="00985631"/>
    <w:rsid w:val="00985D19"/>
    <w:rsid w:val="0098675A"/>
    <w:rsid w:val="00986C05"/>
    <w:rsid w:val="00991F0C"/>
    <w:rsid w:val="00992076"/>
    <w:rsid w:val="0099263F"/>
    <w:rsid w:val="00992858"/>
    <w:rsid w:val="00993709"/>
    <w:rsid w:val="00993BC0"/>
    <w:rsid w:val="00993FBA"/>
    <w:rsid w:val="009946B5"/>
    <w:rsid w:val="009958C3"/>
    <w:rsid w:val="00996AC9"/>
    <w:rsid w:val="00996F86"/>
    <w:rsid w:val="00997014"/>
    <w:rsid w:val="009A114C"/>
    <w:rsid w:val="009A139E"/>
    <w:rsid w:val="009A13C0"/>
    <w:rsid w:val="009A21E6"/>
    <w:rsid w:val="009A2BAA"/>
    <w:rsid w:val="009A3094"/>
    <w:rsid w:val="009A3729"/>
    <w:rsid w:val="009A391B"/>
    <w:rsid w:val="009A4BED"/>
    <w:rsid w:val="009A4D36"/>
    <w:rsid w:val="009A6278"/>
    <w:rsid w:val="009A6527"/>
    <w:rsid w:val="009A6593"/>
    <w:rsid w:val="009A676C"/>
    <w:rsid w:val="009A6C96"/>
    <w:rsid w:val="009B0168"/>
    <w:rsid w:val="009B01C2"/>
    <w:rsid w:val="009B0394"/>
    <w:rsid w:val="009B03F4"/>
    <w:rsid w:val="009B07A7"/>
    <w:rsid w:val="009B19D5"/>
    <w:rsid w:val="009B1DAE"/>
    <w:rsid w:val="009B25BA"/>
    <w:rsid w:val="009B2828"/>
    <w:rsid w:val="009B3102"/>
    <w:rsid w:val="009B352E"/>
    <w:rsid w:val="009B4663"/>
    <w:rsid w:val="009B5A4E"/>
    <w:rsid w:val="009B5DEC"/>
    <w:rsid w:val="009B6375"/>
    <w:rsid w:val="009B6D94"/>
    <w:rsid w:val="009B7A49"/>
    <w:rsid w:val="009C00CE"/>
    <w:rsid w:val="009C1290"/>
    <w:rsid w:val="009C20A8"/>
    <w:rsid w:val="009C2ED5"/>
    <w:rsid w:val="009C3366"/>
    <w:rsid w:val="009C4761"/>
    <w:rsid w:val="009C4A55"/>
    <w:rsid w:val="009C5C7C"/>
    <w:rsid w:val="009C5D74"/>
    <w:rsid w:val="009C62A0"/>
    <w:rsid w:val="009C6DC2"/>
    <w:rsid w:val="009C732E"/>
    <w:rsid w:val="009C77B9"/>
    <w:rsid w:val="009C7A91"/>
    <w:rsid w:val="009C7B14"/>
    <w:rsid w:val="009C7D9A"/>
    <w:rsid w:val="009D1609"/>
    <w:rsid w:val="009D1D9D"/>
    <w:rsid w:val="009D2370"/>
    <w:rsid w:val="009D413D"/>
    <w:rsid w:val="009D4BDD"/>
    <w:rsid w:val="009D4F8C"/>
    <w:rsid w:val="009D55DF"/>
    <w:rsid w:val="009D56B4"/>
    <w:rsid w:val="009D5BE4"/>
    <w:rsid w:val="009E16CC"/>
    <w:rsid w:val="009E432E"/>
    <w:rsid w:val="009E4542"/>
    <w:rsid w:val="009E63E8"/>
    <w:rsid w:val="009E6D1B"/>
    <w:rsid w:val="009E7038"/>
    <w:rsid w:val="009E74FE"/>
    <w:rsid w:val="009F0377"/>
    <w:rsid w:val="009F0847"/>
    <w:rsid w:val="009F08FA"/>
    <w:rsid w:val="009F0C1D"/>
    <w:rsid w:val="009F2049"/>
    <w:rsid w:val="009F2504"/>
    <w:rsid w:val="009F467A"/>
    <w:rsid w:val="009F5416"/>
    <w:rsid w:val="009F5E76"/>
    <w:rsid w:val="009F6078"/>
    <w:rsid w:val="009F792A"/>
    <w:rsid w:val="009F7AE8"/>
    <w:rsid w:val="00A004D1"/>
    <w:rsid w:val="00A008EA"/>
    <w:rsid w:val="00A0091D"/>
    <w:rsid w:val="00A00A38"/>
    <w:rsid w:val="00A014CD"/>
    <w:rsid w:val="00A016CA"/>
    <w:rsid w:val="00A01C66"/>
    <w:rsid w:val="00A02708"/>
    <w:rsid w:val="00A0279F"/>
    <w:rsid w:val="00A03440"/>
    <w:rsid w:val="00A04BB6"/>
    <w:rsid w:val="00A04BE5"/>
    <w:rsid w:val="00A05013"/>
    <w:rsid w:val="00A05856"/>
    <w:rsid w:val="00A06612"/>
    <w:rsid w:val="00A06A59"/>
    <w:rsid w:val="00A07C59"/>
    <w:rsid w:val="00A07F80"/>
    <w:rsid w:val="00A104D3"/>
    <w:rsid w:val="00A10516"/>
    <w:rsid w:val="00A10A1A"/>
    <w:rsid w:val="00A10D66"/>
    <w:rsid w:val="00A10F0F"/>
    <w:rsid w:val="00A12039"/>
    <w:rsid w:val="00A12B09"/>
    <w:rsid w:val="00A12BB3"/>
    <w:rsid w:val="00A12F87"/>
    <w:rsid w:val="00A12FE7"/>
    <w:rsid w:val="00A1318F"/>
    <w:rsid w:val="00A1328A"/>
    <w:rsid w:val="00A1491F"/>
    <w:rsid w:val="00A14991"/>
    <w:rsid w:val="00A15D42"/>
    <w:rsid w:val="00A15D7B"/>
    <w:rsid w:val="00A16823"/>
    <w:rsid w:val="00A20C99"/>
    <w:rsid w:val="00A21CBF"/>
    <w:rsid w:val="00A22188"/>
    <w:rsid w:val="00A23203"/>
    <w:rsid w:val="00A23344"/>
    <w:rsid w:val="00A237C9"/>
    <w:rsid w:val="00A23909"/>
    <w:rsid w:val="00A23CC6"/>
    <w:rsid w:val="00A23F7E"/>
    <w:rsid w:val="00A24D69"/>
    <w:rsid w:val="00A254FD"/>
    <w:rsid w:val="00A257C6"/>
    <w:rsid w:val="00A25D9E"/>
    <w:rsid w:val="00A26415"/>
    <w:rsid w:val="00A26601"/>
    <w:rsid w:val="00A269D7"/>
    <w:rsid w:val="00A27098"/>
    <w:rsid w:val="00A27177"/>
    <w:rsid w:val="00A27A2C"/>
    <w:rsid w:val="00A30635"/>
    <w:rsid w:val="00A30D13"/>
    <w:rsid w:val="00A311FD"/>
    <w:rsid w:val="00A31DC1"/>
    <w:rsid w:val="00A32202"/>
    <w:rsid w:val="00A32471"/>
    <w:rsid w:val="00A3292B"/>
    <w:rsid w:val="00A339C8"/>
    <w:rsid w:val="00A34969"/>
    <w:rsid w:val="00A34C72"/>
    <w:rsid w:val="00A352D1"/>
    <w:rsid w:val="00A35CC6"/>
    <w:rsid w:val="00A35DC9"/>
    <w:rsid w:val="00A36525"/>
    <w:rsid w:val="00A366A9"/>
    <w:rsid w:val="00A366E4"/>
    <w:rsid w:val="00A36AF8"/>
    <w:rsid w:val="00A3772F"/>
    <w:rsid w:val="00A401D1"/>
    <w:rsid w:val="00A40CCF"/>
    <w:rsid w:val="00A424F5"/>
    <w:rsid w:val="00A43169"/>
    <w:rsid w:val="00A43354"/>
    <w:rsid w:val="00A43584"/>
    <w:rsid w:val="00A44151"/>
    <w:rsid w:val="00A44BEB"/>
    <w:rsid w:val="00A454C0"/>
    <w:rsid w:val="00A45B95"/>
    <w:rsid w:val="00A46409"/>
    <w:rsid w:val="00A465EB"/>
    <w:rsid w:val="00A46958"/>
    <w:rsid w:val="00A4742C"/>
    <w:rsid w:val="00A47746"/>
    <w:rsid w:val="00A500AC"/>
    <w:rsid w:val="00A50AED"/>
    <w:rsid w:val="00A50D1D"/>
    <w:rsid w:val="00A50ECA"/>
    <w:rsid w:val="00A5113F"/>
    <w:rsid w:val="00A515DE"/>
    <w:rsid w:val="00A535AE"/>
    <w:rsid w:val="00A5386A"/>
    <w:rsid w:val="00A53B88"/>
    <w:rsid w:val="00A53D3B"/>
    <w:rsid w:val="00A53EF5"/>
    <w:rsid w:val="00A5456D"/>
    <w:rsid w:val="00A54EFE"/>
    <w:rsid w:val="00A550F7"/>
    <w:rsid w:val="00A55262"/>
    <w:rsid w:val="00A55361"/>
    <w:rsid w:val="00A55517"/>
    <w:rsid w:val="00A55971"/>
    <w:rsid w:val="00A56409"/>
    <w:rsid w:val="00A564B1"/>
    <w:rsid w:val="00A56871"/>
    <w:rsid w:val="00A575B8"/>
    <w:rsid w:val="00A5791E"/>
    <w:rsid w:val="00A60102"/>
    <w:rsid w:val="00A601D0"/>
    <w:rsid w:val="00A60C71"/>
    <w:rsid w:val="00A6124D"/>
    <w:rsid w:val="00A619E5"/>
    <w:rsid w:val="00A61DAC"/>
    <w:rsid w:val="00A61E42"/>
    <w:rsid w:val="00A62A48"/>
    <w:rsid w:val="00A62B6D"/>
    <w:rsid w:val="00A630D4"/>
    <w:rsid w:val="00A63816"/>
    <w:rsid w:val="00A63D20"/>
    <w:rsid w:val="00A64DFE"/>
    <w:rsid w:val="00A655A1"/>
    <w:rsid w:val="00A6578F"/>
    <w:rsid w:val="00A658E1"/>
    <w:rsid w:val="00A665EE"/>
    <w:rsid w:val="00A668B8"/>
    <w:rsid w:val="00A66B83"/>
    <w:rsid w:val="00A675DF"/>
    <w:rsid w:val="00A717A5"/>
    <w:rsid w:val="00A71F46"/>
    <w:rsid w:val="00A72D9F"/>
    <w:rsid w:val="00A732CF"/>
    <w:rsid w:val="00A73AFD"/>
    <w:rsid w:val="00A73EB3"/>
    <w:rsid w:val="00A74054"/>
    <w:rsid w:val="00A7502D"/>
    <w:rsid w:val="00A768C8"/>
    <w:rsid w:val="00A773A5"/>
    <w:rsid w:val="00A77727"/>
    <w:rsid w:val="00A77A34"/>
    <w:rsid w:val="00A77E62"/>
    <w:rsid w:val="00A806F4"/>
    <w:rsid w:val="00A81680"/>
    <w:rsid w:val="00A83058"/>
    <w:rsid w:val="00A838B5"/>
    <w:rsid w:val="00A83CFB"/>
    <w:rsid w:val="00A84820"/>
    <w:rsid w:val="00A86646"/>
    <w:rsid w:val="00A86BCC"/>
    <w:rsid w:val="00A87323"/>
    <w:rsid w:val="00A90188"/>
    <w:rsid w:val="00A918B0"/>
    <w:rsid w:val="00A92F66"/>
    <w:rsid w:val="00A92F86"/>
    <w:rsid w:val="00A93B99"/>
    <w:rsid w:val="00A94873"/>
    <w:rsid w:val="00A967A5"/>
    <w:rsid w:val="00A97C3D"/>
    <w:rsid w:val="00AA11AB"/>
    <w:rsid w:val="00AA14F1"/>
    <w:rsid w:val="00AA1D0D"/>
    <w:rsid w:val="00AA1FFB"/>
    <w:rsid w:val="00AA2757"/>
    <w:rsid w:val="00AA2CCC"/>
    <w:rsid w:val="00AA2FCC"/>
    <w:rsid w:val="00AA3C87"/>
    <w:rsid w:val="00AA42A7"/>
    <w:rsid w:val="00AA461E"/>
    <w:rsid w:val="00AA4974"/>
    <w:rsid w:val="00AA51F3"/>
    <w:rsid w:val="00AA571A"/>
    <w:rsid w:val="00AA659D"/>
    <w:rsid w:val="00AA7515"/>
    <w:rsid w:val="00AA753B"/>
    <w:rsid w:val="00AA7AAA"/>
    <w:rsid w:val="00AA7C93"/>
    <w:rsid w:val="00AB0255"/>
    <w:rsid w:val="00AB0DF5"/>
    <w:rsid w:val="00AB1081"/>
    <w:rsid w:val="00AB11A5"/>
    <w:rsid w:val="00AB1335"/>
    <w:rsid w:val="00AB1457"/>
    <w:rsid w:val="00AB2E47"/>
    <w:rsid w:val="00AB398B"/>
    <w:rsid w:val="00AB39AB"/>
    <w:rsid w:val="00AB41AE"/>
    <w:rsid w:val="00AB4763"/>
    <w:rsid w:val="00AB4F62"/>
    <w:rsid w:val="00AB5029"/>
    <w:rsid w:val="00AB5412"/>
    <w:rsid w:val="00AB5E2D"/>
    <w:rsid w:val="00AB67B5"/>
    <w:rsid w:val="00AB6B30"/>
    <w:rsid w:val="00AB6E07"/>
    <w:rsid w:val="00AB6EBB"/>
    <w:rsid w:val="00AB78EA"/>
    <w:rsid w:val="00AC1D99"/>
    <w:rsid w:val="00AC2AA7"/>
    <w:rsid w:val="00AC2B1C"/>
    <w:rsid w:val="00AC2FD7"/>
    <w:rsid w:val="00AC34F0"/>
    <w:rsid w:val="00AC5B96"/>
    <w:rsid w:val="00AC613D"/>
    <w:rsid w:val="00AC742D"/>
    <w:rsid w:val="00AC79C4"/>
    <w:rsid w:val="00AC7CA2"/>
    <w:rsid w:val="00AD012E"/>
    <w:rsid w:val="00AD09DA"/>
    <w:rsid w:val="00AD0AC1"/>
    <w:rsid w:val="00AD0C64"/>
    <w:rsid w:val="00AD17DC"/>
    <w:rsid w:val="00AD216B"/>
    <w:rsid w:val="00AD3841"/>
    <w:rsid w:val="00AD3A24"/>
    <w:rsid w:val="00AD43AA"/>
    <w:rsid w:val="00AD51D3"/>
    <w:rsid w:val="00AD5B06"/>
    <w:rsid w:val="00AD6E22"/>
    <w:rsid w:val="00AD75D1"/>
    <w:rsid w:val="00AE0938"/>
    <w:rsid w:val="00AE0A08"/>
    <w:rsid w:val="00AE1080"/>
    <w:rsid w:val="00AE1A6B"/>
    <w:rsid w:val="00AE22BE"/>
    <w:rsid w:val="00AE3B52"/>
    <w:rsid w:val="00AE3B8A"/>
    <w:rsid w:val="00AE3E49"/>
    <w:rsid w:val="00AE4557"/>
    <w:rsid w:val="00AE4DBB"/>
    <w:rsid w:val="00AE6106"/>
    <w:rsid w:val="00AE64DC"/>
    <w:rsid w:val="00AE6BC2"/>
    <w:rsid w:val="00AE726A"/>
    <w:rsid w:val="00AE7ADC"/>
    <w:rsid w:val="00AE7C00"/>
    <w:rsid w:val="00AF030D"/>
    <w:rsid w:val="00AF148D"/>
    <w:rsid w:val="00AF1794"/>
    <w:rsid w:val="00AF1E05"/>
    <w:rsid w:val="00AF4696"/>
    <w:rsid w:val="00AF584C"/>
    <w:rsid w:val="00AF660D"/>
    <w:rsid w:val="00AF7523"/>
    <w:rsid w:val="00AF7928"/>
    <w:rsid w:val="00B001EF"/>
    <w:rsid w:val="00B0039B"/>
    <w:rsid w:val="00B00D06"/>
    <w:rsid w:val="00B018C3"/>
    <w:rsid w:val="00B018C9"/>
    <w:rsid w:val="00B033D7"/>
    <w:rsid w:val="00B04486"/>
    <w:rsid w:val="00B05AEA"/>
    <w:rsid w:val="00B05BB1"/>
    <w:rsid w:val="00B069EB"/>
    <w:rsid w:val="00B0700E"/>
    <w:rsid w:val="00B10253"/>
    <w:rsid w:val="00B112BC"/>
    <w:rsid w:val="00B11A30"/>
    <w:rsid w:val="00B14158"/>
    <w:rsid w:val="00B14773"/>
    <w:rsid w:val="00B1515C"/>
    <w:rsid w:val="00B16DAB"/>
    <w:rsid w:val="00B17249"/>
    <w:rsid w:val="00B17F58"/>
    <w:rsid w:val="00B206C4"/>
    <w:rsid w:val="00B207F8"/>
    <w:rsid w:val="00B20FF5"/>
    <w:rsid w:val="00B216B7"/>
    <w:rsid w:val="00B219EA"/>
    <w:rsid w:val="00B21B73"/>
    <w:rsid w:val="00B2271B"/>
    <w:rsid w:val="00B238C1"/>
    <w:rsid w:val="00B23BA0"/>
    <w:rsid w:val="00B24C0B"/>
    <w:rsid w:val="00B25C91"/>
    <w:rsid w:val="00B27431"/>
    <w:rsid w:val="00B30793"/>
    <w:rsid w:val="00B31610"/>
    <w:rsid w:val="00B31871"/>
    <w:rsid w:val="00B31CF0"/>
    <w:rsid w:val="00B32AED"/>
    <w:rsid w:val="00B33736"/>
    <w:rsid w:val="00B33BDD"/>
    <w:rsid w:val="00B33F6D"/>
    <w:rsid w:val="00B3533E"/>
    <w:rsid w:val="00B364BC"/>
    <w:rsid w:val="00B36DD2"/>
    <w:rsid w:val="00B40026"/>
    <w:rsid w:val="00B40301"/>
    <w:rsid w:val="00B40481"/>
    <w:rsid w:val="00B404F6"/>
    <w:rsid w:val="00B40A50"/>
    <w:rsid w:val="00B40AE5"/>
    <w:rsid w:val="00B4342A"/>
    <w:rsid w:val="00B43EB2"/>
    <w:rsid w:val="00B440CC"/>
    <w:rsid w:val="00B44BA0"/>
    <w:rsid w:val="00B4502F"/>
    <w:rsid w:val="00B45E04"/>
    <w:rsid w:val="00B46931"/>
    <w:rsid w:val="00B46AE2"/>
    <w:rsid w:val="00B46F49"/>
    <w:rsid w:val="00B4756D"/>
    <w:rsid w:val="00B47B6F"/>
    <w:rsid w:val="00B50325"/>
    <w:rsid w:val="00B515EC"/>
    <w:rsid w:val="00B51715"/>
    <w:rsid w:val="00B5250B"/>
    <w:rsid w:val="00B52BBE"/>
    <w:rsid w:val="00B52EA2"/>
    <w:rsid w:val="00B53A88"/>
    <w:rsid w:val="00B54244"/>
    <w:rsid w:val="00B54CEC"/>
    <w:rsid w:val="00B5523D"/>
    <w:rsid w:val="00B568E5"/>
    <w:rsid w:val="00B5716F"/>
    <w:rsid w:val="00B573E8"/>
    <w:rsid w:val="00B57786"/>
    <w:rsid w:val="00B609F4"/>
    <w:rsid w:val="00B61277"/>
    <w:rsid w:val="00B61726"/>
    <w:rsid w:val="00B61D25"/>
    <w:rsid w:val="00B624F3"/>
    <w:rsid w:val="00B62911"/>
    <w:rsid w:val="00B629A9"/>
    <w:rsid w:val="00B63DE0"/>
    <w:rsid w:val="00B6405A"/>
    <w:rsid w:val="00B64208"/>
    <w:rsid w:val="00B64C14"/>
    <w:rsid w:val="00B64D67"/>
    <w:rsid w:val="00B64E26"/>
    <w:rsid w:val="00B6551C"/>
    <w:rsid w:val="00B65F35"/>
    <w:rsid w:val="00B675B7"/>
    <w:rsid w:val="00B6763F"/>
    <w:rsid w:val="00B67C48"/>
    <w:rsid w:val="00B67E3F"/>
    <w:rsid w:val="00B705E6"/>
    <w:rsid w:val="00B70C05"/>
    <w:rsid w:val="00B71B8B"/>
    <w:rsid w:val="00B7225A"/>
    <w:rsid w:val="00B72460"/>
    <w:rsid w:val="00B726D5"/>
    <w:rsid w:val="00B72D55"/>
    <w:rsid w:val="00B73B3A"/>
    <w:rsid w:val="00B73FFF"/>
    <w:rsid w:val="00B76463"/>
    <w:rsid w:val="00B764FA"/>
    <w:rsid w:val="00B7689D"/>
    <w:rsid w:val="00B76C01"/>
    <w:rsid w:val="00B772F0"/>
    <w:rsid w:val="00B77D3D"/>
    <w:rsid w:val="00B8028C"/>
    <w:rsid w:val="00B80DAB"/>
    <w:rsid w:val="00B811AC"/>
    <w:rsid w:val="00B8251C"/>
    <w:rsid w:val="00B8355A"/>
    <w:rsid w:val="00B8453B"/>
    <w:rsid w:val="00B8736E"/>
    <w:rsid w:val="00B900B3"/>
    <w:rsid w:val="00B913EF"/>
    <w:rsid w:val="00B91C0B"/>
    <w:rsid w:val="00B927DD"/>
    <w:rsid w:val="00B92B17"/>
    <w:rsid w:val="00B92BF4"/>
    <w:rsid w:val="00B935A0"/>
    <w:rsid w:val="00B940A7"/>
    <w:rsid w:val="00B94111"/>
    <w:rsid w:val="00B9472F"/>
    <w:rsid w:val="00B9618B"/>
    <w:rsid w:val="00B97B08"/>
    <w:rsid w:val="00B97F86"/>
    <w:rsid w:val="00BA0142"/>
    <w:rsid w:val="00BA050F"/>
    <w:rsid w:val="00BA1C76"/>
    <w:rsid w:val="00BA1E59"/>
    <w:rsid w:val="00BA243D"/>
    <w:rsid w:val="00BA252A"/>
    <w:rsid w:val="00BA2A5A"/>
    <w:rsid w:val="00BA36A3"/>
    <w:rsid w:val="00BA3BD9"/>
    <w:rsid w:val="00BA556B"/>
    <w:rsid w:val="00BA5D32"/>
    <w:rsid w:val="00BA6212"/>
    <w:rsid w:val="00BA6358"/>
    <w:rsid w:val="00BA6AF9"/>
    <w:rsid w:val="00BA6E50"/>
    <w:rsid w:val="00BA7115"/>
    <w:rsid w:val="00BA7BC8"/>
    <w:rsid w:val="00BB0818"/>
    <w:rsid w:val="00BB097C"/>
    <w:rsid w:val="00BB0D1F"/>
    <w:rsid w:val="00BB191C"/>
    <w:rsid w:val="00BB19BA"/>
    <w:rsid w:val="00BB1C7D"/>
    <w:rsid w:val="00BB21E2"/>
    <w:rsid w:val="00BB2324"/>
    <w:rsid w:val="00BB2D9A"/>
    <w:rsid w:val="00BB3321"/>
    <w:rsid w:val="00BB4E36"/>
    <w:rsid w:val="00BB508E"/>
    <w:rsid w:val="00BB5E47"/>
    <w:rsid w:val="00BB62AC"/>
    <w:rsid w:val="00BB6B7D"/>
    <w:rsid w:val="00BC02DC"/>
    <w:rsid w:val="00BC1D19"/>
    <w:rsid w:val="00BC2635"/>
    <w:rsid w:val="00BC3ADD"/>
    <w:rsid w:val="00BC44C7"/>
    <w:rsid w:val="00BC4B78"/>
    <w:rsid w:val="00BC60DC"/>
    <w:rsid w:val="00BC6DB2"/>
    <w:rsid w:val="00BC6F89"/>
    <w:rsid w:val="00BC7081"/>
    <w:rsid w:val="00BC7423"/>
    <w:rsid w:val="00BC7498"/>
    <w:rsid w:val="00BD0021"/>
    <w:rsid w:val="00BD02A0"/>
    <w:rsid w:val="00BD02F1"/>
    <w:rsid w:val="00BD0544"/>
    <w:rsid w:val="00BD0E7F"/>
    <w:rsid w:val="00BD152F"/>
    <w:rsid w:val="00BD2128"/>
    <w:rsid w:val="00BD2C7D"/>
    <w:rsid w:val="00BD3A08"/>
    <w:rsid w:val="00BD3B48"/>
    <w:rsid w:val="00BD4101"/>
    <w:rsid w:val="00BD53F8"/>
    <w:rsid w:val="00BD5579"/>
    <w:rsid w:val="00BD57F1"/>
    <w:rsid w:val="00BD5ACD"/>
    <w:rsid w:val="00BD5E76"/>
    <w:rsid w:val="00BD671B"/>
    <w:rsid w:val="00BD6EEB"/>
    <w:rsid w:val="00BE013A"/>
    <w:rsid w:val="00BE0E0C"/>
    <w:rsid w:val="00BE113B"/>
    <w:rsid w:val="00BE1C3F"/>
    <w:rsid w:val="00BE2EFB"/>
    <w:rsid w:val="00BE48F5"/>
    <w:rsid w:val="00BE5349"/>
    <w:rsid w:val="00BE53BA"/>
    <w:rsid w:val="00BE7285"/>
    <w:rsid w:val="00BE7D0F"/>
    <w:rsid w:val="00BE7F2D"/>
    <w:rsid w:val="00BF08B8"/>
    <w:rsid w:val="00BF1820"/>
    <w:rsid w:val="00BF1D19"/>
    <w:rsid w:val="00BF22D4"/>
    <w:rsid w:val="00BF2BB2"/>
    <w:rsid w:val="00BF3542"/>
    <w:rsid w:val="00BF3FF8"/>
    <w:rsid w:val="00BF55CD"/>
    <w:rsid w:val="00BF5CF0"/>
    <w:rsid w:val="00BF6DF4"/>
    <w:rsid w:val="00BF737D"/>
    <w:rsid w:val="00BF7540"/>
    <w:rsid w:val="00C004B2"/>
    <w:rsid w:val="00C00A31"/>
    <w:rsid w:val="00C01C50"/>
    <w:rsid w:val="00C02603"/>
    <w:rsid w:val="00C02B1F"/>
    <w:rsid w:val="00C02D8A"/>
    <w:rsid w:val="00C032E9"/>
    <w:rsid w:val="00C043A4"/>
    <w:rsid w:val="00C0477D"/>
    <w:rsid w:val="00C04D15"/>
    <w:rsid w:val="00C057C4"/>
    <w:rsid w:val="00C06292"/>
    <w:rsid w:val="00C070E2"/>
    <w:rsid w:val="00C07585"/>
    <w:rsid w:val="00C07BFF"/>
    <w:rsid w:val="00C10CEC"/>
    <w:rsid w:val="00C115DB"/>
    <w:rsid w:val="00C117AB"/>
    <w:rsid w:val="00C123B1"/>
    <w:rsid w:val="00C12553"/>
    <w:rsid w:val="00C12D9D"/>
    <w:rsid w:val="00C13E13"/>
    <w:rsid w:val="00C14EEE"/>
    <w:rsid w:val="00C15FE9"/>
    <w:rsid w:val="00C16023"/>
    <w:rsid w:val="00C162E9"/>
    <w:rsid w:val="00C1695B"/>
    <w:rsid w:val="00C16F87"/>
    <w:rsid w:val="00C17168"/>
    <w:rsid w:val="00C17A80"/>
    <w:rsid w:val="00C20F04"/>
    <w:rsid w:val="00C21BEC"/>
    <w:rsid w:val="00C21F02"/>
    <w:rsid w:val="00C2259C"/>
    <w:rsid w:val="00C22E35"/>
    <w:rsid w:val="00C22FB8"/>
    <w:rsid w:val="00C24C14"/>
    <w:rsid w:val="00C254C9"/>
    <w:rsid w:val="00C258C0"/>
    <w:rsid w:val="00C25A70"/>
    <w:rsid w:val="00C26E69"/>
    <w:rsid w:val="00C2748A"/>
    <w:rsid w:val="00C279E4"/>
    <w:rsid w:val="00C302AB"/>
    <w:rsid w:val="00C31464"/>
    <w:rsid w:val="00C31BE1"/>
    <w:rsid w:val="00C32629"/>
    <w:rsid w:val="00C32CBA"/>
    <w:rsid w:val="00C34245"/>
    <w:rsid w:val="00C358EC"/>
    <w:rsid w:val="00C35F1B"/>
    <w:rsid w:val="00C3650C"/>
    <w:rsid w:val="00C36709"/>
    <w:rsid w:val="00C36B72"/>
    <w:rsid w:val="00C378A6"/>
    <w:rsid w:val="00C40C64"/>
    <w:rsid w:val="00C42664"/>
    <w:rsid w:val="00C4331F"/>
    <w:rsid w:val="00C439DC"/>
    <w:rsid w:val="00C43C83"/>
    <w:rsid w:val="00C44462"/>
    <w:rsid w:val="00C44A12"/>
    <w:rsid w:val="00C44FB0"/>
    <w:rsid w:val="00C46260"/>
    <w:rsid w:val="00C46B99"/>
    <w:rsid w:val="00C47713"/>
    <w:rsid w:val="00C502DE"/>
    <w:rsid w:val="00C51029"/>
    <w:rsid w:val="00C51B3B"/>
    <w:rsid w:val="00C52BCA"/>
    <w:rsid w:val="00C52C8C"/>
    <w:rsid w:val="00C52CAA"/>
    <w:rsid w:val="00C52F6C"/>
    <w:rsid w:val="00C52F7F"/>
    <w:rsid w:val="00C5301D"/>
    <w:rsid w:val="00C53C48"/>
    <w:rsid w:val="00C543EA"/>
    <w:rsid w:val="00C545CE"/>
    <w:rsid w:val="00C5508E"/>
    <w:rsid w:val="00C5643C"/>
    <w:rsid w:val="00C57B10"/>
    <w:rsid w:val="00C600BC"/>
    <w:rsid w:val="00C60573"/>
    <w:rsid w:val="00C60B9A"/>
    <w:rsid w:val="00C6157E"/>
    <w:rsid w:val="00C615D7"/>
    <w:rsid w:val="00C61851"/>
    <w:rsid w:val="00C6224A"/>
    <w:rsid w:val="00C63529"/>
    <w:rsid w:val="00C6428A"/>
    <w:rsid w:val="00C64379"/>
    <w:rsid w:val="00C65804"/>
    <w:rsid w:val="00C6732A"/>
    <w:rsid w:val="00C6767B"/>
    <w:rsid w:val="00C707D6"/>
    <w:rsid w:val="00C70D3B"/>
    <w:rsid w:val="00C71547"/>
    <w:rsid w:val="00C715B7"/>
    <w:rsid w:val="00C71D46"/>
    <w:rsid w:val="00C730EE"/>
    <w:rsid w:val="00C73AFC"/>
    <w:rsid w:val="00C74675"/>
    <w:rsid w:val="00C748B3"/>
    <w:rsid w:val="00C75EA6"/>
    <w:rsid w:val="00C76C82"/>
    <w:rsid w:val="00C76F87"/>
    <w:rsid w:val="00C7740E"/>
    <w:rsid w:val="00C77C43"/>
    <w:rsid w:val="00C803FA"/>
    <w:rsid w:val="00C80939"/>
    <w:rsid w:val="00C80A89"/>
    <w:rsid w:val="00C816CB"/>
    <w:rsid w:val="00C81A4B"/>
    <w:rsid w:val="00C81CF9"/>
    <w:rsid w:val="00C82F79"/>
    <w:rsid w:val="00C831FD"/>
    <w:rsid w:val="00C84C5B"/>
    <w:rsid w:val="00C84DB3"/>
    <w:rsid w:val="00C85C73"/>
    <w:rsid w:val="00C86FE5"/>
    <w:rsid w:val="00C872D1"/>
    <w:rsid w:val="00C87373"/>
    <w:rsid w:val="00C87D3D"/>
    <w:rsid w:val="00C87ED2"/>
    <w:rsid w:val="00C900F5"/>
    <w:rsid w:val="00C901D9"/>
    <w:rsid w:val="00C9031B"/>
    <w:rsid w:val="00C9152F"/>
    <w:rsid w:val="00C9165A"/>
    <w:rsid w:val="00C91E1E"/>
    <w:rsid w:val="00C9246F"/>
    <w:rsid w:val="00C92C5E"/>
    <w:rsid w:val="00C93689"/>
    <w:rsid w:val="00C9432F"/>
    <w:rsid w:val="00C94495"/>
    <w:rsid w:val="00C94F1B"/>
    <w:rsid w:val="00C94FC1"/>
    <w:rsid w:val="00C95D3F"/>
    <w:rsid w:val="00C95E89"/>
    <w:rsid w:val="00C9673D"/>
    <w:rsid w:val="00C96D13"/>
    <w:rsid w:val="00C97012"/>
    <w:rsid w:val="00C9765D"/>
    <w:rsid w:val="00C976F3"/>
    <w:rsid w:val="00C97A24"/>
    <w:rsid w:val="00CA02A2"/>
    <w:rsid w:val="00CA054A"/>
    <w:rsid w:val="00CA0B8B"/>
    <w:rsid w:val="00CA1C85"/>
    <w:rsid w:val="00CA25B8"/>
    <w:rsid w:val="00CA390B"/>
    <w:rsid w:val="00CA3A6A"/>
    <w:rsid w:val="00CA3DAB"/>
    <w:rsid w:val="00CA3DF2"/>
    <w:rsid w:val="00CA5EFF"/>
    <w:rsid w:val="00CA61D9"/>
    <w:rsid w:val="00CA6807"/>
    <w:rsid w:val="00CA6BF4"/>
    <w:rsid w:val="00CA6D89"/>
    <w:rsid w:val="00CA741E"/>
    <w:rsid w:val="00CA79F1"/>
    <w:rsid w:val="00CB1868"/>
    <w:rsid w:val="00CB1AF6"/>
    <w:rsid w:val="00CB1C15"/>
    <w:rsid w:val="00CB1C27"/>
    <w:rsid w:val="00CB1CBE"/>
    <w:rsid w:val="00CB4490"/>
    <w:rsid w:val="00CB530B"/>
    <w:rsid w:val="00CB5FFE"/>
    <w:rsid w:val="00CB6545"/>
    <w:rsid w:val="00CC01F4"/>
    <w:rsid w:val="00CC035A"/>
    <w:rsid w:val="00CC09E1"/>
    <w:rsid w:val="00CC0D6D"/>
    <w:rsid w:val="00CC1B6E"/>
    <w:rsid w:val="00CC1DF6"/>
    <w:rsid w:val="00CC1EF2"/>
    <w:rsid w:val="00CC2B78"/>
    <w:rsid w:val="00CC31D9"/>
    <w:rsid w:val="00CC3214"/>
    <w:rsid w:val="00CC353C"/>
    <w:rsid w:val="00CC4641"/>
    <w:rsid w:val="00CC5CC1"/>
    <w:rsid w:val="00CC6728"/>
    <w:rsid w:val="00CD05F9"/>
    <w:rsid w:val="00CD185D"/>
    <w:rsid w:val="00CD234E"/>
    <w:rsid w:val="00CD3506"/>
    <w:rsid w:val="00CD41CE"/>
    <w:rsid w:val="00CD4380"/>
    <w:rsid w:val="00CD441F"/>
    <w:rsid w:val="00CD4520"/>
    <w:rsid w:val="00CD45EC"/>
    <w:rsid w:val="00CD4650"/>
    <w:rsid w:val="00CD491D"/>
    <w:rsid w:val="00CD5101"/>
    <w:rsid w:val="00CD5897"/>
    <w:rsid w:val="00CD6826"/>
    <w:rsid w:val="00CD6A8C"/>
    <w:rsid w:val="00CD6AF2"/>
    <w:rsid w:val="00CE0E55"/>
    <w:rsid w:val="00CE158E"/>
    <w:rsid w:val="00CE192B"/>
    <w:rsid w:val="00CE29BD"/>
    <w:rsid w:val="00CE2E59"/>
    <w:rsid w:val="00CE38A1"/>
    <w:rsid w:val="00CE40CD"/>
    <w:rsid w:val="00CE429C"/>
    <w:rsid w:val="00CE6117"/>
    <w:rsid w:val="00CE63E7"/>
    <w:rsid w:val="00CE6BB4"/>
    <w:rsid w:val="00CE6FA4"/>
    <w:rsid w:val="00CE749E"/>
    <w:rsid w:val="00CF1725"/>
    <w:rsid w:val="00CF1728"/>
    <w:rsid w:val="00CF1AEC"/>
    <w:rsid w:val="00CF25AD"/>
    <w:rsid w:val="00CF323F"/>
    <w:rsid w:val="00CF32B3"/>
    <w:rsid w:val="00CF3ED4"/>
    <w:rsid w:val="00CF447D"/>
    <w:rsid w:val="00CF5481"/>
    <w:rsid w:val="00CF5C24"/>
    <w:rsid w:val="00CF77C8"/>
    <w:rsid w:val="00D00527"/>
    <w:rsid w:val="00D00804"/>
    <w:rsid w:val="00D01FA2"/>
    <w:rsid w:val="00D022E1"/>
    <w:rsid w:val="00D02947"/>
    <w:rsid w:val="00D0391D"/>
    <w:rsid w:val="00D04465"/>
    <w:rsid w:val="00D060A2"/>
    <w:rsid w:val="00D06ABF"/>
    <w:rsid w:val="00D07252"/>
    <w:rsid w:val="00D1135F"/>
    <w:rsid w:val="00D1143F"/>
    <w:rsid w:val="00D11616"/>
    <w:rsid w:val="00D122E9"/>
    <w:rsid w:val="00D12553"/>
    <w:rsid w:val="00D14666"/>
    <w:rsid w:val="00D14703"/>
    <w:rsid w:val="00D15632"/>
    <w:rsid w:val="00D15932"/>
    <w:rsid w:val="00D15A7E"/>
    <w:rsid w:val="00D15E84"/>
    <w:rsid w:val="00D16462"/>
    <w:rsid w:val="00D166DC"/>
    <w:rsid w:val="00D16B12"/>
    <w:rsid w:val="00D170B0"/>
    <w:rsid w:val="00D17441"/>
    <w:rsid w:val="00D176FE"/>
    <w:rsid w:val="00D17738"/>
    <w:rsid w:val="00D17E9C"/>
    <w:rsid w:val="00D2092B"/>
    <w:rsid w:val="00D20B87"/>
    <w:rsid w:val="00D21004"/>
    <w:rsid w:val="00D211BD"/>
    <w:rsid w:val="00D21241"/>
    <w:rsid w:val="00D22FA2"/>
    <w:rsid w:val="00D23F4B"/>
    <w:rsid w:val="00D240A3"/>
    <w:rsid w:val="00D24CFD"/>
    <w:rsid w:val="00D2560B"/>
    <w:rsid w:val="00D27C5E"/>
    <w:rsid w:val="00D304FA"/>
    <w:rsid w:val="00D31388"/>
    <w:rsid w:val="00D316F2"/>
    <w:rsid w:val="00D3185B"/>
    <w:rsid w:val="00D3190D"/>
    <w:rsid w:val="00D32F8D"/>
    <w:rsid w:val="00D33740"/>
    <w:rsid w:val="00D33F95"/>
    <w:rsid w:val="00D35FCA"/>
    <w:rsid w:val="00D360F8"/>
    <w:rsid w:val="00D377C4"/>
    <w:rsid w:val="00D37C90"/>
    <w:rsid w:val="00D37EFF"/>
    <w:rsid w:val="00D40EAA"/>
    <w:rsid w:val="00D424B2"/>
    <w:rsid w:val="00D44055"/>
    <w:rsid w:val="00D44268"/>
    <w:rsid w:val="00D44561"/>
    <w:rsid w:val="00D44574"/>
    <w:rsid w:val="00D446DE"/>
    <w:rsid w:val="00D44B6A"/>
    <w:rsid w:val="00D44FC3"/>
    <w:rsid w:val="00D45007"/>
    <w:rsid w:val="00D453D2"/>
    <w:rsid w:val="00D45C0A"/>
    <w:rsid w:val="00D45C0E"/>
    <w:rsid w:val="00D475BA"/>
    <w:rsid w:val="00D478CE"/>
    <w:rsid w:val="00D50193"/>
    <w:rsid w:val="00D508FC"/>
    <w:rsid w:val="00D51045"/>
    <w:rsid w:val="00D51573"/>
    <w:rsid w:val="00D51A27"/>
    <w:rsid w:val="00D520AE"/>
    <w:rsid w:val="00D520E6"/>
    <w:rsid w:val="00D52376"/>
    <w:rsid w:val="00D52755"/>
    <w:rsid w:val="00D52FF9"/>
    <w:rsid w:val="00D53100"/>
    <w:rsid w:val="00D531E6"/>
    <w:rsid w:val="00D53AE8"/>
    <w:rsid w:val="00D543C4"/>
    <w:rsid w:val="00D5447C"/>
    <w:rsid w:val="00D56D34"/>
    <w:rsid w:val="00D575D0"/>
    <w:rsid w:val="00D57A07"/>
    <w:rsid w:val="00D607E7"/>
    <w:rsid w:val="00D60950"/>
    <w:rsid w:val="00D61242"/>
    <w:rsid w:val="00D6160C"/>
    <w:rsid w:val="00D63598"/>
    <w:rsid w:val="00D6363F"/>
    <w:rsid w:val="00D63CEA"/>
    <w:rsid w:val="00D64D42"/>
    <w:rsid w:val="00D64F47"/>
    <w:rsid w:val="00D66082"/>
    <w:rsid w:val="00D67A83"/>
    <w:rsid w:val="00D67E7B"/>
    <w:rsid w:val="00D7011D"/>
    <w:rsid w:val="00D7067E"/>
    <w:rsid w:val="00D7187F"/>
    <w:rsid w:val="00D74214"/>
    <w:rsid w:val="00D74915"/>
    <w:rsid w:val="00D75729"/>
    <w:rsid w:val="00D75F10"/>
    <w:rsid w:val="00D776E0"/>
    <w:rsid w:val="00D778C2"/>
    <w:rsid w:val="00D812DC"/>
    <w:rsid w:val="00D8164D"/>
    <w:rsid w:val="00D816C4"/>
    <w:rsid w:val="00D81BB2"/>
    <w:rsid w:val="00D8297E"/>
    <w:rsid w:val="00D82CEB"/>
    <w:rsid w:val="00D834F3"/>
    <w:rsid w:val="00D838E8"/>
    <w:rsid w:val="00D838F8"/>
    <w:rsid w:val="00D83917"/>
    <w:rsid w:val="00D83A87"/>
    <w:rsid w:val="00D8465F"/>
    <w:rsid w:val="00D84744"/>
    <w:rsid w:val="00D8476A"/>
    <w:rsid w:val="00D85313"/>
    <w:rsid w:val="00D8556B"/>
    <w:rsid w:val="00D85ECD"/>
    <w:rsid w:val="00D907C2"/>
    <w:rsid w:val="00D9095E"/>
    <w:rsid w:val="00D90B8A"/>
    <w:rsid w:val="00D911E9"/>
    <w:rsid w:val="00D9159B"/>
    <w:rsid w:val="00D9186E"/>
    <w:rsid w:val="00D91E53"/>
    <w:rsid w:val="00D9271A"/>
    <w:rsid w:val="00D92860"/>
    <w:rsid w:val="00D92BF4"/>
    <w:rsid w:val="00D948F4"/>
    <w:rsid w:val="00D95403"/>
    <w:rsid w:val="00D9714F"/>
    <w:rsid w:val="00D976FE"/>
    <w:rsid w:val="00D979EE"/>
    <w:rsid w:val="00DA0355"/>
    <w:rsid w:val="00DA092A"/>
    <w:rsid w:val="00DA09E0"/>
    <w:rsid w:val="00DA1560"/>
    <w:rsid w:val="00DA1CED"/>
    <w:rsid w:val="00DA20C6"/>
    <w:rsid w:val="00DA2A2A"/>
    <w:rsid w:val="00DA3164"/>
    <w:rsid w:val="00DA3478"/>
    <w:rsid w:val="00DA3932"/>
    <w:rsid w:val="00DA3DBD"/>
    <w:rsid w:val="00DA3DFF"/>
    <w:rsid w:val="00DA423B"/>
    <w:rsid w:val="00DA4448"/>
    <w:rsid w:val="00DA4584"/>
    <w:rsid w:val="00DA4C26"/>
    <w:rsid w:val="00DA4F5D"/>
    <w:rsid w:val="00DA53B2"/>
    <w:rsid w:val="00DA546C"/>
    <w:rsid w:val="00DA6EB3"/>
    <w:rsid w:val="00DA7E63"/>
    <w:rsid w:val="00DB09B9"/>
    <w:rsid w:val="00DB09D7"/>
    <w:rsid w:val="00DB0CD7"/>
    <w:rsid w:val="00DB1221"/>
    <w:rsid w:val="00DB1BF5"/>
    <w:rsid w:val="00DB2C40"/>
    <w:rsid w:val="00DB38F9"/>
    <w:rsid w:val="00DB3C6B"/>
    <w:rsid w:val="00DB3D56"/>
    <w:rsid w:val="00DB3DEC"/>
    <w:rsid w:val="00DB4993"/>
    <w:rsid w:val="00DB49D4"/>
    <w:rsid w:val="00DB4DD9"/>
    <w:rsid w:val="00DB570A"/>
    <w:rsid w:val="00DB60C9"/>
    <w:rsid w:val="00DB6B73"/>
    <w:rsid w:val="00DB70B4"/>
    <w:rsid w:val="00DC12B1"/>
    <w:rsid w:val="00DC1BAD"/>
    <w:rsid w:val="00DC1FE0"/>
    <w:rsid w:val="00DC2336"/>
    <w:rsid w:val="00DC240D"/>
    <w:rsid w:val="00DC3262"/>
    <w:rsid w:val="00DC3A01"/>
    <w:rsid w:val="00DC4BCA"/>
    <w:rsid w:val="00DC5391"/>
    <w:rsid w:val="00DC564C"/>
    <w:rsid w:val="00DC5F39"/>
    <w:rsid w:val="00DC5FEF"/>
    <w:rsid w:val="00DC7914"/>
    <w:rsid w:val="00DD11A4"/>
    <w:rsid w:val="00DD1A14"/>
    <w:rsid w:val="00DD1D23"/>
    <w:rsid w:val="00DD1E92"/>
    <w:rsid w:val="00DD2343"/>
    <w:rsid w:val="00DD2970"/>
    <w:rsid w:val="00DD39CC"/>
    <w:rsid w:val="00DD3D54"/>
    <w:rsid w:val="00DD3E68"/>
    <w:rsid w:val="00DD4C2F"/>
    <w:rsid w:val="00DD4E1F"/>
    <w:rsid w:val="00DD5185"/>
    <w:rsid w:val="00DD5B8E"/>
    <w:rsid w:val="00DD74CA"/>
    <w:rsid w:val="00DD7BEE"/>
    <w:rsid w:val="00DD7E0A"/>
    <w:rsid w:val="00DE02A7"/>
    <w:rsid w:val="00DE0786"/>
    <w:rsid w:val="00DE1DDF"/>
    <w:rsid w:val="00DE3944"/>
    <w:rsid w:val="00DE55A7"/>
    <w:rsid w:val="00DE5CAE"/>
    <w:rsid w:val="00DE690C"/>
    <w:rsid w:val="00DE6A84"/>
    <w:rsid w:val="00DE77CA"/>
    <w:rsid w:val="00DF0E9C"/>
    <w:rsid w:val="00DF170F"/>
    <w:rsid w:val="00DF1876"/>
    <w:rsid w:val="00DF1EFD"/>
    <w:rsid w:val="00DF2C5C"/>
    <w:rsid w:val="00DF2C64"/>
    <w:rsid w:val="00DF2DCC"/>
    <w:rsid w:val="00DF326B"/>
    <w:rsid w:val="00DF588E"/>
    <w:rsid w:val="00DF5C07"/>
    <w:rsid w:val="00DF5ED1"/>
    <w:rsid w:val="00DF6F67"/>
    <w:rsid w:val="00DF6F9F"/>
    <w:rsid w:val="00DF71E3"/>
    <w:rsid w:val="00E00AC4"/>
    <w:rsid w:val="00E016BE"/>
    <w:rsid w:val="00E02142"/>
    <w:rsid w:val="00E024CD"/>
    <w:rsid w:val="00E029C0"/>
    <w:rsid w:val="00E02BC8"/>
    <w:rsid w:val="00E0369C"/>
    <w:rsid w:val="00E038B7"/>
    <w:rsid w:val="00E03FC7"/>
    <w:rsid w:val="00E040A4"/>
    <w:rsid w:val="00E062ED"/>
    <w:rsid w:val="00E066A0"/>
    <w:rsid w:val="00E100AD"/>
    <w:rsid w:val="00E10997"/>
    <w:rsid w:val="00E12AB9"/>
    <w:rsid w:val="00E12E01"/>
    <w:rsid w:val="00E12E83"/>
    <w:rsid w:val="00E12F2E"/>
    <w:rsid w:val="00E13F1A"/>
    <w:rsid w:val="00E143A7"/>
    <w:rsid w:val="00E1455D"/>
    <w:rsid w:val="00E1468A"/>
    <w:rsid w:val="00E153A8"/>
    <w:rsid w:val="00E15464"/>
    <w:rsid w:val="00E158F6"/>
    <w:rsid w:val="00E15B87"/>
    <w:rsid w:val="00E16072"/>
    <w:rsid w:val="00E16393"/>
    <w:rsid w:val="00E16D6E"/>
    <w:rsid w:val="00E171CA"/>
    <w:rsid w:val="00E17A08"/>
    <w:rsid w:val="00E17D12"/>
    <w:rsid w:val="00E20121"/>
    <w:rsid w:val="00E20E93"/>
    <w:rsid w:val="00E20F16"/>
    <w:rsid w:val="00E21107"/>
    <w:rsid w:val="00E21127"/>
    <w:rsid w:val="00E21167"/>
    <w:rsid w:val="00E211D4"/>
    <w:rsid w:val="00E22ACB"/>
    <w:rsid w:val="00E240AD"/>
    <w:rsid w:val="00E24898"/>
    <w:rsid w:val="00E24FC3"/>
    <w:rsid w:val="00E2599C"/>
    <w:rsid w:val="00E265A8"/>
    <w:rsid w:val="00E26FE6"/>
    <w:rsid w:val="00E2747C"/>
    <w:rsid w:val="00E3028F"/>
    <w:rsid w:val="00E309EC"/>
    <w:rsid w:val="00E31EF0"/>
    <w:rsid w:val="00E3344B"/>
    <w:rsid w:val="00E33DA4"/>
    <w:rsid w:val="00E33FBB"/>
    <w:rsid w:val="00E34D78"/>
    <w:rsid w:val="00E34E95"/>
    <w:rsid w:val="00E354BA"/>
    <w:rsid w:val="00E35B41"/>
    <w:rsid w:val="00E35ED8"/>
    <w:rsid w:val="00E36581"/>
    <w:rsid w:val="00E36747"/>
    <w:rsid w:val="00E40249"/>
    <w:rsid w:val="00E40BAD"/>
    <w:rsid w:val="00E41ACA"/>
    <w:rsid w:val="00E42011"/>
    <w:rsid w:val="00E427FA"/>
    <w:rsid w:val="00E43B22"/>
    <w:rsid w:val="00E448B5"/>
    <w:rsid w:val="00E44ABC"/>
    <w:rsid w:val="00E4588D"/>
    <w:rsid w:val="00E45DE9"/>
    <w:rsid w:val="00E461F6"/>
    <w:rsid w:val="00E463A2"/>
    <w:rsid w:val="00E46B20"/>
    <w:rsid w:val="00E477B1"/>
    <w:rsid w:val="00E47EEF"/>
    <w:rsid w:val="00E5037B"/>
    <w:rsid w:val="00E5118D"/>
    <w:rsid w:val="00E518AD"/>
    <w:rsid w:val="00E51DD3"/>
    <w:rsid w:val="00E51F0B"/>
    <w:rsid w:val="00E52858"/>
    <w:rsid w:val="00E536B4"/>
    <w:rsid w:val="00E53AC0"/>
    <w:rsid w:val="00E53DB9"/>
    <w:rsid w:val="00E545BF"/>
    <w:rsid w:val="00E549F3"/>
    <w:rsid w:val="00E555CE"/>
    <w:rsid w:val="00E56326"/>
    <w:rsid w:val="00E5704A"/>
    <w:rsid w:val="00E5739A"/>
    <w:rsid w:val="00E575AB"/>
    <w:rsid w:val="00E60820"/>
    <w:rsid w:val="00E60C99"/>
    <w:rsid w:val="00E61D8D"/>
    <w:rsid w:val="00E6250D"/>
    <w:rsid w:val="00E62B63"/>
    <w:rsid w:val="00E62FCE"/>
    <w:rsid w:val="00E635C7"/>
    <w:rsid w:val="00E6372C"/>
    <w:rsid w:val="00E63837"/>
    <w:rsid w:val="00E6725E"/>
    <w:rsid w:val="00E70042"/>
    <w:rsid w:val="00E70506"/>
    <w:rsid w:val="00E70FD2"/>
    <w:rsid w:val="00E72470"/>
    <w:rsid w:val="00E72A5E"/>
    <w:rsid w:val="00E72FA7"/>
    <w:rsid w:val="00E735ED"/>
    <w:rsid w:val="00E750DC"/>
    <w:rsid w:val="00E7528E"/>
    <w:rsid w:val="00E752E6"/>
    <w:rsid w:val="00E75804"/>
    <w:rsid w:val="00E761D5"/>
    <w:rsid w:val="00E763E3"/>
    <w:rsid w:val="00E76432"/>
    <w:rsid w:val="00E76986"/>
    <w:rsid w:val="00E76C0A"/>
    <w:rsid w:val="00E77D47"/>
    <w:rsid w:val="00E804B0"/>
    <w:rsid w:val="00E80AD6"/>
    <w:rsid w:val="00E821E9"/>
    <w:rsid w:val="00E83381"/>
    <w:rsid w:val="00E840FB"/>
    <w:rsid w:val="00E852C4"/>
    <w:rsid w:val="00E85512"/>
    <w:rsid w:val="00E859D9"/>
    <w:rsid w:val="00E86396"/>
    <w:rsid w:val="00E90174"/>
    <w:rsid w:val="00E90187"/>
    <w:rsid w:val="00E90389"/>
    <w:rsid w:val="00E907BD"/>
    <w:rsid w:val="00E90F37"/>
    <w:rsid w:val="00E914B9"/>
    <w:rsid w:val="00E91AC9"/>
    <w:rsid w:val="00E92DF5"/>
    <w:rsid w:val="00E95ADB"/>
    <w:rsid w:val="00E978CE"/>
    <w:rsid w:val="00E97BA8"/>
    <w:rsid w:val="00EA029E"/>
    <w:rsid w:val="00EA037D"/>
    <w:rsid w:val="00EA0574"/>
    <w:rsid w:val="00EA0AC3"/>
    <w:rsid w:val="00EA2919"/>
    <w:rsid w:val="00EA2AC1"/>
    <w:rsid w:val="00EA2F4D"/>
    <w:rsid w:val="00EA4FA0"/>
    <w:rsid w:val="00EA6259"/>
    <w:rsid w:val="00EA640C"/>
    <w:rsid w:val="00EA7257"/>
    <w:rsid w:val="00EA7B07"/>
    <w:rsid w:val="00EB08AD"/>
    <w:rsid w:val="00EB1AFE"/>
    <w:rsid w:val="00EB2386"/>
    <w:rsid w:val="00EB260C"/>
    <w:rsid w:val="00EB2C36"/>
    <w:rsid w:val="00EB3158"/>
    <w:rsid w:val="00EB35FE"/>
    <w:rsid w:val="00EB4F42"/>
    <w:rsid w:val="00EB55E9"/>
    <w:rsid w:val="00EB59CB"/>
    <w:rsid w:val="00EB5D2F"/>
    <w:rsid w:val="00EB6BA2"/>
    <w:rsid w:val="00EB7BDB"/>
    <w:rsid w:val="00EB7EC1"/>
    <w:rsid w:val="00EC00F8"/>
    <w:rsid w:val="00EC0D36"/>
    <w:rsid w:val="00EC227A"/>
    <w:rsid w:val="00EC2973"/>
    <w:rsid w:val="00EC37EB"/>
    <w:rsid w:val="00EC3FDB"/>
    <w:rsid w:val="00EC459A"/>
    <w:rsid w:val="00EC48FE"/>
    <w:rsid w:val="00EC4BFC"/>
    <w:rsid w:val="00EC5B6B"/>
    <w:rsid w:val="00EC704E"/>
    <w:rsid w:val="00EC71A4"/>
    <w:rsid w:val="00EC7229"/>
    <w:rsid w:val="00EC74D1"/>
    <w:rsid w:val="00ED0143"/>
    <w:rsid w:val="00ED024A"/>
    <w:rsid w:val="00ED1060"/>
    <w:rsid w:val="00ED187F"/>
    <w:rsid w:val="00ED1B99"/>
    <w:rsid w:val="00ED2428"/>
    <w:rsid w:val="00ED2454"/>
    <w:rsid w:val="00ED26D3"/>
    <w:rsid w:val="00ED2733"/>
    <w:rsid w:val="00ED29C8"/>
    <w:rsid w:val="00ED2C6C"/>
    <w:rsid w:val="00ED3AA4"/>
    <w:rsid w:val="00ED3CD5"/>
    <w:rsid w:val="00ED406E"/>
    <w:rsid w:val="00ED4C24"/>
    <w:rsid w:val="00ED536B"/>
    <w:rsid w:val="00ED5C01"/>
    <w:rsid w:val="00ED62D4"/>
    <w:rsid w:val="00ED6FF2"/>
    <w:rsid w:val="00EE01C6"/>
    <w:rsid w:val="00EE0CE0"/>
    <w:rsid w:val="00EE1369"/>
    <w:rsid w:val="00EE17A5"/>
    <w:rsid w:val="00EE1F01"/>
    <w:rsid w:val="00EE29C3"/>
    <w:rsid w:val="00EE2BDE"/>
    <w:rsid w:val="00EE3A30"/>
    <w:rsid w:val="00EE48CD"/>
    <w:rsid w:val="00EE4DDA"/>
    <w:rsid w:val="00EE510E"/>
    <w:rsid w:val="00EE656F"/>
    <w:rsid w:val="00EE6D21"/>
    <w:rsid w:val="00EE7352"/>
    <w:rsid w:val="00EE7A53"/>
    <w:rsid w:val="00EF00B6"/>
    <w:rsid w:val="00EF07F2"/>
    <w:rsid w:val="00EF08ED"/>
    <w:rsid w:val="00EF0AF3"/>
    <w:rsid w:val="00EF0E5A"/>
    <w:rsid w:val="00EF112B"/>
    <w:rsid w:val="00EF1C5A"/>
    <w:rsid w:val="00EF1E49"/>
    <w:rsid w:val="00EF2701"/>
    <w:rsid w:val="00EF2C4C"/>
    <w:rsid w:val="00EF3B67"/>
    <w:rsid w:val="00EF4674"/>
    <w:rsid w:val="00EF53B6"/>
    <w:rsid w:val="00EF5C68"/>
    <w:rsid w:val="00EF5E97"/>
    <w:rsid w:val="00EF64E3"/>
    <w:rsid w:val="00EF6E86"/>
    <w:rsid w:val="00F001A8"/>
    <w:rsid w:val="00F00A8E"/>
    <w:rsid w:val="00F01266"/>
    <w:rsid w:val="00F023C1"/>
    <w:rsid w:val="00F02976"/>
    <w:rsid w:val="00F02AC4"/>
    <w:rsid w:val="00F03433"/>
    <w:rsid w:val="00F03C41"/>
    <w:rsid w:val="00F03FB1"/>
    <w:rsid w:val="00F04837"/>
    <w:rsid w:val="00F04BBC"/>
    <w:rsid w:val="00F05650"/>
    <w:rsid w:val="00F05B09"/>
    <w:rsid w:val="00F06849"/>
    <w:rsid w:val="00F06E99"/>
    <w:rsid w:val="00F07275"/>
    <w:rsid w:val="00F076B7"/>
    <w:rsid w:val="00F07A4A"/>
    <w:rsid w:val="00F106FF"/>
    <w:rsid w:val="00F1141F"/>
    <w:rsid w:val="00F11990"/>
    <w:rsid w:val="00F12F13"/>
    <w:rsid w:val="00F14AB7"/>
    <w:rsid w:val="00F14FFC"/>
    <w:rsid w:val="00F156DE"/>
    <w:rsid w:val="00F157CF"/>
    <w:rsid w:val="00F15905"/>
    <w:rsid w:val="00F15948"/>
    <w:rsid w:val="00F16437"/>
    <w:rsid w:val="00F1653D"/>
    <w:rsid w:val="00F16B01"/>
    <w:rsid w:val="00F16D0E"/>
    <w:rsid w:val="00F179BA"/>
    <w:rsid w:val="00F2019E"/>
    <w:rsid w:val="00F203B2"/>
    <w:rsid w:val="00F20A75"/>
    <w:rsid w:val="00F20D7E"/>
    <w:rsid w:val="00F21276"/>
    <w:rsid w:val="00F21352"/>
    <w:rsid w:val="00F21E45"/>
    <w:rsid w:val="00F22643"/>
    <w:rsid w:val="00F22A0F"/>
    <w:rsid w:val="00F2336B"/>
    <w:rsid w:val="00F2490C"/>
    <w:rsid w:val="00F26045"/>
    <w:rsid w:val="00F26381"/>
    <w:rsid w:val="00F272E9"/>
    <w:rsid w:val="00F279EA"/>
    <w:rsid w:val="00F27DBB"/>
    <w:rsid w:val="00F27F9A"/>
    <w:rsid w:val="00F31122"/>
    <w:rsid w:val="00F313AE"/>
    <w:rsid w:val="00F326F9"/>
    <w:rsid w:val="00F32724"/>
    <w:rsid w:val="00F34F66"/>
    <w:rsid w:val="00F355E3"/>
    <w:rsid w:val="00F35C21"/>
    <w:rsid w:val="00F35ED0"/>
    <w:rsid w:val="00F37172"/>
    <w:rsid w:val="00F408C9"/>
    <w:rsid w:val="00F41201"/>
    <w:rsid w:val="00F415CB"/>
    <w:rsid w:val="00F42217"/>
    <w:rsid w:val="00F429D6"/>
    <w:rsid w:val="00F42BE5"/>
    <w:rsid w:val="00F42C7F"/>
    <w:rsid w:val="00F42D93"/>
    <w:rsid w:val="00F44AA0"/>
    <w:rsid w:val="00F44DC7"/>
    <w:rsid w:val="00F44EAE"/>
    <w:rsid w:val="00F4523C"/>
    <w:rsid w:val="00F46076"/>
    <w:rsid w:val="00F47910"/>
    <w:rsid w:val="00F47C06"/>
    <w:rsid w:val="00F50046"/>
    <w:rsid w:val="00F50864"/>
    <w:rsid w:val="00F50FFF"/>
    <w:rsid w:val="00F516D9"/>
    <w:rsid w:val="00F52702"/>
    <w:rsid w:val="00F52B23"/>
    <w:rsid w:val="00F52E45"/>
    <w:rsid w:val="00F533DE"/>
    <w:rsid w:val="00F53769"/>
    <w:rsid w:val="00F54042"/>
    <w:rsid w:val="00F54AF8"/>
    <w:rsid w:val="00F558AC"/>
    <w:rsid w:val="00F56C9E"/>
    <w:rsid w:val="00F56F23"/>
    <w:rsid w:val="00F57623"/>
    <w:rsid w:val="00F57B8E"/>
    <w:rsid w:val="00F57CF9"/>
    <w:rsid w:val="00F60885"/>
    <w:rsid w:val="00F60A83"/>
    <w:rsid w:val="00F6112E"/>
    <w:rsid w:val="00F61384"/>
    <w:rsid w:val="00F61647"/>
    <w:rsid w:val="00F617E8"/>
    <w:rsid w:val="00F62126"/>
    <w:rsid w:val="00F62F19"/>
    <w:rsid w:val="00F63401"/>
    <w:rsid w:val="00F63B16"/>
    <w:rsid w:val="00F64C12"/>
    <w:rsid w:val="00F64D17"/>
    <w:rsid w:val="00F6519A"/>
    <w:rsid w:val="00F65EA6"/>
    <w:rsid w:val="00F701D2"/>
    <w:rsid w:val="00F70ED4"/>
    <w:rsid w:val="00F7162E"/>
    <w:rsid w:val="00F71E57"/>
    <w:rsid w:val="00F720C4"/>
    <w:rsid w:val="00F72C02"/>
    <w:rsid w:val="00F72EED"/>
    <w:rsid w:val="00F73094"/>
    <w:rsid w:val="00F732B4"/>
    <w:rsid w:val="00F74363"/>
    <w:rsid w:val="00F74EA8"/>
    <w:rsid w:val="00F751F1"/>
    <w:rsid w:val="00F755DA"/>
    <w:rsid w:val="00F761F8"/>
    <w:rsid w:val="00F762EA"/>
    <w:rsid w:val="00F76BC5"/>
    <w:rsid w:val="00F76D01"/>
    <w:rsid w:val="00F80537"/>
    <w:rsid w:val="00F81091"/>
    <w:rsid w:val="00F813A0"/>
    <w:rsid w:val="00F81A08"/>
    <w:rsid w:val="00F81F5B"/>
    <w:rsid w:val="00F82DEA"/>
    <w:rsid w:val="00F8303B"/>
    <w:rsid w:val="00F83D99"/>
    <w:rsid w:val="00F83FF8"/>
    <w:rsid w:val="00F840A4"/>
    <w:rsid w:val="00F84232"/>
    <w:rsid w:val="00F84369"/>
    <w:rsid w:val="00F8437E"/>
    <w:rsid w:val="00F848C5"/>
    <w:rsid w:val="00F84D6E"/>
    <w:rsid w:val="00F85507"/>
    <w:rsid w:val="00F864D2"/>
    <w:rsid w:val="00F86F06"/>
    <w:rsid w:val="00F870AA"/>
    <w:rsid w:val="00F873B0"/>
    <w:rsid w:val="00F8771F"/>
    <w:rsid w:val="00F87F21"/>
    <w:rsid w:val="00F87F91"/>
    <w:rsid w:val="00F90042"/>
    <w:rsid w:val="00F9065B"/>
    <w:rsid w:val="00F90A08"/>
    <w:rsid w:val="00F9217F"/>
    <w:rsid w:val="00F92651"/>
    <w:rsid w:val="00F92992"/>
    <w:rsid w:val="00F92A3F"/>
    <w:rsid w:val="00F93598"/>
    <w:rsid w:val="00F937C3"/>
    <w:rsid w:val="00F939EB"/>
    <w:rsid w:val="00F93AE1"/>
    <w:rsid w:val="00F93EA5"/>
    <w:rsid w:val="00F93FA2"/>
    <w:rsid w:val="00F94762"/>
    <w:rsid w:val="00F948E9"/>
    <w:rsid w:val="00F95056"/>
    <w:rsid w:val="00F95414"/>
    <w:rsid w:val="00F95700"/>
    <w:rsid w:val="00F96473"/>
    <w:rsid w:val="00F971FF"/>
    <w:rsid w:val="00F9752F"/>
    <w:rsid w:val="00F976DA"/>
    <w:rsid w:val="00F97FE6"/>
    <w:rsid w:val="00FA109E"/>
    <w:rsid w:val="00FA2257"/>
    <w:rsid w:val="00FA33AA"/>
    <w:rsid w:val="00FA446E"/>
    <w:rsid w:val="00FA44B4"/>
    <w:rsid w:val="00FA4D34"/>
    <w:rsid w:val="00FA5E3F"/>
    <w:rsid w:val="00FA6584"/>
    <w:rsid w:val="00FA76CB"/>
    <w:rsid w:val="00FA7762"/>
    <w:rsid w:val="00FB035C"/>
    <w:rsid w:val="00FB071D"/>
    <w:rsid w:val="00FB07D6"/>
    <w:rsid w:val="00FB0B3A"/>
    <w:rsid w:val="00FB0B41"/>
    <w:rsid w:val="00FB2E0C"/>
    <w:rsid w:val="00FB2E7B"/>
    <w:rsid w:val="00FB3054"/>
    <w:rsid w:val="00FB392B"/>
    <w:rsid w:val="00FB3E44"/>
    <w:rsid w:val="00FB4597"/>
    <w:rsid w:val="00FB4CDC"/>
    <w:rsid w:val="00FC091B"/>
    <w:rsid w:val="00FC0A45"/>
    <w:rsid w:val="00FC1892"/>
    <w:rsid w:val="00FC2F00"/>
    <w:rsid w:val="00FC440D"/>
    <w:rsid w:val="00FC44C3"/>
    <w:rsid w:val="00FC574F"/>
    <w:rsid w:val="00FC5F7E"/>
    <w:rsid w:val="00FC7A82"/>
    <w:rsid w:val="00FD0B1A"/>
    <w:rsid w:val="00FD1FEA"/>
    <w:rsid w:val="00FD26D3"/>
    <w:rsid w:val="00FD2E1E"/>
    <w:rsid w:val="00FD397A"/>
    <w:rsid w:val="00FD458E"/>
    <w:rsid w:val="00FD5746"/>
    <w:rsid w:val="00FD5869"/>
    <w:rsid w:val="00FD5B8B"/>
    <w:rsid w:val="00FD5BC0"/>
    <w:rsid w:val="00FD5D9B"/>
    <w:rsid w:val="00FD6911"/>
    <w:rsid w:val="00FE0B61"/>
    <w:rsid w:val="00FE167F"/>
    <w:rsid w:val="00FE1774"/>
    <w:rsid w:val="00FE228A"/>
    <w:rsid w:val="00FE24BF"/>
    <w:rsid w:val="00FE2F79"/>
    <w:rsid w:val="00FE401C"/>
    <w:rsid w:val="00FE4A21"/>
    <w:rsid w:val="00FE4CD2"/>
    <w:rsid w:val="00FE583E"/>
    <w:rsid w:val="00FE584F"/>
    <w:rsid w:val="00FE5C1D"/>
    <w:rsid w:val="00FE687B"/>
    <w:rsid w:val="00FE6A20"/>
    <w:rsid w:val="00FE7A9C"/>
    <w:rsid w:val="00FF072F"/>
    <w:rsid w:val="00FF08F0"/>
    <w:rsid w:val="00FF0A72"/>
    <w:rsid w:val="00FF1232"/>
    <w:rsid w:val="00FF128E"/>
    <w:rsid w:val="00FF155C"/>
    <w:rsid w:val="00FF52E4"/>
    <w:rsid w:val="00FF692B"/>
    <w:rsid w:val="00FF69CC"/>
    <w:rsid w:val="00FF6C58"/>
    <w:rsid w:val="00FF79BF"/>
    <w:rsid w:val="039A1D68"/>
    <w:rsid w:val="05B0CF99"/>
    <w:rsid w:val="0700B561"/>
    <w:rsid w:val="07296DAA"/>
    <w:rsid w:val="0880183B"/>
    <w:rsid w:val="09022D5C"/>
    <w:rsid w:val="09C6EE58"/>
    <w:rsid w:val="0D47DD47"/>
    <w:rsid w:val="0EB433DE"/>
    <w:rsid w:val="1108D61C"/>
    <w:rsid w:val="13AFF24A"/>
    <w:rsid w:val="15AD44E2"/>
    <w:rsid w:val="16DD0639"/>
    <w:rsid w:val="178E2569"/>
    <w:rsid w:val="17CB2FF0"/>
    <w:rsid w:val="182D5A45"/>
    <w:rsid w:val="1A8AEE87"/>
    <w:rsid w:val="1BF4BABF"/>
    <w:rsid w:val="21F07886"/>
    <w:rsid w:val="22392A4F"/>
    <w:rsid w:val="22DCC078"/>
    <w:rsid w:val="23A00A1A"/>
    <w:rsid w:val="2687228D"/>
    <w:rsid w:val="28FBF0DF"/>
    <w:rsid w:val="2CAAC832"/>
    <w:rsid w:val="2D35CA73"/>
    <w:rsid w:val="2E609049"/>
    <w:rsid w:val="2FDD6083"/>
    <w:rsid w:val="33A46BA7"/>
    <w:rsid w:val="349764A4"/>
    <w:rsid w:val="37DA7E2E"/>
    <w:rsid w:val="37EA6874"/>
    <w:rsid w:val="384B02B5"/>
    <w:rsid w:val="40115D64"/>
    <w:rsid w:val="431FFE4C"/>
    <w:rsid w:val="44BD9834"/>
    <w:rsid w:val="45C1530C"/>
    <w:rsid w:val="4657E41C"/>
    <w:rsid w:val="465B7559"/>
    <w:rsid w:val="48E20F5D"/>
    <w:rsid w:val="4BE511AE"/>
    <w:rsid w:val="4C233996"/>
    <w:rsid w:val="4E7AE4DF"/>
    <w:rsid w:val="4F5CA3C8"/>
    <w:rsid w:val="4F6251F8"/>
    <w:rsid w:val="4FCAF0C6"/>
    <w:rsid w:val="5022FA3C"/>
    <w:rsid w:val="5028D29F"/>
    <w:rsid w:val="5189F041"/>
    <w:rsid w:val="533AC3F8"/>
    <w:rsid w:val="563D2CF8"/>
    <w:rsid w:val="5658003D"/>
    <w:rsid w:val="596792DD"/>
    <w:rsid w:val="5A4DC49D"/>
    <w:rsid w:val="5DB06CB3"/>
    <w:rsid w:val="62D54739"/>
    <w:rsid w:val="6306CADF"/>
    <w:rsid w:val="6328729A"/>
    <w:rsid w:val="6686A4B7"/>
    <w:rsid w:val="6BCCC69A"/>
    <w:rsid w:val="6C5177C8"/>
    <w:rsid w:val="6CD9A6E6"/>
    <w:rsid w:val="6E8F3BCA"/>
    <w:rsid w:val="6ECF611C"/>
    <w:rsid w:val="715320F3"/>
    <w:rsid w:val="71D0F2F1"/>
    <w:rsid w:val="72AA9818"/>
    <w:rsid w:val="737548E7"/>
    <w:rsid w:val="7512E52B"/>
    <w:rsid w:val="75554507"/>
    <w:rsid w:val="755AD7CB"/>
    <w:rsid w:val="7591C98E"/>
    <w:rsid w:val="7F27B345"/>
    <w:rsid w:val="7FF0B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B5950C"/>
  <w15:chartTrackingRefBased/>
  <w15:docId w15:val="{2596DD3A-1C2B-44BE-8C49-0B5BF2DE3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E38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38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38A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8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38A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38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38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38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38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8A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E38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E38A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8A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38A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38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38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38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38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38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38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38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38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38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38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38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38A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38A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38A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38A1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E38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8A1"/>
  </w:style>
  <w:style w:type="paragraph" w:styleId="Footer">
    <w:name w:val="footer"/>
    <w:basedOn w:val="Normal"/>
    <w:link w:val="FooterChar"/>
    <w:uiPriority w:val="99"/>
    <w:unhideWhenUsed/>
    <w:rsid w:val="00CE38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8A1"/>
  </w:style>
  <w:style w:type="paragraph" w:styleId="NoSpacing">
    <w:name w:val="No Spacing"/>
    <w:link w:val="NoSpacingChar"/>
    <w:uiPriority w:val="1"/>
    <w:qFormat/>
    <w:rsid w:val="00CE38A1"/>
    <w:pPr>
      <w:spacing w:after="0" w:line="240" w:lineRule="auto"/>
    </w:pPr>
    <w:rPr>
      <w:rFonts w:eastAsiaTheme="minorEastAsia"/>
      <w:kern w:val="0"/>
      <w:lang w:eastAsia="pt-PT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E38A1"/>
    <w:rPr>
      <w:rFonts w:eastAsiaTheme="minorEastAsia"/>
      <w:kern w:val="0"/>
      <w:lang w:eastAsia="pt-PT"/>
      <w14:ligatures w14:val="none"/>
    </w:rPr>
  </w:style>
  <w:style w:type="paragraph" w:styleId="BodyText">
    <w:name w:val="Body Text"/>
    <w:basedOn w:val="Normal"/>
    <w:link w:val="BodyTextChar"/>
    <w:rsid w:val="00CE38A1"/>
    <w:pPr>
      <w:spacing w:after="120" w:line="240" w:lineRule="auto"/>
    </w:pPr>
    <w:rPr>
      <w:rFonts w:ascii="Neo Sans Std" w:eastAsia="Times New Roman" w:hAnsi="Neo Sans Std" w:cs="Times New Roman"/>
      <w:kern w:val="0"/>
      <w:sz w:val="20"/>
      <w:szCs w:val="2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CE38A1"/>
    <w:rPr>
      <w:rFonts w:ascii="Neo Sans Std" w:eastAsia="Times New Roman" w:hAnsi="Neo Sans Std" w:cs="Times New Roman"/>
      <w:kern w:val="0"/>
      <w:sz w:val="20"/>
      <w:szCs w:val="20"/>
      <w:lang w:val="en-US"/>
      <w14:ligatures w14:val="none"/>
    </w:rPr>
  </w:style>
  <w:style w:type="paragraph" w:customStyle="1" w:styleId="Corpo">
    <w:name w:val="Corpo"/>
    <w:basedOn w:val="Normal"/>
    <w:link w:val="CorpoChar"/>
    <w:qFormat/>
    <w:rsid w:val="006C18D8"/>
    <w:pPr>
      <w:spacing w:before="240" w:after="360"/>
      <w:ind w:left="-170" w:right="-437"/>
    </w:pPr>
    <w:rPr>
      <w:rFonts w:ascii="Calibri" w:hAnsi="Calibri"/>
      <w:sz w:val="24"/>
    </w:rPr>
  </w:style>
  <w:style w:type="character" w:customStyle="1" w:styleId="CorpoChar">
    <w:name w:val="Corpo Char"/>
    <w:basedOn w:val="DefaultParagraphFont"/>
    <w:link w:val="Corpo"/>
    <w:rsid w:val="006C18D8"/>
    <w:rPr>
      <w:rFonts w:ascii="Calibri" w:hAnsi="Calibri"/>
      <w:sz w:val="24"/>
    </w:rPr>
  </w:style>
  <w:style w:type="paragraph" w:customStyle="1" w:styleId="Ttulo11">
    <w:name w:val="Título 11"/>
    <w:basedOn w:val="Heading1"/>
    <w:link w:val="Ttulo1Char"/>
    <w:qFormat/>
    <w:rsid w:val="006C18D8"/>
    <w:pPr>
      <w:ind w:left="-284"/>
      <w:jc w:val="both"/>
    </w:pPr>
    <w:rPr>
      <w:rFonts w:ascii="Calibri" w:hAnsi="Calibri" w:cs="Calibri"/>
      <w:b/>
      <w:color w:val="000000" w:themeColor="text1"/>
      <w:sz w:val="32"/>
      <w:szCs w:val="32"/>
    </w:rPr>
  </w:style>
  <w:style w:type="character" w:customStyle="1" w:styleId="Ttulo1Char">
    <w:name w:val="Título 1 Char"/>
    <w:basedOn w:val="Heading1Char"/>
    <w:link w:val="Ttulo11"/>
    <w:rsid w:val="006C18D8"/>
    <w:rPr>
      <w:rFonts w:ascii="Calibri" w:eastAsiaTheme="majorEastAsia" w:hAnsi="Calibri" w:cs="Calibri"/>
      <w:b/>
      <w:color w:val="000000" w:themeColor="text1"/>
      <w:sz w:val="32"/>
      <w:szCs w:val="32"/>
    </w:rPr>
  </w:style>
  <w:style w:type="paragraph" w:customStyle="1" w:styleId="Ttulo21">
    <w:name w:val="Título 21"/>
    <w:basedOn w:val="Heading2"/>
    <w:link w:val="Ttulo2Char"/>
    <w:qFormat/>
    <w:rsid w:val="007951B1"/>
    <w:rPr>
      <w:rFonts w:ascii="Calibri" w:hAnsi="Calibri"/>
      <w:b/>
      <w:color w:val="000000" w:themeColor="text1"/>
      <w:sz w:val="28"/>
    </w:rPr>
  </w:style>
  <w:style w:type="character" w:customStyle="1" w:styleId="Ttulo2Char">
    <w:name w:val="Título 2 Char"/>
    <w:basedOn w:val="Heading2Char"/>
    <w:link w:val="Ttulo21"/>
    <w:rsid w:val="007951B1"/>
    <w:rPr>
      <w:rFonts w:ascii="Calibri" w:eastAsiaTheme="majorEastAsia" w:hAnsi="Calibri" w:cstheme="majorBidi"/>
      <w:b/>
      <w:color w:val="000000" w:themeColor="text1"/>
      <w:sz w:val="28"/>
      <w:szCs w:val="32"/>
    </w:rPr>
  </w:style>
  <w:style w:type="paragraph" w:customStyle="1" w:styleId="Ttulo31">
    <w:name w:val="Título 31"/>
    <w:basedOn w:val="Heading3"/>
    <w:link w:val="Ttulo3Char"/>
    <w:qFormat/>
    <w:rsid w:val="007951B1"/>
    <w:rPr>
      <w:rFonts w:ascii="Calibri" w:hAnsi="Calibri"/>
      <w:b/>
      <w:color w:val="000000" w:themeColor="text1"/>
      <w:sz w:val="24"/>
    </w:rPr>
  </w:style>
  <w:style w:type="character" w:customStyle="1" w:styleId="Ttulo3Char">
    <w:name w:val="Título 3 Char"/>
    <w:basedOn w:val="Ttulo2Char"/>
    <w:link w:val="Ttulo31"/>
    <w:rsid w:val="007951B1"/>
    <w:rPr>
      <w:rFonts w:ascii="Calibri" w:eastAsiaTheme="majorEastAsia" w:hAnsi="Calibri" w:cstheme="majorBidi"/>
      <w:b/>
      <w:color w:val="000000" w:themeColor="text1"/>
      <w:sz w:val="24"/>
      <w:szCs w:val="28"/>
    </w:rPr>
  </w:style>
  <w:style w:type="paragraph" w:styleId="NormalWeb">
    <w:name w:val="Normal (Web)"/>
    <w:basedOn w:val="Normal"/>
    <w:uiPriority w:val="99"/>
    <w:unhideWhenUsed/>
    <w:rsid w:val="007357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character" w:customStyle="1" w:styleId="apple-converted-space">
    <w:name w:val="apple-converted-space"/>
    <w:basedOn w:val="DefaultParagraphFont"/>
    <w:rsid w:val="00735745"/>
  </w:style>
  <w:style w:type="character" w:styleId="Strong">
    <w:name w:val="Strong"/>
    <w:basedOn w:val="DefaultParagraphFont"/>
    <w:uiPriority w:val="22"/>
    <w:qFormat/>
    <w:rsid w:val="00735745"/>
    <w:rPr>
      <w:b/>
      <w:bCs/>
    </w:rPr>
  </w:style>
  <w:style w:type="table" w:styleId="TableGrid">
    <w:name w:val="Table Grid"/>
    <w:basedOn w:val="TableNormal"/>
    <w:uiPriority w:val="39"/>
    <w:rsid w:val="000F2D5B"/>
    <w:pPr>
      <w:spacing w:after="0" w:line="240" w:lineRule="auto"/>
      <w:jc w:val="both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B6E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B6E0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B6E0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6E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6E0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D2970"/>
    <w:pPr>
      <w:spacing w:after="0" w:line="240" w:lineRule="auto"/>
    </w:pPr>
  </w:style>
  <w:style w:type="table" w:styleId="TableGridLight">
    <w:name w:val="Grid Table Light"/>
    <w:basedOn w:val="TableNormal"/>
    <w:uiPriority w:val="40"/>
    <w:rsid w:val="0098563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AD0C64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D0C6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D0C6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D0C64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635C7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015706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411E7"/>
    <w:rPr>
      <w:color w:val="66666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565B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565B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565B0"/>
    <w:rPr>
      <w:vertAlign w:val="superscript"/>
    </w:rPr>
  </w:style>
  <w:style w:type="table" w:styleId="ListTable3-Accent2">
    <w:name w:val="List Table 3 Accent 2"/>
    <w:basedOn w:val="TableNormal"/>
    <w:uiPriority w:val="48"/>
    <w:rsid w:val="004218B6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GridTable4-Accent2">
    <w:name w:val="Grid Table 4 Accent 2"/>
    <w:basedOn w:val="TableNormal"/>
    <w:uiPriority w:val="49"/>
    <w:rsid w:val="004218B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8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40b26f53-77c6-4f31-b474-1b6c0b689905">
      <Terms xmlns="http://schemas.microsoft.com/office/infopath/2007/PartnerControls"/>
    </lcf76f155ced4ddcb4097134ff3c332f>
    <TaxCatchAll xmlns="80d2f4e6-502b-474e-a807-4ab6ee726216" xsi:nil="true"/>
    <_ip_UnifiedCompliancePolicyProperties xmlns="http://schemas.microsoft.com/sharepoint/v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59A456467CD2488C78C1BFCAE50E3F" ma:contentTypeVersion="13" ma:contentTypeDescription="Create a new document." ma:contentTypeScope="" ma:versionID="b25bb3f0df9ee71d92b1834c6a10606c">
  <xsd:schema xmlns:xsd="http://www.w3.org/2001/XMLSchema" xmlns:xs="http://www.w3.org/2001/XMLSchema" xmlns:p="http://schemas.microsoft.com/office/2006/metadata/properties" xmlns:ns1="http://schemas.microsoft.com/sharepoint/v3" xmlns:ns2="40b26f53-77c6-4f31-b474-1b6c0b689905" xmlns:ns3="80d2f4e6-502b-474e-a807-4ab6ee726216" targetNamespace="http://schemas.microsoft.com/office/2006/metadata/properties" ma:root="true" ma:fieldsID="ca343687b318f9a175f768c12a5cc3d3" ns1:_="" ns2:_="" ns3:_="">
    <xsd:import namespace="http://schemas.microsoft.com/sharepoint/v3"/>
    <xsd:import namespace="40b26f53-77c6-4f31-b474-1b6c0b689905"/>
    <xsd:import namespace="80d2f4e6-502b-474e-a807-4ab6ee7262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1:_ip_UnifiedCompliancePolicyProperties" minOccurs="0"/>
                <xsd:element ref="ns1:_ip_UnifiedCompliancePolicyUIAction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b26f53-77c6-4f31-b474-1b6c0b6899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e471ada5-31db-43fa-8830-84ca9293ff4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d2f4e6-502b-474e-a807-4ab6ee726216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a157526b-579a-45f9-bcc4-84233a074825}" ma:internalName="TaxCatchAll" ma:showField="CatchAllData" ma:web="80d2f4e6-502b-474e-a807-4ab6ee72621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3F0932-5F82-48F1-B148-B729E49CC60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A2A7CBB-7370-4961-B83F-024E2D5E74D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0b26f53-77c6-4f31-b474-1b6c0b689905"/>
    <ds:schemaRef ds:uri="80d2f4e6-502b-474e-a807-4ab6ee726216"/>
  </ds:schemaRefs>
</ds:datastoreItem>
</file>

<file path=customXml/itemProps3.xml><?xml version="1.0" encoding="utf-8"?>
<ds:datastoreItem xmlns:ds="http://schemas.openxmlformats.org/officeDocument/2006/customXml" ds:itemID="{C055EAE2-E510-4F2B-AD7B-12600600649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D11873A-D072-42A8-A5CD-156CE5EA39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0b26f53-77c6-4f31-b474-1b6c0b689905"/>
    <ds:schemaRef ds:uri="80d2f4e6-502b-474e-a807-4ab6ee7262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16</Pages>
  <Words>4208</Words>
  <Characters>22728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mODELO DE GOverno</vt:lpstr>
    </vt:vector>
  </TitlesOfParts>
  <Company>Banco Santander Portugal</Company>
  <LinksUpToDate>false</LinksUpToDate>
  <CharactersWithSpaces>26883</CharactersWithSpaces>
  <SharedDoc>false</SharedDoc>
  <HLinks>
    <vt:vector size="84" baseType="variant">
      <vt:variant>
        <vt:i4>1376306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_Toc203673477</vt:lpwstr>
      </vt:variant>
      <vt:variant>
        <vt:i4>1376306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_Toc203673476</vt:lpwstr>
      </vt:variant>
      <vt:variant>
        <vt:i4>1376306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_Toc203673475</vt:lpwstr>
      </vt:variant>
      <vt:variant>
        <vt:i4>1376306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_Toc203673474</vt:lpwstr>
      </vt:variant>
      <vt:variant>
        <vt:i4>1376306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_Toc203673473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_Toc203673472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_Toc203673471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_Toc203673470</vt:lpwstr>
      </vt:variant>
      <vt:variant>
        <vt:i4>1310770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_Toc203673469</vt:lpwstr>
      </vt:variant>
      <vt:variant>
        <vt:i4>1310770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_Toc203673468</vt:lpwstr>
      </vt:variant>
      <vt:variant>
        <vt:i4>1310770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_Toc203673467</vt:lpwstr>
      </vt:variant>
      <vt:variant>
        <vt:i4>1310770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_Toc203673466</vt:lpwstr>
      </vt:variant>
      <vt:variant>
        <vt:i4>1310770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_Toc203673465</vt:lpwstr>
      </vt:variant>
      <vt:variant>
        <vt:i4>1310770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_Toc203673464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GOverno</dc:title>
  <dc:subject>FERRAMENTA GRANULAR DE REPORTE (FGR)</dc:subject>
  <dc:creator>Marta Rafaela Teixeira Nunes</dc:creator>
  <cp:keywords/>
  <dc:description/>
  <cp:lastModifiedBy>Joana Rita Bentinho Silva</cp:lastModifiedBy>
  <cp:revision>7</cp:revision>
  <dcterms:created xsi:type="dcterms:W3CDTF">2025-08-08T12:38:00Z</dcterms:created>
  <dcterms:modified xsi:type="dcterms:W3CDTF">2025-08-08T15:56:00Z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c2abd79-57a9-4473-8700-c843f76a1e37_Enabled">
    <vt:lpwstr>true</vt:lpwstr>
  </property>
  <property fmtid="{D5CDD505-2E9C-101B-9397-08002B2CF9AE}" pid="3" name="MSIP_Label_0c2abd79-57a9-4473-8700-c843f76a1e37_SetDate">
    <vt:lpwstr>2025-06-23T17:59:37Z</vt:lpwstr>
  </property>
  <property fmtid="{D5CDD505-2E9C-101B-9397-08002B2CF9AE}" pid="4" name="MSIP_Label_0c2abd79-57a9-4473-8700-c843f76a1e37_Method">
    <vt:lpwstr>Privileged</vt:lpwstr>
  </property>
  <property fmtid="{D5CDD505-2E9C-101B-9397-08002B2CF9AE}" pid="5" name="MSIP_Label_0c2abd79-57a9-4473-8700-c843f76a1e37_Name">
    <vt:lpwstr>Internal</vt:lpwstr>
  </property>
  <property fmtid="{D5CDD505-2E9C-101B-9397-08002B2CF9AE}" pid="6" name="MSIP_Label_0c2abd79-57a9-4473-8700-c843f76a1e37_SiteId">
    <vt:lpwstr>35595a02-4d6d-44ac-99e1-f9ab4cd872db</vt:lpwstr>
  </property>
  <property fmtid="{D5CDD505-2E9C-101B-9397-08002B2CF9AE}" pid="7" name="MSIP_Label_0c2abd79-57a9-4473-8700-c843f76a1e37_ActionId">
    <vt:lpwstr>822585aa-bf85-4270-9eaa-febb65c0f28c</vt:lpwstr>
  </property>
  <property fmtid="{D5CDD505-2E9C-101B-9397-08002B2CF9AE}" pid="8" name="MSIP_Label_0c2abd79-57a9-4473-8700-c843f76a1e37_ContentBits">
    <vt:lpwstr>0</vt:lpwstr>
  </property>
  <property fmtid="{D5CDD505-2E9C-101B-9397-08002B2CF9AE}" pid="9" name="MSIP_Label_0c2abd79-57a9-4473-8700-c843f76a1e37_Tag">
    <vt:lpwstr>10, 0, 1, 1</vt:lpwstr>
  </property>
  <property fmtid="{D5CDD505-2E9C-101B-9397-08002B2CF9AE}" pid="10" name="ContentTypeId">
    <vt:lpwstr>0x010100F359A456467CD2488C78C1BFCAE50E3F</vt:lpwstr>
  </property>
  <property fmtid="{D5CDD505-2E9C-101B-9397-08002B2CF9AE}" pid="11" name="MediaServiceImageTags">
    <vt:lpwstr/>
  </property>
</Properties>
</file>