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libri" w:hAnsi="Calibri" w:cs="Calibri"/>
          <w:color w:val="000000" w:themeColor="text1"/>
        </w:rPr>
        <w:id w:val="-845781641"/>
        <w:docPartObj>
          <w:docPartGallery w:val="Cover Pages"/>
          <w:docPartUnique/>
        </w:docPartObj>
      </w:sdtPr>
      <w:sdtEndPr/>
      <w:sdtContent>
        <w:p w14:paraId="0E8DEF39" w14:textId="4CA49C5C" w:rsidR="00CE38A1" w:rsidRPr="0000577A" w:rsidRDefault="00D33F95" w:rsidP="006069F1">
          <w:pPr>
            <w:spacing w:line="240" w:lineRule="auto"/>
            <w:jc w:val="both"/>
            <w:rPr>
              <w:rFonts w:ascii="Calibri" w:hAnsi="Calibri" w:cs="Calibri"/>
              <w:color w:val="000000" w:themeColor="text1"/>
            </w:rPr>
          </w:pPr>
          <w:r w:rsidRPr="0000577A">
            <w:rPr>
              <w:rFonts w:ascii="Calibri" w:hAnsi="Calibri" w:cs="Calibri"/>
              <w:noProof/>
              <w:color w:val="000000" w:themeColor="text1"/>
            </w:rPr>
            <w:drawing>
              <wp:anchor distT="0" distB="0" distL="114300" distR="114300" simplePos="0" relativeHeight="251659264" behindDoc="0" locked="0" layoutInCell="1" allowOverlap="1" wp14:anchorId="620F4C0A" wp14:editId="04C23A4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769110" cy="319405"/>
                <wp:effectExtent l="0" t="0" r="2540" b="4445"/>
                <wp:wrapSquare wrapText="bothSides"/>
                <wp:docPr id="200298666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9110" cy="31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ECFF598" w14:textId="2A41C2C8" w:rsidR="00CE38A1" w:rsidRPr="0000577A" w:rsidRDefault="00D33F95" w:rsidP="006069F1">
          <w:pPr>
            <w:spacing w:line="240" w:lineRule="auto"/>
            <w:jc w:val="both"/>
            <w:rPr>
              <w:rFonts w:ascii="Calibri" w:hAnsi="Calibri" w:cs="Calibri"/>
              <w:color w:val="000000" w:themeColor="text1"/>
            </w:rPr>
          </w:pPr>
          <w:r w:rsidRPr="0000577A">
            <w:rPr>
              <w:rFonts w:ascii="Calibri" w:hAnsi="Calibri" w:cs="Calibri"/>
              <w:noProof/>
              <w:color w:val="000000" w:themeColor="text1"/>
            </w:rPr>
            <mc:AlternateContent>
              <mc:Choice Requires="wps">
                <w:drawing>
                  <wp:anchor distT="45720" distB="45720" distL="114300" distR="114300" simplePos="0" relativeHeight="251657216" behindDoc="0" locked="0" layoutInCell="1" allowOverlap="1" wp14:anchorId="0A799393" wp14:editId="178EA9D4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3733800</wp:posOffset>
                    </wp:positionV>
                    <wp:extent cx="4857750" cy="1404620"/>
                    <wp:effectExtent l="19050" t="19050" r="19050" b="1206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577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C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80C34F" w14:textId="4EFDF971" w:rsidR="00D33F95" w:rsidRPr="00D33F95" w:rsidRDefault="00D33F95" w:rsidP="0092050A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r w:rsidRPr="00D33F95"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 xml:space="preserve">MODELO DE </w:t>
                                </w:r>
                                <w:r w:rsidR="00742659" w:rsidRPr="0092050A"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GOVERN</w:t>
                                </w:r>
                                <w:r w:rsidR="00CD04D8" w:rsidRPr="0092050A"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O</w:t>
                                </w:r>
                                <w:r w:rsidR="00861B72"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 xml:space="preserve"> OPERACIONAL</w:t>
                                </w:r>
                                <w:r w:rsidR="00FA66A4"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</w:p>
                              <w:p w14:paraId="54B2EAE9" w14:textId="0F2D8309" w:rsidR="00D33F95" w:rsidRPr="00CD04D8" w:rsidRDefault="0085536C">
                                <w:pPr>
                                  <w:rPr>
                                    <w:rFonts w:ascii="Calibri" w:hAnsi="Calibri" w:cs="Calibri"/>
                                    <w:sz w:val="40"/>
                                    <w:szCs w:val="40"/>
                                  </w:rPr>
                                </w:pPr>
                                <w:r w:rsidRPr="00CD04D8">
                                  <w:rPr>
                                    <w:rFonts w:ascii="Calibri" w:hAnsi="Calibri" w:cs="Calibri"/>
                                    <w:sz w:val="40"/>
                                    <w:szCs w:val="40"/>
                                  </w:rPr>
                                  <w:t xml:space="preserve">Processo de </w:t>
                                </w:r>
                                <w:proofErr w:type="spellStart"/>
                                <w:r w:rsidRPr="00CD04D8">
                                  <w:rPr>
                                    <w:rFonts w:ascii="Calibri" w:hAnsi="Calibri" w:cs="Calibri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Hedge</w:t>
                                </w:r>
                                <w:proofErr w:type="spellEnd"/>
                                <w:r w:rsidRPr="00CD04D8">
                                  <w:rPr>
                                    <w:rFonts w:ascii="Calibri" w:hAnsi="Calibri" w:cs="Calibri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spellStart"/>
                                <w:r w:rsidRPr="00CD04D8">
                                  <w:rPr>
                                    <w:rFonts w:ascii="Calibri" w:hAnsi="Calibri" w:cs="Calibri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Accounting</w:t>
                                </w:r>
                                <w:proofErr w:type="spellEnd"/>
                                <w:r w:rsidR="00CD04D8" w:rsidRPr="00CD04D8">
                                  <w:rPr>
                                    <w:rFonts w:ascii="Calibri" w:hAnsi="Calibri" w:cs="Calibri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="00CD04D8" w:rsidRPr="0092050A">
                                  <w:rPr>
                                    <w:rFonts w:ascii="Calibri" w:hAnsi="Calibri" w:cs="Calibri"/>
                                    <w:sz w:val="40"/>
                                    <w:szCs w:val="40"/>
                                  </w:rPr>
                                  <w:t>(Contabilidade de cobertura</w:t>
                                </w:r>
                                <w:r w:rsidR="00BF03C8" w:rsidRPr="0092050A">
                                  <w:rPr>
                                    <w:rFonts w:ascii="Calibri" w:hAnsi="Calibri" w:cs="Calibri"/>
                                    <w:sz w:val="40"/>
                                    <w:szCs w:val="40"/>
                                  </w:rPr>
                                  <w:t>)</w:t>
                                </w:r>
                              </w:p>
                              <w:p w14:paraId="6D200E72" w14:textId="3387B2D7" w:rsidR="00E6372C" w:rsidRPr="00877C38" w:rsidRDefault="00861B72">
                                <w:pPr>
                                  <w:rPr>
                                    <w:rFonts w:ascii="Calibri" w:hAnsi="Calibri" w:cs="Calibri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cs="Calibri"/>
                                    <w:color w:val="000000" w:themeColor="text1"/>
                                  </w:rPr>
                                  <w:t>Área de</w:t>
                                </w:r>
                                <w:r w:rsidR="0085536C" w:rsidRPr="00877C38">
                                  <w:rPr>
                                    <w:rFonts w:cs="Calibri"/>
                                    <w:color w:val="000000" w:themeColor="text1"/>
                                  </w:rPr>
                                  <w:t xml:space="preserve"> </w:t>
                                </w:r>
                                <w:r w:rsidR="00831230">
                                  <w:rPr>
                                    <w:rFonts w:cs="Calibri"/>
                                    <w:color w:val="000000" w:themeColor="text1"/>
                                  </w:rPr>
                                  <w:t>C</w:t>
                                </w:r>
                                <w:r w:rsidR="0085536C" w:rsidRPr="00877C38">
                                  <w:rPr>
                                    <w:rFonts w:cs="Calibri"/>
                                    <w:color w:val="000000" w:themeColor="text1"/>
                                  </w:rPr>
                                  <w:t>ontabilidade</w:t>
                                </w:r>
                                <w:r w:rsidR="00831230">
                                  <w:rPr>
                                    <w:rFonts w:cs="Calibri"/>
                                    <w:color w:val="000000" w:themeColor="text1"/>
                                  </w:rPr>
                                  <w:t xml:space="preserve"> </w:t>
                                </w:r>
                                <w:r w:rsidR="009E4682">
                                  <w:rPr>
                                    <w:rFonts w:cs="Calibri"/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A79939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0;margin-top:294pt;width:382.5pt;height:110.6pt;z-index:2516572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" strokecolor="#c00000" strokeweight="3pt">
                    <v:textbox style="mso-fit-shape-to-text:t">
                      <w:txbxContent>
                        <w:p w14:paraId="6F80C34F" w14:textId="4EFDF971" w:rsidR="00D33F95" w:rsidRPr="00D33F95" w:rsidRDefault="00D33F95" w:rsidP="0092050A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sz w:val="44"/>
                              <w:szCs w:val="44"/>
                            </w:rPr>
                          </w:pPr>
                          <w:r w:rsidRPr="00D33F95">
                            <w:rPr>
                              <w:rFonts w:ascii="Calibri" w:hAnsi="Calibri" w:cs="Calibri"/>
                              <w:b/>
                              <w:bCs/>
                              <w:sz w:val="44"/>
                              <w:szCs w:val="44"/>
                            </w:rPr>
                            <w:t xml:space="preserve">MODELO DE </w:t>
                          </w:r>
                          <w:r w:rsidR="00742659" w:rsidRPr="0092050A">
                            <w:rPr>
                              <w:rFonts w:ascii="Calibri" w:hAnsi="Calibri" w:cs="Calibri"/>
                              <w:b/>
                              <w:bCs/>
                              <w:sz w:val="44"/>
                              <w:szCs w:val="44"/>
                            </w:rPr>
                            <w:t>GOVERN</w:t>
                          </w:r>
                          <w:r w:rsidR="00CD04D8" w:rsidRPr="0092050A">
                            <w:rPr>
                              <w:rFonts w:ascii="Calibri" w:hAnsi="Calibri" w:cs="Calibri"/>
                              <w:b/>
                              <w:bCs/>
                              <w:sz w:val="44"/>
                              <w:szCs w:val="44"/>
                            </w:rPr>
                            <w:t>O</w:t>
                          </w:r>
                          <w:r w:rsidR="00861B72">
                            <w:rPr>
                              <w:rFonts w:ascii="Calibri" w:hAnsi="Calibri" w:cs="Calibri"/>
                              <w:b/>
                              <w:bCs/>
                              <w:sz w:val="44"/>
                              <w:szCs w:val="44"/>
                            </w:rPr>
                            <w:t xml:space="preserve"> OPERACIONAL</w:t>
                          </w:r>
                          <w:r w:rsidR="00FA66A4">
                            <w:rPr>
                              <w:rFonts w:ascii="Calibri" w:hAnsi="Calibri" w:cs="Calibri"/>
                              <w:b/>
                              <w:bCs/>
                              <w:sz w:val="44"/>
                              <w:szCs w:val="44"/>
                            </w:rPr>
                            <w:t xml:space="preserve"> </w:t>
                          </w:r>
                        </w:p>
                        <w:p w14:paraId="54B2EAE9" w14:textId="0F2D8309" w:rsidR="00D33F95" w:rsidRPr="00CD04D8" w:rsidRDefault="0085536C">
                          <w:pPr>
                            <w:rPr>
                              <w:rFonts w:ascii="Calibri" w:hAnsi="Calibri" w:cs="Calibri"/>
                              <w:sz w:val="40"/>
                              <w:szCs w:val="40"/>
                            </w:rPr>
                          </w:pPr>
                          <w:r w:rsidRPr="00CD04D8">
                            <w:rPr>
                              <w:rFonts w:ascii="Calibri" w:hAnsi="Calibri" w:cs="Calibri"/>
                              <w:sz w:val="40"/>
                              <w:szCs w:val="40"/>
                            </w:rPr>
                            <w:t xml:space="preserve">Processo de </w:t>
                          </w:r>
                          <w:proofErr w:type="spellStart"/>
                          <w:r w:rsidRPr="00CD04D8">
                            <w:rPr>
                              <w:rFonts w:ascii="Calibri" w:hAnsi="Calibri" w:cs="Calibri"/>
                              <w:i/>
                              <w:iCs/>
                              <w:sz w:val="40"/>
                              <w:szCs w:val="40"/>
                            </w:rPr>
                            <w:t>Hedge</w:t>
                          </w:r>
                          <w:proofErr w:type="spellEnd"/>
                          <w:r w:rsidRPr="00CD04D8">
                            <w:rPr>
                              <w:rFonts w:ascii="Calibri" w:hAnsi="Calibri" w:cs="Calibri"/>
                              <w:i/>
                              <w:iCs/>
                              <w:sz w:val="40"/>
                              <w:szCs w:val="40"/>
                            </w:rPr>
                            <w:t xml:space="preserve"> </w:t>
                          </w:r>
                          <w:proofErr w:type="spellStart"/>
                          <w:r w:rsidRPr="00CD04D8">
                            <w:rPr>
                              <w:rFonts w:ascii="Calibri" w:hAnsi="Calibri" w:cs="Calibri"/>
                              <w:i/>
                              <w:iCs/>
                              <w:sz w:val="40"/>
                              <w:szCs w:val="40"/>
                            </w:rPr>
                            <w:t>Accounting</w:t>
                          </w:r>
                          <w:proofErr w:type="spellEnd"/>
                          <w:r w:rsidR="00CD04D8" w:rsidRPr="00CD04D8">
                            <w:rPr>
                              <w:rFonts w:ascii="Calibri" w:hAnsi="Calibri" w:cs="Calibri"/>
                              <w:i/>
                              <w:iCs/>
                              <w:sz w:val="40"/>
                              <w:szCs w:val="40"/>
                            </w:rPr>
                            <w:t xml:space="preserve"> </w:t>
                          </w:r>
                          <w:r w:rsidR="00CD04D8" w:rsidRPr="0092050A">
                            <w:rPr>
                              <w:rFonts w:ascii="Calibri" w:hAnsi="Calibri" w:cs="Calibri"/>
                              <w:sz w:val="40"/>
                              <w:szCs w:val="40"/>
                            </w:rPr>
                            <w:t>(Contabilidade de cobertura</w:t>
                          </w:r>
                          <w:r w:rsidR="00BF03C8" w:rsidRPr="0092050A">
                            <w:rPr>
                              <w:rFonts w:ascii="Calibri" w:hAnsi="Calibri" w:cs="Calibri"/>
                              <w:sz w:val="40"/>
                              <w:szCs w:val="40"/>
                            </w:rPr>
                            <w:t>)</w:t>
                          </w:r>
                        </w:p>
                        <w:p w14:paraId="6D200E72" w14:textId="3387B2D7" w:rsidR="00E6372C" w:rsidRPr="00877C38" w:rsidRDefault="00861B72">
                          <w:pPr>
                            <w:rPr>
                              <w:rFonts w:ascii="Calibri" w:hAnsi="Calibri" w:cs="Calibri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cs="Calibri"/>
                              <w:color w:val="000000" w:themeColor="text1"/>
                            </w:rPr>
                            <w:t>Área de</w:t>
                          </w:r>
                          <w:r w:rsidR="0085536C" w:rsidRPr="00877C38">
                            <w:rPr>
                              <w:rFonts w:cs="Calibri"/>
                              <w:color w:val="000000" w:themeColor="text1"/>
                            </w:rPr>
                            <w:t xml:space="preserve"> </w:t>
                          </w:r>
                          <w:r w:rsidR="00831230">
                            <w:rPr>
                              <w:rFonts w:cs="Calibri"/>
                              <w:color w:val="000000" w:themeColor="text1"/>
                            </w:rPr>
                            <w:t>C</w:t>
                          </w:r>
                          <w:r w:rsidR="0085536C" w:rsidRPr="00877C38">
                            <w:rPr>
                              <w:rFonts w:cs="Calibri"/>
                              <w:color w:val="000000" w:themeColor="text1"/>
                            </w:rPr>
                            <w:t>ontabilidade</w:t>
                          </w:r>
                          <w:r w:rsidR="00831230">
                            <w:rPr>
                              <w:rFonts w:cs="Calibri"/>
                              <w:color w:val="000000" w:themeColor="text1"/>
                            </w:rPr>
                            <w:t xml:space="preserve"> </w:t>
                          </w:r>
                          <w:r w:rsidR="009E4682">
                            <w:rPr>
                              <w:rFonts w:cs="Calibri"/>
                              <w:color w:val="000000" w:themeColor="text1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CE38A1" w:rsidRPr="0000577A">
            <w:rPr>
              <w:rFonts w:ascii="Calibri" w:hAnsi="Calibri" w:cs="Calibri"/>
              <w:color w:val="000000" w:themeColor="text1"/>
            </w:rPr>
            <w:br w:type="page"/>
          </w:r>
        </w:p>
      </w:sdtContent>
    </w:sdt>
    <w:p w14:paraId="6B0D9EC1" w14:textId="59543664" w:rsidR="00CE38A1" w:rsidRPr="00C82F79" w:rsidRDefault="00D33F95" w:rsidP="00C82F79">
      <w:pPr>
        <w:pStyle w:val="Corpo"/>
        <w:rPr>
          <w:b/>
          <w:bCs/>
          <w:sz w:val="32"/>
          <w:szCs w:val="32"/>
        </w:rPr>
      </w:pPr>
      <w:bookmarkStart w:id="0" w:name="_Toc201680721"/>
      <w:r w:rsidRPr="00C82F79">
        <w:rPr>
          <w:b/>
          <w:bCs/>
          <w:sz w:val="32"/>
          <w:szCs w:val="32"/>
        </w:rPr>
        <w:lastRenderedPageBreak/>
        <w:t>Controlo de Versões</w:t>
      </w:r>
      <w:bookmarkEnd w:id="0"/>
    </w:p>
    <w:p w14:paraId="4C6A5C1B" w14:textId="77777777" w:rsidR="00CE38A1" w:rsidRPr="0000577A" w:rsidRDefault="00CE38A1" w:rsidP="006069F1">
      <w:pPr>
        <w:spacing w:line="240" w:lineRule="auto"/>
        <w:jc w:val="both"/>
        <w:rPr>
          <w:rFonts w:ascii="Calibri" w:hAnsi="Calibri" w:cs="Calibri"/>
          <w:color w:val="000000" w:themeColor="text1"/>
        </w:rPr>
      </w:pPr>
    </w:p>
    <w:tbl>
      <w:tblPr>
        <w:tblStyle w:val="TableGrid"/>
        <w:tblW w:w="9351" w:type="dxa"/>
        <w:tblBorders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721"/>
        <w:gridCol w:w="5670"/>
      </w:tblGrid>
      <w:tr w:rsidR="0000577A" w:rsidRPr="0000577A" w14:paraId="76935D4E" w14:textId="77777777" w:rsidTr="000F2D5B"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59E526" w14:textId="77777777" w:rsidR="000F2D5B" w:rsidRPr="0000577A" w:rsidRDefault="000F2D5B" w:rsidP="006069F1">
            <w:pPr>
              <w:rPr>
                <w:rFonts w:ascii="Calibri" w:hAnsi="Calibri" w:cs="Calibri"/>
                <w:b/>
                <w:color w:val="000000" w:themeColor="text1"/>
              </w:rPr>
            </w:pPr>
            <w:proofErr w:type="spellStart"/>
            <w:r w:rsidRPr="0000577A">
              <w:rPr>
                <w:rFonts w:ascii="Calibri" w:hAnsi="Calibri" w:cs="Calibri"/>
                <w:b/>
                <w:color w:val="000000" w:themeColor="text1"/>
              </w:rPr>
              <w:t>Versão</w:t>
            </w:r>
            <w:proofErr w:type="spellEnd"/>
          </w:p>
        </w:tc>
        <w:tc>
          <w:tcPr>
            <w:tcW w:w="2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4B8923B" w14:textId="77777777" w:rsidR="000F2D5B" w:rsidRPr="0000577A" w:rsidRDefault="000F2D5B" w:rsidP="006069F1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00577A">
              <w:rPr>
                <w:rFonts w:ascii="Calibri" w:hAnsi="Calibri" w:cs="Calibri"/>
                <w:b/>
                <w:color w:val="000000" w:themeColor="text1"/>
              </w:rPr>
              <w:t>Data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CEE0D1" w14:textId="77777777" w:rsidR="000F2D5B" w:rsidRPr="0000577A" w:rsidRDefault="000F2D5B" w:rsidP="006069F1">
            <w:pPr>
              <w:rPr>
                <w:rFonts w:ascii="Calibri" w:hAnsi="Calibri" w:cs="Calibri"/>
                <w:b/>
                <w:color w:val="000000" w:themeColor="text1"/>
              </w:rPr>
            </w:pPr>
            <w:proofErr w:type="spellStart"/>
            <w:r w:rsidRPr="0000577A">
              <w:rPr>
                <w:rFonts w:ascii="Calibri" w:hAnsi="Calibri" w:cs="Calibri"/>
                <w:b/>
                <w:color w:val="000000" w:themeColor="text1"/>
              </w:rPr>
              <w:t>Alterações</w:t>
            </w:r>
            <w:proofErr w:type="spellEnd"/>
          </w:p>
        </w:tc>
      </w:tr>
      <w:tr w:rsidR="000F2D5B" w:rsidRPr="0000577A" w14:paraId="4716E037" w14:textId="77777777"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BEDFDE" w14:textId="2D8A15FF" w:rsidR="000F2D5B" w:rsidRPr="00203105" w:rsidRDefault="00BF03C8" w:rsidP="006069F1">
            <w:pPr>
              <w:rPr>
                <w:rFonts w:ascii="Calibri" w:hAnsi="Calibri" w:cs="Calibri"/>
                <w:color w:val="000000" w:themeColor="text1"/>
                <w:lang w:val="pt-PT"/>
              </w:rPr>
            </w:pPr>
            <w:r>
              <w:rPr>
                <w:rFonts w:ascii="Calibri" w:hAnsi="Calibri" w:cs="Calibri"/>
                <w:color w:val="000000" w:themeColor="text1"/>
                <w:lang w:val="pt-PT"/>
              </w:rPr>
              <w:t>0</w:t>
            </w:r>
            <w:r w:rsidR="00F63A8E">
              <w:rPr>
                <w:rFonts w:ascii="Calibri" w:hAnsi="Calibri" w:cs="Calibri"/>
                <w:color w:val="000000" w:themeColor="text1"/>
                <w:lang w:val="pt-PT"/>
              </w:rPr>
              <w:t>1</w:t>
            </w:r>
          </w:p>
        </w:tc>
        <w:tc>
          <w:tcPr>
            <w:tcW w:w="2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9F3D5C" w14:textId="1B10B7DD" w:rsidR="000F2D5B" w:rsidRPr="00203105" w:rsidRDefault="00BF03C8" w:rsidP="006069F1">
            <w:pPr>
              <w:rPr>
                <w:rFonts w:ascii="Calibri" w:hAnsi="Calibri" w:cs="Calibri"/>
                <w:color w:val="000000" w:themeColor="text1"/>
                <w:lang w:val="pt-PT"/>
              </w:rPr>
            </w:pPr>
            <w:r>
              <w:rPr>
                <w:rFonts w:ascii="Calibri" w:hAnsi="Calibri" w:cs="Calibri"/>
                <w:color w:val="000000" w:themeColor="text1"/>
                <w:lang w:val="pt-PT"/>
              </w:rPr>
              <w:t xml:space="preserve">08 </w:t>
            </w:r>
            <w:proofErr w:type="gramStart"/>
            <w:r>
              <w:rPr>
                <w:rFonts w:ascii="Calibri" w:hAnsi="Calibri" w:cs="Calibri"/>
                <w:color w:val="000000" w:themeColor="text1"/>
                <w:lang w:val="pt-PT"/>
              </w:rPr>
              <w:t>Agosto</w:t>
            </w:r>
            <w:proofErr w:type="gramEnd"/>
            <w:r>
              <w:rPr>
                <w:rFonts w:ascii="Calibri" w:hAnsi="Calibri" w:cs="Calibri"/>
                <w:color w:val="000000" w:themeColor="text1"/>
                <w:lang w:val="pt-PT"/>
              </w:rPr>
              <w:t xml:space="preserve"> 2025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01DA0D" w14:textId="3221C967" w:rsidR="000F2D5B" w:rsidRPr="0000577A" w:rsidRDefault="00BF03C8" w:rsidP="006069F1">
            <w:pPr>
              <w:rPr>
                <w:rFonts w:ascii="Calibri" w:hAnsi="Calibri" w:cs="Calibri"/>
                <w:color w:val="000000" w:themeColor="text1"/>
                <w:lang w:val="pt-PT"/>
              </w:rPr>
            </w:pPr>
            <w:r>
              <w:rPr>
                <w:rFonts w:ascii="Calibri" w:hAnsi="Calibri" w:cs="Calibri"/>
                <w:color w:val="000000" w:themeColor="text1"/>
                <w:lang w:val="pt-PT"/>
              </w:rPr>
              <w:t xml:space="preserve">Versão </w:t>
            </w:r>
            <w:r w:rsidR="00F63A8E">
              <w:rPr>
                <w:rFonts w:ascii="Calibri" w:hAnsi="Calibri" w:cs="Calibri"/>
                <w:color w:val="000000" w:themeColor="text1"/>
                <w:lang w:val="pt-PT"/>
              </w:rPr>
              <w:t>Inicial</w:t>
            </w:r>
          </w:p>
        </w:tc>
      </w:tr>
    </w:tbl>
    <w:p w14:paraId="6CF6BF5A" w14:textId="77777777" w:rsidR="00CE38A1" w:rsidRPr="0000577A" w:rsidRDefault="00CE38A1" w:rsidP="006069F1">
      <w:pPr>
        <w:pStyle w:val="Corpo"/>
        <w:spacing w:line="240" w:lineRule="auto"/>
        <w:ind w:left="0"/>
        <w:jc w:val="both"/>
        <w:rPr>
          <w:rFonts w:cs="Calibri"/>
          <w:color w:val="000000" w:themeColor="text1"/>
        </w:rPr>
      </w:pPr>
    </w:p>
    <w:p w14:paraId="10D0D1AC" w14:textId="6AD155CB" w:rsidR="000F2D5B" w:rsidRPr="00AE7C00" w:rsidRDefault="006C18D8" w:rsidP="00AE7C00">
      <w:pPr>
        <w:pStyle w:val="Corpo"/>
        <w:spacing w:line="240" w:lineRule="auto"/>
        <w:jc w:val="both"/>
        <w:rPr>
          <w:rFonts w:cs="Calibri"/>
          <w:color w:val="000000" w:themeColor="text1"/>
        </w:rPr>
      </w:pPr>
      <w:r w:rsidRPr="0000577A">
        <w:rPr>
          <w:rFonts w:cs="Calibri"/>
          <w:color w:val="000000" w:themeColor="text1"/>
        </w:rPr>
        <w:t>O</w:t>
      </w:r>
      <w:r w:rsidR="00CE38A1" w:rsidRPr="0000577A">
        <w:rPr>
          <w:rFonts w:cs="Calibri"/>
          <w:color w:val="000000" w:themeColor="text1"/>
        </w:rPr>
        <w:t xml:space="preserve"> presente documento descreve </w:t>
      </w:r>
      <w:r w:rsidRPr="0000577A">
        <w:rPr>
          <w:rFonts w:cs="Calibri"/>
          <w:color w:val="000000" w:themeColor="text1"/>
        </w:rPr>
        <w:t xml:space="preserve">o Modelo de </w:t>
      </w:r>
      <w:r w:rsidRPr="0092050A">
        <w:rPr>
          <w:rFonts w:cs="Calibri"/>
          <w:color w:val="000000" w:themeColor="text1"/>
        </w:rPr>
        <w:t>Govern</w:t>
      </w:r>
      <w:r w:rsidR="00E96086" w:rsidRPr="0092050A">
        <w:rPr>
          <w:rFonts w:cs="Calibri"/>
          <w:color w:val="000000" w:themeColor="text1"/>
        </w:rPr>
        <w:t>o</w:t>
      </w:r>
      <w:r>
        <w:rPr>
          <w:rFonts w:cs="Calibri"/>
          <w:i/>
          <w:color w:val="000000" w:themeColor="text1"/>
        </w:rPr>
        <w:t xml:space="preserve"> </w:t>
      </w:r>
      <w:r w:rsidR="00FC6B1D">
        <w:rPr>
          <w:rFonts w:cs="Calibri"/>
          <w:color w:val="000000" w:themeColor="text1"/>
        </w:rPr>
        <w:t>Operacional</w:t>
      </w:r>
      <w:r w:rsidRPr="0000577A">
        <w:rPr>
          <w:rFonts w:cs="Calibri"/>
          <w:color w:val="000000" w:themeColor="text1"/>
        </w:rPr>
        <w:t xml:space="preserve"> </w:t>
      </w:r>
      <w:r w:rsidR="00D14703">
        <w:rPr>
          <w:rFonts w:cs="Calibri"/>
          <w:color w:val="000000" w:themeColor="text1"/>
        </w:rPr>
        <w:t>d</w:t>
      </w:r>
      <w:r w:rsidR="008F5538">
        <w:rPr>
          <w:rFonts w:cs="Calibri"/>
          <w:color w:val="000000" w:themeColor="text1"/>
        </w:rPr>
        <w:t xml:space="preserve">o processo de </w:t>
      </w:r>
      <w:proofErr w:type="spellStart"/>
      <w:r w:rsidR="008F5538">
        <w:rPr>
          <w:rFonts w:cs="Calibri"/>
          <w:i/>
          <w:iCs/>
          <w:color w:val="000000" w:themeColor="text1"/>
        </w:rPr>
        <w:t>hedge</w:t>
      </w:r>
      <w:proofErr w:type="spellEnd"/>
      <w:r w:rsidR="008F5538">
        <w:rPr>
          <w:rFonts w:cs="Calibri"/>
          <w:i/>
          <w:iCs/>
          <w:color w:val="000000" w:themeColor="text1"/>
        </w:rPr>
        <w:t xml:space="preserve"> </w:t>
      </w:r>
      <w:proofErr w:type="spellStart"/>
      <w:r w:rsidR="008F5538">
        <w:rPr>
          <w:rFonts w:cs="Calibri"/>
          <w:i/>
          <w:iCs/>
          <w:color w:val="000000" w:themeColor="text1"/>
        </w:rPr>
        <w:t>accounting</w:t>
      </w:r>
      <w:proofErr w:type="spellEnd"/>
      <w:r w:rsidR="00D14703">
        <w:rPr>
          <w:rFonts w:cs="Calibri"/>
          <w:color w:val="000000" w:themeColor="text1"/>
        </w:rPr>
        <w:t xml:space="preserve"> </w:t>
      </w:r>
      <w:r w:rsidR="00A15984">
        <w:rPr>
          <w:rFonts w:cs="Calibri"/>
          <w:color w:val="000000" w:themeColor="text1"/>
        </w:rPr>
        <w:t xml:space="preserve">(contabilidade de cobertura) </w:t>
      </w:r>
      <w:r w:rsidR="00CE38A1" w:rsidRPr="0000577A">
        <w:rPr>
          <w:rFonts w:cs="Calibri"/>
          <w:color w:val="000000" w:themeColor="text1"/>
        </w:rPr>
        <w:t>adotad</w:t>
      </w:r>
      <w:r w:rsidR="00D14703">
        <w:rPr>
          <w:rFonts w:cs="Calibri"/>
          <w:color w:val="000000" w:themeColor="text1"/>
        </w:rPr>
        <w:t>o</w:t>
      </w:r>
      <w:r w:rsidR="00CE38A1" w:rsidRPr="0000577A">
        <w:rPr>
          <w:rFonts w:cs="Calibri"/>
          <w:color w:val="000000" w:themeColor="text1"/>
        </w:rPr>
        <w:t xml:space="preserve"> pelo </w:t>
      </w:r>
      <w:r w:rsidR="00A15984">
        <w:rPr>
          <w:rFonts w:cs="Calibri"/>
          <w:color w:val="000000" w:themeColor="text1"/>
        </w:rPr>
        <w:t>Banco</w:t>
      </w:r>
      <w:r w:rsidRPr="0000577A">
        <w:rPr>
          <w:rFonts w:cs="Calibri"/>
          <w:color w:val="000000" w:themeColor="text1"/>
        </w:rPr>
        <w:t xml:space="preserve"> Santander </w:t>
      </w:r>
      <w:proofErr w:type="spellStart"/>
      <w:r w:rsidRPr="0000577A">
        <w:rPr>
          <w:rFonts w:cs="Calibri"/>
          <w:color w:val="000000" w:themeColor="text1"/>
        </w:rPr>
        <w:t>Totta</w:t>
      </w:r>
      <w:proofErr w:type="spellEnd"/>
      <w:r w:rsidRPr="0000577A">
        <w:rPr>
          <w:rFonts w:cs="Calibri"/>
          <w:color w:val="000000" w:themeColor="text1"/>
        </w:rPr>
        <w:t xml:space="preserve">, </w:t>
      </w:r>
      <w:r w:rsidR="00CE38A1" w:rsidRPr="0000577A">
        <w:rPr>
          <w:rFonts w:cs="Calibri"/>
          <w:color w:val="000000" w:themeColor="text1"/>
        </w:rPr>
        <w:t>doravante designado por “</w:t>
      </w:r>
      <w:r w:rsidR="00A15984">
        <w:rPr>
          <w:rFonts w:cs="Calibri"/>
          <w:color w:val="000000" w:themeColor="text1"/>
        </w:rPr>
        <w:t>Banco</w:t>
      </w:r>
      <w:r w:rsidR="00CE38A1" w:rsidRPr="0000577A">
        <w:rPr>
          <w:rFonts w:cs="Calibri"/>
          <w:color w:val="000000" w:themeColor="text1"/>
        </w:rPr>
        <w:t>”.</w:t>
      </w:r>
      <w:r w:rsidR="000F2D5B" w:rsidRPr="0000577A">
        <w:rPr>
          <w:rFonts w:cs="Calibri"/>
          <w:color w:val="000000" w:themeColor="text1"/>
        </w:rPr>
        <w:br w:type="page"/>
      </w:r>
    </w:p>
    <w:sdt>
      <w:sdtPr>
        <w:rPr>
          <w:rFonts w:ascii="Calibri" w:eastAsiaTheme="minorEastAsia" w:hAnsi="Calibri" w:cs="Calibri"/>
          <w:color w:val="000000" w:themeColor="text1"/>
        </w:rPr>
        <w:id w:val="-771246668"/>
        <w:docPartObj>
          <w:docPartGallery w:val="Table of Contents"/>
          <w:docPartUnique/>
        </w:docPartObj>
      </w:sdtPr>
      <w:sdtEndPr>
        <w:rPr>
          <w:b/>
          <w:sz w:val="24"/>
          <w:szCs w:val="24"/>
        </w:rPr>
      </w:sdtEndPr>
      <w:sdtContent>
        <w:p w14:paraId="13710DF7" w14:textId="77777777" w:rsidR="001501D2" w:rsidRDefault="00AD0C64">
          <w:pPr>
            <w:pStyle w:val="TOC1"/>
            <w:tabs>
              <w:tab w:val="left" w:pos="440"/>
              <w:tab w:val="right" w:leader="dot" w:pos="9016"/>
            </w:tabs>
            <w:rPr>
              <w:rFonts w:ascii="Calibri" w:hAnsi="Calibri" w:cs="Calibri"/>
              <w:b/>
              <w:bCs/>
              <w:color w:val="000000" w:themeColor="text1"/>
            </w:rPr>
          </w:pPr>
          <w:r w:rsidRPr="0000577A">
            <w:rPr>
              <w:rFonts w:ascii="Calibri" w:hAnsi="Calibri" w:cs="Calibri"/>
              <w:b/>
              <w:bCs/>
              <w:color w:val="000000" w:themeColor="text1"/>
            </w:rPr>
            <w:t>Índice</w:t>
          </w:r>
        </w:p>
        <w:p w14:paraId="31050C82" w14:textId="630667CA" w:rsidR="0092784B" w:rsidRDefault="00AD0C6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 w:rsidRPr="00C82F79">
            <w:rPr>
              <w:rFonts w:ascii="Calibri" w:eastAsiaTheme="majorEastAsia" w:hAnsi="Calibri" w:cs="Calibri"/>
              <w:b/>
              <w:bCs/>
              <w:color w:val="000000" w:themeColor="text1"/>
              <w:kern w:val="0"/>
              <w:sz w:val="24"/>
              <w:szCs w:val="24"/>
              <w:lang w:val="en-US"/>
              <w14:ligatures w14:val="none"/>
            </w:rPr>
            <w:fldChar w:fldCharType="begin"/>
          </w:r>
          <w:r w:rsidRPr="00C82F79">
            <w:rPr>
              <w:rFonts w:ascii="Calibri" w:hAnsi="Calibri" w:cs="Calibri"/>
              <w:b/>
              <w:bCs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C82F79">
            <w:rPr>
              <w:rFonts w:ascii="Calibri" w:eastAsiaTheme="majorEastAsia" w:hAnsi="Calibri" w:cs="Calibri"/>
              <w:b/>
              <w:bCs/>
              <w:color w:val="000000" w:themeColor="text1"/>
              <w:kern w:val="0"/>
              <w:sz w:val="24"/>
              <w:szCs w:val="24"/>
              <w:lang w:val="en-US"/>
              <w14:ligatures w14:val="none"/>
            </w:rPr>
            <w:fldChar w:fldCharType="separate"/>
          </w:r>
          <w:hyperlink w:anchor="_Toc205549105" w:history="1">
            <w:r w:rsidR="0092784B" w:rsidRPr="000141B9">
              <w:rPr>
                <w:rStyle w:val="Hyperlink"/>
                <w:noProof/>
              </w:rPr>
              <w:t>1.</w:t>
            </w:r>
            <w:r w:rsidR="0092784B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92784B" w:rsidRPr="000141B9">
              <w:rPr>
                <w:rStyle w:val="Hyperlink"/>
                <w:noProof/>
              </w:rPr>
              <w:t>Introdução</w:t>
            </w:r>
            <w:r w:rsidR="0092784B">
              <w:rPr>
                <w:noProof/>
                <w:webHidden/>
              </w:rPr>
              <w:tab/>
            </w:r>
            <w:r w:rsidR="0092784B">
              <w:rPr>
                <w:noProof/>
                <w:webHidden/>
              </w:rPr>
              <w:fldChar w:fldCharType="begin"/>
            </w:r>
            <w:r w:rsidR="0092784B">
              <w:rPr>
                <w:noProof/>
                <w:webHidden/>
              </w:rPr>
              <w:instrText xml:space="preserve"> PAGEREF _Toc205549105 \h </w:instrText>
            </w:r>
            <w:r w:rsidR="0092784B">
              <w:rPr>
                <w:noProof/>
                <w:webHidden/>
              </w:rPr>
            </w:r>
            <w:r w:rsidR="0092784B">
              <w:rPr>
                <w:noProof/>
                <w:webHidden/>
              </w:rPr>
              <w:fldChar w:fldCharType="separate"/>
            </w:r>
            <w:r w:rsidR="0092784B">
              <w:rPr>
                <w:noProof/>
                <w:webHidden/>
              </w:rPr>
              <w:t>3</w:t>
            </w:r>
            <w:r w:rsidR="0092784B">
              <w:rPr>
                <w:noProof/>
                <w:webHidden/>
              </w:rPr>
              <w:fldChar w:fldCharType="end"/>
            </w:r>
          </w:hyperlink>
        </w:p>
        <w:p w14:paraId="29BD9305" w14:textId="37BE2C97" w:rsidR="0092784B" w:rsidRDefault="0092784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05549106" w:history="1">
            <w:r w:rsidRPr="000141B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0141B9">
              <w:rPr>
                <w:rStyle w:val="Hyperlink"/>
                <w:noProof/>
              </w:rPr>
              <w:t>Enquadramento do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_Toc205549106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DFEB5" w14:textId="37D414C8" w:rsidR="0092784B" w:rsidRDefault="0092784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05549107" w:history="1">
            <w:r w:rsidRPr="000141B9">
              <w:rPr>
                <w:rStyle w:val="Hyperlink"/>
                <w:noProof/>
              </w:rPr>
              <w:t>2.1 Objetivos do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_Toc205549107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14210" w14:textId="250E66C1" w:rsidR="0092784B" w:rsidRDefault="0092784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05549108" w:history="1">
            <w:r w:rsidRPr="000141B9">
              <w:rPr>
                <w:rStyle w:val="Hyperlink"/>
                <w:noProof/>
              </w:rPr>
              <w:t>2.2. Políticas e normas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_Toc205549108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0579F" w14:textId="001E2A7B" w:rsidR="0092784B" w:rsidRDefault="0092784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05549109" w:history="1">
            <w:r w:rsidRPr="000141B9">
              <w:rPr>
                <w:rStyle w:val="Hyperlink"/>
                <w:noProof/>
              </w:rPr>
              <w:t xml:space="preserve">2.3. </w:t>
            </w:r>
            <w:r w:rsidRPr="000141B9">
              <w:rPr>
                <w:rStyle w:val="Hyperlink"/>
                <w:i/>
                <w:iCs/>
                <w:noProof/>
              </w:rPr>
              <w:t>Compliance/Cumprimento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_Toc205549109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E599B" w14:textId="46DD2D8B" w:rsidR="0092784B" w:rsidRDefault="0092784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05549110" w:history="1">
            <w:r w:rsidRPr="000141B9">
              <w:rPr>
                <w:rStyle w:val="Hyperlink"/>
                <w:noProof/>
              </w:rPr>
              <w:t>2.4. Gestão da Mudança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_Toc205549110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0906A" w14:textId="7616EAE7" w:rsidR="0092784B" w:rsidRDefault="0092784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05549111" w:history="1">
            <w:r w:rsidRPr="000141B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0141B9">
              <w:rPr>
                <w:rStyle w:val="Hyperlink"/>
                <w:rFonts w:cstheme="majorBidi"/>
                <w:bCs/>
                <w:noProof/>
              </w:rPr>
              <w:t>Estrutura e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_Toc205549111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0E4B6" w14:textId="4640EF0B" w:rsidR="0092784B" w:rsidRDefault="0092784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05549112" w:history="1">
            <w:r w:rsidRPr="000141B9">
              <w:rPr>
                <w:rStyle w:val="Hyperlink"/>
                <w:noProof/>
              </w:rPr>
              <w:t>3.1. Fóruns/comités de Governo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_Toc205549112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2E86A" w14:textId="033AB094" w:rsidR="0092784B" w:rsidRDefault="0092784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05549113" w:history="1">
            <w:r w:rsidRPr="000141B9">
              <w:rPr>
                <w:rStyle w:val="Hyperlink"/>
                <w:noProof/>
              </w:rPr>
              <w:t>3.2. Contabilidade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_Toc205549113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B2398" w14:textId="515CE700" w:rsidR="0092784B" w:rsidRDefault="0092784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05549114" w:history="1">
            <w:r w:rsidRPr="000141B9">
              <w:rPr>
                <w:rStyle w:val="Hyperlink"/>
                <w:noProof/>
              </w:rPr>
              <w:t>3.3. Tesouraria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_Toc205549114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14613" w14:textId="272B8D8F" w:rsidR="0092784B" w:rsidRDefault="0092784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05549115" w:history="1">
            <w:r w:rsidRPr="000141B9">
              <w:rPr>
                <w:rStyle w:val="Hyperlink"/>
                <w:noProof/>
              </w:rPr>
              <w:t xml:space="preserve">3.4. </w:t>
            </w:r>
            <w:r w:rsidRPr="000141B9">
              <w:rPr>
                <w:rStyle w:val="Hyperlink"/>
                <w:i/>
                <w:noProof/>
              </w:rPr>
              <w:t>Back-Office e Middle-Office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_Toc205549115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A2828" w14:textId="233DD310" w:rsidR="0092784B" w:rsidRDefault="0092784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05549116" w:history="1">
            <w:r w:rsidRPr="000141B9">
              <w:rPr>
                <w:rStyle w:val="Hyperlink"/>
                <w:noProof/>
              </w:rPr>
              <w:t>3.5. Área Financeira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_Toc205549116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37DE5" w14:textId="6F643176" w:rsidR="0092784B" w:rsidRDefault="0092784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05549117" w:history="1">
            <w:r w:rsidRPr="000141B9">
              <w:rPr>
                <w:rStyle w:val="Hyperlink"/>
                <w:noProof/>
              </w:rPr>
              <w:t>3.6. Risco de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_Toc205549117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17B4D" w14:textId="7B94437F" w:rsidR="0092784B" w:rsidRDefault="0092784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05549118" w:history="1">
            <w:r w:rsidRPr="000141B9">
              <w:rPr>
                <w:rStyle w:val="Hyperlink"/>
                <w:noProof/>
              </w:rPr>
              <w:t>3.7. Utilizadores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_Toc205549118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43341" w14:textId="2F22F17E" w:rsidR="0092784B" w:rsidRDefault="0092784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205549119" w:history="1">
            <w:r w:rsidRPr="000141B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0141B9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_Toc205549119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8B272" w14:textId="1CD35056" w:rsidR="00AE7C00" w:rsidRDefault="00AD0C64" w:rsidP="00AE7C00">
          <w:pPr>
            <w:rPr>
              <w:rFonts w:ascii="Calibri" w:hAnsi="Calibri" w:cs="Calibri"/>
              <w:b/>
              <w:bCs/>
              <w:noProof/>
              <w:color w:val="000000" w:themeColor="text1"/>
              <w:sz w:val="24"/>
              <w:szCs w:val="24"/>
            </w:rPr>
          </w:pPr>
          <w:r w:rsidRPr="00C82F79">
            <w:rPr>
              <w:rFonts w:ascii="Calibri" w:hAnsi="Calibri" w:cs="Calibri"/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066028F2" w14:textId="5CB05564" w:rsidR="000F2D5B" w:rsidRPr="00AE7C00" w:rsidRDefault="000F2D5B" w:rsidP="00AE7C00">
      <w:pPr>
        <w:rPr>
          <w:rFonts w:ascii="Calibri" w:hAnsi="Calibri" w:cs="Calibri"/>
          <w:color w:val="000000" w:themeColor="text1"/>
          <w:sz w:val="24"/>
          <w:szCs w:val="24"/>
        </w:rPr>
      </w:pPr>
      <w:r w:rsidRPr="0000577A">
        <w:rPr>
          <w:rFonts w:ascii="Calibri" w:hAnsi="Calibri" w:cs="Calibri"/>
          <w:color w:val="000000" w:themeColor="text1"/>
        </w:rPr>
        <w:br w:type="page"/>
      </w:r>
    </w:p>
    <w:p w14:paraId="16DEF948" w14:textId="4CC16668" w:rsidR="006C18D8" w:rsidRPr="0000577A" w:rsidRDefault="007951B1" w:rsidP="006722F6">
      <w:pPr>
        <w:pStyle w:val="Ttulo11"/>
        <w:numPr>
          <w:ilvl w:val="0"/>
          <w:numId w:val="1"/>
        </w:numPr>
        <w:spacing w:line="240" w:lineRule="auto"/>
      </w:pPr>
      <w:bookmarkStart w:id="1" w:name="_Toc205549105"/>
      <w:bookmarkStart w:id="2" w:name="_Hlk201652266"/>
      <w:r w:rsidRPr="0000577A">
        <w:lastRenderedPageBreak/>
        <w:t>Introdução</w:t>
      </w:r>
      <w:bookmarkEnd w:id="1"/>
      <w:r w:rsidRPr="0000577A">
        <w:t xml:space="preserve"> </w:t>
      </w:r>
    </w:p>
    <w:p w14:paraId="1261838E" w14:textId="37DB0E21" w:rsidR="001E4B3A" w:rsidRPr="0084437F" w:rsidRDefault="001E4B3A" w:rsidP="0075486F">
      <w:pPr>
        <w:pStyle w:val="Corpo"/>
        <w:spacing w:after="240" w:line="240" w:lineRule="auto"/>
        <w:jc w:val="both"/>
        <w:rPr>
          <w:rFonts w:cs="Calibri"/>
          <w:color w:val="000000" w:themeColor="text1"/>
        </w:rPr>
      </w:pPr>
      <w:r w:rsidRPr="0084437F">
        <w:rPr>
          <w:rFonts w:cs="Calibri"/>
          <w:color w:val="000000" w:themeColor="text1"/>
        </w:rPr>
        <w:t>No seguimento da adoção integral da norma IFRS 9</w:t>
      </w:r>
      <w:r w:rsidR="001B3640">
        <w:rPr>
          <w:rFonts w:cs="Calibri"/>
          <w:color w:val="000000" w:themeColor="text1"/>
        </w:rPr>
        <w:t xml:space="preserve"> (</w:t>
      </w:r>
      <w:proofErr w:type="spellStart"/>
      <w:r w:rsidR="001B3640" w:rsidRPr="00D86DD5">
        <w:rPr>
          <w:rFonts w:cs="Calibri"/>
          <w:i/>
          <w:iCs/>
          <w:color w:val="000000" w:themeColor="text1"/>
        </w:rPr>
        <w:t>International</w:t>
      </w:r>
      <w:proofErr w:type="spellEnd"/>
      <w:r w:rsidR="001B3640" w:rsidRPr="00D86DD5">
        <w:rPr>
          <w:rFonts w:cs="Calibri"/>
          <w:i/>
          <w:iCs/>
          <w:color w:val="000000" w:themeColor="text1"/>
        </w:rPr>
        <w:t xml:space="preserve"> Financial Reporting Standards</w:t>
      </w:r>
      <w:r w:rsidR="00294D34">
        <w:rPr>
          <w:rFonts w:cs="Calibri"/>
          <w:color w:val="000000" w:themeColor="text1"/>
        </w:rPr>
        <w:t>),</w:t>
      </w:r>
      <w:r w:rsidRPr="0084437F">
        <w:rPr>
          <w:rFonts w:cs="Calibri"/>
          <w:color w:val="000000" w:themeColor="text1"/>
        </w:rPr>
        <w:t xml:space="preserve"> que substitui o anterior enquadramento definido pelo IAS 39</w:t>
      </w:r>
      <w:r w:rsidR="00775723">
        <w:rPr>
          <w:rFonts w:cs="Calibri"/>
          <w:color w:val="000000" w:themeColor="text1"/>
        </w:rPr>
        <w:t xml:space="preserve"> (</w:t>
      </w:r>
      <w:proofErr w:type="spellStart"/>
      <w:r w:rsidR="00775723" w:rsidRPr="00C11AEB">
        <w:rPr>
          <w:rFonts w:cs="Calibri"/>
          <w:i/>
          <w:iCs/>
          <w:color w:val="000000" w:themeColor="text1"/>
        </w:rPr>
        <w:t>In</w:t>
      </w:r>
      <w:r w:rsidR="00C11AEB" w:rsidRPr="00C11AEB">
        <w:rPr>
          <w:rFonts w:cs="Calibri"/>
          <w:i/>
          <w:iCs/>
          <w:color w:val="000000" w:themeColor="text1"/>
        </w:rPr>
        <w:t>ternational</w:t>
      </w:r>
      <w:proofErr w:type="spellEnd"/>
      <w:r w:rsidR="00C11AEB" w:rsidRPr="00C11AEB">
        <w:rPr>
          <w:rFonts w:cs="Calibri"/>
          <w:i/>
          <w:iCs/>
          <w:color w:val="000000" w:themeColor="text1"/>
        </w:rPr>
        <w:t xml:space="preserve"> </w:t>
      </w:r>
      <w:proofErr w:type="spellStart"/>
      <w:r w:rsidR="00A15984">
        <w:rPr>
          <w:rFonts w:cs="Calibri"/>
          <w:i/>
          <w:iCs/>
          <w:color w:val="000000" w:themeColor="text1"/>
        </w:rPr>
        <w:t>Accounting</w:t>
      </w:r>
      <w:proofErr w:type="spellEnd"/>
      <w:r w:rsidR="00A15984" w:rsidRPr="00C11AEB">
        <w:rPr>
          <w:rFonts w:cs="Calibri"/>
          <w:i/>
          <w:iCs/>
          <w:color w:val="000000" w:themeColor="text1"/>
        </w:rPr>
        <w:t xml:space="preserve"> </w:t>
      </w:r>
      <w:r w:rsidR="00C11AEB" w:rsidRPr="00C11AEB">
        <w:rPr>
          <w:rFonts w:cs="Calibri"/>
          <w:i/>
          <w:iCs/>
          <w:color w:val="000000" w:themeColor="text1"/>
        </w:rPr>
        <w:t>Standards</w:t>
      </w:r>
      <w:r w:rsidR="00C11AEB">
        <w:rPr>
          <w:rFonts w:cs="Calibri"/>
          <w:color w:val="000000" w:themeColor="text1"/>
        </w:rPr>
        <w:t>)</w:t>
      </w:r>
      <w:r w:rsidRPr="0084437F">
        <w:rPr>
          <w:rFonts w:cs="Calibri"/>
          <w:color w:val="000000" w:themeColor="text1"/>
        </w:rPr>
        <w:t xml:space="preserve">, o </w:t>
      </w:r>
      <w:r w:rsidR="00A15984">
        <w:rPr>
          <w:rFonts w:cs="Calibri"/>
          <w:color w:val="000000" w:themeColor="text1"/>
        </w:rPr>
        <w:t>Banco</w:t>
      </w:r>
      <w:r w:rsidRPr="0084437F">
        <w:rPr>
          <w:rFonts w:cs="Calibri"/>
          <w:color w:val="000000" w:themeColor="text1"/>
        </w:rPr>
        <w:t xml:space="preserve"> </w:t>
      </w:r>
      <w:r w:rsidR="00374000">
        <w:rPr>
          <w:rFonts w:cs="Calibri"/>
          <w:color w:val="000000" w:themeColor="text1"/>
        </w:rPr>
        <w:t xml:space="preserve">comprometeu-se em transitar e consolidar os </w:t>
      </w:r>
      <w:r w:rsidRPr="0084437F">
        <w:rPr>
          <w:rFonts w:cs="Calibri"/>
          <w:color w:val="000000" w:themeColor="text1"/>
        </w:rPr>
        <w:t xml:space="preserve">seus processos de </w:t>
      </w:r>
      <w:proofErr w:type="spellStart"/>
      <w:r w:rsidRPr="00374684">
        <w:rPr>
          <w:rFonts w:cs="Calibri"/>
          <w:i/>
          <w:iCs/>
          <w:color w:val="000000" w:themeColor="text1"/>
        </w:rPr>
        <w:t>hedge</w:t>
      </w:r>
      <w:proofErr w:type="spellEnd"/>
      <w:r w:rsidRPr="00374684">
        <w:rPr>
          <w:rFonts w:cs="Calibri"/>
          <w:i/>
          <w:iCs/>
          <w:color w:val="000000" w:themeColor="text1"/>
        </w:rPr>
        <w:t xml:space="preserve"> </w:t>
      </w:r>
      <w:proofErr w:type="spellStart"/>
      <w:r w:rsidRPr="00374684">
        <w:rPr>
          <w:rFonts w:cs="Calibri"/>
          <w:i/>
          <w:iCs/>
          <w:color w:val="000000" w:themeColor="text1"/>
        </w:rPr>
        <w:t>accounting</w:t>
      </w:r>
      <w:proofErr w:type="spellEnd"/>
      <w:r w:rsidRPr="0084437F">
        <w:rPr>
          <w:rFonts w:cs="Calibri"/>
          <w:color w:val="000000" w:themeColor="text1"/>
        </w:rPr>
        <w:t>, de forma a garantir o cumprimento integral dos requisitos contabilísticos e regulamentares. Esta transição, além de representar um marco técnico e operacional relevante, responde</w:t>
      </w:r>
      <w:r w:rsidR="001072F5">
        <w:rPr>
          <w:rFonts w:cs="Calibri"/>
          <w:color w:val="000000" w:themeColor="text1"/>
        </w:rPr>
        <w:t xml:space="preserve"> também</w:t>
      </w:r>
      <w:r w:rsidRPr="0084437F">
        <w:rPr>
          <w:rFonts w:cs="Calibri"/>
          <w:color w:val="000000" w:themeColor="text1"/>
        </w:rPr>
        <w:t xml:space="preserve"> às exigências crescentes por parte das autoridades reguladoras, nomeadamente o </w:t>
      </w:r>
      <w:r w:rsidR="00A15984">
        <w:rPr>
          <w:rFonts w:cs="Calibri"/>
          <w:color w:val="000000" w:themeColor="text1"/>
        </w:rPr>
        <w:t>Banco</w:t>
      </w:r>
      <w:r w:rsidRPr="0084437F">
        <w:rPr>
          <w:rFonts w:cs="Calibri"/>
          <w:color w:val="000000" w:themeColor="text1"/>
        </w:rPr>
        <w:t xml:space="preserve"> Central Europeu (BCE), no sentido de promover maior transparência, consistência e comparabilidade nos registos contabilísticos associados à gestão de risco financeiro.</w:t>
      </w:r>
    </w:p>
    <w:p w14:paraId="4200ABEA" w14:textId="69B9CF9E" w:rsidR="001E4B3A" w:rsidRPr="0084437F" w:rsidRDefault="001E4B3A" w:rsidP="0075486F">
      <w:pPr>
        <w:pStyle w:val="Corpo"/>
        <w:spacing w:after="240" w:line="240" w:lineRule="auto"/>
        <w:jc w:val="both"/>
        <w:rPr>
          <w:rFonts w:cs="Calibri"/>
          <w:color w:val="000000" w:themeColor="text1"/>
        </w:rPr>
      </w:pPr>
      <w:r w:rsidRPr="0084437F">
        <w:rPr>
          <w:rFonts w:cs="Calibri"/>
          <w:color w:val="000000" w:themeColor="text1"/>
        </w:rPr>
        <w:t xml:space="preserve">A IFRS 9 introduz uma abordagem mais alinhada com a gestão efetiva de risco do </w:t>
      </w:r>
      <w:r w:rsidR="00A15984">
        <w:rPr>
          <w:rFonts w:cs="Calibri"/>
          <w:color w:val="000000" w:themeColor="text1"/>
        </w:rPr>
        <w:t>Banco</w:t>
      </w:r>
      <w:r w:rsidRPr="0084437F">
        <w:rPr>
          <w:rFonts w:cs="Calibri"/>
          <w:color w:val="000000" w:themeColor="text1"/>
        </w:rPr>
        <w:t>, exigindo uma articulação clara entre a estratégia de cobertura, a documentação formal d</w:t>
      </w:r>
      <w:r w:rsidR="001072F5">
        <w:rPr>
          <w:rFonts w:cs="Calibri"/>
          <w:color w:val="000000" w:themeColor="text1"/>
        </w:rPr>
        <w:t>a correlação</w:t>
      </w:r>
      <w:r w:rsidRPr="0084437F">
        <w:rPr>
          <w:rFonts w:cs="Calibri"/>
          <w:color w:val="000000" w:themeColor="text1"/>
        </w:rPr>
        <w:t xml:space="preserve"> entre instrumentos de cobertura e itens cobertos, e a monitorização contínua da eficácia da cobertura. Para tal, torna-se necessário dispor de um </w:t>
      </w:r>
      <w:r w:rsidR="00250E07" w:rsidRPr="0084437F">
        <w:rPr>
          <w:rFonts w:cs="Calibri"/>
          <w:color w:val="000000" w:themeColor="text1"/>
        </w:rPr>
        <w:t>processo</w:t>
      </w:r>
      <w:r w:rsidR="00444355" w:rsidRPr="0084437F">
        <w:rPr>
          <w:rFonts w:cs="Calibri"/>
          <w:color w:val="000000" w:themeColor="text1"/>
        </w:rPr>
        <w:t xml:space="preserve"> estruturado</w:t>
      </w:r>
      <w:r w:rsidRPr="0084437F">
        <w:rPr>
          <w:rFonts w:cs="Calibri"/>
          <w:color w:val="000000" w:themeColor="text1"/>
        </w:rPr>
        <w:t xml:space="preserve"> e integrad</w:t>
      </w:r>
      <w:r w:rsidR="00444355" w:rsidRPr="0084437F">
        <w:rPr>
          <w:rFonts w:cs="Calibri"/>
          <w:color w:val="000000" w:themeColor="text1"/>
        </w:rPr>
        <w:t>o</w:t>
      </w:r>
      <w:r w:rsidRPr="0084437F">
        <w:rPr>
          <w:rFonts w:cs="Calibri"/>
          <w:color w:val="000000" w:themeColor="text1"/>
        </w:rPr>
        <w:t xml:space="preserve"> de gestão e reporte de </w:t>
      </w:r>
      <w:proofErr w:type="spellStart"/>
      <w:r w:rsidRPr="00B84957">
        <w:rPr>
          <w:rFonts w:cs="Calibri"/>
          <w:i/>
          <w:iCs/>
          <w:color w:val="000000" w:themeColor="text1"/>
        </w:rPr>
        <w:t>hedge</w:t>
      </w:r>
      <w:proofErr w:type="spellEnd"/>
      <w:r w:rsidRPr="00B84957">
        <w:rPr>
          <w:rFonts w:cs="Calibri"/>
          <w:i/>
          <w:iCs/>
          <w:color w:val="000000" w:themeColor="text1"/>
        </w:rPr>
        <w:t xml:space="preserve"> </w:t>
      </w:r>
      <w:proofErr w:type="spellStart"/>
      <w:r w:rsidRPr="00B84957">
        <w:rPr>
          <w:rFonts w:cs="Calibri"/>
          <w:i/>
          <w:iCs/>
          <w:color w:val="000000" w:themeColor="text1"/>
        </w:rPr>
        <w:t>accounting</w:t>
      </w:r>
      <w:proofErr w:type="spellEnd"/>
      <w:r w:rsidRPr="0084437F">
        <w:rPr>
          <w:rFonts w:cs="Calibri"/>
          <w:color w:val="000000" w:themeColor="text1"/>
        </w:rPr>
        <w:t>, que permita garantir:</w:t>
      </w:r>
    </w:p>
    <w:p w14:paraId="2ECFF4DE" w14:textId="77777777" w:rsidR="001E4B3A" w:rsidRPr="0084437F" w:rsidRDefault="001E4B3A" w:rsidP="006722F6">
      <w:pPr>
        <w:pStyle w:val="Corpo"/>
        <w:numPr>
          <w:ilvl w:val="0"/>
          <w:numId w:val="2"/>
        </w:numPr>
        <w:spacing w:before="0" w:after="0" w:line="240" w:lineRule="auto"/>
        <w:ind w:hanging="357"/>
        <w:jc w:val="both"/>
        <w:rPr>
          <w:rFonts w:cs="Calibri"/>
          <w:color w:val="000000" w:themeColor="text1"/>
        </w:rPr>
      </w:pPr>
      <w:r w:rsidRPr="0084437F">
        <w:rPr>
          <w:rFonts w:cs="Calibri"/>
          <w:color w:val="000000" w:themeColor="text1"/>
        </w:rPr>
        <w:t>A rastreabilidade entre os objetivos de risco e os instrumentos financeiros utilizados para mitigação;</w:t>
      </w:r>
    </w:p>
    <w:p w14:paraId="7AF1BFB6" w14:textId="77777777" w:rsidR="001E4B3A" w:rsidRPr="0084437F" w:rsidRDefault="001E4B3A" w:rsidP="006722F6">
      <w:pPr>
        <w:pStyle w:val="Corpo"/>
        <w:numPr>
          <w:ilvl w:val="0"/>
          <w:numId w:val="2"/>
        </w:numPr>
        <w:spacing w:before="0" w:after="0" w:line="240" w:lineRule="auto"/>
        <w:ind w:hanging="357"/>
        <w:jc w:val="both"/>
        <w:rPr>
          <w:rFonts w:cs="Calibri"/>
          <w:color w:val="000000" w:themeColor="text1"/>
        </w:rPr>
      </w:pPr>
      <w:r w:rsidRPr="0084437F">
        <w:rPr>
          <w:rFonts w:cs="Calibri"/>
          <w:color w:val="000000" w:themeColor="text1"/>
        </w:rPr>
        <w:t xml:space="preserve">A geração célere de documentação e evidência de </w:t>
      </w:r>
      <w:proofErr w:type="spellStart"/>
      <w:r w:rsidRPr="00B84957">
        <w:rPr>
          <w:rFonts w:cs="Calibri"/>
          <w:i/>
          <w:iCs/>
          <w:color w:val="000000" w:themeColor="text1"/>
        </w:rPr>
        <w:t>compliance</w:t>
      </w:r>
      <w:proofErr w:type="spellEnd"/>
      <w:r w:rsidRPr="0084437F">
        <w:rPr>
          <w:rFonts w:cs="Calibri"/>
          <w:color w:val="000000" w:themeColor="text1"/>
        </w:rPr>
        <w:t>;</w:t>
      </w:r>
    </w:p>
    <w:p w14:paraId="2754ABDE" w14:textId="6926E558" w:rsidR="001E4B3A" w:rsidRPr="0084437F" w:rsidRDefault="001E4B3A" w:rsidP="006722F6">
      <w:pPr>
        <w:pStyle w:val="Corpo"/>
        <w:numPr>
          <w:ilvl w:val="0"/>
          <w:numId w:val="2"/>
        </w:numPr>
        <w:spacing w:before="0" w:after="0" w:line="240" w:lineRule="auto"/>
        <w:ind w:hanging="357"/>
        <w:jc w:val="both"/>
        <w:rPr>
          <w:rFonts w:cs="Calibri"/>
          <w:color w:val="000000" w:themeColor="text1"/>
        </w:rPr>
      </w:pPr>
      <w:r w:rsidRPr="0084437F">
        <w:rPr>
          <w:rFonts w:cs="Calibri"/>
          <w:color w:val="000000" w:themeColor="text1"/>
        </w:rPr>
        <w:t>A flexibilidade para suportar diferentes tipos de relações de cobertura (</w:t>
      </w:r>
      <w:r w:rsidRPr="00B84957">
        <w:rPr>
          <w:rFonts w:cs="Calibri"/>
          <w:i/>
          <w:iCs/>
          <w:color w:val="000000" w:themeColor="text1"/>
        </w:rPr>
        <w:t xml:space="preserve">fair </w:t>
      </w:r>
      <w:proofErr w:type="spellStart"/>
      <w:r w:rsidRPr="00B84957">
        <w:rPr>
          <w:rFonts w:cs="Calibri"/>
          <w:i/>
          <w:iCs/>
          <w:color w:val="000000" w:themeColor="text1"/>
        </w:rPr>
        <w:t>value</w:t>
      </w:r>
      <w:proofErr w:type="spellEnd"/>
      <w:r w:rsidRPr="00B84957">
        <w:rPr>
          <w:rFonts w:cs="Calibri"/>
          <w:i/>
          <w:iCs/>
          <w:color w:val="000000" w:themeColor="text1"/>
        </w:rPr>
        <w:t xml:space="preserve"> </w:t>
      </w:r>
      <w:proofErr w:type="spellStart"/>
      <w:r w:rsidRPr="00B84957">
        <w:rPr>
          <w:rFonts w:cs="Calibri"/>
          <w:i/>
          <w:iCs/>
          <w:color w:val="000000" w:themeColor="text1"/>
        </w:rPr>
        <w:t>hedge</w:t>
      </w:r>
      <w:proofErr w:type="spellEnd"/>
      <w:r w:rsidRPr="00B84957">
        <w:rPr>
          <w:rFonts w:cs="Calibri"/>
          <w:i/>
          <w:iCs/>
          <w:color w:val="000000" w:themeColor="text1"/>
        </w:rPr>
        <w:t>, cash</w:t>
      </w:r>
      <w:r w:rsidR="001B102C" w:rsidRPr="00B84957">
        <w:rPr>
          <w:rFonts w:cs="Calibri"/>
          <w:i/>
          <w:iCs/>
          <w:color w:val="000000" w:themeColor="text1"/>
        </w:rPr>
        <w:t>-</w:t>
      </w:r>
      <w:r w:rsidRPr="00B84957">
        <w:rPr>
          <w:rFonts w:cs="Calibri"/>
          <w:i/>
          <w:iCs/>
          <w:color w:val="000000" w:themeColor="text1"/>
        </w:rPr>
        <w:t xml:space="preserve">flow </w:t>
      </w:r>
      <w:proofErr w:type="spellStart"/>
      <w:r w:rsidRPr="00B84957">
        <w:rPr>
          <w:rFonts w:cs="Calibri"/>
          <w:i/>
          <w:iCs/>
          <w:color w:val="000000" w:themeColor="text1"/>
        </w:rPr>
        <w:t>hedge</w:t>
      </w:r>
      <w:proofErr w:type="spellEnd"/>
      <w:r w:rsidRPr="0084437F">
        <w:rPr>
          <w:rFonts w:cs="Calibri"/>
          <w:color w:val="000000" w:themeColor="text1"/>
        </w:rPr>
        <w:t>);</w:t>
      </w:r>
      <w:r w:rsidR="00107F70">
        <w:rPr>
          <w:rFonts w:cs="Calibri"/>
          <w:color w:val="000000" w:themeColor="text1"/>
        </w:rPr>
        <w:t xml:space="preserve"> e</w:t>
      </w:r>
    </w:p>
    <w:p w14:paraId="76523C23" w14:textId="77777777" w:rsidR="001E4B3A" w:rsidRPr="0084437F" w:rsidRDefault="001E4B3A" w:rsidP="006722F6">
      <w:pPr>
        <w:pStyle w:val="Corpo"/>
        <w:numPr>
          <w:ilvl w:val="0"/>
          <w:numId w:val="2"/>
        </w:numPr>
        <w:spacing w:before="0" w:after="0" w:line="240" w:lineRule="auto"/>
        <w:ind w:hanging="357"/>
        <w:jc w:val="both"/>
        <w:rPr>
          <w:rFonts w:cs="Calibri"/>
          <w:color w:val="000000" w:themeColor="text1"/>
        </w:rPr>
      </w:pPr>
      <w:r w:rsidRPr="0084437F">
        <w:rPr>
          <w:rFonts w:cs="Calibri"/>
          <w:color w:val="000000" w:themeColor="text1"/>
        </w:rPr>
        <w:t>A capacidade de adaptação às evoluções normativas e exigências internas e externas.</w:t>
      </w:r>
    </w:p>
    <w:p w14:paraId="4BD9F869" w14:textId="1502E998" w:rsidR="001E4B3A" w:rsidRPr="0084437F" w:rsidRDefault="001E4B3A" w:rsidP="0084437F">
      <w:pPr>
        <w:pStyle w:val="Corpo"/>
        <w:spacing w:after="240" w:line="240" w:lineRule="auto"/>
        <w:jc w:val="both"/>
        <w:rPr>
          <w:rFonts w:cs="Calibri"/>
          <w:color w:val="000000" w:themeColor="text1"/>
        </w:rPr>
      </w:pPr>
      <w:r w:rsidRPr="0084437F">
        <w:rPr>
          <w:rFonts w:cs="Calibri"/>
          <w:color w:val="000000" w:themeColor="text1"/>
        </w:rPr>
        <w:t xml:space="preserve">Neste contexto, o </w:t>
      </w:r>
      <w:r w:rsidR="00A15984">
        <w:rPr>
          <w:rFonts w:cs="Calibri"/>
          <w:color w:val="000000" w:themeColor="text1"/>
        </w:rPr>
        <w:t>Banco</w:t>
      </w:r>
      <w:r w:rsidRPr="0084437F">
        <w:rPr>
          <w:rFonts w:cs="Calibri"/>
          <w:color w:val="000000" w:themeColor="text1"/>
        </w:rPr>
        <w:t xml:space="preserve"> tem vindo a desenvolve</w:t>
      </w:r>
      <w:r w:rsidR="002B2BEA" w:rsidRPr="0084437F">
        <w:rPr>
          <w:rFonts w:cs="Calibri"/>
          <w:color w:val="000000" w:themeColor="text1"/>
        </w:rPr>
        <w:t>r</w:t>
      </w:r>
      <w:r w:rsidRPr="0084437F">
        <w:rPr>
          <w:rFonts w:cs="Calibri"/>
          <w:color w:val="000000" w:themeColor="text1"/>
        </w:rPr>
        <w:t xml:space="preserve"> soluç</w:t>
      </w:r>
      <w:r w:rsidR="002B2BEA" w:rsidRPr="0084437F">
        <w:rPr>
          <w:rFonts w:cs="Calibri"/>
          <w:color w:val="000000" w:themeColor="text1"/>
        </w:rPr>
        <w:t xml:space="preserve">ões </w:t>
      </w:r>
      <w:r w:rsidRPr="0084437F">
        <w:rPr>
          <w:rFonts w:cs="Calibri"/>
          <w:color w:val="000000" w:themeColor="text1"/>
        </w:rPr>
        <w:t>dedicada</w:t>
      </w:r>
      <w:r w:rsidR="002B2BEA" w:rsidRPr="0084437F">
        <w:rPr>
          <w:rFonts w:cs="Calibri"/>
          <w:color w:val="000000" w:themeColor="text1"/>
        </w:rPr>
        <w:t>s</w:t>
      </w:r>
      <w:r w:rsidRPr="0084437F">
        <w:rPr>
          <w:rFonts w:cs="Calibri"/>
          <w:color w:val="000000" w:themeColor="text1"/>
        </w:rPr>
        <w:t xml:space="preserve"> ao </w:t>
      </w:r>
      <w:proofErr w:type="spellStart"/>
      <w:r w:rsidRPr="00B84957">
        <w:rPr>
          <w:rFonts w:cs="Calibri"/>
          <w:i/>
          <w:iCs/>
          <w:color w:val="000000" w:themeColor="text1"/>
        </w:rPr>
        <w:t>hedge</w:t>
      </w:r>
      <w:proofErr w:type="spellEnd"/>
      <w:r w:rsidRPr="00B84957">
        <w:rPr>
          <w:rFonts w:cs="Calibri"/>
          <w:i/>
          <w:iCs/>
          <w:color w:val="000000" w:themeColor="text1"/>
        </w:rPr>
        <w:t xml:space="preserve"> </w:t>
      </w:r>
      <w:proofErr w:type="spellStart"/>
      <w:r w:rsidRPr="00B84957">
        <w:rPr>
          <w:rFonts w:cs="Calibri"/>
          <w:i/>
          <w:iCs/>
          <w:color w:val="000000" w:themeColor="text1"/>
        </w:rPr>
        <w:t>accounting</w:t>
      </w:r>
      <w:proofErr w:type="spellEnd"/>
      <w:r w:rsidRPr="0084437F">
        <w:rPr>
          <w:rFonts w:cs="Calibri"/>
          <w:color w:val="000000" w:themeColor="text1"/>
        </w:rPr>
        <w:t>, capaz</w:t>
      </w:r>
      <w:r w:rsidR="002B2BEA" w:rsidRPr="0084437F">
        <w:rPr>
          <w:rFonts w:cs="Calibri"/>
          <w:color w:val="000000" w:themeColor="text1"/>
        </w:rPr>
        <w:t>es</w:t>
      </w:r>
      <w:r w:rsidRPr="0084437F">
        <w:rPr>
          <w:rFonts w:cs="Calibri"/>
          <w:color w:val="000000" w:themeColor="text1"/>
        </w:rPr>
        <w:t xml:space="preserve"> de assegurar a rastreabilidade entre operações e políticas de cobertura, integrando dados contabilísticos, de risco e de mercado. </w:t>
      </w:r>
      <w:r w:rsidR="00036B86" w:rsidRPr="0084437F">
        <w:rPr>
          <w:rFonts w:cs="Calibri"/>
          <w:color w:val="000000" w:themeColor="text1"/>
        </w:rPr>
        <w:t>Isto</w:t>
      </w:r>
      <w:r w:rsidRPr="0084437F">
        <w:rPr>
          <w:rFonts w:cs="Calibri"/>
          <w:color w:val="000000" w:themeColor="text1"/>
        </w:rPr>
        <w:t xml:space="preserve"> permitirá não só a produção recorrente de evidência</w:t>
      </w:r>
      <w:r w:rsidR="00036B86" w:rsidRPr="0084437F">
        <w:rPr>
          <w:rFonts w:cs="Calibri"/>
          <w:color w:val="000000" w:themeColor="text1"/>
        </w:rPr>
        <w:t>s e</w:t>
      </w:r>
      <w:r w:rsidRPr="0084437F">
        <w:rPr>
          <w:rFonts w:cs="Calibri"/>
          <w:color w:val="000000" w:themeColor="text1"/>
        </w:rPr>
        <w:t xml:space="preserve"> documenta</w:t>
      </w:r>
      <w:r w:rsidR="00036B86" w:rsidRPr="0084437F">
        <w:rPr>
          <w:rFonts w:cs="Calibri"/>
          <w:color w:val="000000" w:themeColor="text1"/>
        </w:rPr>
        <w:t xml:space="preserve">ção </w:t>
      </w:r>
      <w:r w:rsidRPr="0084437F">
        <w:rPr>
          <w:rFonts w:cs="Calibri"/>
          <w:color w:val="000000" w:themeColor="text1"/>
        </w:rPr>
        <w:t xml:space="preserve">contabilística, como também o cumprimento de requisitos específicos relacionados com inspeções, auditorias e </w:t>
      </w:r>
      <w:r w:rsidR="00B74E01">
        <w:rPr>
          <w:rFonts w:cs="Calibri"/>
          <w:color w:val="000000" w:themeColor="text1"/>
        </w:rPr>
        <w:t xml:space="preserve">reportes </w:t>
      </w:r>
      <w:r w:rsidRPr="0084437F">
        <w:rPr>
          <w:rFonts w:cs="Calibri"/>
          <w:color w:val="000000" w:themeColor="text1"/>
        </w:rPr>
        <w:t>regulatóri</w:t>
      </w:r>
      <w:r w:rsidR="00B74E01">
        <w:rPr>
          <w:rFonts w:cs="Calibri"/>
          <w:color w:val="000000" w:themeColor="text1"/>
        </w:rPr>
        <w:t>o</w:t>
      </w:r>
      <w:r w:rsidRPr="0084437F">
        <w:rPr>
          <w:rFonts w:cs="Calibri"/>
          <w:color w:val="000000" w:themeColor="text1"/>
        </w:rPr>
        <w:t>s</w:t>
      </w:r>
      <w:r w:rsidR="00725377">
        <w:rPr>
          <w:rFonts w:cs="Calibri"/>
          <w:color w:val="000000" w:themeColor="text1"/>
        </w:rPr>
        <w:t>.</w:t>
      </w:r>
      <w:r w:rsidRPr="0084437F">
        <w:rPr>
          <w:rFonts w:cs="Calibri"/>
          <w:color w:val="000000" w:themeColor="text1"/>
        </w:rPr>
        <w:t xml:space="preserve"> </w:t>
      </w:r>
    </w:p>
    <w:p w14:paraId="041BAAFE" w14:textId="185ED31E" w:rsidR="001E4B3A" w:rsidRPr="0084437F" w:rsidRDefault="001E4B3A" w:rsidP="0084437F">
      <w:pPr>
        <w:pStyle w:val="Corpo"/>
        <w:spacing w:after="240" w:line="240" w:lineRule="auto"/>
        <w:jc w:val="both"/>
        <w:rPr>
          <w:rFonts w:cs="Calibri"/>
          <w:color w:val="000000" w:themeColor="text1"/>
        </w:rPr>
      </w:pPr>
      <w:r w:rsidRPr="0084437F">
        <w:rPr>
          <w:rFonts w:cs="Calibri"/>
          <w:color w:val="000000" w:themeColor="text1"/>
        </w:rPr>
        <w:t xml:space="preserve">Adicionalmente, e considerando a criticidade desta transição, foi desenhado um modelo de </w:t>
      </w:r>
      <w:r w:rsidRPr="0092050A">
        <w:rPr>
          <w:rFonts w:cs="Calibri"/>
          <w:color w:val="000000" w:themeColor="text1"/>
        </w:rPr>
        <w:t>govern</w:t>
      </w:r>
      <w:r w:rsidR="00A73B11" w:rsidRPr="0092050A">
        <w:rPr>
          <w:rFonts w:cs="Calibri"/>
          <w:color w:val="000000" w:themeColor="text1"/>
        </w:rPr>
        <w:t>o</w:t>
      </w:r>
      <w:r w:rsidRPr="0084437F">
        <w:rPr>
          <w:rFonts w:cs="Calibri"/>
          <w:color w:val="000000" w:themeColor="text1"/>
        </w:rPr>
        <w:t xml:space="preserve"> transversal, aplicável a todas as áreas envolvidas no ciclo de vida do </w:t>
      </w:r>
      <w:proofErr w:type="spellStart"/>
      <w:r w:rsidRPr="00B84957">
        <w:rPr>
          <w:rFonts w:cs="Calibri"/>
          <w:i/>
          <w:iCs/>
          <w:color w:val="000000" w:themeColor="text1"/>
        </w:rPr>
        <w:t>hedge</w:t>
      </w:r>
      <w:proofErr w:type="spellEnd"/>
      <w:r w:rsidRPr="00B84957">
        <w:rPr>
          <w:rFonts w:cs="Calibri"/>
          <w:i/>
          <w:iCs/>
          <w:color w:val="000000" w:themeColor="text1"/>
        </w:rPr>
        <w:t xml:space="preserve"> </w:t>
      </w:r>
      <w:proofErr w:type="spellStart"/>
      <w:r w:rsidRPr="00B84957">
        <w:rPr>
          <w:rFonts w:cs="Calibri"/>
          <w:i/>
          <w:iCs/>
          <w:color w:val="000000" w:themeColor="text1"/>
        </w:rPr>
        <w:t>accounting</w:t>
      </w:r>
      <w:proofErr w:type="spellEnd"/>
      <w:r w:rsidRPr="0084437F">
        <w:rPr>
          <w:rFonts w:cs="Calibri"/>
          <w:color w:val="000000" w:themeColor="text1"/>
        </w:rPr>
        <w:t xml:space="preserve"> – desde a definição de políticas, até à sua implementação operacional e reporte. Este modelo de governo pretende garantir:</w:t>
      </w:r>
    </w:p>
    <w:p w14:paraId="347B7365" w14:textId="77777777" w:rsidR="001E4B3A" w:rsidRPr="0084437F" w:rsidRDefault="001E4B3A" w:rsidP="006722F6">
      <w:pPr>
        <w:pStyle w:val="Corpo"/>
        <w:numPr>
          <w:ilvl w:val="0"/>
          <w:numId w:val="2"/>
        </w:numPr>
        <w:spacing w:before="0" w:after="0" w:line="240" w:lineRule="auto"/>
        <w:ind w:hanging="357"/>
        <w:jc w:val="both"/>
        <w:rPr>
          <w:rFonts w:cs="Calibri"/>
          <w:color w:val="000000" w:themeColor="text1"/>
        </w:rPr>
      </w:pPr>
      <w:r w:rsidRPr="0084437F">
        <w:rPr>
          <w:rFonts w:cs="Calibri"/>
          <w:color w:val="000000" w:themeColor="text1"/>
        </w:rPr>
        <w:t>A definição clara de papéis e responsabilidades;</w:t>
      </w:r>
    </w:p>
    <w:p w14:paraId="7B37BDC2" w14:textId="77777777" w:rsidR="003D16A6" w:rsidRDefault="00D06692" w:rsidP="006722F6">
      <w:pPr>
        <w:pStyle w:val="Corpo"/>
        <w:numPr>
          <w:ilvl w:val="0"/>
          <w:numId w:val="2"/>
        </w:numPr>
        <w:spacing w:before="0" w:after="0" w:line="240" w:lineRule="auto"/>
        <w:ind w:hanging="357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A centralização </w:t>
      </w:r>
      <w:r w:rsidR="003D16A6">
        <w:rPr>
          <w:rFonts w:cs="Calibri"/>
          <w:color w:val="000000" w:themeColor="text1"/>
        </w:rPr>
        <w:t>de toda a documentação referente ao processo;</w:t>
      </w:r>
    </w:p>
    <w:p w14:paraId="3D6BF969" w14:textId="77777777" w:rsidR="001E4B3A" w:rsidRPr="0084437F" w:rsidRDefault="001E4B3A" w:rsidP="006722F6">
      <w:pPr>
        <w:pStyle w:val="Corpo"/>
        <w:numPr>
          <w:ilvl w:val="0"/>
          <w:numId w:val="2"/>
        </w:numPr>
        <w:spacing w:before="0" w:after="0" w:line="240" w:lineRule="auto"/>
        <w:ind w:hanging="357"/>
        <w:jc w:val="both"/>
        <w:rPr>
          <w:rFonts w:cs="Calibri"/>
          <w:color w:val="000000" w:themeColor="text1"/>
        </w:rPr>
      </w:pPr>
      <w:r w:rsidRPr="0084437F">
        <w:rPr>
          <w:rFonts w:cs="Calibri"/>
          <w:color w:val="000000" w:themeColor="text1"/>
        </w:rPr>
        <w:t>A monitorização contínua da eficácia das coberturas e da conformidade com a IFRS 9;</w:t>
      </w:r>
    </w:p>
    <w:p w14:paraId="7DE68F93" w14:textId="44B55FED" w:rsidR="0065390F" w:rsidRPr="0065390F" w:rsidRDefault="001E4B3A" w:rsidP="006722F6">
      <w:pPr>
        <w:pStyle w:val="Corpo"/>
        <w:numPr>
          <w:ilvl w:val="0"/>
          <w:numId w:val="2"/>
        </w:numPr>
        <w:spacing w:before="0" w:after="0" w:line="240" w:lineRule="auto"/>
        <w:ind w:hanging="357"/>
        <w:jc w:val="both"/>
        <w:rPr>
          <w:rFonts w:cs="Calibri"/>
          <w:color w:val="000000" w:themeColor="text1"/>
        </w:rPr>
      </w:pPr>
      <w:r w:rsidRPr="0084437F">
        <w:rPr>
          <w:rFonts w:cs="Calibri"/>
          <w:color w:val="000000" w:themeColor="text1"/>
        </w:rPr>
        <w:t xml:space="preserve">A escalabilidade </w:t>
      </w:r>
      <w:r w:rsidR="00A15984">
        <w:rPr>
          <w:rFonts w:cs="Calibri"/>
          <w:color w:val="000000" w:themeColor="text1"/>
        </w:rPr>
        <w:t xml:space="preserve">e robustez </w:t>
      </w:r>
      <w:r w:rsidRPr="0084437F">
        <w:rPr>
          <w:rFonts w:cs="Calibri"/>
          <w:color w:val="000000" w:themeColor="text1"/>
        </w:rPr>
        <w:t>da solução para novas necessidades regulamentares ou de gestão interna</w:t>
      </w:r>
      <w:r w:rsidR="002C5DD9">
        <w:rPr>
          <w:rFonts w:cs="Calibri"/>
          <w:color w:val="000000" w:themeColor="text1"/>
        </w:rPr>
        <w:t>;</w:t>
      </w:r>
    </w:p>
    <w:p w14:paraId="516E296D" w14:textId="76381ED6" w:rsidR="000D36D8" w:rsidRPr="00A269D7" w:rsidRDefault="000D36D8" w:rsidP="006722F6">
      <w:pPr>
        <w:pStyle w:val="Corpo"/>
        <w:numPr>
          <w:ilvl w:val="0"/>
          <w:numId w:val="2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r w:rsidRPr="00A269D7">
        <w:rPr>
          <w:rFonts w:cs="Calibri"/>
          <w:color w:val="000000" w:themeColor="text1"/>
        </w:rPr>
        <w:t>Assegurar a fiabilidade e rastreabilidade dos dados;</w:t>
      </w:r>
      <w:r w:rsidR="00107F70">
        <w:rPr>
          <w:rFonts w:cs="Calibri"/>
          <w:color w:val="000000" w:themeColor="text1"/>
        </w:rPr>
        <w:t xml:space="preserve"> e</w:t>
      </w:r>
    </w:p>
    <w:p w14:paraId="2E5444B6" w14:textId="512355A3" w:rsidR="002C5DD9" w:rsidRDefault="000D36D8" w:rsidP="006722F6">
      <w:pPr>
        <w:pStyle w:val="Corpo"/>
        <w:numPr>
          <w:ilvl w:val="0"/>
          <w:numId w:val="2"/>
        </w:numPr>
        <w:spacing w:before="0" w:after="0" w:line="240" w:lineRule="auto"/>
        <w:ind w:hanging="357"/>
        <w:jc w:val="both"/>
        <w:rPr>
          <w:rFonts w:cs="Calibri"/>
          <w:color w:val="000000" w:themeColor="text1"/>
        </w:rPr>
      </w:pPr>
      <w:r w:rsidRPr="00A269D7">
        <w:rPr>
          <w:rFonts w:cs="Calibri"/>
          <w:color w:val="000000" w:themeColor="text1"/>
        </w:rPr>
        <w:t>Suportar a eficiência operacional</w:t>
      </w:r>
      <w:r w:rsidR="002C5DD9">
        <w:rPr>
          <w:rFonts w:cs="Calibri"/>
          <w:color w:val="000000" w:themeColor="text1"/>
        </w:rPr>
        <w:t>.</w:t>
      </w:r>
      <w:r>
        <w:rPr>
          <w:rFonts w:cs="Calibri"/>
          <w:color w:val="000000" w:themeColor="text1"/>
        </w:rPr>
        <w:t xml:space="preserve"> </w:t>
      </w:r>
    </w:p>
    <w:p w14:paraId="216FD818" w14:textId="0F882379" w:rsidR="00944D68" w:rsidRDefault="001E4B3A" w:rsidP="00D27E13">
      <w:pPr>
        <w:pStyle w:val="Corpo"/>
        <w:spacing w:after="240" w:line="240" w:lineRule="auto"/>
        <w:ind w:left="0"/>
        <w:jc w:val="both"/>
        <w:rPr>
          <w:rFonts w:eastAsiaTheme="majorEastAsia" w:cs="Calibri"/>
          <w:b/>
          <w:color w:val="000000" w:themeColor="text1"/>
          <w:sz w:val="32"/>
          <w:szCs w:val="32"/>
        </w:rPr>
      </w:pPr>
      <w:r w:rsidRPr="0084437F">
        <w:rPr>
          <w:rFonts w:cs="Calibri"/>
          <w:color w:val="000000" w:themeColor="text1"/>
        </w:rPr>
        <w:t xml:space="preserve">O compromisso do </w:t>
      </w:r>
      <w:r w:rsidR="00A15984">
        <w:rPr>
          <w:rFonts w:cs="Calibri"/>
          <w:color w:val="000000" w:themeColor="text1"/>
        </w:rPr>
        <w:t>Banco</w:t>
      </w:r>
      <w:r w:rsidRPr="0084437F">
        <w:rPr>
          <w:rFonts w:cs="Calibri"/>
          <w:color w:val="000000" w:themeColor="text1"/>
        </w:rPr>
        <w:t xml:space="preserve"> é assegurar que</w:t>
      </w:r>
      <w:r w:rsidR="00C3593E">
        <w:rPr>
          <w:rFonts w:cs="Calibri"/>
          <w:color w:val="000000" w:themeColor="text1"/>
        </w:rPr>
        <w:t xml:space="preserve"> </w:t>
      </w:r>
      <w:r w:rsidRPr="0084437F">
        <w:rPr>
          <w:rFonts w:cs="Calibri"/>
          <w:color w:val="000000" w:themeColor="text1"/>
        </w:rPr>
        <w:t xml:space="preserve">todos os processos, sistemas e controlos relacionados com </w:t>
      </w:r>
      <w:proofErr w:type="spellStart"/>
      <w:r w:rsidRPr="00956F25">
        <w:rPr>
          <w:rFonts w:cs="Calibri"/>
          <w:i/>
          <w:iCs/>
          <w:color w:val="000000" w:themeColor="text1"/>
        </w:rPr>
        <w:t>hedge</w:t>
      </w:r>
      <w:proofErr w:type="spellEnd"/>
      <w:r w:rsidRPr="00956F25">
        <w:rPr>
          <w:rFonts w:cs="Calibri"/>
          <w:i/>
          <w:iCs/>
          <w:color w:val="000000" w:themeColor="text1"/>
        </w:rPr>
        <w:t xml:space="preserve"> </w:t>
      </w:r>
      <w:proofErr w:type="spellStart"/>
      <w:r w:rsidRPr="00956F25">
        <w:rPr>
          <w:rFonts w:cs="Calibri"/>
          <w:i/>
          <w:iCs/>
          <w:color w:val="000000" w:themeColor="text1"/>
        </w:rPr>
        <w:t>accounting</w:t>
      </w:r>
      <w:proofErr w:type="spellEnd"/>
      <w:r w:rsidRPr="0084437F">
        <w:rPr>
          <w:rFonts w:cs="Calibri"/>
          <w:color w:val="000000" w:themeColor="text1"/>
        </w:rPr>
        <w:t xml:space="preserve"> se encontram</w:t>
      </w:r>
      <w:r w:rsidR="00C3593E">
        <w:rPr>
          <w:rFonts w:cs="Calibri"/>
          <w:color w:val="000000" w:themeColor="text1"/>
        </w:rPr>
        <w:t xml:space="preserve"> </w:t>
      </w:r>
      <w:r w:rsidRPr="0084437F">
        <w:rPr>
          <w:rFonts w:cs="Calibri"/>
          <w:color w:val="000000" w:themeColor="text1"/>
        </w:rPr>
        <w:t>em conformidade com a IFRS 9, contribuindo assim para uma maior robustez contabilística</w:t>
      </w:r>
      <w:r w:rsidR="00EE447E">
        <w:rPr>
          <w:rFonts w:cs="Calibri"/>
          <w:color w:val="000000" w:themeColor="text1"/>
        </w:rPr>
        <w:t xml:space="preserve"> e</w:t>
      </w:r>
      <w:r w:rsidRPr="0084437F" w:rsidDel="00EE447E">
        <w:rPr>
          <w:rFonts w:cs="Calibri"/>
          <w:color w:val="000000" w:themeColor="text1"/>
        </w:rPr>
        <w:t xml:space="preserve"> </w:t>
      </w:r>
      <w:r w:rsidRPr="0084437F">
        <w:rPr>
          <w:rFonts w:cs="Calibri"/>
          <w:color w:val="000000" w:themeColor="text1"/>
        </w:rPr>
        <w:t>transparência nas demonstrações financeiras.</w:t>
      </w:r>
    </w:p>
    <w:p w14:paraId="6E03D38F" w14:textId="6A1ACE79" w:rsidR="007951B1" w:rsidRPr="0000577A" w:rsidRDefault="00224257" w:rsidP="006722F6">
      <w:pPr>
        <w:pStyle w:val="Ttulo11"/>
        <w:numPr>
          <w:ilvl w:val="0"/>
          <w:numId w:val="1"/>
        </w:numPr>
        <w:spacing w:line="240" w:lineRule="auto"/>
      </w:pPr>
      <w:bookmarkStart w:id="3" w:name="_Toc205549106"/>
      <w:r>
        <w:lastRenderedPageBreak/>
        <w:t>Enquadramento</w:t>
      </w:r>
      <w:r w:rsidR="006F3CA3">
        <w:t xml:space="preserve"> do Modelo</w:t>
      </w:r>
      <w:bookmarkEnd w:id="3"/>
    </w:p>
    <w:p w14:paraId="1978E0FE" w14:textId="74E7F07D" w:rsidR="000C346E" w:rsidRDefault="005C7EE2" w:rsidP="002412CD">
      <w:pPr>
        <w:pStyle w:val="Corpo"/>
        <w:spacing w:after="240" w:line="240" w:lineRule="auto"/>
        <w:jc w:val="both"/>
        <w:rPr>
          <w:rFonts w:cs="Calibri"/>
          <w:color w:val="000000" w:themeColor="text1"/>
        </w:rPr>
      </w:pPr>
      <w:r w:rsidRPr="0000577A">
        <w:rPr>
          <w:rFonts w:cs="Calibri"/>
          <w:color w:val="000000" w:themeColor="text1"/>
        </w:rPr>
        <w:t>A complexidade dos requisitos</w:t>
      </w:r>
      <w:r w:rsidR="003B03FE">
        <w:rPr>
          <w:rFonts w:cs="Calibri"/>
          <w:color w:val="000000" w:themeColor="text1"/>
        </w:rPr>
        <w:t xml:space="preserve"> </w:t>
      </w:r>
      <w:r w:rsidR="00DA3F07">
        <w:rPr>
          <w:rFonts w:cs="Calibri"/>
          <w:color w:val="000000" w:themeColor="text1"/>
        </w:rPr>
        <w:t xml:space="preserve">relativos a </w:t>
      </w:r>
      <w:proofErr w:type="spellStart"/>
      <w:r w:rsidR="00DA3F07">
        <w:rPr>
          <w:rFonts w:cs="Calibri"/>
          <w:i/>
          <w:iCs/>
          <w:color w:val="000000" w:themeColor="text1"/>
        </w:rPr>
        <w:t>hedge</w:t>
      </w:r>
      <w:proofErr w:type="spellEnd"/>
      <w:r w:rsidR="00DA3F07">
        <w:rPr>
          <w:rFonts w:cs="Calibri"/>
          <w:i/>
          <w:iCs/>
          <w:color w:val="000000" w:themeColor="text1"/>
        </w:rPr>
        <w:t xml:space="preserve"> </w:t>
      </w:r>
      <w:proofErr w:type="spellStart"/>
      <w:r w:rsidR="00DA3F07">
        <w:rPr>
          <w:rFonts w:cs="Calibri"/>
          <w:i/>
          <w:iCs/>
          <w:color w:val="000000" w:themeColor="text1"/>
        </w:rPr>
        <w:t>accounting</w:t>
      </w:r>
      <w:proofErr w:type="spellEnd"/>
      <w:r w:rsidRPr="0000577A">
        <w:rPr>
          <w:rFonts w:cs="Calibri"/>
          <w:color w:val="000000" w:themeColor="text1"/>
        </w:rPr>
        <w:t xml:space="preserve">, tanto em contexto regulatório como interno, exige a definição de um modelo de </w:t>
      </w:r>
      <w:r w:rsidR="00C71392" w:rsidRPr="0092050A">
        <w:rPr>
          <w:rFonts w:cs="Calibri"/>
          <w:color w:val="000000" w:themeColor="text1"/>
        </w:rPr>
        <w:t>governo</w:t>
      </w:r>
      <w:r w:rsidR="00C71392" w:rsidRPr="0000577A">
        <w:rPr>
          <w:rFonts w:cs="Calibri"/>
          <w:color w:val="000000" w:themeColor="text1"/>
        </w:rPr>
        <w:t xml:space="preserve"> </w:t>
      </w:r>
      <w:r w:rsidRPr="0000577A">
        <w:rPr>
          <w:rFonts w:cs="Calibri"/>
          <w:color w:val="000000" w:themeColor="text1"/>
        </w:rPr>
        <w:t>claro, robusto e transversal.</w:t>
      </w:r>
      <w:r w:rsidR="00CC3214">
        <w:rPr>
          <w:rFonts w:cs="Calibri"/>
          <w:color w:val="000000" w:themeColor="text1"/>
        </w:rPr>
        <w:t xml:space="preserve"> O presente documento tem como objetivo </w:t>
      </w:r>
      <w:r w:rsidR="000415F1">
        <w:rPr>
          <w:rFonts w:cs="Calibri"/>
          <w:color w:val="000000" w:themeColor="text1"/>
        </w:rPr>
        <w:t>estabelecer</w:t>
      </w:r>
      <w:r w:rsidR="00CC3214">
        <w:rPr>
          <w:rFonts w:cs="Calibri"/>
          <w:color w:val="000000" w:themeColor="text1"/>
        </w:rPr>
        <w:t xml:space="preserve"> esse mesmo modelo</w:t>
      </w:r>
      <w:r w:rsidR="00E448B5">
        <w:rPr>
          <w:rFonts w:cs="Calibri"/>
          <w:color w:val="000000" w:themeColor="text1"/>
        </w:rPr>
        <w:t xml:space="preserve">, </w:t>
      </w:r>
      <w:r w:rsidR="00506063">
        <w:rPr>
          <w:rFonts w:cs="Calibri"/>
          <w:color w:val="000000" w:themeColor="text1"/>
        </w:rPr>
        <w:t xml:space="preserve">enquadrando os princípios, </w:t>
      </w:r>
      <w:r w:rsidR="00A658E1">
        <w:rPr>
          <w:rFonts w:cs="Calibri"/>
          <w:color w:val="000000" w:themeColor="text1"/>
        </w:rPr>
        <w:t xml:space="preserve">estruturas, </w:t>
      </w:r>
      <w:r w:rsidR="00BD0544">
        <w:rPr>
          <w:rFonts w:cs="Calibri"/>
          <w:color w:val="000000" w:themeColor="text1"/>
        </w:rPr>
        <w:t>responsabilidades</w:t>
      </w:r>
      <w:r w:rsidR="00A658E1">
        <w:rPr>
          <w:rFonts w:cs="Calibri"/>
          <w:color w:val="000000" w:themeColor="text1"/>
        </w:rPr>
        <w:t xml:space="preserve"> e processos que asseguram a gestão eficaz, controlada e transparente </w:t>
      </w:r>
      <w:r w:rsidR="00183F0C">
        <w:rPr>
          <w:rFonts w:cs="Calibri"/>
          <w:color w:val="000000" w:themeColor="text1"/>
        </w:rPr>
        <w:t>dos dados</w:t>
      </w:r>
      <w:r w:rsidR="00D85B14">
        <w:rPr>
          <w:rFonts w:cs="Calibri"/>
          <w:color w:val="000000" w:themeColor="text1"/>
        </w:rPr>
        <w:t>.</w:t>
      </w:r>
    </w:p>
    <w:p w14:paraId="44F27982" w14:textId="5B105ECB" w:rsidR="00FA50F5" w:rsidRDefault="0024241F" w:rsidP="00FA50F5">
      <w:pPr>
        <w:pStyle w:val="Corpo"/>
        <w:spacing w:after="240" w:line="240" w:lineRule="auto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O</w:t>
      </w:r>
      <w:r w:rsidR="00DF3CFE">
        <w:rPr>
          <w:rFonts w:cs="Calibri"/>
          <w:color w:val="000000" w:themeColor="text1"/>
        </w:rPr>
        <w:t xml:space="preserve"> </w:t>
      </w:r>
      <w:r w:rsidR="00A15984">
        <w:rPr>
          <w:rFonts w:cs="Calibri"/>
          <w:color w:val="000000" w:themeColor="text1"/>
        </w:rPr>
        <w:t>Banco</w:t>
      </w:r>
      <w:r w:rsidR="00BA35B2">
        <w:rPr>
          <w:rFonts w:cs="Calibri"/>
          <w:color w:val="000000" w:themeColor="text1"/>
        </w:rPr>
        <w:t xml:space="preserve"> </w:t>
      </w:r>
      <w:r w:rsidR="005D2F77">
        <w:rPr>
          <w:rFonts w:cs="Calibri"/>
          <w:color w:val="000000" w:themeColor="text1"/>
        </w:rPr>
        <w:t>dispõe</w:t>
      </w:r>
      <w:r w:rsidR="00404FD4">
        <w:rPr>
          <w:rFonts w:cs="Calibri"/>
          <w:color w:val="000000" w:themeColor="text1"/>
        </w:rPr>
        <w:t xml:space="preserve"> também</w:t>
      </w:r>
      <w:r w:rsidR="005D2F77">
        <w:rPr>
          <w:rFonts w:cs="Calibri"/>
          <w:color w:val="000000" w:themeColor="text1"/>
        </w:rPr>
        <w:t xml:space="preserve"> de um Modelo de Governo de Reporte </w:t>
      </w:r>
      <w:r w:rsidR="00E67D14">
        <w:rPr>
          <w:rFonts w:cs="Calibri"/>
          <w:color w:val="000000" w:themeColor="text1"/>
        </w:rPr>
        <w:t>Regulatório</w:t>
      </w:r>
      <w:r w:rsidR="00CA59CE">
        <w:rPr>
          <w:rFonts w:cs="Calibri"/>
          <w:color w:val="000000" w:themeColor="text1"/>
        </w:rPr>
        <w:t xml:space="preserve"> </w:t>
      </w:r>
      <w:r w:rsidR="00740050">
        <w:rPr>
          <w:rFonts w:cs="Calibri"/>
          <w:color w:val="000000" w:themeColor="text1"/>
        </w:rPr>
        <w:t xml:space="preserve">regido pela Circular </w:t>
      </w:r>
      <w:r w:rsidR="00EB5F7A">
        <w:rPr>
          <w:rFonts w:cs="Calibri"/>
          <w:color w:val="000000" w:themeColor="text1"/>
        </w:rPr>
        <w:t>Nº 67/2023</w:t>
      </w:r>
      <w:r w:rsidR="00114FA6">
        <w:rPr>
          <w:rFonts w:cs="Calibri"/>
          <w:color w:val="000000" w:themeColor="text1"/>
        </w:rPr>
        <w:t xml:space="preserve"> </w:t>
      </w:r>
      <w:r w:rsidR="00404FD4">
        <w:rPr>
          <w:rFonts w:cs="Calibri"/>
          <w:color w:val="000000" w:themeColor="text1"/>
        </w:rPr>
        <w:t>que assegura o alinhamento dos objetivos estratégicos</w:t>
      </w:r>
      <w:r w:rsidR="00114FA6">
        <w:rPr>
          <w:rFonts w:cs="Calibri"/>
          <w:color w:val="000000" w:themeColor="text1"/>
        </w:rPr>
        <w:t xml:space="preserve"> e regulatórios </w:t>
      </w:r>
      <w:r w:rsidR="00114FA6" w:rsidRPr="005B0BD2">
        <w:rPr>
          <w:rFonts w:cs="Calibri"/>
          <w:color w:val="000000" w:themeColor="text1"/>
        </w:rPr>
        <w:t>da instituição</w:t>
      </w:r>
      <w:r w:rsidR="00404FD4">
        <w:rPr>
          <w:rFonts w:cs="Calibri"/>
          <w:color w:val="000000" w:themeColor="text1"/>
        </w:rPr>
        <w:t>.</w:t>
      </w:r>
      <w:r w:rsidR="00D3576C">
        <w:rPr>
          <w:rFonts w:cs="Calibri"/>
          <w:color w:val="000000" w:themeColor="text1"/>
        </w:rPr>
        <w:t xml:space="preserve"> </w:t>
      </w:r>
      <w:r w:rsidR="00AC5B96">
        <w:rPr>
          <w:rFonts w:cs="Calibri"/>
          <w:color w:val="000000" w:themeColor="text1"/>
        </w:rPr>
        <w:t xml:space="preserve">O presente modelo </w:t>
      </w:r>
      <w:r w:rsidR="005B6494">
        <w:rPr>
          <w:rFonts w:cs="Calibri"/>
          <w:color w:val="000000" w:themeColor="text1"/>
        </w:rPr>
        <w:t xml:space="preserve">de </w:t>
      </w:r>
      <w:proofErr w:type="spellStart"/>
      <w:r w:rsidR="005B6494">
        <w:rPr>
          <w:rFonts w:cs="Calibri"/>
          <w:i/>
          <w:iCs/>
          <w:color w:val="000000" w:themeColor="text1"/>
        </w:rPr>
        <w:t>hedge</w:t>
      </w:r>
      <w:proofErr w:type="spellEnd"/>
      <w:r w:rsidR="005B6494">
        <w:rPr>
          <w:rFonts w:cs="Calibri"/>
          <w:i/>
          <w:iCs/>
          <w:color w:val="000000" w:themeColor="text1"/>
        </w:rPr>
        <w:t xml:space="preserve"> </w:t>
      </w:r>
      <w:proofErr w:type="spellStart"/>
      <w:r w:rsidR="001367E6">
        <w:rPr>
          <w:rFonts w:cs="Calibri"/>
          <w:i/>
          <w:iCs/>
          <w:color w:val="000000" w:themeColor="text1"/>
        </w:rPr>
        <w:t>accounting</w:t>
      </w:r>
      <w:proofErr w:type="spellEnd"/>
      <w:r w:rsidR="00D33740">
        <w:rPr>
          <w:rFonts w:cs="Calibri"/>
          <w:color w:val="000000" w:themeColor="text1"/>
        </w:rPr>
        <w:t xml:space="preserve"> integra-se nesta </w:t>
      </w:r>
      <w:r w:rsidR="00371827">
        <w:rPr>
          <w:rFonts w:cs="Calibri"/>
          <w:color w:val="000000" w:themeColor="text1"/>
        </w:rPr>
        <w:t>estrutura</w:t>
      </w:r>
      <w:r w:rsidR="00536F60">
        <w:rPr>
          <w:rFonts w:cs="Calibri"/>
          <w:color w:val="000000" w:themeColor="text1"/>
        </w:rPr>
        <w:t xml:space="preserve">, promovendo uma abordagem integrada entre </w:t>
      </w:r>
      <w:r w:rsidR="0035199D">
        <w:rPr>
          <w:rFonts w:cs="Calibri"/>
          <w:color w:val="000000" w:themeColor="text1"/>
        </w:rPr>
        <w:t>áreas</w:t>
      </w:r>
      <w:r w:rsidR="00536F60">
        <w:rPr>
          <w:rFonts w:cs="Calibri"/>
          <w:color w:val="000000" w:themeColor="text1"/>
        </w:rPr>
        <w:t>, processos</w:t>
      </w:r>
      <w:r w:rsidR="000066A9">
        <w:rPr>
          <w:rFonts w:cs="Calibri"/>
          <w:color w:val="000000" w:themeColor="text1"/>
        </w:rPr>
        <w:t xml:space="preserve"> e </w:t>
      </w:r>
      <w:r w:rsidR="00DB3C6B">
        <w:rPr>
          <w:rFonts w:cs="Calibri"/>
          <w:color w:val="000000" w:themeColor="text1"/>
        </w:rPr>
        <w:t>monitorização</w:t>
      </w:r>
      <w:r w:rsidR="009B0394">
        <w:rPr>
          <w:rFonts w:cs="Calibri"/>
          <w:color w:val="000000" w:themeColor="text1"/>
        </w:rPr>
        <w:t xml:space="preserve">, em linha com os requisitos prudenciais em vigor. </w:t>
      </w:r>
    </w:p>
    <w:p w14:paraId="1237D2EB" w14:textId="0101DB5B" w:rsidR="00FA50F5" w:rsidRPr="001428E3" w:rsidRDefault="001428E3" w:rsidP="002412CD">
      <w:pPr>
        <w:pStyle w:val="Corpo"/>
        <w:spacing w:after="240" w:line="240" w:lineRule="auto"/>
        <w:jc w:val="both"/>
        <w:rPr>
          <w:rFonts w:cs="Calibri"/>
          <w:color w:val="000000" w:themeColor="text1"/>
        </w:rPr>
      </w:pPr>
      <w:r w:rsidRPr="001428E3">
        <w:rPr>
          <w:noProof/>
        </w:rPr>
        <w:t xml:space="preserve"> </w:t>
      </w:r>
      <w:r w:rsidRPr="001428E3">
        <w:rPr>
          <w:rFonts w:cs="Calibri"/>
          <w:noProof/>
          <w:color w:val="000000" w:themeColor="text1"/>
        </w:rPr>
        <w:drawing>
          <wp:inline distT="0" distB="0" distL="0" distR="0" wp14:anchorId="50A1DD38" wp14:editId="4D1C71A0">
            <wp:extent cx="5731510" cy="2178685"/>
            <wp:effectExtent l="0" t="0" r="2540" b="0"/>
            <wp:docPr id="146468827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88274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6DDE" w14:textId="7A8D60E9" w:rsidR="001F3694" w:rsidRPr="00492DE6" w:rsidRDefault="0046022A" w:rsidP="002412CD">
      <w:pPr>
        <w:pStyle w:val="Corpo"/>
        <w:spacing w:after="240" w:line="240" w:lineRule="auto"/>
        <w:jc w:val="both"/>
        <w:rPr>
          <w:rFonts w:cs="Calibri"/>
          <w:color w:val="000000" w:themeColor="text1"/>
        </w:rPr>
      </w:pPr>
      <w:r w:rsidRPr="001428E3">
        <w:rPr>
          <w:rFonts w:cs="Calibri"/>
          <w:color w:val="000000" w:themeColor="text1"/>
        </w:rPr>
        <w:t>Neste contexto</w:t>
      </w:r>
      <w:r w:rsidR="0051707B" w:rsidRPr="001428E3">
        <w:rPr>
          <w:rFonts w:cs="Calibri"/>
          <w:color w:val="000000" w:themeColor="text1"/>
        </w:rPr>
        <w:t>,</w:t>
      </w:r>
      <w:r w:rsidRPr="001428E3">
        <w:rPr>
          <w:rFonts w:cs="Calibri"/>
          <w:color w:val="000000" w:themeColor="text1"/>
        </w:rPr>
        <w:t xml:space="preserve"> e no âmbito d</w:t>
      </w:r>
      <w:r w:rsidR="001367E6" w:rsidRPr="001428E3">
        <w:rPr>
          <w:rFonts w:cs="Calibri"/>
          <w:color w:val="000000" w:themeColor="text1"/>
        </w:rPr>
        <w:t>o cumprimento de requisitos da IFRS 9</w:t>
      </w:r>
      <w:r w:rsidR="001F3694" w:rsidRPr="001428E3">
        <w:rPr>
          <w:rFonts w:cs="Calibri"/>
          <w:color w:val="000000" w:themeColor="text1"/>
        </w:rPr>
        <w:t xml:space="preserve">, o modelo de </w:t>
      </w:r>
      <w:r w:rsidR="00F6234F" w:rsidRPr="0092050A">
        <w:rPr>
          <w:rFonts w:cs="Calibri"/>
          <w:color w:val="000000" w:themeColor="text1"/>
        </w:rPr>
        <w:t>governo</w:t>
      </w:r>
      <w:r w:rsidR="00C71392" w:rsidRPr="001428E3">
        <w:rPr>
          <w:rFonts w:cs="Calibri"/>
          <w:color w:val="000000" w:themeColor="text1"/>
        </w:rPr>
        <w:t xml:space="preserve"> </w:t>
      </w:r>
      <w:r w:rsidR="001F3694" w:rsidRPr="001428E3">
        <w:rPr>
          <w:rFonts w:cs="Calibri"/>
          <w:color w:val="000000" w:themeColor="text1"/>
        </w:rPr>
        <w:t>integra os seguintes elementos fundamentais:</w:t>
      </w:r>
      <w:r w:rsidR="001F3694" w:rsidRPr="00492DE6">
        <w:rPr>
          <w:rFonts w:cs="Calibri"/>
          <w:color w:val="000000" w:themeColor="text1"/>
        </w:rPr>
        <w:t xml:space="preserve"> </w:t>
      </w:r>
    </w:p>
    <w:p w14:paraId="7AB6CB31" w14:textId="21BFF878" w:rsidR="001F3694" w:rsidRPr="009A2BAA" w:rsidRDefault="000D0B78" w:rsidP="006722F6">
      <w:pPr>
        <w:pStyle w:val="Corpo"/>
        <w:numPr>
          <w:ilvl w:val="0"/>
          <w:numId w:val="2"/>
        </w:numPr>
        <w:spacing w:before="0" w:after="0" w:line="240" w:lineRule="auto"/>
        <w:ind w:hanging="357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Um</w:t>
      </w:r>
      <w:r w:rsidR="00492DE6" w:rsidRPr="00492DE6">
        <w:rPr>
          <w:rFonts w:cs="Calibri"/>
          <w:color w:val="000000" w:themeColor="text1"/>
        </w:rPr>
        <w:t xml:space="preserve"> </w:t>
      </w:r>
      <w:r w:rsidR="00492DE6" w:rsidRPr="009A2BAA">
        <w:rPr>
          <w:rFonts w:cs="Calibri"/>
          <w:b/>
          <w:bCs/>
          <w:color w:val="000000" w:themeColor="text1"/>
        </w:rPr>
        <w:t>modelo</w:t>
      </w:r>
      <w:r w:rsidR="00C707D6" w:rsidRPr="009A2BAA">
        <w:rPr>
          <w:rFonts w:cs="Calibri"/>
          <w:b/>
          <w:bCs/>
          <w:color w:val="000000" w:themeColor="text1"/>
        </w:rPr>
        <w:t xml:space="preserve"> </w:t>
      </w:r>
      <w:r w:rsidR="00B64C14" w:rsidRPr="009A2BAA">
        <w:rPr>
          <w:rFonts w:cs="Calibri"/>
          <w:b/>
          <w:bCs/>
          <w:color w:val="000000" w:themeColor="text1"/>
        </w:rPr>
        <w:t>estratégico</w:t>
      </w:r>
      <w:r w:rsidR="00177374">
        <w:rPr>
          <w:rFonts w:cs="Calibri"/>
          <w:color w:val="000000" w:themeColor="text1"/>
        </w:rPr>
        <w:t xml:space="preserve"> que garante uma coordenação estruturada e transversal</w:t>
      </w:r>
      <w:r w:rsidR="00CC2650">
        <w:rPr>
          <w:rFonts w:cs="Calibri"/>
          <w:color w:val="000000" w:themeColor="text1"/>
        </w:rPr>
        <w:t xml:space="preserve"> </w:t>
      </w:r>
      <w:r w:rsidR="00CC2650" w:rsidDel="00073E6B">
        <w:rPr>
          <w:rFonts w:cs="Calibri"/>
          <w:color w:val="000000" w:themeColor="text1"/>
        </w:rPr>
        <w:t xml:space="preserve">de </w:t>
      </w:r>
      <w:r w:rsidR="00073E6B">
        <w:rPr>
          <w:rFonts w:cs="Calibri"/>
          <w:color w:val="000000" w:themeColor="text1"/>
        </w:rPr>
        <w:t xml:space="preserve">todo o processo de </w:t>
      </w:r>
      <w:proofErr w:type="spellStart"/>
      <w:r w:rsidR="00073E6B">
        <w:rPr>
          <w:rFonts w:cs="Calibri"/>
          <w:i/>
          <w:iCs/>
          <w:color w:val="000000" w:themeColor="text1"/>
        </w:rPr>
        <w:t>hedge</w:t>
      </w:r>
      <w:proofErr w:type="spellEnd"/>
      <w:r w:rsidR="00073E6B">
        <w:rPr>
          <w:rFonts w:cs="Calibri"/>
          <w:i/>
          <w:iCs/>
          <w:color w:val="000000" w:themeColor="text1"/>
        </w:rPr>
        <w:t xml:space="preserve"> </w:t>
      </w:r>
      <w:proofErr w:type="spellStart"/>
      <w:r w:rsidR="00073E6B">
        <w:rPr>
          <w:rFonts w:cs="Calibri"/>
          <w:i/>
          <w:iCs/>
          <w:color w:val="000000" w:themeColor="text1"/>
        </w:rPr>
        <w:t>accounting</w:t>
      </w:r>
      <w:proofErr w:type="spellEnd"/>
      <w:r w:rsidR="00073E6B" w:rsidRPr="004D3665">
        <w:rPr>
          <w:rFonts w:cs="Calibri"/>
          <w:color w:val="000000" w:themeColor="text1"/>
        </w:rPr>
        <w:t xml:space="preserve"> </w:t>
      </w:r>
      <w:r w:rsidR="002841A5">
        <w:rPr>
          <w:rFonts w:cs="Calibri"/>
          <w:color w:val="000000" w:themeColor="text1"/>
        </w:rPr>
        <w:t>e das áreas envolvidas</w:t>
      </w:r>
      <w:r w:rsidR="004D4CB5">
        <w:rPr>
          <w:rFonts w:cs="Calibri"/>
          <w:color w:val="000000" w:themeColor="text1"/>
        </w:rPr>
        <w:t>, permitindo um alinhamento com a</w:t>
      </w:r>
      <w:r w:rsidR="0036239F">
        <w:rPr>
          <w:rFonts w:cs="Calibri"/>
          <w:color w:val="000000" w:themeColor="text1"/>
        </w:rPr>
        <w:t xml:space="preserve"> estratégia e as </w:t>
      </w:r>
      <w:r w:rsidR="004D4CB5">
        <w:rPr>
          <w:rFonts w:cs="Calibri"/>
          <w:color w:val="000000" w:themeColor="text1"/>
        </w:rPr>
        <w:t xml:space="preserve">boas práticas do </w:t>
      </w:r>
      <w:r w:rsidR="00A15984">
        <w:rPr>
          <w:rFonts w:cs="Calibri"/>
          <w:color w:val="000000" w:themeColor="text1"/>
        </w:rPr>
        <w:t>Banco</w:t>
      </w:r>
      <w:r w:rsidR="00AE4557">
        <w:rPr>
          <w:rFonts w:cs="Calibri"/>
          <w:color w:val="000000" w:themeColor="text1"/>
        </w:rPr>
        <w:t xml:space="preserve">, tal como </w:t>
      </w:r>
      <w:r w:rsidR="00CC035A">
        <w:rPr>
          <w:rFonts w:cs="Calibri"/>
          <w:color w:val="000000" w:themeColor="text1"/>
        </w:rPr>
        <w:t>definido</w:t>
      </w:r>
      <w:r w:rsidR="00501E81">
        <w:rPr>
          <w:rFonts w:cs="Calibri"/>
          <w:color w:val="000000" w:themeColor="text1"/>
        </w:rPr>
        <w:t xml:space="preserve"> </w:t>
      </w:r>
      <w:r w:rsidR="00AE4557">
        <w:rPr>
          <w:rFonts w:cs="Calibri"/>
          <w:color w:val="000000" w:themeColor="text1"/>
        </w:rPr>
        <w:t>pelos normativos internos vigentes</w:t>
      </w:r>
      <w:r w:rsidR="00CC035A">
        <w:rPr>
          <w:rFonts w:cs="Calibri"/>
          <w:color w:val="000000" w:themeColor="text1"/>
        </w:rPr>
        <w:t xml:space="preserve">, </w:t>
      </w:r>
      <w:r w:rsidR="0036239F">
        <w:rPr>
          <w:rFonts w:cs="Calibri"/>
          <w:color w:val="000000" w:themeColor="text1"/>
        </w:rPr>
        <w:t xml:space="preserve">assim como </w:t>
      </w:r>
      <w:r w:rsidR="00CC035A">
        <w:rPr>
          <w:rFonts w:cs="Calibri"/>
          <w:color w:val="000000" w:themeColor="text1"/>
        </w:rPr>
        <w:t>uma contínua adaptação às necessidades regulamentares e do negócio</w:t>
      </w:r>
      <w:r w:rsidR="0036239F">
        <w:rPr>
          <w:rFonts w:cs="Calibri"/>
          <w:color w:val="000000" w:themeColor="text1"/>
        </w:rPr>
        <w:t>;</w:t>
      </w:r>
    </w:p>
    <w:p w14:paraId="76F712AF" w14:textId="741739F3" w:rsidR="001F3694" w:rsidRPr="00DB1221" w:rsidRDefault="001F3694" w:rsidP="006722F6">
      <w:pPr>
        <w:pStyle w:val="Corpo"/>
        <w:numPr>
          <w:ilvl w:val="0"/>
          <w:numId w:val="2"/>
        </w:numPr>
        <w:spacing w:before="0" w:after="0" w:line="240" w:lineRule="auto"/>
        <w:ind w:hanging="357"/>
        <w:jc w:val="both"/>
        <w:rPr>
          <w:rFonts w:cs="Calibri"/>
          <w:color w:val="000000" w:themeColor="text1"/>
        </w:rPr>
      </w:pPr>
      <w:r w:rsidRPr="00DB1221">
        <w:rPr>
          <w:rFonts w:cs="Calibri"/>
          <w:color w:val="000000" w:themeColor="text1"/>
        </w:rPr>
        <w:t xml:space="preserve">A </w:t>
      </w:r>
      <w:r w:rsidRPr="004D3665">
        <w:rPr>
          <w:rFonts w:cs="Calibri"/>
          <w:b/>
          <w:color w:val="000000" w:themeColor="text1"/>
        </w:rPr>
        <w:t xml:space="preserve">atribuição de </w:t>
      </w:r>
      <w:r w:rsidRPr="009A2BAA">
        <w:rPr>
          <w:rFonts w:cs="Calibri"/>
          <w:b/>
          <w:bCs/>
          <w:color w:val="000000" w:themeColor="text1"/>
        </w:rPr>
        <w:t>responsabilidades</w:t>
      </w:r>
      <w:r w:rsidRPr="004D3665">
        <w:rPr>
          <w:rFonts w:cs="Calibri"/>
          <w:color w:val="000000" w:themeColor="text1"/>
        </w:rPr>
        <w:t xml:space="preserve">, </w:t>
      </w:r>
      <w:r w:rsidR="0036239F" w:rsidRPr="004D3665">
        <w:rPr>
          <w:rFonts w:cs="Calibri"/>
          <w:color w:val="000000" w:themeColor="text1"/>
        </w:rPr>
        <w:t>ao nível estratégico e operacional</w:t>
      </w:r>
      <w:r w:rsidR="0036239F">
        <w:rPr>
          <w:rFonts w:cs="Calibri"/>
          <w:color w:val="000000" w:themeColor="text1"/>
        </w:rPr>
        <w:t xml:space="preserve">, </w:t>
      </w:r>
      <w:r w:rsidRPr="00DB1221">
        <w:rPr>
          <w:rFonts w:cs="Calibri"/>
          <w:color w:val="000000" w:themeColor="text1"/>
        </w:rPr>
        <w:t xml:space="preserve">promovendo a responsabilização efetiva de cada área envolvida </w:t>
      </w:r>
      <w:r w:rsidR="001D4D5E">
        <w:rPr>
          <w:rFonts w:cs="Calibri"/>
          <w:color w:val="000000" w:themeColor="text1"/>
        </w:rPr>
        <w:t xml:space="preserve">no processo de </w:t>
      </w:r>
      <w:proofErr w:type="spellStart"/>
      <w:r w:rsidR="001D4D5E">
        <w:rPr>
          <w:rFonts w:cs="Calibri"/>
          <w:i/>
          <w:iCs/>
          <w:color w:val="000000" w:themeColor="text1"/>
        </w:rPr>
        <w:t>hedge</w:t>
      </w:r>
      <w:proofErr w:type="spellEnd"/>
      <w:r w:rsidR="001D4D5E">
        <w:rPr>
          <w:rFonts w:cs="Calibri"/>
          <w:i/>
          <w:iCs/>
          <w:color w:val="000000" w:themeColor="text1"/>
        </w:rPr>
        <w:t xml:space="preserve"> </w:t>
      </w:r>
      <w:proofErr w:type="spellStart"/>
      <w:r w:rsidR="001D4D5E">
        <w:rPr>
          <w:rFonts w:cs="Calibri"/>
          <w:i/>
          <w:iCs/>
          <w:color w:val="000000" w:themeColor="text1"/>
        </w:rPr>
        <w:t>accounting</w:t>
      </w:r>
      <w:proofErr w:type="spellEnd"/>
      <w:r w:rsidR="00162952">
        <w:rPr>
          <w:rFonts w:cs="Calibri"/>
          <w:color w:val="000000" w:themeColor="text1"/>
        </w:rPr>
        <w:t xml:space="preserve"> </w:t>
      </w:r>
      <w:r w:rsidR="23A00A1A" w:rsidRPr="6E8F3BCA">
        <w:rPr>
          <w:rFonts w:cs="Calibri"/>
          <w:color w:val="000000" w:themeColor="text1"/>
        </w:rPr>
        <w:t>e</w:t>
      </w:r>
      <w:r w:rsidR="00162952" w:rsidRPr="6E8F3BCA">
        <w:rPr>
          <w:rFonts w:cs="Calibri"/>
          <w:color w:val="000000" w:themeColor="text1"/>
        </w:rPr>
        <w:t xml:space="preserve"> </w:t>
      </w:r>
      <w:r w:rsidR="00162952">
        <w:rPr>
          <w:rFonts w:cs="Calibri"/>
          <w:color w:val="000000" w:themeColor="text1"/>
        </w:rPr>
        <w:t>garantindo</w:t>
      </w:r>
      <w:r w:rsidR="004F37C2">
        <w:rPr>
          <w:rFonts w:cs="Calibri"/>
          <w:color w:val="000000" w:themeColor="text1"/>
        </w:rPr>
        <w:t xml:space="preserve"> a</w:t>
      </w:r>
      <w:r w:rsidR="00162952">
        <w:rPr>
          <w:rFonts w:cs="Calibri"/>
          <w:color w:val="000000" w:themeColor="text1"/>
        </w:rPr>
        <w:t xml:space="preserve"> </w:t>
      </w:r>
      <w:r w:rsidR="009A2BAA">
        <w:rPr>
          <w:rFonts w:cs="Calibri"/>
          <w:color w:val="000000" w:themeColor="text1"/>
        </w:rPr>
        <w:t xml:space="preserve">segurança </w:t>
      </w:r>
      <w:r w:rsidR="004F37C2">
        <w:rPr>
          <w:rFonts w:cs="Calibri"/>
          <w:color w:val="000000" w:themeColor="text1"/>
        </w:rPr>
        <w:t xml:space="preserve">da informação e a sua </w:t>
      </w:r>
      <w:r w:rsidR="00162952">
        <w:rPr>
          <w:rFonts w:cs="Calibri"/>
          <w:color w:val="000000" w:themeColor="text1"/>
        </w:rPr>
        <w:t>utilização responsável</w:t>
      </w:r>
      <w:r w:rsidR="009A2BAA">
        <w:rPr>
          <w:rFonts w:cs="Calibri"/>
          <w:color w:val="000000" w:themeColor="text1"/>
        </w:rPr>
        <w:t>.</w:t>
      </w:r>
    </w:p>
    <w:p w14:paraId="61EAEF72" w14:textId="6A64E18C" w:rsidR="00FA6584" w:rsidRDefault="003B166B" w:rsidP="002412CD">
      <w:pPr>
        <w:pStyle w:val="Corpo"/>
        <w:spacing w:after="240" w:line="240" w:lineRule="auto"/>
        <w:jc w:val="both"/>
        <w:rPr>
          <w:rFonts w:cs="Calibri"/>
          <w:color w:val="000000" w:themeColor="text1"/>
        </w:rPr>
      </w:pPr>
      <w:r w:rsidRPr="0000577A">
        <w:rPr>
          <w:rFonts w:cs="Calibri"/>
          <w:color w:val="000000" w:themeColor="text1"/>
        </w:rPr>
        <w:t xml:space="preserve">Este modelo </w:t>
      </w:r>
      <w:r w:rsidR="00034EDA" w:rsidRPr="0000577A">
        <w:rPr>
          <w:rFonts w:cs="Calibri"/>
          <w:color w:val="000000" w:themeColor="text1"/>
        </w:rPr>
        <w:t xml:space="preserve">aplica-se </w:t>
      </w:r>
      <w:r w:rsidR="00353828">
        <w:rPr>
          <w:rFonts w:cs="Calibri"/>
          <w:color w:val="000000" w:themeColor="text1"/>
        </w:rPr>
        <w:t>sobre tod</w:t>
      </w:r>
      <w:r w:rsidR="008F7F8B" w:rsidRPr="0000577A">
        <w:rPr>
          <w:rFonts w:cs="Calibri"/>
          <w:color w:val="000000" w:themeColor="text1"/>
        </w:rPr>
        <w:t xml:space="preserve">o ciclo de vida </w:t>
      </w:r>
      <w:r w:rsidR="00132C46">
        <w:rPr>
          <w:rFonts w:cs="Calibri"/>
          <w:color w:val="000000" w:themeColor="text1"/>
        </w:rPr>
        <w:t>d</w:t>
      </w:r>
      <w:r w:rsidR="008F7F8B" w:rsidRPr="0000577A">
        <w:rPr>
          <w:rFonts w:cs="Calibri"/>
          <w:color w:val="000000" w:themeColor="text1"/>
        </w:rPr>
        <w:t>a informação</w:t>
      </w:r>
      <w:r w:rsidR="00FE228A">
        <w:rPr>
          <w:rFonts w:cs="Calibri"/>
          <w:color w:val="000000" w:themeColor="text1"/>
        </w:rPr>
        <w:t xml:space="preserve"> gerida</w:t>
      </w:r>
      <w:r w:rsidR="002356E3">
        <w:rPr>
          <w:rFonts w:cs="Calibri"/>
          <w:color w:val="000000" w:themeColor="text1"/>
        </w:rPr>
        <w:t xml:space="preserve">, i.e., </w:t>
      </w:r>
      <w:r w:rsidR="003E1AB0">
        <w:rPr>
          <w:rFonts w:cs="Calibri"/>
          <w:color w:val="000000" w:themeColor="text1"/>
        </w:rPr>
        <w:t xml:space="preserve">a </w:t>
      </w:r>
      <w:r w:rsidR="002356E3">
        <w:rPr>
          <w:rFonts w:cs="Calibri"/>
          <w:color w:val="000000" w:themeColor="text1"/>
        </w:rPr>
        <w:t xml:space="preserve">todas as etapas que </w:t>
      </w:r>
      <w:r w:rsidR="003C67FE">
        <w:rPr>
          <w:rFonts w:cs="Calibri"/>
          <w:color w:val="000000" w:themeColor="text1"/>
        </w:rPr>
        <w:t xml:space="preserve">a informação </w:t>
      </w:r>
      <w:r w:rsidR="002356E3">
        <w:rPr>
          <w:rFonts w:cs="Calibri"/>
          <w:color w:val="000000" w:themeColor="text1"/>
        </w:rPr>
        <w:t>perco</w:t>
      </w:r>
      <w:r w:rsidR="00395997">
        <w:rPr>
          <w:rFonts w:cs="Calibri"/>
          <w:color w:val="000000" w:themeColor="text1"/>
        </w:rPr>
        <w:t xml:space="preserve">rre </w:t>
      </w:r>
      <w:r w:rsidR="00A15984">
        <w:rPr>
          <w:rFonts w:cs="Calibri"/>
          <w:color w:val="000000" w:themeColor="text1"/>
        </w:rPr>
        <w:t>n</w:t>
      </w:r>
      <w:r w:rsidR="00395997">
        <w:rPr>
          <w:rFonts w:cs="Calibri"/>
          <w:color w:val="000000" w:themeColor="text1"/>
        </w:rPr>
        <w:t xml:space="preserve">a sua </w:t>
      </w:r>
      <w:r w:rsidR="00145706">
        <w:rPr>
          <w:rFonts w:cs="Calibri"/>
          <w:color w:val="000000" w:themeColor="text1"/>
        </w:rPr>
        <w:t>criação, armazenamento</w:t>
      </w:r>
      <w:r w:rsidR="00D91E53">
        <w:rPr>
          <w:rFonts w:cs="Calibri"/>
          <w:color w:val="000000" w:themeColor="text1"/>
        </w:rPr>
        <w:t xml:space="preserve">, </w:t>
      </w:r>
      <w:r w:rsidR="001E5A76">
        <w:rPr>
          <w:rFonts w:cs="Calibri"/>
          <w:color w:val="000000" w:themeColor="text1"/>
        </w:rPr>
        <w:t>manutenção</w:t>
      </w:r>
      <w:r w:rsidR="00A15984">
        <w:rPr>
          <w:rFonts w:cs="Calibri"/>
          <w:color w:val="000000" w:themeColor="text1"/>
        </w:rPr>
        <w:t>, liquidação e o</w:t>
      </w:r>
      <w:r w:rsidR="001E5A76">
        <w:rPr>
          <w:rFonts w:cs="Calibri"/>
          <w:color w:val="000000" w:themeColor="text1"/>
        </w:rPr>
        <w:t xml:space="preserve"> seu reporte</w:t>
      </w:r>
      <w:r w:rsidR="00D51A27">
        <w:rPr>
          <w:rFonts w:cs="Calibri"/>
          <w:color w:val="000000" w:themeColor="text1"/>
        </w:rPr>
        <w:t xml:space="preserve">, </w:t>
      </w:r>
      <w:r w:rsidR="005F0774">
        <w:rPr>
          <w:rFonts w:cs="Calibri"/>
          <w:color w:val="000000" w:themeColor="text1"/>
        </w:rPr>
        <w:t xml:space="preserve">garantindo </w:t>
      </w:r>
      <w:r w:rsidR="00F64989">
        <w:rPr>
          <w:rFonts w:cs="Calibri"/>
          <w:color w:val="000000" w:themeColor="text1"/>
        </w:rPr>
        <w:t>que todo o processo é</w:t>
      </w:r>
      <w:r w:rsidR="000D2516">
        <w:rPr>
          <w:rFonts w:cs="Calibri"/>
          <w:color w:val="000000" w:themeColor="text1"/>
        </w:rPr>
        <w:t>:</w:t>
      </w:r>
    </w:p>
    <w:p w14:paraId="6DF01F57" w14:textId="2FFD4CFD" w:rsidR="000D2516" w:rsidRDefault="00C85C73" w:rsidP="006722F6">
      <w:pPr>
        <w:pStyle w:val="Corpo"/>
        <w:numPr>
          <w:ilvl w:val="0"/>
          <w:numId w:val="2"/>
        </w:numPr>
        <w:spacing w:before="0" w:after="0" w:line="240" w:lineRule="auto"/>
        <w:ind w:hanging="357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Completo, </w:t>
      </w:r>
      <w:r w:rsidR="000D2516">
        <w:rPr>
          <w:rFonts w:cs="Calibri"/>
          <w:color w:val="000000" w:themeColor="text1"/>
        </w:rPr>
        <w:t>coerente</w:t>
      </w:r>
      <w:r>
        <w:rPr>
          <w:rFonts w:cs="Calibri"/>
          <w:color w:val="000000" w:themeColor="text1"/>
        </w:rPr>
        <w:t>, atualizáve</w:t>
      </w:r>
      <w:r w:rsidR="00F64989">
        <w:rPr>
          <w:rFonts w:cs="Calibri"/>
          <w:color w:val="000000" w:themeColor="text1"/>
        </w:rPr>
        <w:t>l</w:t>
      </w:r>
      <w:r>
        <w:rPr>
          <w:rFonts w:cs="Calibri"/>
          <w:color w:val="000000" w:themeColor="text1"/>
        </w:rPr>
        <w:t xml:space="preserve"> e </w:t>
      </w:r>
      <w:proofErr w:type="spellStart"/>
      <w:r>
        <w:rPr>
          <w:rFonts w:cs="Calibri"/>
          <w:color w:val="000000" w:themeColor="text1"/>
        </w:rPr>
        <w:t>rastreáve</w:t>
      </w:r>
      <w:r w:rsidR="006141B2">
        <w:rPr>
          <w:rFonts w:cs="Calibri"/>
          <w:color w:val="000000" w:themeColor="text1"/>
        </w:rPr>
        <w:t>l</w:t>
      </w:r>
      <w:proofErr w:type="spellEnd"/>
      <w:r>
        <w:rPr>
          <w:rFonts w:cs="Calibri"/>
          <w:color w:val="000000" w:themeColor="text1"/>
        </w:rPr>
        <w:t>;</w:t>
      </w:r>
    </w:p>
    <w:p w14:paraId="693D2FA5" w14:textId="0CA065BB" w:rsidR="00C85C73" w:rsidRDefault="0070383E" w:rsidP="006722F6">
      <w:pPr>
        <w:pStyle w:val="Corpo"/>
        <w:numPr>
          <w:ilvl w:val="0"/>
          <w:numId w:val="2"/>
        </w:numPr>
        <w:spacing w:before="0" w:after="0" w:line="240" w:lineRule="auto"/>
        <w:ind w:hanging="357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Produzido e mantido </w:t>
      </w:r>
      <w:r w:rsidR="00A05013">
        <w:rPr>
          <w:rFonts w:cs="Calibri"/>
          <w:color w:val="000000" w:themeColor="text1"/>
        </w:rPr>
        <w:t xml:space="preserve">por áreas com competências e responsabilidades </w:t>
      </w:r>
      <w:r w:rsidR="00212C23">
        <w:rPr>
          <w:rFonts w:cs="Calibri"/>
          <w:color w:val="000000" w:themeColor="text1"/>
        </w:rPr>
        <w:t>atribuídas;</w:t>
      </w:r>
    </w:p>
    <w:p w14:paraId="0FA6AA6C" w14:textId="59B744B8" w:rsidR="00212C23" w:rsidRDefault="00B1691E" w:rsidP="006722F6">
      <w:pPr>
        <w:pStyle w:val="Corpo"/>
        <w:numPr>
          <w:ilvl w:val="0"/>
          <w:numId w:val="2"/>
        </w:numPr>
        <w:spacing w:before="0" w:after="0" w:line="240" w:lineRule="auto"/>
        <w:ind w:hanging="357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Consumido por utilizadores internos e externos</w:t>
      </w:r>
      <w:r w:rsidR="00CF1AEC">
        <w:rPr>
          <w:rFonts w:cs="Calibri"/>
          <w:color w:val="000000" w:themeColor="text1"/>
        </w:rPr>
        <w:t xml:space="preserve"> </w:t>
      </w:r>
      <w:r w:rsidR="00DB3D56">
        <w:rPr>
          <w:rFonts w:cs="Calibri"/>
          <w:color w:val="000000" w:themeColor="text1"/>
        </w:rPr>
        <w:t>de forma controlada</w:t>
      </w:r>
      <w:r w:rsidR="008F7AD4">
        <w:rPr>
          <w:rFonts w:cs="Calibri"/>
          <w:color w:val="000000" w:themeColor="text1"/>
        </w:rPr>
        <w:t>;</w:t>
      </w:r>
      <w:r w:rsidR="00E44ABC">
        <w:rPr>
          <w:rFonts w:cs="Calibri"/>
          <w:color w:val="000000" w:themeColor="text1"/>
        </w:rPr>
        <w:t xml:space="preserve"> </w:t>
      </w:r>
      <w:r w:rsidR="004D3665">
        <w:rPr>
          <w:rFonts w:cs="Calibri"/>
          <w:color w:val="000000" w:themeColor="text1"/>
        </w:rPr>
        <w:t>e</w:t>
      </w:r>
    </w:p>
    <w:p w14:paraId="6101CE0F" w14:textId="6F51C68E" w:rsidR="003A4C68" w:rsidRPr="00D520AE" w:rsidRDefault="008F7AD4" w:rsidP="006722F6">
      <w:pPr>
        <w:pStyle w:val="Corpo"/>
        <w:numPr>
          <w:ilvl w:val="0"/>
          <w:numId w:val="2"/>
        </w:numPr>
        <w:spacing w:before="0" w:after="0" w:line="240" w:lineRule="auto"/>
        <w:ind w:hanging="357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Sujeito a mecanismos de monitorização e melhoria cont</w:t>
      </w:r>
      <w:r w:rsidR="00C117AB">
        <w:rPr>
          <w:rFonts w:cs="Calibri"/>
          <w:color w:val="000000" w:themeColor="text1"/>
        </w:rPr>
        <w:t>í</w:t>
      </w:r>
      <w:r>
        <w:rPr>
          <w:rFonts w:cs="Calibri"/>
          <w:color w:val="000000" w:themeColor="text1"/>
        </w:rPr>
        <w:t>nua</w:t>
      </w:r>
      <w:r w:rsidR="00D520AE">
        <w:rPr>
          <w:rFonts w:cs="Calibri"/>
          <w:color w:val="000000" w:themeColor="text1"/>
        </w:rPr>
        <w:t>.</w:t>
      </w:r>
    </w:p>
    <w:p w14:paraId="4701D59E" w14:textId="46BAF553" w:rsidR="001E0E6A" w:rsidRDefault="001E0E6A" w:rsidP="00B65C76">
      <w:pPr>
        <w:pStyle w:val="Ttulo21"/>
      </w:pPr>
      <w:bookmarkStart w:id="4" w:name="_Toc205549107"/>
      <w:r>
        <w:lastRenderedPageBreak/>
        <w:t xml:space="preserve">2.1 </w:t>
      </w:r>
      <w:r w:rsidR="00B65C76">
        <w:t xml:space="preserve">Objetivos </w:t>
      </w:r>
      <w:r>
        <w:t>do Modelo</w:t>
      </w:r>
      <w:bookmarkEnd w:id="4"/>
    </w:p>
    <w:p w14:paraId="61E4F51A" w14:textId="3B2DA209" w:rsidR="003A3DC5" w:rsidRPr="00046237" w:rsidRDefault="003A3DC5" w:rsidP="003A3DC5">
      <w:pPr>
        <w:pStyle w:val="Corpo"/>
        <w:spacing w:after="240"/>
        <w:jc w:val="both"/>
      </w:pPr>
      <w:r w:rsidRPr="00046237">
        <w:t xml:space="preserve">A adoção eficaz do modelo de </w:t>
      </w:r>
      <w:r w:rsidRPr="0092050A">
        <w:t>govern</w:t>
      </w:r>
      <w:r w:rsidR="00F6234F" w:rsidRPr="0092050A">
        <w:t>o</w:t>
      </w:r>
      <w:r>
        <w:rPr>
          <w:i/>
          <w:iCs/>
        </w:rPr>
        <w:t xml:space="preserve"> </w:t>
      </w:r>
      <w:r w:rsidRPr="00046237">
        <w:t xml:space="preserve">descrito permitirá ao </w:t>
      </w:r>
      <w:r w:rsidR="00A15984">
        <w:t>Banco</w:t>
      </w:r>
      <w:r w:rsidRPr="00046237">
        <w:t xml:space="preserve"> garantir, de forma sustentada, a conformidade regulamentar</w:t>
      </w:r>
      <w:r w:rsidR="00725F29">
        <w:t>.</w:t>
      </w:r>
      <w:r w:rsidRPr="00046237">
        <w:t xml:space="preserve"> A </w:t>
      </w:r>
      <w:r w:rsidR="00725F29">
        <w:t xml:space="preserve">sua </w:t>
      </w:r>
      <w:r w:rsidRPr="00046237">
        <w:t>robustez</w:t>
      </w:r>
      <w:r w:rsidR="00283D31">
        <w:t>,</w:t>
      </w:r>
      <w:r w:rsidRPr="00046237">
        <w:t xml:space="preserve"> contribui também para reforçar a credibilidade interna e externa relativamente à qualidade dos dados reportados, fortalecendo a confiança junto dos </w:t>
      </w:r>
      <w:proofErr w:type="spellStart"/>
      <w:r w:rsidRPr="001F12AD">
        <w:rPr>
          <w:i/>
        </w:rPr>
        <w:t>stakeholders</w:t>
      </w:r>
      <w:proofErr w:type="spellEnd"/>
      <w:r w:rsidRPr="00046237">
        <w:t>.</w:t>
      </w:r>
    </w:p>
    <w:p w14:paraId="279BC023" w14:textId="77777777" w:rsidR="003A3DC5" w:rsidRPr="00046237" w:rsidRDefault="003A3DC5" w:rsidP="003A3DC5">
      <w:pPr>
        <w:pStyle w:val="Corpo"/>
        <w:spacing w:after="240"/>
        <w:jc w:val="both"/>
      </w:pPr>
      <w:r w:rsidRPr="00046237">
        <w:t>Do ponto de vista operacional, este modelo traduz-se em:</w:t>
      </w:r>
    </w:p>
    <w:p w14:paraId="72FE9768" w14:textId="77777777" w:rsidR="003A3DC5" w:rsidRDefault="003A3DC5" w:rsidP="006722F6">
      <w:pPr>
        <w:pStyle w:val="Corpo"/>
        <w:numPr>
          <w:ilvl w:val="0"/>
          <w:numId w:val="3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r w:rsidRPr="00F106FF">
        <w:rPr>
          <w:rFonts w:cs="Calibri"/>
          <w:b/>
          <w:bCs/>
          <w:color w:val="000000" w:themeColor="text1"/>
        </w:rPr>
        <w:t>Decisões mais informadas e fundamentadas</w:t>
      </w:r>
      <w:r>
        <w:rPr>
          <w:rFonts w:cs="Calibri"/>
          <w:color w:val="000000" w:themeColor="text1"/>
        </w:rPr>
        <w:t xml:space="preserve"> ao garantir que os dados são completos, coerentes e relacionais;</w:t>
      </w:r>
    </w:p>
    <w:p w14:paraId="2C03649F" w14:textId="60ADF581" w:rsidR="003A3DC5" w:rsidRDefault="003A3DC5" w:rsidP="006722F6">
      <w:pPr>
        <w:pStyle w:val="Corpo"/>
        <w:numPr>
          <w:ilvl w:val="0"/>
          <w:numId w:val="3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Aumento</w:t>
      </w:r>
      <w:r w:rsidRPr="0091481F">
        <w:rPr>
          <w:rFonts w:cs="Calibri"/>
          <w:color w:val="000000" w:themeColor="text1"/>
        </w:rPr>
        <w:t xml:space="preserve"> de </w:t>
      </w:r>
      <w:r w:rsidRPr="0049288E">
        <w:rPr>
          <w:rFonts w:cs="Calibri"/>
          <w:b/>
          <w:color w:val="000000" w:themeColor="text1"/>
        </w:rPr>
        <w:t>eficiência</w:t>
      </w:r>
      <w:r>
        <w:rPr>
          <w:rFonts w:cs="Calibri"/>
          <w:color w:val="000000" w:themeColor="text1"/>
        </w:rPr>
        <w:t xml:space="preserve"> na preparação e validação das coberturas, </w:t>
      </w:r>
      <w:r w:rsidR="00A15984">
        <w:rPr>
          <w:rFonts w:cs="Calibri"/>
          <w:color w:val="000000" w:themeColor="text1"/>
        </w:rPr>
        <w:t xml:space="preserve">robustecimento geral do processo </w:t>
      </w:r>
      <w:proofErr w:type="spellStart"/>
      <w:r w:rsidR="00A15984">
        <w:rPr>
          <w:rFonts w:cs="Calibri"/>
          <w:color w:val="000000" w:themeColor="text1"/>
        </w:rPr>
        <w:t>end</w:t>
      </w:r>
      <w:proofErr w:type="spellEnd"/>
      <w:r w:rsidR="00A15984">
        <w:rPr>
          <w:rFonts w:cs="Calibri"/>
          <w:color w:val="000000" w:themeColor="text1"/>
        </w:rPr>
        <w:t>-to-</w:t>
      </w:r>
      <w:proofErr w:type="spellStart"/>
      <w:r w:rsidR="00A15984">
        <w:rPr>
          <w:rFonts w:cs="Calibri"/>
          <w:color w:val="000000" w:themeColor="text1"/>
        </w:rPr>
        <w:t>end</w:t>
      </w:r>
      <w:proofErr w:type="spellEnd"/>
      <w:r w:rsidR="00A15984">
        <w:rPr>
          <w:rFonts w:cs="Calibri"/>
          <w:color w:val="000000" w:themeColor="text1"/>
        </w:rPr>
        <w:t xml:space="preserve">, </w:t>
      </w:r>
      <w:r w:rsidRPr="00BC7081">
        <w:rPr>
          <w:rFonts w:cs="Calibri"/>
          <w:b/>
          <w:color w:val="000000" w:themeColor="text1"/>
        </w:rPr>
        <w:t xml:space="preserve">redução </w:t>
      </w:r>
      <w:r w:rsidRPr="00BC7081">
        <w:rPr>
          <w:rFonts w:cs="Calibri"/>
          <w:b/>
          <w:bCs/>
          <w:color w:val="000000" w:themeColor="text1"/>
        </w:rPr>
        <w:t>do risco</w:t>
      </w:r>
      <w:r>
        <w:rPr>
          <w:rFonts w:cs="Calibri"/>
          <w:color w:val="000000" w:themeColor="text1"/>
        </w:rPr>
        <w:t xml:space="preserve"> da não conformidade regulatória</w:t>
      </w:r>
      <w:r w:rsidR="00FB0033">
        <w:rPr>
          <w:rFonts w:cs="Calibri"/>
          <w:color w:val="000000" w:themeColor="text1"/>
        </w:rPr>
        <w:t xml:space="preserve"> e dos riscos operativos</w:t>
      </w:r>
      <w:r>
        <w:rPr>
          <w:rFonts w:cs="Calibri"/>
          <w:color w:val="000000" w:themeColor="text1"/>
        </w:rPr>
        <w:t>;</w:t>
      </w:r>
    </w:p>
    <w:p w14:paraId="1937FAB6" w14:textId="5D4D6BF2" w:rsidR="003A3DC5" w:rsidRDefault="003A3DC5" w:rsidP="006722F6">
      <w:pPr>
        <w:pStyle w:val="Corpo"/>
        <w:numPr>
          <w:ilvl w:val="0"/>
          <w:numId w:val="3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r w:rsidRPr="00D44FC3">
        <w:rPr>
          <w:rFonts w:cs="Calibri"/>
          <w:b/>
          <w:bCs/>
          <w:color w:val="000000" w:themeColor="text1"/>
        </w:rPr>
        <w:t xml:space="preserve">Capacidade de </w:t>
      </w:r>
      <w:r w:rsidRPr="00D44FC3">
        <w:rPr>
          <w:rFonts w:cs="Calibri"/>
          <w:b/>
          <w:color w:val="000000" w:themeColor="text1"/>
        </w:rPr>
        <w:t>resposta</w:t>
      </w:r>
      <w:r w:rsidRPr="0091481F">
        <w:rPr>
          <w:rFonts w:cs="Calibri"/>
          <w:color w:val="000000" w:themeColor="text1"/>
        </w:rPr>
        <w:t xml:space="preserve"> a novos </w:t>
      </w:r>
      <w:r>
        <w:rPr>
          <w:rFonts w:cs="Calibri"/>
          <w:color w:val="000000" w:themeColor="text1"/>
        </w:rPr>
        <w:t xml:space="preserve">pedidos através de uma estrutura que permite gerir, priorizar e implementar mudanças de forma ágil; </w:t>
      </w:r>
    </w:p>
    <w:p w14:paraId="0E9472DA" w14:textId="77777777" w:rsidR="003A3DC5" w:rsidRDefault="003A3DC5" w:rsidP="006722F6">
      <w:pPr>
        <w:pStyle w:val="Corpo"/>
        <w:numPr>
          <w:ilvl w:val="0"/>
          <w:numId w:val="3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r>
        <w:rPr>
          <w:rFonts w:cs="Calibri"/>
          <w:b/>
          <w:bCs/>
          <w:color w:val="000000" w:themeColor="text1"/>
        </w:rPr>
        <w:t xml:space="preserve">Reforço da conformidade regulamentar e auditoria, </w:t>
      </w:r>
      <w:r>
        <w:rPr>
          <w:rFonts w:cs="Calibri"/>
          <w:color w:val="000000" w:themeColor="text1"/>
        </w:rPr>
        <w:t>permitindo responder às exigências de supervisão e inspeção;</w:t>
      </w:r>
    </w:p>
    <w:p w14:paraId="7006C0F3" w14:textId="77777777" w:rsidR="003A3DC5" w:rsidRPr="00527511" w:rsidRDefault="003A3DC5" w:rsidP="006722F6">
      <w:pPr>
        <w:pStyle w:val="Corpo"/>
        <w:numPr>
          <w:ilvl w:val="0"/>
          <w:numId w:val="3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r w:rsidRPr="00527511">
        <w:rPr>
          <w:rFonts w:cs="Calibri"/>
          <w:b/>
          <w:bCs/>
          <w:color w:val="000000" w:themeColor="text1"/>
        </w:rPr>
        <w:t xml:space="preserve">Formalização dos processos </w:t>
      </w:r>
      <w:r w:rsidRPr="00527511">
        <w:rPr>
          <w:rFonts w:cs="Calibri"/>
          <w:color w:val="000000" w:themeColor="text1"/>
        </w:rPr>
        <w:t>associados, promovendo maior transparência</w:t>
      </w:r>
      <w:r>
        <w:rPr>
          <w:rFonts w:cs="Calibri"/>
          <w:color w:val="000000" w:themeColor="text1"/>
        </w:rPr>
        <w:t xml:space="preserve"> e consciencialização</w:t>
      </w:r>
      <w:r w:rsidRPr="00527511">
        <w:rPr>
          <w:rFonts w:cs="Calibri"/>
          <w:color w:val="000000" w:themeColor="text1"/>
        </w:rPr>
        <w:t xml:space="preserve">; </w:t>
      </w:r>
    </w:p>
    <w:p w14:paraId="4E252D7A" w14:textId="77777777" w:rsidR="003A3DC5" w:rsidRDefault="003A3DC5" w:rsidP="006722F6">
      <w:pPr>
        <w:pStyle w:val="Corpo"/>
        <w:numPr>
          <w:ilvl w:val="0"/>
          <w:numId w:val="3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Cultura de responsabilidade e colaboração com uma </w:t>
      </w:r>
      <w:r w:rsidRPr="00F04837">
        <w:rPr>
          <w:rFonts w:cs="Calibri"/>
          <w:b/>
          <w:bCs/>
          <w:color w:val="000000" w:themeColor="text1"/>
        </w:rPr>
        <w:t>atribuição clara de papéis</w:t>
      </w:r>
      <w:r>
        <w:rPr>
          <w:rFonts w:cs="Calibri"/>
          <w:color w:val="000000" w:themeColor="text1"/>
        </w:rPr>
        <w:t xml:space="preserve">. </w:t>
      </w:r>
    </w:p>
    <w:p w14:paraId="4AB9F09D" w14:textId="616A384C" w:rsidR="00944D68" w:rsidRDefault="003A3DC5" w:rsidP="004D3665">
      <w:pPr>
        <w:pStyle w:val="Corpo"/>
        <w:spacing w:after="240"/>
        <w:jc w:val="both"/>
        <w:rPr>
          <w:rFonts w:eastAsiaTheme="majorEastAsia" w:cs="Calibri"/>
          <w:b/>
          <w:color w:val="000000" w:themeColor="text1"/>
          <w:sz w:val="32"/>
          <w:szCs w:val="32"/>
        </w:rPr>
      </w:pPr>
      <w:r w:rsidRPr="00046237">
        <w:t xml:space="preserve">Em suma, o modelo de </w:t>
      </w:r>
      <w:r w:rsidRPr="0092050A">
        <w:t>govern</w:t>
      </w:r>
      <w:r w:rsidR="00334B7D" w:rsidRPr="0092050A">
        <w:t>o</w:t>
      </w:r>
      <w:r w:rsidRPr="00046237">
        <w:t xml:space="preserve"> </w:t>
      </w:r>
      <w:r w:rsidR="00334B7D">
        <w:t>pretende dar uma</w:t>
      </w:r>
      <w:r w:rsidRPr="00046237">
        <w:t xml:space="preserve"> abordagem estruturada que sustenta a resiliência, a consistência e a excelência dos processos de reporte granular no </w:t>
      </w:r>
      <w:r w:rsidR="00A15984">
        <w:t>Banco</w:t>
      </w:r>
      <w:r w:rsidRPr="00046237">
        <w:t>.</w:t>
      </w:r>
    </w:p>
    <w:p w14:paraId="4771E1F0" w14:textId="1E72FD55" w:rsidR="00C21BEC" w:rsidRDefault="00C92C5E" w:rsidP="00C92C5E">
      <w:pPr>
        <w:pStyle w:val="Ttulo21"/>
      </w:pPr>
      <w:bookmarkStart w:id="5" w:name="_Toc205549108"/>
      <w:r>
        <w:t xml:space="preserve">2.2. </w:t>
      </w:r>
      <w:r w:rsidR="00C21BEC">
        <w:t>Políticas e normas</w:t>
      </w:r>
      <w:bookmarkEnd w:id="5"/>
    </w:p>
    <w:p w14:paraId="5D13C570" w14:textId="2BF91DED" w:rsidR="001053A4" w:rsidRDefault="00DA20C6" w:rsidP="000620DE">
      <w:pPr>
        <w:pStyle w:val="Corpo"/>
        <w:spacing w:after="240" w:line="240" w:lineRule="auto"/>
        <w:jc w:val="both"/>
        <w:rPr>
          <w:rFonts w:cs="Calibri"/>
          <w:color w:val="000000" w:themeColor="text1"/>
        </w:rPr>
      </w:pPr>
      <w:r w:rsidRPr="007C32AA">
        <w:rPr>
          <w:rFonts w:cs="Calibri"/>
          <w:color w:val="000000" w:themeColor="text1"/>
        </w:rPr>
        <w:t xml:space="preserve">O </w:t>
      </w:r>
      <w:r w:rsidR="00CC093A" w:rsidRPr="0092050A">
        <w:rPr>
          <w:rFonts w:cs="Calibri"/>
          <w:color w:val="000000" w:themeColor="text1"/>
        </w:rPr>
        <w:t>govern</w:t>
      </w:r>
      <w:r w:rsidR="00334B7D" w:rsidRPr="0092050A">
        <w:rPr>
          <w:rFonts w:cs="Calibri"/>
          <w:color w:val="000000" w:themeColor="text1"/>
        </w:rPr>
        <w:t>o</w:t>
      </w:r>
      <w:r w:rsidRPr="007C32AA">
        <w:rPr>
          <w:rFonts w:cs="Calibri"/>
          <w:color w:val="000000" w:themeColor="text1"/>
        </w:rPr>
        <w:t xml:space="preserve"> </w:t>
      </w:r>
      <w:r w:rsidR="00CC093A" w:rsidRPr="007C32AA">
        <w:rPr>
          <w:rFonts w:cs="Calibri"/>
          <w:color w:val="000000" w:themeColor="text1"/>
        </w:rPr>
        <w:t>d</w:t>
      </w:r>
      <w:r w:rsidR="004D3665">
        <w:rPr>
          <w:rFonts w:cs="Calibri"/>
          <w:color w:val="000000" w:themeColor="text1"/>
        </w:rPr>
        <w:t>o processo</w:t>
      </w:r>
      <w:r w:rsidRPr="007C32AA">
        <w:rPr>
          <w:rFonts w:cs="Calibri"/>
          <w:color w:val="000000" w:themeColor="text1"/>
        </w:rPr>
        <w:t xml:space="preserve"> </w:t>
      </w:r>
      <w:r w:rsidR="00CC093A" w:rsidRPr="007C32AA">
        <w:rPr>
          <w:rFonts w:cs="Calibri"/>
          <w:color w:val="000000" w:themeColor="text1"/>
        </w:rPr>
        <w:t xml:space="preserve">de </w:t>
      </w:r>
      <w:proofErr w:type="spellStart"/>
      <w:r w:rsidR="00CC093A" w:rsidRPr="007C32AA">
        <w:rPr>
          <w:rFonts w:cs="Calibri"/>
          <w:i/>
          <w:iCs/>
          <w:color w:val="000000" w:themeColor="text1"/>
        </w:rPr>
        <w:t>hedge</w:t>
      </w:r>
      <w:proofErr w:type="spellEnd"/>
      <w:r w:rsidR="00CC093A" w:rsidRPr="007C32AA">
        <w:rPr>
          <w:rFonts w:cs="Calibri"/>
          <w:i/>
          <w:iCs/>
          <w:color w:val="000000" w:themeColor="text1"/>
        </w:rPr>
        <w:t xml:space="preserve"> </w:t>
      </w:r>
      <w:proofErr w:type="spellStart"/>
      <w:r w:rsidR="00CC093A" w:rsidRPr="007C32AA">
        <w:rPr>
          <w:rFonts w:cs="Calibri"/>
          <w:i/>
          <w:iCs/>
          <w:color w:val="000000" w:themeColor="text1"/>
        </w:rPr>
        <w:t>accouting</w:t>
      </w:r>
      <w:proofErr w:type="spellEnd"/>
      <w:r w:rsidRPr="007C32AA">
        <w:rPr>
          <w:rFonts w:cs="Calibri"/>
          <w:color w:val="000000" w:themeColor="text1"/>
        </w:rPr>
        <w:t xml:space="preserve"> </w:t>
      </w:r>
      <w:r w:rsidR="00334B7D">
        <w:rPr>
          <w:rFonts w:cs="Calibri"/>
          <w:color w:val="000000" w:themeColor="text1"/>
        </w:rPr>
        <w:t>está assente</w:t>
      </w:r>
      <w:r w:rsidR="00F1653D" w:rsidRPr="007C32AA">
        <w:rPr>
          <w:rFonts w:cs="Calibri"/>
          <w:color w:val="000000" w:themeColor="text1"/>
        </w:rPr>
        <w:t xml:space="preserve"> </w:t>
      </w:r>
      <w:r w:rsidR="00334B7D">
        <w:rPr>
          <w:rFonts w:cs="Calibri"/>
          <w:color w:val="000000" w:themeColor="text1"/>
        </w:rPr>
        <w:t>n</w:t>
      </w:r>
      <w:r w:rsidR="00F1653D" w:rsidRPr="007C32AA">
        <w:rPr>
          <w:rFonts w:cs="Calibri"/>
          <w:color w:val="000000" w:themeColor="text1"/>
        </w:rPr>
        <w:t xml:space="preserve">um conjunto de </w:t>
      </w:r>
      <w:r w:rsidR="00A15474" w:rsidRPr="007C32AA">
        <w:rPr>
          <w:rFonts w:cs="Calibri"/>
          <w:color w:val="000000" w:themeColor="text1"/>
        </w:rPr>
        <w:t>circulares</w:t>
      </w:r>
      <w:r w:rsidR="00F1653D" w:rsidRPr="007C32AA">
        <w:rPr>
          <w:rFonts w:cs="Calibri"/>
          <w:color w:val="000000" w:themeColor="text1"/>
        </w:rPr>
        <w:t xml:space="preserve"> e normas internas</w:t>
      </w:r>
      <w:r w:rsidR="008B089C">
        <w:rPr>
          <w:rFonts w:cs="Calibri"/>
          <w:color w:val="000000" w:themeColor="text1"/>
        </w:rPr>
        <w:t>,</w:t>
      </w:r>
      <w:r w:rsidR="00BC01C4" w:rsidRPr="00BC01C4">
        <w:rPr>
          <w:rFonts w:cs="Calibri"/>
          <w:color w:val="000000" w:themeColor="text1"/>
        </w:rPr>
        <w:t xml:space="preserve"> </w:t>
      </w:r>
      <w:r w:rsidR="00BC01C4">
        <w:rPr>
          <w:rFonts w:cs="Calibri"/>
          <w:color w:val="000000" w:themeColor="text1"/>
        </w:rPr>
        <w:t>s</w:t>
      </w:r>
      <w:r w:rsidR="00BC01C4" w:rsidRPr="001027A0">
        <w:rPr>
          <w:rFonts w:cs="Calibri"/>
          <w:color w:val="000000" w:themeColor="text1"/>
        </w:rPr>
        <w:t xml:space="preserve">endo esses os documentos que orientam as áreas no que respeita </w:t>
      </w:r>
      <w:r w:rsidR="00CB0654">
        <w:rPr>
          <w:rFonts w:cs="Calibri"/>
          <w:color w:val="000000" w:themeColor="text1"/>
        </w:rPr>
        <w:t>às</w:t>
      </w:r>
      <w:r w:rsidR="002F3773">
        <w:rPr>
          <w:rFonts w:cs="Calibri"/>
          <w:color w:val="000000" w:themeColor="text1"/>
        </w:rPr>
        <w:t xml:space="preserve"> responsabilidades </w:t>
      </w:r>
      <w:r w:rsidR="00BC01C4" w:rsidRPr="001027A0">
        <w:rPr>
          <w:rFonts w:cs="Calibri"/>
          <w:color w:val="000000" w:themeColor="text1"/>
        </w:rPr>
        <w:t>individua</w:t>
      </w:r>
      <w:r w:rsidR="002F3773">
        <w:rPr>
          <w:rFonts w:cs="Calibri"/>
          <w:color w:val="000000" w:themeColor="text1"/>
        </w:rPr>
        <w:t>is</w:t>
      </w:r>
      <w:r w:rsidR="00BC01C4" w:rsidRPr="001027A0">
        <w:rPr>
          <w:rFonts w:cs="Calibri"/>
          <w:color w:val="000000" w:themeColor="text1"/>
        </w:rPr>
        <w:t>.</w:t>
      </w:r>
      <w:r w:rsidR="00D9714F" w:rsidRPr="007C32AA">
        <w:rPr>
          <w:rFonts w:cs="Calibri"/>
          <w:color w:val="000000" w:themeColor="text1"/>
        </w:rPr>
        <w:t xml:space="preserve"> </w:t>
      </w:r>
      <w:r w:rsidR="00F9360B" w:rsidRPr="0092050A">
        <w:rPr>
          <w:rFonts w:cs="Calibri"/>
          <w:color w:val="000000" w:themeColor="text1"/>
        </w:rPr>
        <w:t>O</w:t>
      </w:r>
      <w:r w:rsidR="001053A4" w:rsidRPr="00F9360B">
        <w:rPr>
          <w:rFonts w:cs="Calibri"/>
          <w:color w:val="000000" w:themeColor="text1"/>
        </w:rPr>
        <w:t xml:space="preserve">s principais </w:t>
      </w:r>
      <w:r w:rsidR="00A15474" w:rsidRPr="00F9360B">
        <w:rPr>
          <w:rFonts w:cs="Calibri"/>
          <w:color w:val="000000" w:themeColor="text1"/>
        </w:rPr>
        <w:t>circulares</w:t>
      </w:r>
      <w:r w:rsidR="001053A4" w:rsidRPr="00F9360B">
        <w:rPr>
          <w:rFonts w:cs="Calibri"/>
          <w:color w:val="000000" w:themeColor="text1"/>
        </w:rPr>
        <w:t xml:space="preserve"> e normativos </w:t>
      </w:r>
      <w:r w:rsidR="00F9360B" w:rsidRPr="00F9360B">
        <w:rPr>
          <w:rFonts w:cs="Calibri"/>
          <w:color w:val="000000" w:themeColor="text1"/>
        </w:rPr>
        <w:t>existentes são</w:t>
      </w:r>
      <w:r w:rsidR="001053A4">
        <w:rPr>
          <w:rFonts w:cs="Calibri"/>
          <w:color w:val="000000" w:themeColor="text1"/>
        </w:rPr>
        <w:t>:</w:t>
      </w:r>
    </w:p>
    <w:p w14:paraId="6B650CAC" w14:textId="06DC7FA4" w:rsidR="00A15474" w:rsidRDefault="00037816" w:rsidP="006722F6">
      <w:pPr>
        <w:pStyle w:val="Corpo"/>
        <w:numPr>
          <w:ilvl w:val="0"/>
          <w:numId w:val="2"/>
        </w:numPr>
        <w:spacing w:before="0" w:after="0" w:line="240" w:lineRule="auto"/>
        <w:ind w:hanging="357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Direção de Tesouraria – Operações Financeiras com produtos derivados - </w:t>
      </w:r>
      <w:r w:rsidR="00942381">
        <w:rPr>
          <w:rFonts w:cs="Calibri"/>
          <w:color w:val="000000" w:themeColor="text1"/>
        </w:rPr>
        <w:t>Circular 177-2018</w:t>
      </w:r>
    </w:p>
    <w:p w14:paraId="3DB44EB0" w14:textId="4E258079" w:rsidR="00942381" w:rsidRDefault="00123D67" w:rsidP="006722F6">
      <w:pPr>
        <w:pStyle w:val="Corpo"/>
        <w:numPr>
          <w:ilvl w:val="0"/>
          <w:numId w:val="2"/>
        </w:numPr>
        <w:spacing w:before="0" w:after="0" w:line="240" w:lineRule="auto"/>
        <w:ind w:hanging="357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Área de Risco</w:t>
      </w:r>
      <w:r w:rsidR="005A499F">
        <w:rPr>
          <w:rFonts w:cs="Calibri"/>
          <w:color w:val="000000" w:themeColor="text1"/>
        </w:rPr>
        <w:t xml:space="preserve"> </w:t>
      </w:r>
      <w:r w:rsidR="004D3665">
        <w:rPr>
          <w:rFonts w:cs="Calibri"/>
          <w:color w:val="000000" w:themeColor="text1"/>
        </w:rPr>
        <w:t>de Mercado</w:t>
      </w:r>
      <w:r w:rsidR="005A499F">
        <w:rPr>
          <w:rFonts w:cs="Calibri"/>
          <w:color w:val="000000" w:themeColor="text1"/>
        </w:rPr>
        <w:t xml:space="preserve"> – Procedimento de Determinação dos Ajustamentos à Avaliação - </w:t>
      </w:r>
      <w:r w:rsidR="00942381">
        <w:rPr>
          <w:rFonts w:cs="Calibri"/>
          <w:color w:val="000000" w:themeColor="text1"/>
        </w:rPr>
        <w:t>Circular Nº. 190/2022</w:t>
      </w:r>
    </w:p>
    <w:p w14:paraId="0DD9AE3B" w14:textId="31FDF2A5" w:rsidR="00942381" w:rsidRDefault="00C94088" w:rsidP="006722F6">
      <w:pPr>
        <w:pStyle w:val="Corpo"/>
        <w:numPr>
          <w:ilvl w:val="0"/>
          <w:numId w:val="2"/>
        </w:numPr>
        <w:spacing w:before="0" w:after="0" w:line="240" w:lineRule="auto"/>
        <w:ind w:hanging="357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Área de Risco </w:t>
      </w:r>
      <w:r w:rsidR="004D3665">
        <w:rPr>
          <w:rFonts w:cs="Calibri"/>
          <w:color w:val="000000" w:themeColor="text1"/>
        </w:rPr>
        <w:t>de Mercado</w:t>
      </w:r>
      <w:r>
        <w:rPr>
          <w:rFonts w:cs="Calibri"/>
          <w:color w:val="000000" w:themeColor="text1"/>
        </w:rPr>
        <w:t xml:space="preserve"> – Procedimento de Cálculo de Ajustamentos à Valorização </w:t>
      </w:r>
      <w:r w:rsidR="00EF05CD">
        <w:rPr>
          <w:rFonts w:cs="Calibri"/>
          <w:color w:val="000000" w:themeColor="text1"/>
        </w:rPr>
        <w:t xml:space="preserve">dos Derivados </w:t>
      </w:r>
      <w:r w:rsidR="00210A6E">
        <w:rPr>
          <w:rFonts w:cs="Calibri"/>
          <w:color w:val="000000" w:themeColor="text1"/>
        </w:rPr>
        <w:t xml:space="preserve">por XVA - </w:t>
      </w:r>
      <w:r w:rsidR="00942381">
        <w:rPr>
          <w:rFonts w:cs="Calibri"/>
          <w:color w:val="000000" w:themeColor="text1"/>
        </w:rPr>
        <w:t>Circular Nº. 9/2023</w:t>
      </w:r>
    </w:p>
    <w:p w14:paraId="1EC2FBA0" w14:textId="4F70FE67" w:rsidR="0011317C" w:rsidRDefault="00D6651B" w:rsidP="006722F6">
      <w:pPr>
        <w:pStyle w:val="Corpo"/>
        <w:numPr>
          <w:ilvl w:val="0"/>
          <w:numId w:val="2"/>
        </w:numPr>
        <w:spacing w:before="0" w:after="0" w:line="240" w:lineRule="auto"/>
        <w:ind w:hanging="357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Área </w:t>
      </w:r>
      <w:r w:rsidR="003540B3">
        <w:rPr>
          <w:rFonts w:cs="Calibri"/>
          <w:color w:val="000000" w:themeColor="text1"/>
        </w:rPr>
        <w:t xml:space="preserve">de Contabilidade </w:t>
      </w:r>
      <w:r w:rsidR="00030207">
        <w:rPr>
          <w:rFonts w:cs="Calibri"/>
          <w:color w:val="000000" w:themeColor="text1"/>
        </w:rPr>
        <w:t>–</w:t>
      </w:r>
      <w:r w:rsidR="003540B3">
        <w:rPr>
          <w:rFonts w:cs="Calibri"/>
          <w:color w:val="000000" w:themeColor="text1"/>
        </w:rPr>
        <w:t xml:space="preserve"> </w:t>
      </w:r>
      <w:r w:rsidR="00030207">
        <w:rPr>
          <w:rFonts w:cs="Calibri"/>
          <w:color w:val="000000" w:themeColor="text1"/>
        </w:rPr>
        <w:t xml:space="preserve">Tarefa </w:t>
      </w:r>
      <w:r w:rsidR="00434639">
        <w:rPr>
          <w:rFonts w:cs="Calibri"/>
          <w:color w:val="000000" w:themeColor="text1"/>
        </w:rPr>
        <w:t>500925</w:t>
      </w:r>
      <w:r w:rsidR="00B37271">
        <w:rPr>
          <w:rFonts w:cs="Calibri"/>
          <w:color w:val="000000" w:themeColor="text1"/>
        </w:rPr>
        <w:t xml:space="preserve">26 </w:t>
      </w:r>
      <w:r w:rsidR="00EC7D6F">
        <w:rPr>
          <w:rFonts w:cs="Calibri"/>
          <w:color w:val="000000" w:themeColor="text1"/>
        </w:rPr>
        <w:t>–</w:t>
      </w:r>
      <w:r w:rsidR="00B37271">
        <w:rPr>
          <w:rFonts w:cs="Calibri"/>
          <w:color w:val="000000" w:themeColor="text1"/>
        </w:rPr>
        <w:t xml:space="preserve"> </w:t>
      </w:r>
      <w:r w:rsidR="00EC7D6F">
        <w:rPr>
          <w:rFonts w:cs="Calibri"/>
          <w:color w:val="000000" w:themeColor="text1"/>
        </w:rPr>
        <w:t>Contabilidade de Cobertura</w:t>
      </w:r>
    </w:p>
    <w:p w14:paraId="2A7058BE" w14:textId="19B94126" w:rsidR="00303B8F" w:rsidRPr="003720A9" w:rsidRDefault="00303B8F" w:rsidP="004337E5">
      <w:pPr>
        <w:pStyle w:val="Corpo"/>
        <w:spacing w:after="240" w:line="240" w:lineRule="auto"/>
        <w:jc w:val="both"/>
        <w:rPr>
          <w:rFonts w:cs="Calibri"/>
          <w:color w:val="000000" w:themeColor="text1"/>
        </w:rPr>
      </w:pPr>
      <w:r w:rsidRPr="00303B8F">
        <w:rPr>
          <w:rFonts w:cs="Calibri"/>
          <w:color w:val="000000" w:themeColor="text1"/>
        </w:rPr>
        <w:t xml:space="preserve">Estas </w:t>
      </w:r>
      <w:r w:rsidR="005731E2">
        <w:rPr>
          <w:rFonts w:cs="Calibri"/>
          <w:color w:val="000000" w:themeColor="text1"/>
        </w:rPr>
        <w:t>circulares</w:t>
      </w:r>
      <w:r w:rsidR="00802884">
        <w:rPr>
          <w:rFonts w:cs="Calibri"/>
          <w:color w:val="000000" w:themeColor="text1"/>
        </w:rPr>
        <w:t xml:space="preserve"> </w:t>
      </w:r>
      <w:r w:rsidRPr="00303B8F">
        <w:rPr>
          <w:rFonts w:cs="Calibri"/>
          <w:color w:val="000000" w:themeColor="text1"/>
        </w:rPr>
        <w:t>são revistas periodicamente para garantir a sua adequação aos requisitos regulatórios em evolução e às melhores práticas.</w:t>
      </w:r>
    </w:p>
    <w:p w14:paraId="66561F16" w14:textId="54F1680D" w:rsidR="00C21BEC" w:rsidRDefault="001E0E6A" w:rsidP="00C92C5E">
      <w:pPr>
        <w:pStyle w:val="Ttulo21"/>
      </w:pPr>
      <w:bookmarkStart w:id="6" w:name="_Toc205549109"/>
      <w:r>
        <w:t>2</w:t>
      </w:r>
      <w:r w:rsidR="00C92C5E">
        <w:t>.3.</w:t>
      </w:r>
      <w:r w:rsidR="00C21BEC">
        <w:t xml:space="preserve"> </w:t>
      </w:r>
      <w:proofErr w:type="spellStart"/>
      <w:r w:rsidR="00C21BEC" w:rsidRPr="00B624F3">
        <w:rPr>
          <w:i/>
          <w:iCs/>
        </w:rPr>
        <w:t>Compliance</w:t>
      </w:r>
      <w:proofErr w:type="spellEnd"/>
      <w:r w:rsidR="00A15984">
        <w:rPr>
          <w:i/>
          <w:iCs/>
        </w:rPr>
        <w:t>/Cumprimento</w:t>
      </w:r>
      <w:bookmarkEnd w:id="6"/>
    </w:p>
    <w:p w14:paraId="05534EA6" w14:textId="0EFDE0B9" w:rsidR="004337E5" w:rsidRPr="004337E5" w:rsidRDefault="007926C9" w:rsidP="004000F3">
      <w:pPr>
        <w:pStyle w:val="Corpo"/>
        <w:spacing w:after="240" w:line="240" w:lineRule="auto"/>
        <w:jc w:val="both"/>
        <w:rPr>
          <w:rFonts w:cs="Calibri"/>
          <w:color w:val="000000" w:themeColor="text1"/>
        </w:rPr>
      </w:pPr>
      <w:r w:rsidRPr="004337E5">
        <w:rPr>
          <w:rFonts w:cs="Calibri"/>
          <w:color w:val="000000" w:themeColor="text1"/>
        </w:rPr>
        <w:t xml:space="preserve">O modelo de </w:t>
      </w:r>
      <w:r w:rsidR="00A01CEC" w:rsidRPr="0092050A">
        <w:rPr>
          <w:rFonts w:cs="Calibri"/>
          <w:color w:val="000000" w:themeColor="text1"/>
        </w:rPr>
        <w:t>govern</w:t>
      </w:r>
      <w:r w:rsidR="005B4FCB" w:rsidRPr="0092050A">
        <w:rPr>
          <w:rFonts w:cs="Calibri"/>
          <w:color w:val="000000" w:themeColor="text1"/>
        </w:rPr>
        <w:t>o</w:t>
      </w:r>
      <w:r w:rsidRPr="004337E5">
        <w:rPr>
          <w:rFonts w:cs="Calibri"/>
          <w:color w:val="000000" w:themeColor="text1"/>
        </w:rPr>
        <w:t xml:space="preserve"> d</w:t>
      </w:r>
      <w:r w:rsidR="00A01CEC">
        <w:rPr>
          <w:rFonts w:cs="Calibri"/>
          <w:color w:val="000000" w:themeColor="text1"/>
        </w:rPr>
        <w:t xml:space="preserve">e </w:t>
      </w:r>
      <w:proofErr w:type="spellStart"/>
      <w:r w:rsidR="00A01CEC">
        <w:rPr>
          <w:rFonts w:cs="Calibri"/>
          <w:i/>
          <w:iCs/>
          <w:color w:val="000000" w:themeColor="text1"/>
        </w:rPr>
        <w:t>hedge</w:t>
      </w:r>
      <w:proofErr w:type="spellEnd"/>
      <w:r w:rsidR="00A01CEC">
        <w:rPr>
          <w:rFonts w:cs="Calibri"/>
          <w:i/>
          <w:iCs/>
          <w:color w:val="000000" w:themeColor="text1"/>
        </w:rPr>
        <w:t xml:space="preserve"> </w:t>
      </w:r>
      <w:proofErr w:type="spellStart"/>
      <w:r w:rsidR="00A01CEC">
        <w:rPr>
          <w:rFonts w:cs="Calibri"/>
          <w:i/>
          <w:iCs/>
          <w:color w:val="000000" w:themeColor="text1"/>
        </w:rPr>
        <w:t>accounting</w:t>
      </w:r>
      <w:proofErr w:type="spellEnd"/>
      <w:r w:rsidRPr="004337E5">
        <w:rPr>
          <w:rFonts w:cs="Calibri"/>
          <w:color w:val="000000" w:themeColor="text1"/>
        </w:rPr>
        <w:t xml:space="preserve"> integra mecanismos de </w:t>
      </w:r>
      <w:proofErr w:type="spellStart"/>
      <w:r w:rsidRPr="00B624F3">
        <w:rPr>
          <w:rFonts w:cs="Calibri"/>
          <w:i/>
          <w:iCs/>
          <w:color w:val="000000" w:themeColor="text1"/>
        </w:rPr>
        <w:t>compliance</w:t>
      </w:r>
      <w:proofErr w:type="spellEnd"/>
      <w:r w:rsidRPr="004337E5">
        <w:rPr>
          <w:rFonts w:cs="Calibri"/>
          <w:color w:val="000000" w:themeColor="text1"/>
        </w:rPr>
        <w:t xml:space="preserve"> que asseguram o alinhamento com os requisitos </w:t>
      </w:r>
      <w:r w:rsidR="00F93AE1" w:rsidRPr="004337E5">
        <w:rPr>
          <w:rFonts w:cs="Calibri"/>
          <w:color w:val="000000" w:themeColor="text1"/>
        </w:rPr>
        <w:t>d</w:t>
      </w:r>
      <w:r w:rsidR="00F619E8">
        <w:rPr>
          <w:rFonts w:cs="Calibri"/>
          <w:color w:val="000000" w:themeColor="text1"/>
        </w:rPr>
        <w:t>a IFRS9</w:t>
      </w:r>
      <w:r w:rsidR="00D02742">
        <w:rPr>
          <w:rFonts w:cs="Calibri"/>
          <w:color w:val="000000" w:themeColor="text1"/>
        </w:rPr>
        <w:t>,</w:t>
      </w:r>
      <w:r w:rsidR="00F93AE1" w:rsidRPr="004337E5">
        <w:rPr>
          <w:rFonts w:cs="Calibri"/>
          <w:color w:val="000000" w:themeColor="text1"/>
        </w:rPr>
        <w:t xml:space="preserve"> diretrizes corporativas</w:t>
      </w:r>
      <w:r w:rsidR="00D02742">
        <w:rPr>
          <w:rFonts w:cs="Calibri"/>
          <w:color w:val="000000" w:themeColor="text1"/>
        </w:rPr>
        <w:t xml:space="preserve"> e </w:t>
      </w:r>
      <w:r w:rsidR="00D02742" w:rsidRPr="00D02742">
        <w:rPr>
          <w:rFonts w:cs="Calibri"/>
          <w:color w:val="000000" w:themeColor="text1"/>
        </w:rPr>
        <w:t>o</w:t>
      </w:r>
      <w:r w:rsidR="00D02742">
        <w:rPr>
          <w:rFonts w:cs="Calibri"/>
          <w:color w:val="000000" w:themeColor="text1"/>
        </w:rPr>
        <w:t xml:space="preserve"> Modelo de Governo de Reporte Regulatório</w:t>
      </w:r>
      <w:r w:rsidR="004000F3">
        <w:rPr>
          <w:rFonts w:cs="Calibri"/>
          <w:color w:val="000000" w:themeColor="text1"/>
        </w:rPr>
        <w:t>.</w:t>
      </w:r>
    </w:p>
    <w:p w14:paraId="35CC793B" w14:textId="4AE9BA63" w:rsidR="00630AB7" w:rsidRPr="0091481F" w:rsidRDefault="00630AB7" w:rsidP="00AE7C00">
      <w:pPr>
        <w:pStyle w:val="Corpo"/>
        <w:spacing w:after="240" w:line="240" w:lineRule="auto"/>
        <w:jc w:val="both"/>
        <w:rPr>
          <w:rFonts w:cs="Calibri"/>
          <w:color w:val="000000" w:themeColor="text1"/>
        </w:rPr>
      </w:pPr>
      <w:r w:rsidRPr="0091481F">
        <w:rPr>
          <w:rFonts w:cs="Calibri"/>
          <w:color w:val="000000" w:themeColor="text1"/>
        </w:rPr>
        <w:lastRenderedPageBreak/>
        <w:t xml:space="preserve">A transparência é um princípio basilar do modelo de </w:t>
      </w:r>
      <w:r w:rsidR="005B4FCB" w:rsidRPr="0092050A">
        <w:rPr>
          <w:rFonts w:cs="Calibri"/>
          <w:color w:val="000000" w:themeColor="text1"/>
        </w:rPr>
        <w:t>governo</w:t>
      </w:r>
      <w:r w:rsidR="005B4FCB">
        <w:rPr>
          <w:rFonts w:cs="Calibri"/>
          <w:color w:val="000000" w:themeColor="text1"/>
        </w:rPr>
        <w:t xml:space="preserve"> </w:t>
      </w:r>
      <w:r w:rsidR="00A8742D">
        <w:rPr>
          <w:rFonts w:cs="Calibri"/>
          <w:color w:val="000000" w:themeColor="text1"/>
        </w:rPr>
        <w:t xml:space="preserve">do processo de </w:t>
      </w:r>
      <w:proofErr w:type="spellStart"/>
      <w:r w:rsidR="00A8742D">
        <w:rPr>
          <w:rFonts w:cs="Calibri"/>
          <w:i/>
          <w:iCs/>
          <w:color w:val="000000" w:themeColor="text1"/>
        </w:rPr>
        <w:t>hedge</w:t>
      </w:r>
      <w:proofErr w:type="spellEnd"/>
      <w:r w:rsidR="00A8742D">
        <w:rPr>
          <w:rFonts w:cs="Calibri"/>
          <w:i/>
          <w:iCs/>
          <w:color w:val="000000" w:themeColor="text1"/>
        </w:rPr>
        <w:t xml:space="preserve"> </w:t>
      </w:r>
      <w:proofErr w:type="spellStart"/>
      <w:r w:rsidR="00A8742D">
        <w:rPr>
          <w:rFonts w:cs="Calibri"/>
          <w:i/>
          <w:iCs/>
          <w:color w:val="000000" w:themeColor="text1"/>
        </w:rPr>
        <w:t>accounting</w:t>
      </w:r>
      <w:proofErr w:type="spellEnd"/>
      <w:r w:rsidR="00A8742D">
        <w:rPr>
          <w:rFonts w:cs="Calibri"/>
          <w:i/>
          <w:iCs/>
          <w:color w:val="000000" w:themeColor="text1"/>
        </w:rPr>
        <w:t xml:space="preserve"> </w:t>
      </w:r>
      <w:r w:rsidR="00A8742D">
        <w:rPr>
          <w:rFonts w:cs="Calibri"/>
          <w:color w:val="000000" w:themeColor="text1"/>
        </w:rPr>
        <w:t xml:space="preserve">do </w:t>
      </w:r>
      <w:r w:rsidR="00A15984">
        <w:rPr>
          <w:rFonts w:cs="Calibri"/>
          <w:color w:val="000000" w:themeColor="text1"/>
        </w:rPr>
        <w:t>Banco</w:t>
      </w:r>
      <w:r w:rsidRPr="0091481F">
        <w:rPr>
          <w:rFonts w:cs="Calibri"/>
          <w:color w:val="000000" w:themeColor="text1"/>
        </w:rPr>
        <w:t xml:space="preserve">. Toda a documentação relevante – </w:t>
      </w:r>
      <w:r w:rsidR="000A3746">
        <w:rPr>
          <w:rFonts w:cs="Calibri"/>
          <w:color w:val="000000" w:themeColor="text1"/>
        </w:rPr>
        <w:t>Documentos</w:t>
      </w:r>
      <w:r w:rsidRPr="0091481F">
        <w:rPr>
          <w:rFonts w:cs="Calibri"/>
          <w:color w:val="000000" w:themeColor="text1"/>
        </w:rPr>
        <w:t xml:space="preserve"> de </w:t>
      </w:r>
      <w:r w:rsidR="000A3746">
        <w:rPr>
          <w:rFonts w:cs="Calibri"/>
          <w:i/>
          <w:iCs/>
          <w:color w:val="000000" w:themeColor="text1"/>
        </w:rPr>
        <w:t xml:space="preserve">Framework, </w:t>
      </w:r>
      <w:r w:rsidR="000A3746">
        <w:rPr>
          <w:rFonts w:cs="Calibri"/>
          <w:color w:val="000000" w:themeColor="text1"/>
        </w:rPr>
        <w:t>Matriz</w:t>
      </w:r>
      <w:r w:rsidRPr="0091481F">
        <w:rPr>
          <w:rFonts w:cs="Calibri"/>
          <w:color w:val="000000" w:themeColor="text1"/>
        </w:rPr>
        <w:t xml:space="preserve"> de </w:t>
      </w:r>
      <w:r w:rsidR="000A3746">
        <w:rPr>
          <w:rFonts w:cs="Calibri"/>
          <w:color w:val="000000" w:themeColor="text1"/>
        </w:rPr>
        <w:t>Coberturas e Fichas Individuais</w:t>
      </w:r>
      <w:r w:rsidRPr="0091481F">
        <w:rPr>
          <w:rFonts w:cs="Calibri"/>
          <w:color w:val="000000" w:themeColor="text1"/>
        </w:rPr>
        <w:t xml:space="preserve"> – encontra-se organizada, atualizada e acessível às partes interessadas, sempre que necessário.</w:t>
      </w:r>
    </w:p>
    <w:p w14:paraId="202815DD" w14:textId="35629502" w:rsidR="00E46B20" w:rsidRPr="00AE7C00" w:rsidRDefault="00E46B20" w:rsidP="0087586E">
      <w:pPr>
        <w:pStyle w:val="Corpo"/>
        <w:spacing w:after="240" w:line="240" w:lineRule="auto"/>
        <w:jc w:val="both"/>
        <w:rPr>
          <w:rFonts w:cs="Calibri"/>
          <w:color w:val="000000" w:themeColor="text1"/>
        </w:rPr>
      </w:pPr>
      <w:r w:rsidRPr="004B07AD">
        <w:rPr>
          <w:rFonts w:cs="Calibri"/>
          <w:color w:val="000000" w:themeColor="text1"/>
        </w:rPr>
        <w:t xml:space="preserve">A estrutura de </w:t>
      </w:r>
      <w:r w:rsidR="00553926" w:rsidRPr="0092050A">
        <w:rPr>
          <w:rFonts w:cs="Calibri"/>
          <w:color w:val="000000" w:themeColor="text1"/>
        </w:rPr>
        <w:t>governo</w:t>
      </w:r>
      <w:r w:rsidR="00553926" w:rsidRPr="004B07AD">
        <w:rPr>
          <w:rFonts w:cs="Calibri"/>
          <w:color w:val="000000" w:themeColor="text1"/>
        </w:rPr>
        <w:t xml:space="preserve"> </w:t>
      </w:r>
      <w:r w:rsidR="00A61714" w:rsidRPr="004B07AD">
        <w:rPr>
          <w:rFonts w:cs="Calibri"/>
          <w:color w:val="000000" w:themeColor="text1"/>
        </w:rPr>
        <w:t>garante a</w:t>
      </w:r>
      <w:r w:rsidRPr="004B07AD">
        <w:rPr>
          <w:rFonts w:cs="Calibri"/>
          <w:color w:val="000000" w:themeColor="text1"/>
        </w:rPr>
        <w:t xml:space="preserve"> resposta</w:t>
      </w:r>
      <w:r w:rsidR="00F419C6">
        <w:rPr>
          <w:rFonts w:cs="Calibri"/>
          <w:color w:val="000000" w:themeColor="text1"/>
        </w:rPr>
        <w:t xml:space="preserve"> coordenada,</w:t>
      </w:r>
      <w:r w:rsidR="00A61714">
        <w:rPr>
          <w:rFonts w:cs="Calibri"/>
          <w:color w:val="000000" w:themeColor="text1"/>
        </w:rPr>
        <w:t xml:space="preserve"> </w:t>
      </w:r>
      <w:r w:rsidR="00F419C6">
        <w:rPr>
          <w:rFonts w:cs="Calibri"/>
          <w:color w:val="000000" w:themeColor="text1"/>
        </w:rPr>
        <w:t>atempada e suport</w:t>
      </w:r>
      <w:r w:rsidR="00A61714">
        <w:rPr>
          <w:rFonts w:cs="Calibri"/>
          <w:color w:val="000000" w:themeColor="text1"/>
        </w:rPr>
        <w:t>a</w:t>
      </w:r>
      <w:r w:rsidR="00F419C6">
        <w:rPr>
          <w:rFonts w:cs="Calibri"/>
          <w:color w:val="000000" w:themeColor="text1"/>
        </w:rPr>
        <w:t xml:space="preserve">da por evidências </w:t>
      </w:r>
      <w:r w:rsidR="00431740">
        <w:rPr>
          <w:rFonts w:cs="Calibri"/>
          <w:color w:val="000000" w:themeColor="text1"/>
        </w:rPr>
        <w:t xml:space="preserve">documentais </w:t>
      </w:r>
      <w:r w:rsidR="002959E1">
        <w:rPr>
          <w:rFonts w:cs="Calibri"/>
          <w:color w:val="000000" w:themeColor="text1"/>
        </w:rPr>
        <w:t xml:space="preserve">robustas </w:t>
      </w:r>
      <w:r w:rsidR="00364A38">
        <w:rPr>
          <w:rFonts w:cs="Calibri"/>
          <w:color w:val="000000" w:themeColor="text1"/>
        </w:rPr>
        <w:t>a</w:t>
      </w:r>
      <w:r w:rsidR="00364A38" w:rsidRPr="004B07AD">
        <w:rPr>
          <w:rFonts w:cs="Calibri"/>
          <w:color w:val="000000" w:themeColor="text1"/>
        </w:rPr>
        <w:t xml:space="preserve"> </w:t>
      </w:r>
      <w:r w:rsidR="00364A38">
        <w:rPr>
          <w:rFonts w:cs="Calibri"/>
          <w:color w:val="000000" w:themeColor="text1"/>
        </w:rPr>
        <w:t>pedidos</w:t>
      </w:r>
      <w:r w:rsidRPr="004B07AD">
        <w:rPr>
          <w:rFonts w:cs="Calibri"/>
          <w:color w:val="000000" w:themeColor="text1"/>
        </w:rPr>
        <w:t xml:space="preserve"> ou inspeções </w:t>
      </w:r>
      <w:r w:rsidR="00431740">
        <w:rPr>
          <w:rFonts w:cs="Calibri"/>
          <w:color w:val="000000" w:themeColor="text1"/>
        </w:rPr>
        <w:t>internos</w:t>
      </w:r>
      <w:r w:rsidR="00364A38">
        <w:rPr>
          <w:rFonts w:cs="Calibri"/>
          <w:color w:val="000000" w:themeColor="text1"/>
        </w:rPr>
        <w:t>/</w:t>
      </w:r>
      <w:r w:rsidR="00431740">
        <w:rPr>
          <w:rFonts w:cs="Calibri"/>
          <w:color w:val="000000" w:themeColor="text1"/>
        </w:rPr>
        <w:t>externos</w:t>
      </w:r>
      <w:r w:rsidR="00A31BE2">
        <w:rPr>
          <w:rFonts w:cs="Calibri"/>
          <w:color w:val="000000" w:themeColor="text1"/>
        </w:rPr>
        <w:t xml:space="preserve"> no contexto de auditoria.</w:t>
      </w:r>
    </w:p>
    <w:p w14:paraId="44C98000" w14:textId="564F3712" w:rsidR="00C21BEC" w:rsidRDefault="001E0E6A" w:rsidP="00C92C5E">
      <w:pPr>
        <w:pStyle w:val="Ttulo21"/>
      </w:pPr>
      <w:bookmarkStart w:id="7" w:name="_Toc205549110"/>
      <w:r>
        <w:t>2</w:t>
      </w:r>
      <w:r w:rsidR="00C92C5E">
        <w:t>.4.</w:t>
      </w:r>
      <w:r w:rsidR="00C21BEC">
        <w:t xml:space="preserve"> Gestão da Mudança</w:t>
      </w:r>
      <w:bookmarkEnd w:id="7"/>
    </w:p>
    <w:p w14:paraId="0D1E9D6E" w14:textId="5304075A" w:rsidR="000872A4" w:rsidRPr="00F076B7" w:rsidRDefault="00384183" w:rsidP="00B73FFF">
      <w:pPr>
        <w:pStyle w:val="Corpo"/>
        <w:spacing w:after="240" w:line="240" w:lineRule="auto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O </w:t>
      </w:r>
      <w:proofErr w:type="spellStart"/>
      <w:r w:rsidR="00E118F0" w:rsidRPr="00E118F0">
        <w:rPr>
          <w:rFonts w:cs="Calibri"/>
          <w:i/>
          <w:iCs/>
          <w:color w:val="000000" w:themeColor="text1"/>
        </w:rPr>
        <w:t>h</w:t>
      </w:r>
      <w:r>
        <w:rPr>
          <w:rFonts w:cs="Calibri"/>
          <w:i/>
          <w:iCs/>
          <w:color w:val="000000" w:themeColor="text1"/>
        </w:rPr>
        <w:t>edge</w:t>
      </w:r>
      <w:proofErr w:type="spellEnd"/>
      <w:r>
        <w:rPr>
          <w:rFonts w:cs="Calibri"/>
          <w:i/>
          <w:iCs/>
          <w:color w:val="000000" w:themeColor="text1"/>
        </w:rPr>
        <w:t xml:space="preserve"> </w:t>
      </w:r>
      <w:proofErr w:type="spellStart"/>
      <w:r w:rsidR="00E118F0" w:rsidRPr="00E118F0">
        <w:rPr>
          <w:rFonts w:cs="Calibri"/>
          <w:i/>
          <w:iCs/>
          <w:color w:val="000000" w:themeColor="text1"/>
        </w:rPr>
        <w:t>a</w:t>
      </w:r>
      <w:r>
        <w:rPr>
          <w:rFonts w:cs="Calibri"/>
          <w:i/>
          <w:iCs/>
          <w:color w:val="000000" w:themeColor="text1"/>
        </w:rPr>
        <w:t>ccounting</w:t>
      </w:r>
      <w:proofErr w:type="spellEnd"/>
      <w:r>
        <w:rPr>
          <w:rFonts w:cs="Calibri"/>
          <w:i/>
          <w:iCs/>
          <w:color w:val="000000" w:themeColor="text1"/>
        </w:rPr>
        <w:t xml:space="preserve"> </w:t>
      </w:r>
      <w:r>
        <w:rPr>
          <w:rFonts w:cs="Calibri"/>
          <w:color w:val="000000" w:themeColor="text1"/>
        </w:rPr>
        <w:t xml:space="preserve">do </w:t>
      </w:r>
      <w:r w:rsidR="00A15984">
        <w:rPr>
          <w:rFonts w:cs="Calibri"/>
          <w:color w:val="000000" w:themeColor="text1"/>
        </w:rPr>
        <w:t>Banco</w:t>
      </w:r>
      <w:r>
        <w:rPr>
          <w:rFonts w:cs="Calibri"/>
          <w:color w:val="000000" w:themeColor="text1"/>
        </w:rPr>
        <w:t xml:space="preserve"> é um processo</w:t>
      </w:r>
      <w:r w:rsidR="00F076B7">
        <w:rPr>
          <w:rFonts w:cs="Calibri"/>
          <w:color w:val="000000" w:themeColor="text1"/>
        </w:rPr>
        <w:t xml:space="preserve"> </w:t>
      </w:r>
      <w:r w:rsidR="00DD05A4">
        <w:rPr>
          <w:rFonts w:cs="Calibri"/>
          <w:color w:val="000000" w:themeColor="text1"/>
        </w:rPr>
        <w:t>estável</w:t>
      </w:r>
      <w:r w:rsidR="00F076B7">
        <w:rPr>
          <w:rFonts w:cs="Calibri"/>
          <w:color w:val="000000" w:themeColor="text1"/>
        </w:rPr>
        <w:t xml:space="preserve">, </w:t>
      </w:r>
      <w:r w:rsidR="00DD05A4">
        <w:rPr>
          <w:rFonts w:cs="Calibri"/>
          <w:color w:val="000000" w:themeColor="text1"/>
        </w:rPr>
        <w:t xml:space="preserve">não obstante, </w:t>
      </w:r>
      <w:r w:rsidR="00DF1F7F">
        <w:rPr>
          <w:rFonts w:cs="Calibri"/>
          <w:color w:val="000000" w:themeColor="text1"/>
        </w:rPr>
        <w:t xml:space="preserve">pode ser </w:t>
      </w:r>
      <w:r w:rsidR="00F076B7">
        <w:rPr>
          <w:rFonts w:cs="Calibri"/>
          <w:color w:val="000000" w:themeColor="text1"/>
        </w:rPr>
        <w:t>sujeito a alterações decorrentes da introdução de nov</w:t>
      </w:r>
      <w:r w:rsidR="001E5A08">
        <w:rPr>
          <w:rFonts w:cs="Calibri"/>
          <w:color w:val="000000" w:themeColor="text1"/>
        </w:rPr>
        <w:t>as tipologia</w:t>
      </w:r>
      <w:r w:rsidR="005173DB">
        <w:rPr>
          <w:rFonts w:cs="Calibri"/>
          <w:color w:val="000000" w:themeColor="text1"/>
        </w:rPr>
        <w:t>s de cobertu</w:t>
      </w:r>
      <w:r w:rsidR="002275BB">
        <w:rPr>
          <w:rFonts w:cs="Calibri"/>
          <w:color w:val="000000" w:themeColor="text1"/>
        </w:rPr>
        <w:t xml:space="preserve">ra, </w:t>
      </w:r>
      <w:r w:rsidR="007257A5">
        <w:rPr>
          <w:rFonts w:cs="Calibri"/>
          <w:color w:val="000000" w:themeColor="text1"/>
        </w:rPr>
        <w:t xml:space="preserve">ou </w:t>
      </w:r>
      <w:r w:rsidR="00F076B7">
        <w:rPr>
          <w:rFonts w:cs="Calibri"/>
          <w:color w:val="000000" w:themeColor="text1"/>
        </w:rPr>
        <w:t>da evolução dos requisitos regulatórios/corporativos</w:t>
      </w:r>
      <w:r w:rsidR="00DB569A">
        <w:rPr>
          <w:rFonts w:cs="Calibri"/>
          <w:color w:val="000000" w:themeColor="text1"/>
        </w:rPr>
        <w:t>.</w:t>
      </w:r>
    </w:p>
    <w:p w14:paraId="2A48C483" w14:textId="21FB4FF6" w:rsidR="00595608" w:rsidRDefault="008F6492" w:rsidP="00B73FFF">
      <w:pPr>
        <w:pStyle w:val="Corpo"/>
        <w:spacing w:after="240" w:line="240" w:lineRule="auto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Neste sentido, a</w:t>
      </w:r>
      <w:r w:rsidR="00595608" w:rsidRPr="0091481F">
        <w:rPr>
          <w:rFonts w:cs="Calibri"/>
          <w:color w:val="000000" w:themeColor="text1"/>
        </w:rPr>
        <w:t xml:space="preserve"> evolução funcional e tecnológica está sujeita a um modelo de </w:t>
      </w:r>
      <w:r w:rsidR="00FE171A" w:rsidRPr="0092050A">
        <w:rPr>
          <w:rFonts w:cs="Calibri"/>
          <w:color w:val="000000" w:themeColor="text1"/>
        </w:rPr>
        <w:t>governo</w:t>
      </w:r>
      <w:r w:rsidR="00FE171A">
        <w:rPr>
          <w:rFonts w:cs="Calibri"/>
          <w:i/>
          <w:iCs/>
          <w:color w:val="000000" w:themeColor="text1"/>
        </w:rPr>
        <w:t xml:space="preserve"> </w:t>
      </w:r>
      <w:r w:rsidR="00595608" w:rsidRPr="0091481F">
        <w:rPr>
          <w:rFonts w:cs="Calibri"/>
          <w:color w:val="000000" w:themeColor="text1"/>
        </w:rPr>
        <w:t xml:space="preserve">específico, que assegura a sua adequação contínua aos requisitos </w:t>
      </w:r>
      <w:r>
        <w:rPr>
          <w:rFonts w:cs="Calibri"/>
          <w:color w:val="000000" w:themeColor="text1"/>
        </w:rPr>
        <w:t xml:space="preserve">e </w:t>
      </w:r>
      <w:r w:rsidR="00595608" w:rsidRPr="0091481F">
        <w:rPr>
          <w:rFonts w:cs="Calibri"/>
          <w:color w:val="000000" w:themeColor="text1"/>
        </w:rPr>
        <w:t xml:space="preserve">às necessidades de negócio. Qualquer alteração estrutural </w:t>
      </w:r>
      <w:r w:rsidR="002412CD">
        <w:rPr>
          <w:rFonts w:cs="Calibri"/>
          <w:color w:val="000000" w:themeColor="text1"/>
        </w:rPr>
        <w:t>ao processo</w:t>
      </w:r>
      <w:r w:rsidR="00595608" w:rsidRPr="0091481F">
        <w:rPr>
          <w:rFonts w:cs="Calibri"/>
          <w:color w:val="000000" w:themeColor="text1"/>
        </w:rPr>
        <w:t xml:space="preserve"> carece de uma análise de impacto</w:t>
      </w:r>
      <w:r w:rsidR="00E94493">
        <w:rPr>
          <w:rFonts w:cs="Calibri"/>
          <w:color w:val="000000" w:themeColor="text1"/>
        </w:rPr>
        <w:t xml:space="preserve"> </w:t>
      </w:r>
      <w:r w:rsidR="00595608" w:rsidRPr="0091481F">
        <w:rPr>
          <w:rFonts w:cs="Calibri"/>
          <w:color w:val="000000" w:themeColor="text1"/>
        </w:rPr>
        <w:t>e validação funcional por parte das áreas</w:t>
      </w:r>
      <w:r w:rsidR="00E94493">
        <w:rPr>
          <w:rFonts w:cs="Calibri"/>
          <w:color w:val="000000" w:themeColor="text1"/>
        </w:rPr>
        <w:t xml:space="preserve"> e</w:t>
      </w:r>
      <w:r w:rsidR="007268AB">
        <w:rPr>
          <w:rFonts w:cs="Calibri"/>
          <w:color w:val="000000" w:themeColor="text1"/>
        </w:rPr>
        <w:t xml:space="preserve"> responsáveis</w:t>
      </w:r>
      <w:r w:rsidR="00595608" w:rsidRPr="0091481F">
        <w:rPr>
          <w:rFonts w:cs="Calibri"/>
          <w:color w:val="000000" w:themeColor="text1"/>
        </w:rPr>
        <w:t xml:space="preserve"> competentes.</w:t>
      </w:r>
    </w:p>
    <w:p w14:paraId="58B3A3FC" w14:textId="00F31E7B" w:rsidR="00C53ECF" w:rsidRDefault="00630AB7" w:rsidP="00B948F3">
      <w:pPr>
        <w:pStyle w:val="Corpo"/>
        <w:spacing w:after="240" w:line="240" w:lineRule="auto"/>
        <w:jc w:val="both"/>
        <w:rPr>
          <w:rFonts w:cs="Calibri"/>
          <w:color w:val="000000" w:themeColor="text1"/>
        </w:rPr>
      </w:pPr>
      <w:r w:rsidRPr="0091481F">
        <w:rPr>
          <w:rFonts w:cs="Calibri"/>
          <w:color w:val="000000" w:themeColor="text1"/>
        </w:rPr>
        <w:t xml:space="preserve">O sucesso do modelo de </w:t>
      </w:r>
      <w:r w:rsidR="008B13ED" w:rsidRPr="00397B94">
        <w:rPr>
          <w:rFonts w:cs="Calibri"/>
          <w:color w:val="000000" w:themeColor="text1"/>
        </w:rPr>
        <w:t>governo</w:t>
      </w:r>
      <w:r w:rsidR="008B13ED" w:rsidRPr="0091481F">
        <w:rPr>
          <w:rFonts w:cs="Calibri"/>
          <w:color w:val="000000" w:themeColor="text1"/>
        </w:rPr>
        <w:t xml:space="preserve"> </w:t>
      </w:r>
      <w:r w:rsidRPr="0091481F">
        <w:rPr>
          <w:rFonts w:cs="Calibri"/>
          <w:color w:val="000000" w:themeColor="text1"/>
        </w:rPr>
        <w:t xml:space="preserve">depende, em larga medida, da existência de uma cultura organizacional assente na sensibilização, capacitação e responsabilização das áreas envolvidas. Para esse efeito, </w:t>
      </w:r>
      <w:r w:rsidRPr="006D61A3">
        <w:rPr>
          <w:rFonts w:cs="Calibri"/>
          <w:color w:val="000000" w:themeColor="text1"/>
        </w:rPr>
        <w:t xml:space="preserve">são promovidas ações de </w:t>
      </w:r>
      <w:r w:rsidR="00B31871" w:rsidRPr="006D61A3">
        <w:rPr>
          <w:rFonts w:cs="Calibri"/>
          <w:color w:val="000000" w:themeColor="text1"/>
        </w:rPr>
        <w:t xml:space="preserve">passagem de conhecimento </w:t>
      </w:r>
      <w:r w:rsidRPr="006D61A3">
        <w:rPr>
          <w:rFonts w:cs="Calibri"/>
          <w:color w:val="000000" w:themeColor="text1"/>
        </w:rPr>
        <w:t xml:space="preserve">às equipas que intervêm nos </w:t>
      </w:r>
      <w:r w:rsidR="0044131F" w:rsidRPr="006D61A3">
        <w:rPr>
          <w:rFonts w:cs="Calibri"/>
          <w:color w:val="000000" w:themeColor="text1"/>
        </w:rPr>
        <w:t>processos.</w:t>
      </w:r>
    </w:p>
    <w:p w14:paraId="3C5AEAC7" w14:textId="6749FAAF" w:rsidR="00C258C0" w:rsidRDefault="00DB2266" w:rsidP="00B948F3">
      <w:pPr>
        <w:pStyle w:val="Corpo"/>
        <w:spacing w:after="240" w:line="240" w:lineRule="auto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Adicionalmente,</w:t>
      </w:r>
      <w:r w:rsidR="0022027A">
        <w:rPr>
          <w:rFonts w:cs="Calibri"/>
          <w:color w:val="000000" w:themeColor="text1"/>
        </w:rPr>
        <w:t xml:space="preserve"> a</w:t>
      </w:r>
      <w:r w:rsidR="00B948F3">
        <w:rPr>
          <w:rFonts w:cs="Calibri"/>
          <w:color w:val="000000" w:themeColor="text1"/>
        </w:rPr>
        <w:t xml:space="preserve"> sua</w:t>
      </w:r>
      <w:r w:rsidR="00630AB7" w:rsidRPr="0091481F">
        <w:rPr>
          <w:rFonts w:cs="Calibri"/>
          <w:color w:val="000000" w:themeColor="text1"/>
        </w:rPr>
        <w:t xml:space="preserve"> robustez é reforçada através da realização de auditorias internas, externas </w:t>
      </w:r>
      <w:r w:rsidR="00E91AC9">
        <w:rPr>
          <w:rFonts w:cs="Calibri"/>
          <w:color w:val="000000" w:themeColor="text1"/>
        </w:rPr>
        <w:t>ou outras análises</w:t>
      </w:r>
      <w:r w:rsidR="00630AB7" w:rsidRPr="0091481F">
        <w:rPr>
          <w:rFonts w:cs="Calibri"/>
          <w:color w:val="000000" w:themeColor="text1"/>
        </w:rPr>
        <w:t xml:space="preserve"> conduzidas</w:t>
      </w:r>
      <w:r w:rsidR="005E27F8">
        <w:rPr>
          <w:rFonts w:cs="Calibri"/>
          <w:color w:val="000000" w:themeColor="text1"/>
        </w:rPr>
        <w:t xml:space="preserve"> </w:t>
      </w:r>
      <w:r w:rsidR="00630AB7" w:rsidRPr="0091481F">
        <w:rPr>
          <w:rFonts w:cs="Calibri"/>
          <w:color w:val="000000" w:themeColor="text1"/>
        </w:rPr>
        <w:t>pel</w:t>
      </w:r>
      <w:r w:rsidR="00B948F3">
        <w:rPr>
          <w:rFonts w:cs="Calibri"/>
          <w:color w:val="000000" w:themeColor="text1"/>
        </w:rPr>
        <w:t>os reguladores ou Corporação</w:t>
      </w:r>
      <w:r w:rsidR="00630AB7" w:rsidRPr="0091481F">
        <w:rPr>
          <w:rFonts w:cs="Calibri"/>
          <w:color w:val="000000" w:themeColor="text1"/>
        </w:rPr>
        <w:t>, que contribuem para a melhoria contínua dos processos e garantem o cumprimento das obrigações regulamentares.</w:t>
      </w:r>
    </w:p>
    <w:p w14:paraId="31001CA4" w14:textId="31434C68" w:rsidR="00C336A4" w:rsidRDefault="00C336A4" w:rsidP="00C336A4">
      <w:pPr>
        <w:pStyle w:val="Corpo"/>
        <w:spacing w:after="240"/>
        <w:jc w:val="both"/>
        <w:rPr>
          <w:rFonts w:cs="Calibri"/>
          <w:color w:val="000000" w:themeColor="text1"/>
        </w:rPr>
      </w:pPr>
      <w:r w:rsidRPr="00264836">
        <w:rPr>
          <w:rFonts w:cs="Calibri"/>
          <w:color w:val="000000" w:themeColor="text1"/>
        </w:rPr>
        <w:t xml:space="preserve">A manutenção </w:t>
      </w:r>
      <w:r>
        <w:rPr>
          <w:rFonts w:cs="Calibri"/>
          <w:color w:val="000000" w:themeColor="text1"/>
        </w:rPr>
        <w:t xml:space="preserve">do modelo de </w:t>
      </w:r>
      <w:r w:rsidR="008B13ED" w:rsidRPr="00397B94">
        <w:rPr>
          <w:rFonts w:cs="Calibri"/>
          <w:color w:val="000000" w:themeColor="text1"/>
        </w:rPr>
        <w:t>governo</w:t>
      </w:r>
      <w:r w:rsidR="008B13ED" w:rsidRPr="00792828" w:rsidDel="008B13ED">
        <w:rPr>
          <w:rFonts w:cs="Calibri"/>
          <w:i/>
          <w:iCs/>
          <w:color w:val="000000" w:themeColor="text1"/>
        </w:rPr>
        <w:t xml:space="preserve"> </w:t>
      </w:r>
      <w:r w:rsidRPr="00264836">
        <w:rPr>
          <w:rFonts w:cs="Calibri"/>
          <w:color w:val="000000" w:themeColor="text1"/>
        </w:rPr>
        <w:t>compreende um conjunto de atividades sistemáticas, destinadas a assegurar a sua operacionalidade, segurança</w:t>
      </w:r>
      <w:r w:rsidRPr="6686A4B7">
        <w:rPr>
          <w:rFonts w:cs="Calibri"/>
          <w:color w:val="000000" w:themeColor="text1"/>
        </w:rPr>
        <w:t>,</w:t>
      </w:r>
      <w:r w:rsidRPr="00264836">
        <w:rPr>
          <w:rFonts w:cs="Calibri"/>
          <w:color w:val="000000" w:themeColor="text1"/>
        </w:rPr>
        <w:t xml:space="preserve"> </w:t>
      </w:r>
      <w:r>
        <w:rPr>
          <w:rFonts w:cs="Calibri"/>
          <w:color w:val="000000" w:themeColor="text1"/>
        </w:rPr>
        <w:t>qualidade</w:t>
      </w:r>
      <w:r w:rsidRPr="00264836">
        <w:rPr>
          <w:rFonts w:cs="Calibri"/>
          <w:color w:val="000000" w:themeColor="text1"/>
        </w:rPr>
        <w:t xml:space="preserve"> e integridade. Estas atividades incluem, nomeadamente</w:t>
      </w:r>
      <w:r>
        <w:rPr>
          <w:rFonts w:cs="Calibri"/>
          <w:color w:val="000000" w:themeColor="text1"/>
        </w:rPr>
        <w:t>:</w:t>
      </w:r>
    </w:p>
    <w:p w14:paraId="6C5796B8" w14:textId="7DD70343" w:rsidR="00C336A4" w:rsidRPr="00FA7762" w:rsidRDefault="00C336A4" w:rsidP="006722F6">
      <w:pPr>
        <w:pStyle w:val="Corpo"/>
        <w:numPr>
          <w:ilvl w:val="0"/>
          <w:numId w:val="4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A</w:t>
      </w:r>
      <w:r w:rsidRPr="00264836">
        <w:rPr>
          <w:rFonts w:cs="Calibri"/>
          <w:color w:val="000000" w:themeColor="text1"/>
        </w:rPr>
        <w:t xml:space="preserve"> revisão periódica d</w:t>
      </w:r>
      <w:r>
        <w:rPr>
          <w:rFonts w:cs="Calibri"/>
          <w:color w:val="000000" w:themeColor="text1"/>
        </w:rPr>
        <w:t xml:space="preserve">o modelo de </w:t>
      </w:r>
      <w:r w:rsidR="008B13ED" w:rsidRPr="00397B94">
        <w:rPr>
          <w:rFonts w:cs="Calibri"/>
          <w:color w:val="000000" w:themeColor="text1"/>
        </w:rPr>
        <w:t>governo</w:t>
      </w:r>
      <w:r>
        <w:rPr>
          <w:rFonts w:cs="Calibri"/>
          <w:color w:val="000000" w:themeColor="text1"/>
        </w:rPr>
        <w:t>;</w:t>
      </w:r>
    </w:p>
    <w:p w14:paraId="773DF432" w14:textId="77777777" w:rsidR="00C336A4" w:rsidRPr="00FA7762" w:rsidRDefault="00C336A4" w:rsidP="006722F6">
      <w:pPr>
        <w:pStyle w:val="Corpo"/>
        <w:numPr>
          <w:ilvl w:val="0"/>
          <w:numId w:val="4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A</w:t>
      </w:r>
      <w:r w:rsidRPr="00264836">
        <w:rPr>
          <w:rFonts w:cs="Calibri"/>
          <w:color w:val="000000" w:themeColor="text1"/>
        </w:rPr>
        <w:t xml:space="preserve"> validação </w:t>
      </w:r>
      <w:r>
        <w:rPr>
          <w:rFonts w:cs="Calibri"/>
          <w:color w:val="000000" w:themeColor="text1"/>
        </w:rPr>
        <w:t xml:space="preserve">de reconciliações contabilísticas e </w:t>
      </w:r>
      <w:r w:rsidRPr="00264836">
        <w:rPr>
          <w:rFonts w:cs="Calibri"/>
          <w:color w:val="000000" w:themeColor="text1"/>
        </w:rPr>
        <w:t>de regras de controlo</w:t>
      </w:r>
      <w:r>
        <w:rPr>
          <w:rFonts w:cs="Calibri"/>
          <w:color w:val="000000" w:themeColor="text1"/>
        </w:rPr>
        <w:t>s;</w:t>
      </w:r>
    </w:p>
    <w:p w14:paraId="1ECE1CF9" w14:textId="7032CA7B" w:rsidR="00C336A4" w:rsidRPr="00FA7762" w:rsidRDefault="00C336A4" w:rsidP="006722F6">
      <w:pPr>
        <w:pStyle w:val="Corpo"/>
        <w:numPr>
          <w:ilvl w:val="0"/>
          <w:numId w:val="4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A revisão periódica dos requisitos impostos pelas entidades reguladoras</w:t>
      </w:r>
      <w:r w:rsidR="004D3665">
        <w:rPr>
          <w:rFonts w:cs="Calibri"/>
          <w:color w:val="000000" w:themeColor="text1"/>
        </w:rPr>
        <w:t>; e</w:t>
      </w:r>
    </w:p>
    <w:p w14:paraId="643A4B34" w14:textId="77777777" w:rsidR="00C336A4" w:rsidRPr="00FA7762" w:rsidRDefault="00C336A4" w:rsidP="006722F6">
      <w:pPr>
        <w:pStyle w:val="Corpo"/>
        <w:numPr>
          <w:ilvl w:val="0"/>
          <w:numId w:val="4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A promoção da uniformização e padronização dos dados ao longo do tempo, facilitando a sua interpretação e utilização.</w:t>
      </w:r>
    </w:p>
    <w:p w14:paraId="2B64066C" w14:textId="77777777" w:rsidR="00C336A4" w:rsidRDefault="00C336A4" w:rsidP="00C336A4">
      <w:pPr>
        <w:pStyle w:val="Corpo"/>
        <w:spacing w:after="24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A responsabilidade da manutenção está essencialmente do lado da Área de Contabilidade, não obstante esta responsabilidade deve ser coordenada com as restantes áreas, que são também responsáveis por garantir a eficiência e cumprimento de requisitos de </w:t>
      </w:r>
      <w:proofErr w:type="spellStart"/>
      <w:r>
        <w:rPr>
          <w:rFonts w:cs="Calibri"/>
          <w:i/>
          <w:iCs/>
          <w:color w:val="000000" w:themeColor="text1"/>
        </w:rPr>
        <w:t>hedge</w:t>
      </w:r>
      <w:proofErr w:type="spellEnd"/>
      <w:r>
        <w:rPr>
          <w:rFonts w:cs="Calibri"/>
          <w:i/>
          <w:iCs/>
          <w:color w:val="000000" w:themeColor="text1"/>
        </w:rPr>
        <w:t xml:space="preserve"> </w:t>
      </w:r>
      <w:proofErr w:type="spellStart"/>
      <w:r>
        <w:rPr>
          <w:rFonts w:cs="Calibri"/>
          <w:i/>
          <w:iCs/>
          <w:color w:val="000000" w:themeColor="text1"/>
        </w:rPr>
        <w:t>accounting</w:t>
      </w:r>
      <w:proofErr w:type="spellEnd"/>
      <w:r>
        <w:rPr>
          <w:rFonts w:cs="Calibri"/>
          <w:color w:val="000000" w:themeColor="text1"/>
        </w:rPr>
        <w:t>.</w:t>
      </w:r>
    </w:p>
    <w:p w14:paraId="5B58A905" w14:textId="3CA522DB" w:rsidR="00B8629C" w:rsidRPr="00D37CCB" w:rsidRDefault="00C336A4" w:rsidP="00D37CCB">
      <w:pPr>
        <w:pStyle w:val="Corpo"/>
        <w:spacing w:after="240"/>
        <w:jc w:val="both"/>
        <w:rPr>
          <w:rStyle w:val="Ttulo2Char"/>
          <w:rFonts w:eastAsiaTheme="minorHAnsi" w:cs="Calibri"/>
          <w:b w:val="0"/>
          <w:sz w:val="24"/>
          <w:szCs w:val="22"/>
        </w:rPr>
      </w:pPr>
      <w:r>
        <w:rPr>
          <w:rFonts w:cs="Calibri"/>
          <w:color w:val="000000" w:themeColor="text1"/>
        </w:rPr>
        <w:t xml:space="preserve">A manutenção dos documentos </w:t>
      </w:r>
      <w:r w:rsidR="00D37CCB">
        <w:rPr>
          <w:rFonts w:cs="Calibri"/>
          <w:color w:val="000000" w:themeColor="text1"/>
        </w:rPr>
        <w:t>referentes</w:t>
      </w:r>
      <w:r>
        <w:rPr>
          <w:rFonts w:cs="Calibri"/>
          <w:color w:val="000000" w:themeColor="text1"/>
        </w:rPr>
        <w:t xml:space="preserve"> ao </w:t>
      </w:r>
      <w:r w:rsidR="00D37CCB">
        <w:rPr>
          <w:rFonts w:cs="Calibri"/>
          <w:color w:val="000000" w:themeColor="text1"/>
        </w:rPr>
        <w:t xml:space="preserve">processo operacional </w:t>
      </w:r>
      <w:proofErr w:type="spellStart"/>
      <w:r>
        <w:rPr>
          <w:rFonts w:cs="Calibri"/>
          <w:i/>
          <w:iCs/>
          <w:color w:val="000000" w:themeColor="text1"/>
        </w:rPr>
        <w:t>hedge</w:t>
      </w:r>
      <w:proofErr w:type="spellEnd"/>
      <w:r>
        <w:rPr>
          <w:rFonts w:cs="Calibri"/>
          <w:i/>
          <w:iCs/>
          <w:color w:val="000000" w:themeColor="text1"/>
        </w:rPr>
        <w:t xml:space="preserve"> </w:t>
      </w:r>
      <w:proofErr w:type="spellStart"/>
      <w:r w:rsidR="00D37CCB" w:rsidRPr="00D37CCB">
        <w:rPr>
          <w:rFonts w:cs="Calibri"/>
          <w:i/>
          <w:iCs/>
          <w:color w:val="000000" w:themeColor="text1"/>
        </w:rPr>
        <w:t>accountig</w:t>
      </w:r>
      <w:proofErr w:type="spellEnd"/>
      <w:r w:rsidR="00D37CCB">
        <w:rPr>
          <w:rFonts w:cs="Calibri"/>
          <w:color w:val="000000" w:themeColor="text1"/>
        </w:rPr>
        <w:t xml:space="preserve"> </w:t>
      </w:r>
      <w:r w:rsidR="00D37CCB" w:rsidRPr="0091481F">
        <w:rPr>
          <w:rFonts w:cs="Calibri"/>
          <w:color w:val="000000" w:themeColor="text1"/>
        </w:rPr>
        <w:t xml:space="preserve">– </w:t>
      </w:r>
      <w:r w:rsidR="00D37CCB">
        <w:rPr>
          <w:rFonts w:cs="Calibri"/>
          <w:color w:val="000000" w:themeColor="text1"/>
        </w:rPr>
        <w:t xml:space="preserve">Documento de </w:t>
      </w:r>
      <w:r w:rsidR="002E1DD1">
        <w:rPr>
          <w:rFonts w:cs="Calibri"/>
          <w:color w:val="000000" w:themeColor="text1"/>
        </w:rPr>
        <w:t>Governo</w:t>
      </w:r>
      <w:r w:rsidR="00D37CCB">
        <w:rPr>
          <w:rFonts w:cs="Calibri"/>
          <w:color w:val="000000" w:themeColor="text1"/>
        </w:rPr>
        <w:t>, Documentos</w:t>
      </w:r>
      <w:r w:rsidR="00D37CCB" w:rsidRPr="0091481F">
        <w:rPr>
          <w:rFonts w:cs="Calibri"/>
          <w:color w:val="000000" w:themeColor="text1"/>
        </w:rPr>
        <w:t xml:space="preserve"> de </w:t>
      </w:r>
      <w:r w:rsidR="00D37CCB">
        <w:rPr>
          <w:rFonts w:cs="Calibri"/>
          <w:i/>
          <w:iCs/>
          <w:color w:val="000000" w:themeColor="text1"/>
        </w:rPr>
        <w:t xml:space="preserve">Framework, </w:t>
      </w:r>
      <w:r w:rsidR="00D37CCB">
        <w:rPr>
          <w:rFonts w:cs="Calibri"/>
          <w:color w:val="000000" w:themeColor="text1"/>
        </w:rPr>
        <w:t>Matriz</w:t>
      </w:r>
      <w:r w:rsidR="00D37CCB" w:rsidRPr="0091481F">
        <w:rPr>
          <w:rFonts w:cs="Calibri"/>
          <w:color w:val="000000" w:themeColor="text1"/>
        </w:rPr>
        <w:t xml:space="preserve"> de </w:t>
      </w:r>
      <w:r w:rsidR="00D37CCB">
        <w:rPr>
          <w:rFonts w:cs="Calibri"/>
          <w:color w:val="000000" w:themeColor="text1"/>
        </w:rPr>
        <w:t>Coberturas e Fichas Individuais</w:t>
      </w:r>
      <w:r w:rsidR="00D37CCB" w:rsidRPr="0091481F">
        <w:rPr>
          <w:rFonts w:cs="Calibri"/>
          <w:color w:val="000000" w:themeColor="text1"/>
        </w:rPr>
        <w:t xml:space="preserve"> –</w:t>
      </w:r>
      <w:r w:rsidRPr="00264836">
        <w:rPr>
          <w:rFonts w:cs="Calibri"/>
          <w:color w:val="000000" w:themeColor="text1"/>
        </w:rPr>
        <w:t xml:space="preserve"> deve ser </w:t>
      </w:r>
      <w:r w:rsidR="00BA2CB7">
        <w:rPr>
          <w:rFonts w:cs="Calibri"/>
          <w:color w:val="000000" w:themeColor="text1"/>
        </w:rPr>
        <w:t>efetuada</w:t>
      </w:r>
      <w:r w:rsidR="00BA2CB7" w:rsidRPr="00264836">
        <w:rPr>
          <w:rFonts w:cs="Calibri"/>
          <w:color w:val="000000" w:themeColor="text1"/>
        </w:rPr>
        <w:t xml:space="preserve"> </w:t>
      </w:r>
      <w:r>
        <w:rPr>
          <w:rFonts w:cs="Calibri"/>
          <w:color w:val="000000" w:themeColor="text1"/>
        </w:rPr>
        <w:t xml:space="preserve">sempre que </w:t>
      </w:r>
      <w:r w:rsidR="008812F3">
        <w:rPr>
          <w:rFonts w:cs="Calibri"/>
          <w:color w:val="000000" w:themeColor="text1"/>
        </w:rPr>
        <w:t>necessário,</w:t>
      </w:r>
      <w:r w:rsidR="008812F3" w:rsidRPr="00264836">
        <w:rPr>
          <w:rFonts w:cs="Calibri"/>
          <w:color w:val="000000" w:themeColor="text1"/>
        </w:rPr>
        <w:t xml:space="preserve"> permitindo</w:t>
      </w:r>
      <w:r w:rsidRPr="00264836">
        <w:rPr>
          <w:rFonts w:cs="Calibri"/>
          <w:color w:val="000000" w:themeColor="text1"/>
        </w:rPr>
        <w:t xml:space="preserve"> uma supervisão eficaz por parte da </w:t>
      </w:r>
      <w:r>
        <w:rPr>
          <w:rFonts w:cs="Calibri"/>
          <w:color w:val="000000" w:themeColor="text1"/>
        </w:rPr>
        <w:t>auditoria</w:t>
      </w:r>
      <w:r w:rsidRPr="00264836">
        <w:rPr>
          <w:rFonts w:cs="Calibri"/>
          <w:color w:val="000000" w:themeColor="text1"/>
        </w:rPr>
        <w:t xml:space="preserve"> e das áreas com responsabilidade regulatória. Esta abordagem garante não só a fiabilidade contínua, mas também a sua </w:t>
      </w:r>
      <w:r w:rsidRPr="0000577A">
        <w:rPr>
          <w:rFonts w:cs="Calibri"/>
          <w:color w:val="000000" w:themeColor="text1"/>
        </w:rPr>
        <w:t>transparência</w:t>
      </w:r>
      <w:r w:rsidRPr="00264836">
        <w:rPr>
          <w:rFonts w:cs="Calibri"/>
          <w:color w:val="000000" w:themeColor="text1"/>
        </w:rPr>
        <w:t xml:space="preserve"> e adequação aos princípios </w:t>
      </w:r>
      <w:r>
        <w:rPr>
          <w:rFonts w:cs="Calibri"/>
          <w:color w:val="000000" w:themeColor="text1"/>
        </w:rPr>
        <w:t>de estratégia de gestão de risco</w:t>
      </w:r>
      <w:r w:rsidRPr="00264836">
        <w:rPr>
          <w:rFonts w:cs="Calibri"/>
          <w:color w:val="000000" w:themeColor="text1"/>
        </w:rPr>
        <w:t xml:space="preserve"> em vigor no </w:t>
      </w:r>
      <w:r w:rsidR="00A15984">
        <w:rPr>
          <w:rFonts w:cs="Calibri"/>
          <w:color w:val="000000" w:themeColor="text1"/>
        </w:rPr>
        <w:t>Banco</w:t>
      </w:r>
      <w:r w:rsidRPr="00264836">
        <w:rPr>
          <w:rFonts w:cs="Calibri"/>
          <w:color w:val="000000" w:themeColor="text1"/>
        </w:rPr>
        <w:t>.</w:t>
      </w:r>
    </w:p>
    <w:p w14:paraId="5964CA84" w14:textId="705A82CB" w:rsidR="00B73B3A" w:rsidRPr="00B73B3A" w:rsidRDefault="00B73B3A" w:rsidP="006722F6">
      <w:pPr>
        <w:pStyle w:val="Ttulo11"/>
        <w:numPr>
          <w:ilvl w:val="0"/>
          <w:numId w:val="1"/>
        </w:numPr>
      </w:pPr>
      <w:bookmarkStart w:id="8" w:name="_Toc205549111"/>
      <w:r>
        <w:rPr>
          <w:rStyle w:val="Ttulo2Char"/>
          <w:b/>
          <w:bCs/>
          <w:sz w:val="32"/>
        </w:rPr>
        <w:lastRenderedPageBreak/>
        <w:t>Estrutura e Responsabilidades</w:t>
      </w:r>
      <w:bookmarkEnd w:id="8"/>
      <w:r w:rsidR="007A33A6" w:rsidRPr="007A33A6">
        <w:t xml:space="preserve"> </w:t>
      </w:r>
    </w:p>
    <w:p w14:paraId="4DE4D965" w14:textId="24C90EE8" w:rsidR="00AD17DC" w:rsidRPr="00112E14" w:rsidRDefault="00BD671B" w:rsidP="00112E14">
      <w:pPr>
        <w:pStyle w:val="Corpo"/>
        <w:spacing w:after="240" w:line="240" w:lineRule="auto"/>
        <w:jc w:val="both"/>
        <w:rPr>
          <w:rFonts w:cs="Calibri"/>
          <w:color w:val="000000" w:themeColor="text1"/>
        </w:rPr>
      </w:pPr>
      <w:r w:rsidRPr="00112E14">
        <w:rPr>
          <w:rFonts w:cs="Calibri"/>
          <w:color w:val="000000" w:themeColor="text1"/>
        </w:rPr>
        <w:t xml:space="preserve">O </w:t>
      </w:r>
      <w:r w:rsidR="002E1DD1">
        <w:rPr>
          <w:rFonts w:cs="Calibri"/>
          <w:color w:val="000000" w:themeColor="text1"/>
        </w:rPr>
        <w:t>governo</w:t>
      </w:r>
      <w:r w:rsidR="002E1DD1" w:rsidRPr="00112E14">
        <w:rPr>
          <w:rFonts w:cs="Calibri"/>
          <w:color w:val="000000" w:themeColor="text1"/>
        </w:rPr>
        <w:t xml:space="preserve"> </w:t>
      </w:r>
      <w:r w:rsidR="00790D44">
        <w:rPr>
          <w:rFonts w:cs="Calibri"/>
          <w:color w:val="000000" w:themeColor="text1"/>
        </w:rPr>
        <w:t xml:space="preserve">de </w:t>
      </w:r>
      <w:proofErr w:type="spellStart"/>
      <w:r w:rsidR="004D5DB5">
        <w:rPr>
          <w:rFonts w:cs="Calibri"/>
          <w:i/>
          <w:iCs/>
          <w:color w:val="000000" w:themeColor="text1"/>
        </w:rPr>
        <w:t>hedge</w:t>
      </w:r>
      <w:proofErr w:type="spellEnd"/>
      <w:r w:rsidR="004D5DB5">
        <w:rPr>
          <w:rFonts w:cs="Calibri"/>
          <w:i/>
          <w:iCs/>
          <w:color w:val="000000" w:themeColor="text1"/>
        </w:rPr>
        <w:t xml:space="preserve"> </w:t>
      </w:r>
      <w:proofErr w:type="spellStart"/>
      <w:r w:rsidR="004D5DB5">
        <w:rPr>
          <w:rFonts w:cs="Calibri"/>
          <w:i/>
          <w:iCs/>
          <w:color w:val="000000" w:themeColor="text1"/>
        </w:rPr>
        <w:t>accounting</w:t>
      </w:r>
      <w:proofErr w:type="spellEnd"/>
      <w:r w:rsidR="004D5DB5">
        <w:rPr>
          <w:rFonts w:cs="Calibri"/>
          <w:i/>
          <w:iCs/>
          <w:color w:val="000000" w:themeColor="text1"/>
        </w:rPr>
        <w:t xml:space="preserve"> </w:t>
      </w:r>
      <w:r w:rsidR="003861B6" w:rsidRPr="00112E14">
        <w:rPr>
          <w:rFonts w:cs="Calibri"/>
          <w:color w:val="000000" w:themeColor="text1"/>
        </w:rPr>
        <w:t xml:space="preserve">assenta numa estrutura organizacional bem definida, com a atribuição </w:t>
      </w:r>
      <w:r w:rsidR="00B73B3A" w:rsidRPr="00112E14">
        <w:rPr>
          <w:rFonts w:cs="Calibri"/>
          <w:color w:val="000000" w:themeColor="text1"/>
        </w:rPr>
        <w:t>clar</w:t>
      </w:r>
      <w:r w:rsidR="003861B6" w:rsidRPr="00112E14">
        <w:rPr>
          <w:rFonts w:cs="Calibri"/>
          <w:color w:val="000000" w:themeColor="text1"/>
        </w:rPr>
        <w:t>a de papéis</w:t>
      </w:r>
      <w:r w:rsidR="002A160E" w:rsidRPr="00112E14">
        <w:rPr>
          <w:rFonts w:cs="Calibri"/>
          <w:color w:val="000000" w:themeColor="text1"/>
        </w:rPr>
        <w:t>,</w:t>
      </w:r>
      <w:r w:rsidR="003861B6" w:rsidRPr="00112E14">
        <w:rPr>
          <w:rFonts w:cs="Calibri"/>
          <w:color w:val="000000" w:themeColor="text1"/>
        </w:rPr>
        <w:t xml:space="preserve"> responsabilidades </w:t>
      </w:r>
      <w:r w:rsidR="002A160E" w:rsidRPr="00112E14">
        <w:rPr>
          <w:rFonts w:cs="Calibri"/>
          <w:color w:val="000000" w:themeColor="text1"/>
        </w:rPr>
        <w:t xml:space="preserve">e mecanismos de coordenação </w:t>
      </w:r>
      <w:r w:rsidR="00513776" w:rsidRPr="00112E14">
        <w:rPr>
          <w:rFonts w:cs="Calibri"/>
          <w:color w:val="000000" w:themeColor="text1"/>
        </w:rPr>
        <w:t>às várias áreas envolvidas</w:t>
      </w:r>
      <w:r w:rsidR="00B65F35" w:rsidRPr="00112E14">
        <w:rPr>
          <w:rFonts w:cs="Calibri"/>
          <w:color w:val="000000" w:themeColor="text1"/>
        </w:rPr>
        <w:t>, garantindo transparência nas</w:t>
      </w:r>
      <w:r w:rsidR="00B73B3A" w:rsidRPr="00112E14">
        <w:rPr>
          <w:rFonts w:cs="Calibri"/>
          <w:color w:val="000000" w:themeColor="text1"/>
        </w:rPr>
        <w:t xml:space="preserve"> decisões </w:t>
      </w:r>
      <w:r w:rsidR="000416C0" w:rsidRPr="00112E14">
        <w:rPr>
          <w:rFonts w:cs="Calibri"/>
          <w:color w:val="000000" w:themeColor="text1"/>
        </w:rPr>
        <w:t xml:space="preserve">e intervenções </w:t>
      </w:r>
      <w:r w:rsidR="00B73B3A" w:rsidRPr="00112E14">
        <w:rPr>
          <w:rFonts w:cs="Calibri"/>
          <w:color w:val="000000" w:themeColor="text1"/>
        </w:rPr>
        <w:t>no âmbito do</w:t>
      </w:r>
      <w:r w:rsidR="000416C0" w:rsidRPr="00112E14">
        <w:rPr>
          <w:rFonts w:cs="Calibri"/>
          <w:color w:val="000000" w:themeColor="text1"/>
        </w:rPr>
        <w:t>s</w:t>
      </w:r>
      <w:r w:rsidR="00B73B3A" w:rsidRPr="00112E14">
        <w:rPr>
          <w:rFonts w:cs="Calibri"/>
          <w:color w:val="000000" w:themeColor="text1"/>
        </w:rPr>
        <w:t xml:space="preserve"> seu</w:t>
      </w:r>
      <w:r w:rsidR="000416C0" w:rsidRPr="00112E14">
        <w:rPr>
          <w:rFonts w:cs="Calibri"/>
          <w:color w:val="000000" w:themeColor="text1"/>
        </w:rPr>
        <w:t>s</w:t>
      </w:r>
      <w:r w:rsidR="00B73B3A" w:rsidRPr="00112E14">
        <w:rPr>
          <w:rFonts w:cs="Calibri"/>
          <w:color w:val="000000" w:themeColor="text1"/>
        </w:rPr>
        <w:t xml:space="preserve"> domínio</w:t>
      </w:r>
      <w:r w:rsidR="000416C0" w:rsidRPr="00112E14">
        <w:rPr>
          <w:rFonts w:cs="Calibri"/>
          <w:color w:val="000000" w:themeColor="text1"/>
        </w:rPr>
        <w:t>s</w:t>
      </w:r>
      <w:r w:rsidR="00B73B3A" w:rsidRPr="00112E14">
        <w:rPr>
          <w:rFonts w:cs="Calibri"/>
          <w:color w:val="000000" w:themeColor="text1"/>
        </w:rPr>
        <w:t>. Esta distribuição explícita de funções promove responsabilização</w:t>
      </w:r>
      <w:r w:rsidR="00040248" w:rsidRPr="00112E14">
        <w:rPr>
          <w:rFonts w:cs="Calibri"/>
          <w:color w:val="000000" w:themeColor="text1"/>
        </w:rPr>
        <w:t xml:space="preserve">, validação, </w:t>
      </w:r>
      <w:r w:rsidR="00620899" w:rsidRPr="00112E14">
        <w:rPr>
          <w:rFonts w:cs="Calibri"/>
          <w:color w:val="000000" w:themeColor="text1"/>
        </w:rPr>
        <w:t>controlo e conformidade</w:t>
      </w:r>
      <w:r w:rsidR="00B73B3A" w:rsidRPr="00112E14">
        <w:rPr>
          <w:rFonts w:cs="Calibri"/>
          <w:color w:val="000000" w:themeColor="text1"/>
        </w:rPr>
        <w:t>, assegura</w:t>
      </w:r>
      <w:r w:rsidR="00620899" w:rsidRPr="00112E14">
        <w:rPr>
          <w:rFonts w:cs="Calibri"/>
          <w:color w:val="000000" w:themeColor="text1"/>
        </w:rPr>
        <w:t>ndo</w:t>
      </w:r>
      <w:r w:rsidR="00B73B3A" w:rsidRPr="00112E14">
        <w:rPr>
          <w:rFonts w:cs="Calibri"/>
          <w:color w:val="000000" w:themeColor="text1"/>
        </w:rPr>
        <w:t xml:space="preserve"> o fluxo de informação adequado entre as áreas e evita</w:t>
      </w:r>
      <w:r w:rsidR="00620899" w:rsidRPr="00112E14">
        <w:rPr>
          <w:rFonts w:cs="Calibri"/>
          <w:color w:val="000000" w:themeColor="text1"/>
        </w:rPr>
        <w:t>ndo</w:t>
      </w:r>
      <w:r w:rsidR="00B73B3A" w:rsidRPr="00112E14">
        <w:rPr>
          <w:rFonts w:cs="Calibri"/>
          <w:color w:val="000000" w:themeColor="text1"/>
        </w:rPr>
        <w:t xml:space="preserve"> sobreposições ou lacunas na cadeia de valor do reporte. </w:t>
      </w:r>
    </w:p>
    <w:p w14:paraId="2C998404" w14:textId="07C69B6D" w:rsidR="008575C0" w:rsidRPr="00112E14" w:rsidRDefault="008575C0" w:rsidP="00112E14">
      <w:pPr>
        <w:pStyle w:val="Corpo"/>
        <w:spacing w:after="240" w:line="240" w:lineRule="auto"/>
        <w:jc w:val="both"/>
        <w:rPr>
          <w:rFonts w:cs="Calibri"/>
          <w:color w:val="000000" w:themeColor="text1"/>
        </w:rPr>
      </w:pPr>
      <w:r w:rsidRPr="00112E14">
        <w:rPr>
          <w:rFonts w:cs="Calibri"/>
          <w:color w:val="000000" w:themeColor="text1"/>
        </w:rPr>
        <w:t xml:space="preserve">A seguir, detalham-se os principais intervenientes no modelo </w:t>
      </w:r>
      <w:r w:rsidR="00112E14" w:rsidRPr="00112E14">
        <w:rPr>
          <w:rFonts w:cs="Calibri"/>
          <w:color w:val="000000" w:themeColor="text1"/>
        </w:rPr>
        <w:t>e as suas respetivas responsabilidades.</w:t>
      </w:r>
    </w:p>
    <w:p w14:paraId="5807CFB1" w14:textId="4B74CF71" w:rsidR="008202EF" w:rsidRPr="00D85ECD" w:rsidRDefault="001E0E6A" w:rsidP="00B811AC">
      <w:pPr>
        <w:pStyle w:val="Ttulo21"/>
        <w:tabs>
          <w:tab w:val="left" w:pos="4253"/>
        </w:tabs>
      </w:pPr>
      <w:bookmarkStart w:id="9" w:name="_Toc205549112"/>
      <w:r>
        <w:t>3</w:t>
      </w:r>
      <w:r w:rsidR="00AE7C00">
        <w:t>.1.</w:t>
      </w:r>
      <w:r w:rsidR="008202EF" w:rsidRPr="00D85ECD">
        <w:t xml:space="preserve"> </w:t>
      </w:r>
      <w:r w:rsidR="00AD17DC" w:rsidRPr="00D85ECD">
        <w:t>Fóruns</w:t>
      </w:r>
      <w:r w:rsidR="00FB0033">
        <w:t xml:space="preserve">/comités </w:t>
      </w:r>
      <w:r w:rsidR="00AD17DC" w:rsidRPr="00D85ECD">
        <w:t xml:space="preserve">de </w:t>
      </w:r>
      <w:r w:rsidR="004C181D">
        <w:t>Governo</w:t>
      </w:r>
      <w:bookmarkEnd w:id="9"/>
    </w:p>
    <w:p w14:paraId="6C16D858" w14:textId="4AEFC5E2" w:rsidR="003A64A7" w:rsidRDefault="0056376D" w:rsidP="00E16D6E">
      <w:pPr>
        <w:pStyle w:val="Corpo"/>
        <w:spacing w:after="240" w:line="240" w:lineRule="auto"/>
        <w:jc w:val="both"/>
        <w:rPr>
          <w:rFonts w:cs="Calibri"/>
          <w:color w:val="000000" w:themeColor="text1"/>
        </w:rPr>
      </w:pPr>
      <w:r w:rsidRPr="00E16D6E">
        <w:rPr>
          <w:rFonts w:cs="Calibri"/>
          <w:color w:val="000000" w:themeColor="text1"/>
        </w:rPr>
        <w:t xml:space="preserve">Estão definidos </w:t>
      </w:r>
      <w:r w:rsidR="00C10244">
        <w:rPr>
          <w:rFonts w:cs="Calibri"/>
          <w:color w:val="000000" w:themeColor="text1"/>
        </w:rPr>
        <w:t xml:space="preserve">fóruns de </w:t>
      </w:r>
      <w:r w:rsidR="004C181D">
        <w:rPr>
          <w:rFonts w:cs="Calibri"/>
          <w:color w:val="000000" w:themeColor="text1"/>
        </w:rPr>
        <w:t>governo</w:t>
      </w:r>
      <w:r w:rsidR="004C181D" w:rsidRPr="00E16D6E">
        <w:rPr>
          <w:rFonts w:cs="Calibri"/>
          <w:color w:val="000000" w:themeColor="text1"/>
        </w:rPr>
        <w:t xml:space="preserve"> </w:t>
      </w:r>
      <w:r w:rsidR="007E114B" w:rsidRPr="00E16D6E">
        <w:rPr>
          <w:rFonts w:cs="Calibri"/>
          <w:color w:val="000000" w:themeColor="text1"/>
        </w:rPr>
        <w:t xml:space="preserve">formais </w:t>
      </w:r>
      <w:r w:rsidRPr="00E16D6E">
        <w:rPr>
          <w:rFonts w:cs="Calibri"/>
          <w:color w:val="000000" w:themeColor="text1"/>
        </w:rPr>
        <w:t>considerados adequados</w:t>
      </w:r>
      <w:r w:rsidR="003A6132" w:rsidRPr="00E16D6E">
        <w:rPr>
          <w:rFonts w:cs="Calibri"/>
          <w:color w:val="000000" w:themeColor="text1"/>
        </w:rPr>
        <w:t xml:space="preserve"> </w:t>
      </w:r>
      <w:r w:rsidR="008E3951">
        <w:rPr>
          <w:rFonts w:cs="Calibri"/>
          <w:color w:val="000000" w:themeColor="text1"/>
        </w:rPr>
        <w:t xml:space="preserve">e </w:t>
      </w:r>
      <w:r w:rsidR="00800506">
        <w:rPr>
          <w:rFonts w:cs="Calibri"/>
          <w:color w:val="000000" w:themeColor="text1"/>
        </w:rPr>
        <w:t xml:space="preserve">alinhados com a </w:t>
      </w:r>
      <w:r w:rsidR="00405ADC">
        <w:rPr>
          <w:rFonts w:cs="Calibri"/>
          <w:color w:val="000000" w:themeColor="text1"/>
        </w:rPr>
        <w:t xml:space="preserve">própria </w:t>
      </w:r>
      <w:r w:rsidR="00800506">
        <w:rPr>
          <w:rFonts w:cs="Calibri"/>
          <w:color w:val="000000" w:themeColor="text1"/>
        </w:rPr>
        <w:t xml:space="preserve">estrutura </w:t>
      </w:r>
      <w:r w:rsidR="00C10244">
        <w:rPr>
          <w:rFonts w:cs="Calibri"/>
          <w:color w:val="000000" w:themeColor="text1"/>
        </w:rPr>
        <w:t xml:space="preserve">do processo de </w:t>
      </w:r>
      <w:proofErr w:type="spellStart"/>
      <w:r w:rsidR="00C10244">
        <w:rPr>
          <w:rFonts w:cs="Calibri"/>
          <w:i/>
          <w:iCs/>
          <w:color w:val="000000" w:themeColor="text1"/>
        </w:rPr>
        <w:t>hedge</w:t>
      </w:r>
      <w:proofErr w:type="spellEnd"/>
      <w:r w:rsidR="00C10244">
        <w:rPr>
          <w:rFonts w:cs="Calibri"/>
          <w:i/>
          <w:iCs/>
          <w:color w:val="000000" w:themeColor="text1"/>
        </w:rPr>
        <w:t xml:space="preserve"> </w:t>
      </w:r>
      <w:proofErr w:type="spellStart"/>
      <w:r w:rsidR="00C10244">
        <w:rPr>
          <w:rFonts w:cs="Calibri"/>
          <w:i/>
          <w:iCs/>
          <w:color w:val="000000" w:themeColor="text1"/>
        </w:rPr>
        <w:t>accounting</w:t>
      </w:r>
      <w:proofErr w:type="spellEnd"/>
      <w:r w:rsidR="00800506">
        <w:rPr>
          <w:rFonts w:cs="Calibri"/>
          <w:color w:val="000000" w:themeColor="text1"/>
        </w:rPr>
        <w:t xml:space="preserve"> do </w:t>
      </w:r>
      <w:r w:rsidR="00A15984">
        <w:rPr>
          <w:rFonts w:cs="Calibri"/>
          <w:color w:val="000000" w:themeColor="text1"/>
        </w:rPr>
        <w:t>Banco</w:t>
      </w:r>
      <w:r w:rsidR="009A2534">
        <w:rPr>
          <w:rFonts w:cs="Calibri"/>
          <w:color w:val="000000" w:themeColor="text1"/>
        </w:rPr>
        <w:t xml:space="preserve">, </w:t>
      </w:r>
      <w:r w:rsidR="003A64A7">
        <w:rPr>
          <w:rFonts w:cs="Calibri"/>
          <w:color w:val="000000" w:themeColor="text1"/>
        </w:rPr>
        <w:t>entre eles:</w:t>
      </w:r>
    </w:p>
    <w:p w14:paraId="5B976D5A" w14:textId="3F765DB0" w:rsidR="003A64A7" w:rsidRDefault="00FB0033" w:rsidP="006722F6">
      <w:pPr>
        <w:pStyle w:val="Corpo"/>
        <w:numPr>
          <w:ilvl w:val="0"/>
          <w:numId w:val="4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Comité </w:t>
      </w:r>
      <w:r w:rsidR="004C181D">
        <w:rPr>
          <w:rFonts w:cs="Calibri"/>
          <w:color w:val="000000" w:themeColor="text1"/>
        </w:rPr>
        <w:t>C</w:t>
      </w:r>
      <w:r w:rsidR="003A64A7">
        <w:rPr>
          <w:rFonts w:cs="Calibri"/>
          <w:color w:val="000000" w:themeColor="text1"/>
        </w:rPr>
        <w:t>ALCO</w:t>
      </w:r>
      <w:r w:rsidR="00D37CCB">
        <w:rPr>
          <w:rFonts w:cs="Calibri"/>
          <w:color w:val="000000" w:themeColor="text1"/>
        </w:rPr>
        <w:t>;</w:t>
      </w:r>
    </w:p>
    <w:p w14:paraId="3535B6C7" w14:textId="58E7D048" w:rsidR="00D6003F" w:rsidRDefault="00F838D4" w:rsidP="006722F6">
      <w:pPr>
        <w:pStyle w:val="Corpo"/>
        <w:numPr>
          <w:ilvl w:val="0"/>
          <w:numId w:val="4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Fórum </w:t>
      </w:r>
      <w:r w:rsidR="00BE2D10">
        <w:rPr>
          <w:rFonts w:cs="Calibri"/>
          <w:color w:val="000000" w:themeColor="text1"/>
        </w:rPr>
        <w:t xml:space="preserve">de aprovação interno </w:t>
      </w:r>
      <w:r w:rsidR="00F36CA1">
        <w:rPr>
          <w:rFonts w:cs="Calibri"/>
          <w:color w:val="000000" w:themeColor="text1"/>
        </w:rPr>
        <w:t>(via correio eletrónico)</w:t>
      </w:r>
      <w:r w:rsidR="00D37CCB">
        <w:rPr>
          <w:rFonts w:cs="Calibri"/>
          <w:color w:val="000000" w:themeColor="text1"/>
        </w:rPr>
        <w:t>;</w:t>
      </w:r>
    </w:p>
    <w:p w14:paraId="0F5C242A" w14:textId="3AF51090" w:rsidR="00E378E4" w:rsidRDefault="00FB0033" w:rsidP="006722F6">
      <w:pPr>
        <w:pStyle w:val="Corpo"/>
        <w:numPr>
          <w:ilvl w:val="0"/>
          <w:numId w:val="4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Fórum de </w:t>
      </w:r>
      <w:r w:rsidRPr="0092050A">
        <w:rPr>
          <w:rFonts w:cs="Calibri"/>
          <w:i/>
          <w:iCs/>
          <w:color w:val="000000" w:themeColor="text1"/>
        </w:rPr>
        <w:t xml:space="preserve">fair </w:t>
      </w:r>
      <w:proofErr w:type="spellStart"/>
      <w:r w:rsidRPr="0092050A">
        <w:rPr>
          <w:rFonts w:cs="Calibri"/>
          <w:i/>
          <w:iCs/>
          <w:color w:val="000000" w:themeColor="text1"/>
        </w:rPr>
        <w:t>value</w:t>
      </w:r>
      <w:proofErr w:type="spellEnd"/>
    </w:p>
    <w:p w14:paraId="0E303199" w14:textId="6F58F923" w:rsidR="005A5D4A" w:rsidRDefault="00440812" w:rsidP="00E16D6E">
      <w:pPr>
        <w:pStyle w:val="Corpo"/>
        <w:spacing w:after="240" w:line="240" w:lineRule="auto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Estes </w:t>
      </w:r>
      <w:r w:rsidR="00AD2670">
        <w:rPr>
          <w:rFonts w:cs="Calibri"/>
          <w:color w:val="000000" w:themeColor="text1"/>
        </w:rPr>
        <w:t>Fóruns</w:t>
      </w:r>
      <w:r>
        <w:rPr>
          <w:rFonts w:cs="Calibri"/>
          <w:color w:val="000000" w:themeColor="text1"/>
        </w:rPr>
        <w:t xml:space="preserve"> são</w:t>
      </w:r>
      <w:r w:rsidR="00826141">
        <w:rPr>
          <w:rFonts w:cs="Calibri"/>
          <w:color w:val="000000" w:themeColor="text1"/>
        </w:rPr>
        <w:t xml:space="preserve"> canais de comunicação</w:t>
      </w:r>
      <w:r>
        <w:rPr>
          <w:rFonts w:cs="Calibri"/>
          <w:color w:val="000000" w:themeColor="text1"/>
        </w:rPr>
        <w:t xml:space="preserve"> que</w:t>
      </w:r>
      <w:r w:rsidR="008E3951">
        <w:rPr>
          <w:rFonts w:cs="Calibri"/>
          <w:color w:val="000000" w:themeColor="text1"/>
        </w:rPr>
        <w:t xml:space="preserve"> incluem representantes das áreas </w:t>
      </w:r>
      <w:r w:rsidR="00D21241">
        <w:rPr>
          <w:rFonts w:cs="Calibri"/>
          <w:color w:val="000000" w:themeColor="text1"/>
        </w:rPr>
        <w:t>com responsabilidades diretas no ciclo de reporte</w:t>
      </w:r>
      <w:r w:rsidR="00C16F0D">
        <w:rPr>
          <w:rFonts w:cs="Calibri"/>
          <w:color w:val="000000" w:themeColor="text1"/>
        </w:rPr>
        <w:t xml:space="preserve">, </w:t>
      </w:r>
      <w:r w:rsidR="00C16F0D" w:rsidRPr="00BA6BBD">
        <w:rPr>
          <w:rFonts w:cs="Calibri"/>
          <w:color w:val="000000" w:themeColor="text1"/>
        </w:rPr>
        <w:t>realiza</w:t>
      </w:r>
      <w:r w:rsidR="00C16F0D">
        <w:rPr>
          <w:rFonts w:cs="Calibri"/>
          <w:color w:val="000000" w:themeColor="text1"/>
        </w:rPr>
        <w:t>ndo-se</w:t>
      </w:r>
      <w:r w:rsidR="00C16F0D" w:rsidRPr="00BA6BBD">
        <w:rPr>
          <w:rFonts w:cs="Calibri"/>
          <w:color w:val="000000" w:themeColor="text1"/>
        </w:rPr>
        <w:t xml:space="preserve"> </w:t>
      </w:r>
      <w:r w:rsidR="00C16F0D">
        <w:rPr>
          <w:rFonts w:cs="Calibri"/>
          <w:color w:val="000000" w:themeColor="text1"/>
        </w:rPr>
        <w:t>sempre que necessário</w:t>
      </w:r>
      <w:r w:rsidR="00C16F0D" w:rsidRPr="00BA6BBD">
        <w:rPr>
          <w:rFonts w:cs="Calibri"/>
          <w:color w:val="000000" w:themeColor="text1"/>
        </w:rPr>
        <w:t xml:space="preserve">, </w:t>
      </w:r>
      <w:r w:rsidR="00C16F0D">
        <w:rPr>
          <w:rFonts w:cs="Calibri"/>
          <w:color w:val="000000" w:themeColor="text1"/>
        </w:rPr>
        <w:t>garantindo</w:t>
      </w:r>
      <w:r w:rsidR="00C16F0D" w:rsidRPr="00BA6BBD">
        <w:rPr>
          <w:rFonts w:cs="Calibri"/>
          <w:color w:val="000000" w:themeColor="text1"/>
        </w:rPr>
        <w:t>, na prática, uma revisão regular e sistemática dos pontos mais relevantes.</w:t>
      </w:r>
      <w:r w:rsidR="00DB1BF5">
        <w:rPr>
          <w:rFonts w:cs="Calibri"/>
          <w:color w:val="000000" w:themeColor="text1"/>
        </w:rPr>
        <w:t xml:space="preserve"> As decisões e ações definidas são registadas formalmente </w:t>
      </w:r>
      <w:r w:rsidR="00545A63">
        <w:rPr>
          <w:rFonts w:cs="Calibri"/>
          <w:color w:val="000000" w:themeColor="text1"/>
        </w:rPr>
        <w:t>e mantidas acessíveis, assegurando a transparência e rastreabilidade.</w:t>
      </w:r>
      <w:r w:rsidR="0050532E">
        <w:rPr>
          <w:rFonts w:cs="Calibri"/>
          <w:color w:val="000000" w:themeColor="text1"/>
        </w:rPr>
        <w:t xml:space="preserve"> </w:t>
      </w:r>
    </w:p>
    <w:p w14:paraId="78A6D6B0" w14:textId="17A55581" w:rsidR="000A3F71" w:rsidRPr="00E16D6E" w:rsidRDefault="009458E9" w:rsidP="00E16D6E">
      <w:pPr>
        <w:pStyle w:val="Corpo"/>
        <w:spacing w:after="240" w:line="240" w:lineRule="auto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São responsabilidades principais dos fóruns</w:t>
      </w:r>
      <w:r w:rsidR="00E16D6E" w:rsidRPr="00E16D6E">
        <w:rPr>
          <w:rFonts w:cs="Calibri"/>
          <w:color w:val="000000" w:themeColor="text1"/>
        </w:rPr>
        <w:t>:</w:t>
      </w:r>
    </w:p>
    <w:p w14:paraId="2B8BC0C0" w14:textId="3B55C201" w:rsidR="00D91ABA" w:rsidRDefault="00D91ABA" w:rsidP="006722F6">
      <w:pPr>
        <w:pStyle w:val="Corpo"/>
        <w:numPr>
          <w:ilvl w:val="0"/>
          <w:numId w:val="4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Aprovar novas </w:t>
      </w:r>
      <w:r w:rsidR="00823D79">
        <w:rPr>
          <w:rFonts w:cs="Calibri"/>
          <w:color w:val="000000" w:themeColor="text1"/>
        </w:rPr>
        <w:t xml:space="preserve">operações </w:t>
      </w:r>
      <w:r w:rsidR="000B5544">
        <w:rPr>
          <w:rFonts w:cs="Calibri"/>
          <w:color w:val="000000" w:themeColor="text1"/>
        </w:rPr>
        <w:t>de coberturas;</w:t>
      </w:r>
    </w:p>
    <w:p w14:paraId="4DF6476E" w14:textId="0B8940E8" w:rsidR="000A3F71" w:rsidRDefault="0098675A" w:rsidP="006722F6">
      <w:pPr>
        <w:pStyle w:val="Corpo"/>
        <w:numPr>
          <w:ilvl w:val="0"/>
          <w:numId w:val="4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G</w:t>
      </w:r>
      <w:r w:rsidR="003152BF" w:rsidRPr="00E16D6E">
        <w:rPr>
          <w:rFonts w:cs="Calibri"/>
          <w:color w:val="000000" w:themeColor="text1"/>
        </w:rPr>
        <w:t xml:space="preserve">arantir </w:t>
      </w:r>
      <w:r w:rsidR="00737F54">
        <w:rPr>
          <w:rFonts w:cs="Calibri"/>
          <w:color w:val="000000" w:themeColor="text1"/>
        </w:rPr>
        <w:t xml:space="preserve">a </w:t>
      </w:r>
      <w:r w:rsidR="00800506">
        <w:rPr>
          <w:rFonts w:cs="Calibri"/>
          <w:color w:val="000000" w:themeColor="text1"/>
        </w:rPr>
        <w:t xml:space="preserve">coordenação </w:t>
      </w:r>
      <w:r w:rsidR="003152BF" w:rsidRPr="00E16D6E">
        <w:rPr>
          <w:rFonts w:cs="Calibri"/>
          <w:color w:val="000000" w:themeColor="text1"/>
        </w:rPr>
        <w:t xml:space="preserve">transversal </w:t>
      </w:r>
      <w:r w:rsidR="00FA7B4D">
        <w:rPr>
          <w:rFonts w:cs="Calibri"/>
          <w:color w:val="000000" w:themeColor="text1"/>
        </w:rPr>
        <w:t>entre todas as áreas interveniente no processo</w:t>
      </w:r>
      <w:r w:rsidR="000A3F71" w:rsidRPr="00E16D6E">
        <w:rPr>
          <w:rFonts w:cs="Calibri"/>
          <w:color w:val="000000" w:themeColor="text1"/>
        </w:rPr>
        <w:t>;</w:t>
      </w:r>
    </w:p>
    <w:p w14:paraId="1F22D05A" w14:textId="35D8C522" w:rsidR="005D2599" w:rsidRPr="00D37CCB" w:rsidRDefault="0098675A" w:rsidP="006722F6">
      <w:pPr>
        <w:pStyle w:val="Corpo"/>
        <w:numPr>
          <w:ilvl w:val="0"/>
          <w:numId w:val="4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A</w:t>
      </w:r>
      <w:r w:rsidR="005D2599" w:rsidRPr="00E16D6E">
        <w:rPr>
          <w:rFonts w:cs="Calibri"/>
          <w:color w:val="000000" w:themeColor="text1"/>
        </w:rPr>
        <w:t xml:space="preserve">companhar e </w:t>
      </w:r>
      <w:r w:rsidR="002E188C" w:rsidRPr="00E16D6E">
        <w:rPr>
          <w:rFonts w:cs="Calibri"/>
          <w:color w:val="000000" w:themeColor="text1"/>
        </w:rPr>
        <w:t>monitorizar indicadores</w:t>
      </w:r>
      <w:r w:rsidR="00DF1876" w:rsidRPr="00E16D6E">
        <w:rPr>
          <w:rFonts w:cs="Calibri"/>
          <w:color w:val="000000" w:themeColor="text1"/>
        </w:rPr>
        <w:t xml:space="preserve"> críticos de qualidade</w:t>
      </w:r>
      <w:r w:rsidR="00532D28">
        <w:rPr>
          <w:rFonts w:cs="Calibri"/>
          <w:color w:val="000000" w:themeColor="text1"/>
        </w:rPr>
        <w:t>, incluindo a eficácia das coberturas</w:t>
      </w:r>
      <w:r w:rsidR="00737F54">
        <w:rPr>
          <w:rFonts w:cs="Calibri"/>
          <w:color w:val="000000" w:themeColor="text1"/>
        </w:rPr>
        <w:t>;</w:t>
      </w:r>
    </w:p>
    <w:p w14:paraId="359DDA03" w14:textId="77777777" w:rsidR="00D91ABA" w:rsidRPr="00D37CCB" w:rsidRDefault="0098675A" w:rsidP="006722F6">
      <w:pPr>
        <w:pStyle w:val="Corpo"/>
        <w:numPr>
          <w:ilvl w:val="0"/>
          <w:numId w:val="4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D</w:t>
      </w:r>
      <w:r w:rsidR="00276EC5" w:rsidRPr="00E16D6E">
        <w:rPr>
          <w:rFonts w:cs="Calibri"/>
          <w:color w:val="000000" w:themeColor="text1"/>
        </w:rPr>
        <w:t>efinir planos de ação para correção ou melhoria de atributos</w:t>
      </w:r>
      <w:r w:rsidR="009A2534">
        <w:rPr>
          <w:rFonts w:cs="Calibri"/>
          <w:color w:val="000000" w:themeColor="text1"/>
        </w:rPr>
        <w:t xml:space="preserve"> ou valores</w:t>
      </w:r>
      <w:r w:rsidR="00276EC5" w:rsidRPr="00E16D6E">
        <w:rPr>
          <w:rFonts w:cs="Calibri"/>
          <w:color w:val="000000" w:themeColor="text1"/>
        </w:rPr>
        <w:t xml:space="preserve"> críticos, com a respetiva atribuição de </w:t>
      </w:r>
      <w:r w:rsidR="00F07A4A" w:rsidRPr="00E16D6E">
        <w:rPr>
          <w:rFonts w:cs="Calibri"/>
          <w:color w:val="000000" w:themeColor="text1"/>
        </w:rPr>
        <w:t>responsabilidades</w:t>
      </w:r>
      <w:r w:rsidR="00276EC5" w:rsidRPr="00E16D6E">
        <w:rPr>
          <w:rFonts w:cs="Calibri"/>
          <w:color w:val="000000" w:themeColor="text1"/>
        </w:rPr>
        <w:t xml:space="preserve"> e prazos</w:t>
      </w:r>
      <w:r w:rsidR="00F07A4A">
        <w:rPr>
          <w:rFonts w:cs="Calibri"/>
          <w:color w:val="000000" w:themeColor="text1"/>
        </w:rPr>
        <w:t xml:space="preserve">; </w:t>
      </w:r>
      <w:r w:rsidR="00FC53FB">
        <w:rPr>
          <w:rFonts w:cs="Calibri"/>
          <w:color w:val="000000" w:themeColor="text1"/>
        </w:rPr>
        <w:t>e</w:t>
      </w:r>
    </w:p>
    <w:p w14:paraId="122F93EE" w14:textId="45AD0A14" w:rsidR="000B2232" w:rsidRDefault="000B5544" w:rsidP="006722F6">
      <w:pPr>
        <w:pStyle w:val="Corpo"/>
        <w:numPr>
          <w:ilvl w:val="0"/>
          <w:numId w:val="4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A</w:t>
      </w:r>
      <w:r w:rsidR="00F07A4A" w:rsidRPr="00D91ABA">
        <w:rPr>
          <w:rFonts w:cs="Calibri"/>
          <w:color w:val="000000" w:themeColor="text1"/>
        </w:rPr>
        <w:t>companhar</w:t>
      </w:r>
      <w:r w:rsidR="00E16D6E" w:rsidRPr="00D91ABA">
        <w:rPr>
          <w:rFonts w:cs="Calibri"/>
          <w:color w:val="000000" w:themeColor="text1"/>
        </w:rPr>
        <w:t xml:space="preserve"> alterações </w:t>
      </w:r>
      <w:r w:rsidR="00003932" w:rsidRPr="00D91ABA">
        <w:rPr>
          <w:rFonts w:cs="Calibri"/>
          <w:color w:val="000000" w:themeColor="text1"/>
        </w:rPr>
        <w:t>à carteira de coberturas</w:t>
      </w:r>
      <w:r w:rsidR="00375B4C" w:rsidRPr="00D91ABA">
        <w:rPr>
          <w:rFonts w:cs="Calibri"/>
          <w:color w:val="000000" w:themeColor="text1"/>
        </w:rPr>
        <w:t>, ou seja, compras</w:t>
      </w:r>
      <w:r w:rsidR="004070B2" w:rsidRPr="00D91ABA">
        <w:rPr>
          <w:rFonts w:cs="Calibri"/>
          <w:color w:val="000000" w:themeColor="text1"/>
        </w:rPr>
        <w:t>,</w:t>
      </w:r>
      <w:r w:rsidR="00375B4C" w:rsidRPr="00D91ABA">
        <w:rPr>
          <w:rFonts w:cs="Calibri"/>
          <w:color w:val="000000" w:themeColor="text1"/>
        </w:rPr>
        <w:t xml:space="preserve"> liquidações e/ou ajustes</w:t>
      </w:r>
      <w:r w:rsidR="00FC53FB" w:rsidRPr="00D91ABA">
        <w:rPr>
          <w:rFonts w:cs="Calibri"/>
          <w:color w:val="000000" w:themeColor="text1"/>
        </w:rPr>
        <w:t>.</w:t>
      </w:r>
    </w:p>
    <w:p w14:paraId="0C52B6AC" w14:textId="319AA8F8" w:rsidR="000B2232" w:rsidRPr="00D91ABA" w:rsidRDefault="002750F2" w:rsidP="00D37CCB">
      <w:pPr>
        <w:pStyle w:val="Corpo"/>
        <w:spacing w:after="240" w:line="240" w:lineRule="auto"/>
        <w:ind w:left="0" w:right="0"/>
        <w:jc w:val="both"/>
      </w:pPr>
      <w:r>
        <w:rPr>
          <w:rFonts w:cs="Calibri"/>
          <w:color w:val="000000" w:themeColor="text1"/>
        </w:rPr>
        <w:t>O processo de</w:t>
      </w:r>
      <w:r w:rsidR="000B2232">
        <w:rPr>
          <w:rFonts w:cs="Calibri"/>
          <w:color w:val="000000" w:themeColor="text1"/>
        </w:rPr>
        <w:t xml:space="preserve"> aprovação das operações </w:t>
      </w:r>
      <w:r>
        <w:rPr>
          <w:rFonts w:cs="Calibri"/>
          <w:color w:val="000000" w:themeColor="text1"/>
        </w:rPr>
        <w:t>ALCO estão detalhadas na Circular 215</w:t>
      </w:r>
      <w:r w:rsidR="000C1482">
        <w:rPr>
          <w:rFonts w:cs="Calibri"/>
          <w:color w:val="000000" w:themeColor="text1"/>
        </w:rPr>
        <w:t>/2023</w:t>
      </w:r>
      <w:r w:rsidR="00AC269D">
        <w:rPr>
          <w:rFonts w:cs="Calibri"/>
          <w:color w:val="000000" w:themeColor="text1"/>
        </w:rPr>
        <w:t>.</w:t>
      </w:r>
    </w:p>
    <w:p w14:paraId="0C150A7C" w14:textId="3D8852C3" w:rsidR="00653F10" w:rsidRDefault="001E0E6A" w:rsidP="00C92C5E">
      <w:pPr>
        <w:pStyle w:val="Ttulo21"/>
      </w:pPr>
      <w:bookmarkStart w:id="10" w:name="_Toc205549113"/>
      <w:r>
        <w:t>3</w:t>
      </w:r>
      <w:r w:rsidR="00AE7C00" w:rsidRPr="00BA6BBD">
        <w:t>.2.</w:t>
      </w:r>
      <w:r w:rsidR="00CC6728" w:rsidRPr="00BA6BBD">
        <w:t xml:space="preserve"> </w:t>
      </w:r>
      <w:r w:rsidR="00821F3F" w:rsidRPr="00F972AF">
        <w:t>Contabilidade</w:t>
      </w:r>
      <w:bookmarkEnd w:id="10"/>
      <w:r w:rsidR="00821F3F">
        <w:rPr>
          <w:i/>
          <w:iCs/>
        </w:rPr>
        <w:t xml:space="preserve"> </w:t>
      </w:r>
    </w:p>
    <w:p w14:paraId="096E0BE2" w14:textId="5854763C" w:rsidR="003D253B" w:rsidRPr="00BA5680" w:rsidRDefault="000144D5" w:rsidP="00BA5680">
      <w:pPr>
        <w:pStyle w:val="Corpo"/>
        <w:spacing w:after="240" w:line="240" w:lineRule="auto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A </w:t>
      </w:r>
      <w:r w:rsidR="00787282">
        <w:rPr>
          <w:rFonts w:cs="Calibri"/>
          <w:color w:val="000000" w:themeColor="text1"/>
        </w:rPr>
        <w:t>Á</w:t>
      </w:r>
      <w:r>
        <w:rPr>
          <w:rFonts w:cs="Calibri"/>
          <w:color w:val="000000" w:themeColor="text1"/>
        </w:rPr>
        <w:t xml:space="preserve">rea </w:t>
      </w:r>
      <w:r w:rsidR="003D253B" w:rsidRPr="00BA5680">
        <w:rPr>
          <w:rFonts w:cs="Calibri"/>
          <w:color w:val="000000" w:themeColor="text1"/>
        </w:rPr>
        <w:t xml:space="preserve">de Contabilidade do </w:t>
      </w:r>
      <w:r w:rsidR="00A15984">
        <w:rPr>
          <w:rFonts w:cs="Calibri"/>
          <w:color w:val="000000" w:themeColor="text1"/>
        </w:rPr>
        <w:t>Banco</w:t>
      </w:r>
      <w:r w:rsidR="003D253B" w:rsidRPr="00BA5680">
        <w:rPr>
          <w:rFonts w:cs="Calibri"/>
          <w:color w:val="000000" w:themeColor="text1"/>
        </w:rPr>
        <w:t xml:space="preserve"> assume um papel central na garantia da integridade, fiabilidade e </w:t>
      </w:r>
      <w:r w:rsidR="005F5FE2" w:rsidRPr="00BA5680">
        <w:rPr>
          <w:rFonts w:cs="Calibri"/>
          <w:color w:val="000000" w:themeColor="text1"/>
        </w:rPr>
        <w:t>coerência</w:t>
      </w:r>
      <w:r w:rsidR="003D253B" w:rsidRPr="00BA5680">
        <w:rPr>
          <w:rFonts w:cs="Calibri"/>
          <w:color w:val="000000" w:themeColor="text1"/>
        </w:rPr>
        <w:t xml:space="preserve"> da informação financeira e de gestão, sendo responsável pela produção, análise e supervisão da informação contabilística</w:t>
      </w:r>
      <w:r w:rsidR="00FC69AA">
        <w:rPr>
          <w:rFonts w:cs="Calibri"/>
          <w:color w:val="000000" w:themeColor="text1"/>
        </w:rPr>
        <w:t>.</w:t>
      </w:r>
    </w:p>
    <w:p w14:paraId="67045347" w14:textId="72D118D4" w:rsidR="00090DE5" w:rsidRPr="00BA5680" w:rsidRDefault="00EF5906" w:rsidP="00BA5680">
      <w:pPr>
        <w:pStyle w:val="Corpo"/>
        <w:spacing w:after="240" w:line="240" w:lineRule="auto"/>
        <w:jc w:val="both"/>
        <w:rPr>
          <w:rFonts w:cs="Calibri"/>
          <w:color w:val="000000" w:themeColor="text1"/>
        </w:rPr>
      </w:pPr>
      <w:r w:rsidRPr="00BA5680">
        <w:rPr>
          <w:rFonts w:cs="Calibri"/>
          <w:color w:val="000000" w:themeColor="text1"/>
        </w:rPr>
        <w:t xml:space="preserve">No âmbito do </w:t>
      </w:r>
      <w:proofErr w:type="spellStart"/>
      <w:r w:rsidRPr="00956F25">
        <w:rPr>
          <w:rFonts w:cs="Calibri"/>
          <w:i/>
          <w:iCs/>
          <w:color w:val="000000" w:themeColor="text1"/>
        </w:rPr>
        <w:t>hedge</w:t>
      </w:r>
      <w:proofErr w:type="spellEnd"/>
      <w:r w:rsidRPr="00956F25">
        <w:rPr>
          <w:rFonts w:cs="Calibri"/>
          <w:i/>
          <w:iCs/>
          <w:color w:val="000000" w:themeColor="text1"/>
        </w:rPr>
        <w:t xml:space="preserve"> </w:t>
      </w:r>
      <w:proofErr w:type="spellStart"/>
      <w:r w:rsidRPr="00956F25">
        <w:rPr>
          <w:rFonts w:cs="Calibri"/>
          <w:i/>
          <w:iCs/>
          <w:color w:val="000000" w:themeColor="text1"/>
        </w:rPr>
        <w:t>accounting</w:t>
      </w:r>
      <w:proofErr w:type="spellEnd"/>
      <w:r w:rsidRPr="00BA5680">
        <w:rPr>
          <w:rFonts w:cs="Calibri"/>
          <w:color w:val="000000" w:themeColor="text1"/>
        </w:rPr>
        <w:t xml:space="preserve"> </w:t>
      </w:r>
      <w:r w:rsidR="00342AE5" w:rsidRPr="00BA5680">
        <w:rPr>
          <w:rFonts w:cs="Calibri"/>
          <w:color w:val="000000" w:themeColor="text1"/>
        </w:rPr>
        <w:t xml:space="preserve">especificamente da tipologia de </w:t>
      </w:r>
      <w:r w:rsidR="00342AE5" w:rsidRPr="00DB5B4E">
        <w:rPr>
          <w:rFonts w:cs="Calibri"/>
          <w:i/>
          <w:iCs/>
          <w:color w:val="000000" w:themeColor="text1"/>
        </w:rPr>
        <w:t>fair-</w:t>
      </w:r>
      <w:proofErr w:type="spellStart"/>
      <w:r w:rsidR="00342AE5" w:rsidRPr="00DB5B4E">
        <w:rPr>
          <w:rFonts w:cs="Calibri"/>
          <w:i/>
          <w:iCs/>
          <w:color w:val="000000" w:themeColor="text1"/>
        </w:rPr>
        <w:t>value</w:t>
      </w:r>
      <w:proofErr w:type="spellEnd"/>
      <w:r w:rsidR="00342AE5" w:rsidRPr="00BA5680">
        <w:rPr>
          <w:rFonts w:cs="Calibri"/>
          <w:color w:val="000000" w:themeColor="text1"/>
        </w:rPr>
        <w:t xml:space="preserve"> </w:t>
      </w:r>
      <w:r w:rsidRPr="00BA5680">
        <w:rPr>
          <w:rFonts w:cs="Calibri"/>
          <w:color w:val="000000" w:themeColor="text1"/>
        </w:rPr>
        <w:t xml:space="preserve">do </w:t>
      </w:r>
      <w:r w:rsidR="00A15984">
        <w:rPr>
          <w:rFonts w:cs="Calibri"/>
          <w:color w:val="000000" w:themeColor="text1"/>
        </w:rPr>
        <w:t>Banco</w:t>
      </w:r>
      <w:r w:rsidRPr="00BA5680">
        <w:rPr>
          <w:rFonts w:cs="Calibri"/>
          <w:color w:val="000000" w:themeColor="text1"/>
        </w:rPr>
        <w:t>,</w:t>
      </w:r>
      <w:r w:rsidR="000D0508">
        <w:rPr>
          <w:rFonts w:cs="Calibri"/>
          <w:color w:val="000000" w:themeColor="text1"/>
        </w:rPr>
        <w:t xml:space="preserve"> a </w:t>
      </w:r>
      <w:r w:rsidR="00787282">
        <w:rPr>
          <w:rFonts w:cs="Calibri"/>
          <w:color w:val="000000" w:themeColor="text1"/>
        </w:rPr>
        <w:t xml:space="preserve">Área </w:t>
      </w:r>
      <w:r w:rsidRPr="00BA5680">
        <w:rPr>
          <w:rFonts w:cs="Calibri"/>
          <w:color w:val="000000" w:themeColor="text1"/>
        </w:rPr>
        <w:t>de Contabilidade é responsável por assegurar o cumprimento dos critérios estabelecidos na norma IFRS 9, nomeadamente</w:t>
      </w:r>
      <w:r w:rsidR="00090DE5" w:rsidRPr="00BA5680">
        <w:rPr>
          <w:rFonts w:cs="Calibri"/>
          <w:color w:val="000000" w:themeColor="text1"/>
        </w:rPr>
        <w:t>:</w:t>
      </w:r>
    </w:p>
    <w:p w14:paraId="7476B804" w14:textId="0448F115" w:rsidR="00090DE5" w:rsidRPr="00BA5680" w:rsidRDefault="00787282" w:rsidP="006722F6">
      <w:pPr>
        <w:pStyle w:val="Corpo"/>
        <w:numPr>
          <w:ilvl w:val="0"/>
          <w:numId w:val="4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lastRenderedPageBreak/>
        <w:t xml:space="preserve">Cálculo </w:t>
      </w:r>
      <w:r w:rsidR="00532D28">
        <w:rPr>
          <w:rFonts w:cs="Calibri"/>
          <w:color w:val="000000" w:themeColor="text1"/>
        </w:rPr>
        <w:t xml:space="preserve">e monitorização </w:t>
      </w:r>
      <w:r>
        <w:rPr>
          <w:rFonts w:cs="Calibri"/>
          <w:color w:val="000000" w:themeColor="text1"/>
        </w:rPr>
        <w:t>da eficácia das relações de cobertura;</w:t>
      </w:r>
    </w:p>
    <w:p w14:paraId="4F433529" w14:textId="348EF078" w:rsidR="00090DE5" w:rsidRPr="00BA5680" w:rsidRDefault="00090DE5" w:rsidP="006722F6">
      <w:pPr>
        <w:pStyle w:val="Corpo"/>
        <w:numPr>
          <w:ilvl w:val="0"/>
          <w:numId w:val="4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r w:rsidRPr="00BA5680">
        <w:rPr>
          <w:rFonts w:cs="Calibri"/>
          <w:color w:val="000000" w:themeColor="text1"/>
        </w:rPr>
        <w:t xml:space="preserve">Realização dos </w:t>
      </w:r>
      <w:r w:rsidR="00EF5906" w:rsidRPr="00BA5680">
        <w:rPr>
          <w:rFonts w:cs="Calibri"/>
          <w:color w:val="000000" w:themeColor="text1"/>
        </w:rPr>
        <w:t>testes prospetivos</w:t>
      </w:r>
      <w:r w:rsidR="00787282">
        <w:rPr>
          <w:rFonts w:cs="Calibri"/>
          <w:color w:val="000000" w:themeColor="text1"/>
        </w:rPr>
        <w:t>;</w:t>
      </w:r>
      <w:r w:rsidR="00EF5906" w:rsidRPr="00BA5680">
        <w:rPr>
          <w:rFonts w:cs="Calibri"/>
          <w:color w:val="000000" w:themeColor="text1"/>
        </w:rPr>
        <w:t xml:space="preserve"> </w:t>
      </w:r>
    </w:p>
    <w:p w14:paraId="5DADE76D" w14:textId="757B40B2" w:rsidR="006516A2" w:rsidRPr="00BA5680" w:rsidRDefault="006516A2" w:rsidP="006722F6">
      <w:pPr>
        <w:pStyle w:val="Corpo"/>
        <w:numPr>
          <w:ilvl w:val="0"/>
          <w:numId w:val="4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r w:rsidRPr="00BA5680">
        <w:rPr>
          <w:rFonts w:cs="Calibri"/>
          <w:color w:val="000000" w:themeColor="text1"/>
        </w:rPr>
        <w:t>Avaliação da dominância de risco de crédito</w:t>
      </w:r>
      <w:r w:rsidR="00787282">
        <w:rPr>
          <w:rFonts w:cs="Calibri"/>
          <w:color w:val="000000" w:themeColor="text1"/>
        </w:rPr>
        <w:t>;</w:t>
      </w:r>
    </w:p>
    <w:p w14:paraId="431C3464" w14:textId="0862B591" w:rsidR="00DB3983" w:rsidRDefault="001B4830" w:rsidP="006722F6">
      <w:pPr>
        <w:pStyle w:val="Corpo"/>
        <w:numPr>
          <w:ilvl w:val="0"/>
          <w:numId w:val="4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Analise dos</w:t>
      </w:r>
      <w:r w:rsidR="00DB3983">
        <w:rPr>
          <w:rFonts w:cs="Calibri"/>
          <w:color w:val="000000" w:themeColor="text1"/>
        </w:rPr>
        <w:t xml:space="preserve"> controlos SOX;</w:t>
      </w:r>
    </w:p>
    <w:p w14:paraId="2ACADCE3" w14:textId="46EBAA02" w:rsidR="00090DE5" w:rsidRPr="00BA5680" w:rsidRDefault="00DB3983" w:rsidP="006722F6">
      <w:pPr>
        <w:pStyle w:val="Corpo"/>
        <w:numPr>
          <w:ilvl w:val="0"/>
          <w:numId w:val="4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Alerta</w:t>
      </w:r>
      <w:r w:rsidR="000E2478">
        <w:rPr>
          <w:rFonts w:cs="Calibri"/>
          <w:color w:val="000000" w:themeColor="text1"/>
        </w:rPr>
        <w:t xml:space="preserve"> de</w:t>
      </w:r>
      <w:r w:rsidR="0031484D">
        <w:rPr>
          <w:rFonts w:cs="Calibri"/>
          <w:color w:val="000000" w:themeColor="text1"/>
        </w:rPr>
        <w:t xml:space="preserve"> qualquer disparidade e/ou incoerência identificada no processo</w:t>
      </w:r>
      <w:r w:rsidR="000E2478">
        <w:rPr>
          <w:rFonts w:cs="Calibri"/>
          <w:color w:val="000000" w:themeColor="text1"/>
        </w:rPr>
        <w:t>;</w:t>
      </w:r>
      <w:r w:rsidR="00787282">
        <w:rPr>
          <w:rFonts w:cs="Calibri"/>
          <w:color w:val="000000" w:themeColor="text1"/>
        </w:rPr>
        <w:t xml:space="preserve"> </w:t>
      </w:r>
    </w:p>
    <w:p w14:paraId="79E73D9E" w14:textId="0231C7A3" w:rsidR="00B37647" w:rsidRDefault="00532D28" w:rsidP="006722F6">
      <w:pPr>
        <w:pStyle w:val="Corpo"/>
        <w:numPr>
          <w:ilvl w:val="0"/>
          <w:numId w:val="4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Parametrização das regras contabilísticas </w:t>
      </w:r>
      <w:proofErr w:type="gramStart"/>
      <w:r>
        <w:rPr>
          <w:rFonts w:cs="Calibri"/>
          <w:color w:val="000000" w:themeColor="text1"/>
        </w:rPr>
        <w:t>no interface</w:t>
      </w:r>
      <w:proofErr w:type="gramEnd"/>
      <w:r>
        <w:rPr>
          <w:rFonts w:cs="Calibri"/>
          <w:color w:val="000000" w:themeColor="text1"/>
        </w:rPr>
        <w:t xml:space="preserve"> do SIGOM para a aplicação de contabilidade</w:t>
      </w:r>
      <w:r w:rsidR="00D37CCB">
        <w:rPr>
          <w:rFonts w:cs="Calibri"/>
          <w:color w:val="000000" w:themeColor="text1"/>
        </w:rPr>
        <w:t>;</w:t>
      </w:r>
    </w:p>
    <w:p w14:paraId="705FD35D" w14:textId="77777777" w:rsidR="00532D28" w:rsidRDefault="00532D28" w:rsidP="00532D28">
      <w:pPr>
        <w:pStyle w:val="Corpo"/>
        <w:numPr>
          <w:ilvl w:val="0"/>
          <w:numId w:val="4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r w:rsidRPr="00BA5680">
        <w:rPr>
          <w:rFonts w:cs="Calibri"/>
          <w:color w:val="000000" w:themeColor="text1"/>
        </w:rPr>
        <w:t>Cálculo dos ajustes necessários</w:t>
      </w:r>
      <w:r>
        <w:rPr>
          <w:rFonts w:cs="Calibri"/>
          <w:color w:val="000000" w:themeColor="text1"/>
        </w:rPr>
        <w:t xml:space="preserve"> e respetiva contabilização;</w:t>
      </w:r>
    </w:p>
    <w:p w14:paraId="46AAD344" w14:textId="4AC4659F" w:rsidR="00DA0825" w:rsidRPr="00BA5680" w:rsidRDefault="00DA0825" w:rsidP="006722F6">
      <w:pPr>
        <w:pStyle w:val="Corpo"/>
        <w:numPr>
          <w:ilvl w:val="0"/>
          <w:numId w:val="4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Manutenção d</w:t>
      </w:r>
      <w:r w:rsidR="00D37CCB">
        <w:rPr>
          <w:rFonts w:cs="Calibri"/>
          <w:color w:val="000000" w:themeColor="text1"/>
        </w:rPr>
        <w:t xml:space="preserve">os documentos do processo - Documento de </w:t>
      </w:r>
      <w:r w:rsidR="00D37CCB" w:rsidRPr="0092050A">
        <w:rPr>
          <w:rFonts w:cs="Calibri"/>
          <w:color w:val="000000" w:themeColor="text1"/>
        </w:rPr>
        <w:t>Govern</w:t>
      </w:r>
      <w:r w:rsidR="00FB6BE7" w:rsidRPr="0092050A">
        <w:rPr>
          <w:rFonts w:cs="Calibri"/>
          <w:color w:val="000000" w:themeColor="text1"/>
        </w:rPr>
        <w:t>o</w:t>
      </w:r>
      <w:r w:rsidR="00D37CCB">
        <w:rPr>
          <w:rFonts w:cs="Calibri"/>
          <w:color w:val="000000" w:themeColor="text1"/>
        </w:rPr>
        <w:t>, Documentos</w:t>
      </w:r>
      <w:r w:rsidR="00D37CCB" w:rsidRPr="0091481F">
        <w:rPr>
          <w:rFonts w:cs="Calibri"/>
          <w:color w:val="000000" w:themeColor="text1"/>
        </w:rPr>
        <w:t xml:space="preserve"> de </w:t>
      </w:r>
      <w:r w:rsidR="00D37CCB">
        <w:rPr>
          <w:rFonts w:cs="Calibri"/>
          <w:i/>
          <w:iCs/>
          <w:color w:val="000000" w:themeColor="text1"/>
        </w:rPr>
        <w:t xml:space="preserve">Framework, </w:t>
      </w:r>
      <w:r w:rsidR="00D37CCB">
        <w:rPr>
          <w:rFonts w:cs="Calibri"/>
          <w:color w:val="000000" w:themeColor="text1"/>
        </w:rPr>
        <w:t>Matriz</w:t>
      </w:r>
      <w:r w:rsidR="00D37CCB" w:rsidRPr="0091481F">
        <w:rPr>
          <w:rFonts w:cs="Calibri"/>
          <w:color w:val="000000" w:themeColor="text1"/>
        </w:rPr>
        <w:t xml:space="preserve"> de </w:t>
      </w:r>
      <w:r w:rsidR="00D37CCB">
        <w:rPr>
          <w:rFonts w:cs="Calibri"/>
          <w:color w:val="000000" w:themeColor="text1"/>
        </w:rPr>
        <w:t>Coberturas e Fichas Individuais</w:t>
      </w:r>
      <w:r w:rsidR="00E6779E" w:rsidRPr="00D37CCB">
        <w:rPr>
          <w:rFonts w:cs="Calibri"/>
          <w:color w:val="000000" w:themeColor="text1"/>
        </w:rPr>
        <w:t>.</w:t>
      </w:r>
    </w:p>
    <w:p w14:paraId="32228C49" w14:textId="492D18C8" w:rsidR="003D52A3" w:rsidRDefault="001D66E0" w:rsidP="00BA5680">
      <w:pPr>
        <w:pStyle w:val="Corpo"/>
        <w:spacing w:after="240" w:line="240" w:lineRule="auto"/>
        <w:jc w:val="both"/>
        <w:rPr>
          <w:rFonts w:cs="Calibri"/>
        </w:rPr>
      </w:pPr>
      <w:r w:rsidRPr="00BA5680">
        <w:rPr>
          <w:rFonts w:cs="Calibri"/>
          <w:color w:val="000000" w:themeColor="text1"/>
        </w:rPr>
        <w:t xml:space="preserve">Relativamente aos controlos e validações, os testes de eficácia constituem os controlos primários das relações de cobertura, assegurando que não ocorrem disparidades significativas entre a valorização do </w:t>
      </w:r>
      <w:r w:rsidR="00FB6BE7">
        <w:rPr>
          <w:rFonts w:cs="Calibri"/>
          <w:color w:val="000000" w:themeColor="text1"/>
        </w:rPr>
        <w:t>instrumento de cobertura</w:t>
      </w:r>
      <w:r w:rsidRPr="00BA5680">
        <w:rPr>
          <w:rFonts w:cs="Calibri"/>
          <w:color w:val="000000" w:themeColor="text1"/>
        </w:rPr>
        <w:t xml:space="preserve"> e </w:t>
      </w:r>
      <w:r w:rsidR="00532D28">
        <w:rPr>
          <w:rFonts w:cs="Calibri"/>
          <w:color w:val="000000" w:themeColor="text1"/>
        </w:rPr>
        <w:t>a valorização d</w:t>
      </w:r>
      <w:r w:rsidR="00C732CF">
        <w:rPr>
          <w:rFonts w:cs="Calibri"/>
          <w:color w:val="000000" w:themeColor="text1"/>
        </w:rPr>
        <w:t>o elemento coberto</w:t>
      </w:r>
      <w:r w:rsidR="000B03B6">
        <w:rPr>
          <w:rFonts w:cs="Calibri"/>
          <w:color w:val="000000" w:themeColor="text1"/>
        </w:rPr>
        <w:t>.</w:t>
      </w:r>
      <w:r w:rsidRPr="00BA5680">
        <w:rPr>
          <w:rFonts w:cs="Calibri"/>
          <w:color w:val="000000" w:themeColor="text1"/>
        </w:rPr>
        <w:t xml:space="preserve"> Adicionalmente, são realizados controlos </w:t>
      </w:r>
      <w:r w:rsidR="002E2197">
        <w:rPr>
          <w:rFonts w:cs="Calibri"/>
          <w:color w:val="000000" w:themeColor="text1"/>
        </w:rPr>
        <w:t xml:space="preserve">quantitativos </w:t>
      </w:r>
      <w:r w:rsidRPr="00BA5680">
        <w:rPr>
          <w:rFonts w:cs="Calibri"/>
          <w:color w:val="000000" w:themeColor="text1"/>
        </w:rPr>
        <w:t xml:space="preserve">que </w:t>
      </w:r>
      <w:r w:rsidR="00C732CF">
        <w:rPr>
          <w:rFonts w:cs="Calibri"/>
          <w:color w:val="000000" w:themeColor="text1"/>
        </w:rPr>
        <w:t>reconciliam</w:t>
      </w:r>
      <w:r w:rsidRPr="00BA5680">
        <w:rPr>
          <w:rFonts w:cs="Calibri"/>
          <w:color w:val="000000" w:themeColor="text1"/>
        </w:rPr>
        <w:t xml:space="preserve"> os valores da carteira de coberturas com os correspondentes </w:t>
      </w:r>
      <w:r w:rsidR="009C5CB8">
        <w:rPr>
          <w:rFonts w:cs="Calibri"/>
          <w:color w:val="000000" w:themeColor="text1"/>
        </w:rPr>
        <w:t xml:space="preserve">saldos </w:t>
      </w:r>
      <w:r w:rsidRPr="00BA5680">
        <w:rPr>
          <w:rFonts w:cs="Calibri"/>
          <w:color w:val="000000" w:themeColor="text1"/>
        </w:rPr>
        <w:t>contabilísticos, garantindo a coerência e integridade dos dados reportados.</w:t>
      </w:r>
      <w:r w:rsidR="003D52A3" w:rsidRPr="00E75556">
        <w:rPr>
          <w:rFonts w:cs="Calibri"/>
        </w:rPr>
        <w:t xml:space="preserve"> </w:t>
      </w:r>
    </w:p>
    <w:p w14:paraId="5DC135CC" w14:textId="09DFBD19" w:rsidR="001D66E0" w:rsidRPr="00BA5680" w:rsidRDefault="003D52A3" w:rsidP="00BA5680">
      <w:pPr>
        <w:pStyle w:val="Corpo"/>
        <w:spacing w:after="240" w:line="240" w:lineRule="auto"/>
        <w:jc w:val="both"/>
        <w:rPr>
          <w:rFonts w:cs="Calibri"/>
          <w:color w:val="000000" w:themeColor="text1"/>
        </w:rPr>
      </w:pPr>
      <w:r>
        <w:rPr>
          <w:rFonts w:cs="Calibri"/>
        </w:rPr>
        <w:t>T</w:t>
      </w:r>
      <w:r w:rsidRPr="00F608F0">
        <w:rPr>
          <w:rFonts w:asciiTheme="minorHAnsi" w:hAnsiTheme="minorHAnsi" w:cs="Calibri"/>
        </w:rPr>
        <w:t xml:space="preserve">odo e qualquer processo de gestão de incidências no processo de </w:t>
      </w:r>
      <w:proofErr w:type="spellStart"/>
      <w:r w:rsidRPr="00F608F0">
        <w:rPr>
          <w:rFonts w:asciiTheme="minorHAnsi" w:hAnsiTheme="minorHAnsi" w:cs="Calibri"/>
          <w:i/>
          <w:iCs/>
        </w:rPr>
        <w:t>hedge</w:t>
      </w:r>
      <w:proofErr w:type="spellEnd"/>
      <w:r w:rsidRPr="00F608F0">
        <w:rPr>
          <w:rFonts w:asciiTheme="minorHAnsi" w:hAnsiTheme="minorHAnsi" w:cs="Calibri"/>
          <w:i/>
          <w:iCs/>
        </w:rPr>
        <w:t xml:space="preserve"> </w:t>
      </w:r>
      <w:proofErr w:type="spellStart"/>
      <w:r w:rsidRPr="00F608F0">
        <w:rPr>
          <w:rFonts w:asciiTheme="minorHAnsi" w:hAnsiTheme="minorHAnsi" w:cs="Calibri"/>
          <w:i/>
          <w:iCs/>
        </w:rPr>
        <w:t>accounting</w:t>
      </w:r>
      <w:proofErr w:type="spellEnd"/>
      <w:r w:rsidRPr="00F608F0">
        <w:rPr>
          <w:rFonts w:asciiTheme="minorHAnsi" w:hAnsiTheme="minorHAnsi" w:cs="Calibri"/>
        </w:rPr>
        <w:t xml:space="preserve"> encontra-se </w:t>
      </w:r>
      <w:r w:rsidRPr="00F608F0">
        <w:rPr>
          <w:rFonts w:cs="Calibri"/>
        </w:rPr>
        <w:t xml:space="preserve">alinhado com as políticas do </w:t>
      </w:r>
      <w:r w:rsidR="00A15984">
        <w:rPr>
          <w:rFonts w:cs="Calibri"/>
        </w:rPr>
        <w:t>Banco</w:t>
      </w:r>
      <w:r w:rsidRPr="00F608F0">
        <w:rPr>
          <w:rFonts w:cs="Calibri"/>
        </w:rPr>
        <w:t>.</w:t>
      </w:r>
    </w:p>
    <w:p w14:paraId="33AF5D91" w14:textId="5CB8A67B" w:rsidR="00920B47" w:rsidRPr="0085445A" w:rsidRDefault="00856F66" w:rsidP="0085445A">
      <w:pPr>
        <w:pStyle w:val="Corpo"/>
        <w:spacing w:after="240" w:line="240" w:lineRule="auto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O detalhe das tarefas operacionais da Área, encontra-se descrito do documento “Tarefa 50092526 – Contabilidade de Cobertura”. </w:t>
      </w:r>
    </w:p>
    <w:p w14:paraId="45E1B592" w14:textId="5E6218E7" w:rsidR="00392700" w:rsidRDefault="00AE7C00" w:rsidP="00C92C5E">
      <w:pPr>
        <w:pStyle w:val="Ttulo21"/>
      </w:pPr>
      <w:bookmarkStart w:id="11" w:name="_Toc205549114"/>
      <w:r>
        <w:t>3.3.</w:t>
      </w:r>
      <w:r w:rsidR="00392700" w:rsidRPr="00392700">
        <w:t xml:space="preserve"> </w:t>
      </w:r>
      <w:r w:rsidR="00F972AF">
        <w:t>Tesouraria</w:t>
      </w:r>
      <w:bookmarkEnd w:id="11"/>
    </w:p>
    <w:p w14:paraId="24C0AF71" w14:textId="53C3288B" w:rsidR="00DB5350" w:rsidRPr="00BA5680" w:rsidRDefault="00DB5350" w:rsidP="00BA5680">
      <w:pPr>
        <w:pStyle w:val="Corpo"/>
        <w:spacing w:after="240" w:line="240" w:lineRule="auto"/>
        <w:jc w:val="both"/>
        <w:rPr>
          <w:rFonts w:cs="Calibri"/>
          <w:color w:val="000000" w:themeColor="text1"/>
        </w:rPr>
      </w:pPr>
      <w:r w:rsidRPr="00BA5680">
        <w:rPr>
          <w:rFonts w:cs="Calibri"/>
          <w:color w:val="000000" w:themeColor="text1"/>
        </w:rPr>
        <w:t xml:space="preserve">A </w:t>
      </w:r>
      <w:r w:rsidR="009D68E9">
        <w:rPr>
          <w:rFonts w:cs="Calibri"/>
          <w:color w:val="000000" w:themeColor="text1"/>
        </w:rPr>
        <w:t>Á</w:t>
      </w:r>
      <w:r w:rsidRPr="00BA5680">
        <w:rPr>
          <w:rFonts w:cs="Calibri"/>
          <w:color w:val="000000" w:themeColor="text1"/>
        </w:rPr>
        <w:t xml:space="preserve">rea de Tesouraria do </w:t>
      </w:r>
      <w:r w:rsidR="00A15984">
        <w:rPr>
          <w:rFonts w:cs="Calibri"/>
          <w:color w:val="000000" w:themeColor="text1"/>
        </w:rPr>
        <w:t>Banco</w:t>
      </w:r>
      <w:r w:rsidRPr="00BA5680">
        <w:rPr>
          <w:rFonts w:cs="Calibri"/>
          <w:color w:val="000000" w:themeColor="text1"/>
        </w:rPr>
        <w:t xml:space="preserve"> é responsável pela gestão eficiente dos recursos financeiros, garantindo a liquidez necessária para o funcionamento operacional e estratégico da instituição.  </w:t>
      </w:r>
      <w:r w:rsidR="009B6791">
        <w:rPr>
          <w:rFonts w:cs="Calibri"/>
          <w:color w:val="000000" w:themeColor="text1"/>
        </w:rPr>
        <w:t>A</w:t>
      </w:r>
      <w:r w:rsidRPr="00BA5680">
        <w:rPr>
          <w:rFonts w:cs="Calibri"/>
          <w:color w:val="000000" w:themeColor="text1"/>
        </w:rPr>
        <w:t>tua como ponto central na mitigação dos riscos financeiros inerentes à atividade bancária, assegurando a conformidade com os limites internos e regulamentares estabelecidos.</w:t>
      </w:r>
    </w:p>
    <w:p w14:paraId="207F27D1" w14:textId="269336ED" w:rsidR="000323FE" w:rsidRPr="00BA5680" w:rsidRDefault="000323FE" w:rsidP="00BA5680">
      <w:pPr>
        <w:pStyle w:val="Corpo"/>
        <w:spacing w:after="240" w:line="240" w:lineRule="auto"/>
        <w:jc w:val="both"/>
        <w:rPr>
          <w:rFonts w:cs="Calibri"/>
          <w:color w:val="000000" w:themeColor="text1"/>
        </w:rPr>
      </w:pPr>
      <w:r w:rsidRPr="00BA5680">
        <w:rPr>
          <w:rFonts w:cs="Calibri"/>
          <w:color w:val="000000" w:themeColor="text1"/>
        </w:rPr>
        <w:t xml:space="preserve">No âmbito do </w:t>
      </w:r>
      <w:proofErr w:type="spellStart"/>
      <w:r w:rsidRPr="00956F25">
        <w:rPr>
          <w:rFonts w:cs="Calibri"/>
          <w:i/>
          <w:iCs/>
          <w:color w:val="000000" w:themeColor="text1"/>
        </w:rPr>
        <w:t>hedge</w:t>
      </w:r>
      <w:proofErr w:type="spellEnd"/>
      <w:r w:rsidRPr="00956F25">
        <w:rPr>
          <w:rFonts w:cs="Calibri"/>
          <w:i/>
          <w:iCs/>
          <w:color w:val="000000" w:themeColor="text1"/>
        </w:rPr>
        <w:t xml:space="preserve"> </w:t>
      </w:r>
      <w:proofErr w:type="spellStart"/>
      <w:r w:rsidRPr="00956F25">
        <w:rPr>
          <w:rFonts w:cs="Calibri"/>
          <w:i/>
          <w:iCs/>
          <w:color w:val="000000" w:themeColor="text1"/>
        </w:rPr>
        <w:t>accounting</w:t>
      </w:r>
      <w:proofErr w:type="spellEnd"/>
      <w:r w:rsidRPr="00BA5680">
        <w:rPr>
          <w:rFonts w:cs="Calibri"/>
          <w:color w:val="000000" w:themeColor="text1"/>
        </w:rPr>
        <w:t xml:space="preserve"> do </w:t>
      </w:r>
      <w:r w:rsidR="00A15984">
        <w:rPr>
          <w:rFonts w:cs="Calibri"/>
          <w:color w:val="000000" w:themeColor="text1"/>
        </w:rPr>
        <w:t>Banco</w:t>
      </w:r>
      <w:r w:rsidRPr="00BA5680">
        <w:rPr>
          <w:rFonts w:cs="Calibri"/>
          <w:color w:val="000000" w:themeColor="text1"/>
        </w:rPr>
        <w:t xml:space="preserve">, a área de Tesouraria é responsável </w:t>
      </w:r>
      <w:r w:rsidR="009D68E9">
        <w:rPr>
          <w:rFonts w:cs="Calibri"/>
          <w:color w:val="000000" w:themeColor="text1"/>
        </w:rPr>
        <w:t>de uma forma resumida por</w:t>
      </w:r>
      <w:r w:rsidRPr="00BA5680">
        <w:rPr>
          <w:rFonts w:cs="Calibri"/>
          <w:color w:val="000000" w:themeColor="text1"/>
        </w:rPr>
        <w:t>:</w:t>
      </w:r>
    </w:p>
    <w:p w14:paraId="65346A3B" w14:textId="574F209E" w:rsidR="004658A5" w:rsidRPr="00BA5680" w:rsidRDefault="004658A5" w:rsidP="006722F6">
      <w:pPr>
        <w:pStyle w:val="Corpo"/>
        <w:numPr>
          <w:ilvl w:val="0"/>
          <w:numId w:val="4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r w:rsidRPr="00BA5680">
        <w:rPr>
          <w:rFonts w:cs="Calibri"/>
          <w:color w:val="000000" w:themeColor="text1"/>
        </w:rPr>
        <w:t>Negociar operação com o cliente</w:t>
      </w:r>
      <w:r w:rsidR="002229F7">
        <w:rPr>
          <w:rFonts w:cs="Calibri"/>
          <w:color w:val="000000" w:themeColor="text1"/>
        </w:rPr>
        <w:t>;</w:t>
      </w:r>
    </w:p>
    <w:p w14:paraId="02896DCA" w14:textId="11A335B4" w:rsidR="000323FE" w:rsidRPr="00BA5680" w:rsidRDefault="000323FE" w:rsidP="006722F6">
      <w:pPr>
        <w:pStyle w:val="Corpo"/>
        <w:numPr>
          <w:ilvl w:val="0"/>
          <w:numId w:val="4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r w:rsidRPr="00BA5680">
        <w:rPr>
          <w:rFonts w:cs="Calibri"/>
          <w:color w:val="000000" w:themeColor="text1"/>
        </w:rPr>
        <w:t>Analisar a cobertura e as características do derivado</w:t>
      </w:r>
      <w:r w:rsidR="002229F7">
        <w:rPr>
          <w:rFonts w:cs="Calibri"/>
          <w:color w:val="000000" w:themeColor="text1"/>
        </w:rPr>
        <w:t>;</w:t>
      </w:r>
    </w:p>
    <w:p w14:paraId="3B49724B" w14:textId="3D4FE7DF" w:rsidR="000323FE" w:rsidRPr="00BA5680" w:rsidRDefault="000323FE" w:rsidP="006722F6">
      <w:pPr>
        <w:pStyle w:val="Corpo"/>
        <w:numPr>
          <w:ilvl w:val="0"/>
          <w:numId w:val="4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r w:rsidRPr="00BA5680">
        <w:rPr>
          <w:rFonts w:cs="Calibri"/>
          <w:color w:val="000000" w:themeColor="text1"/>
        </w:rPr>
        <w:t>Enviar o pedido de pré-aprovação às restantes áreas envolvidas, utilizando o canal de comunicação previamente estabelecido</w:t>
      </w:r>
      <w:r w:rsidR="002229F7">
        <w:rPr>
          <w:rFonts w:cs="Calibri"/>
          <w:color w:val="000000" w:themeColor="text1"/>
        </w:rPr>
        <w:t>;</w:t>
      </w:r>
    </w:p>
    <w:p w14:paraId="5674442D" w14:textId="3D7F39AB" w:rsidR="000323FE" w:rsidRPr="00BA5680" w:rsidRDefault="000323FE" w:rsidP="006722F6">
      <w:pPr>
        <w:pStyle w:val="Corpo"/>
        <w:numPr>
          <w:ilvl w:val="0"/>
          <w:numId w:val="4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r w:rsidRPr="00BA5680">
        <w:rPr>
          <w:rFonts w:cs="Calibri"/>
          <w:color w:val="000000" w:themeColor="text1"/>
        </w:rPr>
        <w:t>Após obtenção das aprovações necessárias, compete à Tesouraria proceder à contratualização da operação</w:t>
      </w:r>
      <w:r w:rsidR="002229F7">
        <w:rPr>
          <w:rFonts w:cs="Calibri"/>
          <w:color w:val="000000" w:themeColor="text1"/>
        </w:rPr>
        <w:t>;</w:t>
      </w:r>
    </w:p>
    <w:p w14:paraId="36CD6EE7" w14:textId="77777777" w:rsidR="00DC0EBB" w:rsidRDefault="002D1F24" w:rsidP="006722F6">
      <w:pPr>
        <w:pStyle w:val="Corpo"/>
        <w:numPr>
          <w:ilvl w:val="0"/>
          <w:numId w:val="4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r w:rsidRPr="002229F7">
        <w:rPr>
          <w:rFonts w:cs="Calibri"/>
          <w:color w:val="000000" w:themeColor="text1"/>
        </w:rPr>
        <w:t>E</w:t>
      </w:r>
      <w:r w:rsidR="000323FE" w:rsidRPr="002229F7">
        <w:rPr>
          <w:rFonts w:cs="Calibri"/>
          <w:color w:val="000000" w:themeColor="text1"/>
        </w:rPr>
        <w:t xml:space="preserve">fetuar o seu registo no sistema </w:t>
      </w:r>
      <w:proofErr w:type="spellStart"/>
      <w:r w:rsidRPr="002229F7">
        <w:rPr>
          <w:rFonts w:cs="Calibri"/>
          <w:color w:val="000000" w:themeColor="text1"/>
        </w:rPr>
        <w:t>Murex</w:t>
      </w:r>
      <w:proofErr w:type="spellEnd"/>
      <w:r w:rsidR="002229F7">
        <w:rPr>
          <w:rFonts w:cs="Calibri"/>
          <w:color w:val="000000" w:themeColor="text1"/>
        </w:rPr>
        <w:t>;</w:t>
      </w:r>
    </w:p>
    <w:p w14:paraId="5323B967" w14:textId="667326E3" w:rsidR="000323FE" w:rsidRPr="002229F7" w:rsidRDefault="002D1F24" w:rsidP="006722F6">
      <w:pPr>
        <w:pStyle w:val="Corpo"/>
        <w:numPr>
          <w:ilvl w:val="0"/>
          <w:numId w:val="4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r w:rsidRPr="002229F7">
        <w:rPr>
          <w:rFonts w:cs="Calibri"/>
          <w:color w:val="000000" w:themeColor="text1"/>
        </w:rPr>
        <w:t>Reenviar</w:t>
      </w:r>
      <w:r w:rsidR="000323FE" w:rsidRPr="002229F7">
        <w:rPr>
          <w:rFonts w:cs="Calibri"/>
          <w:color w:val="000000" w:themeColor="text1"/>
        </w:rPr>
        <w:t xml:space="preserve"> às áreas relevantes um comunicado contendo as características da operação</w:t>
      </w:r>
      <w:r w:rsidR="002229F7">
        <w:rPr>
          <w:rFonts w:cs="Calibri"/>
          <w:color w:val="000000" w:themeColor="text1"/>
        </w:rPr>
        <w:t>;</w:t>
      </w:r>
    </w:p>
    <w:p w14:paraId="7F4DC17D" w14:textId="5315731D" w:rsidR="009D68E9" w:rsidRPr="009D68E9" w:rsidRDefault="009D68E9" w:rsidP="00D37CCB">
      <w:pPr>
        <w:pStyle w:val="Corpo"/>
        <w:spacing w:after="240" w:line="240" w:lineRule="auto"/>
        <w:ind w:left="0" w:right="0"/>
        <w:jc w:val="both"/>
        <w:rPr>
          <w:rFonts w:cs="Calibri"/>
          <w:color w:val="000000" w:themeColor="text1"/>
        </w:rPr>
      </w:pPr>
      <w:r w:rsidRPr="009D68E9">
        <w:rPr>
          <w:rFonts w:cs="Calibri"/>
          <w:color w:val="000000" w:themeColor="text1"/>
        </w:rPr>
        <w:t>A</w:t>
      </w:r>
      <w:r w:rsidRPr="00CC3AEF">
        <w:rPr>
          <w:rFonts w:cs="Calibri"/>
          <w:color w:val="000000" w:themeColor="text1"/>
        </w:rPr>
        <w:t>s suas responsabilidades encontram-s</w:t>
      </w:r>
      <w:r>
        <w:rPr>
          <w:rFonts w:cs="Calibri"/>
          <w:color w:val="000000" w:themeColor="text1"/>
        </w:rPr>
        <w:t>e detalhadas no</w:t>
      </w:r>
      <w:r w:rsidR="009D50EC">
        <w:rPr>
          <w:rFonts w:cs="Calibri"/>
          <w:color w:val="000000" w:themeColor="text1"/>
        </w:rPr>
        <w:t xml:space="preserve"> </w:t>
      </w:r>
      <w:r w:rsidR="00DC0EBB">
        <w:rPr>
          <w:rFonts w:cs="Calibri"/>
          <w:color w:val="000000" w:themeColor="text1"/>
        </w:rPr>
        <w:t>na Circular 177-2018 “</w:t>
      </w:r>
      <w:r w:rsidR="009D50EC">
        <w:rPr>
          <w:rFonts w:cs="Calibri"/>
          <w:color w:val="000000" w:themeColor="text1"/>
        </w:rPr>
        <w:t xml:space="preserve">Operações Financeiras com </w:t>
      </w:r>
      <w:r w:rsidR="00DC0EBB">
        <w:rPr>
          <w:rFonts w:cs="Calibri"/>
          <w:color w:val="000000" w:themeColor="text1"/>
        </w:rPr>
        <w:t>P</w:t>
      </w:r>
      <w:r w:rsidR="009D50EC">
        <w:rPr>
          <w:rFonts w:cs="Calibri"/>
          <w:color w:val="000000" w:themeColor="text1"/>
        </w:rPr>
        <w:t xml:space="preserve">rodutos </w:t>
      </w:r>
      <w:r w:rsidR="00DC0EBB">
        <w:rPr>
          <w:rFonts w:cs="Calibri"/>
          <w:color w:val="000000" w:themeColor="text1"/>
        </w:rPr>
        <w:t>D</w:t>
      </w:r>
      <w:r w:rsidR="009D50EC">
        <w:rPr>
          <w:rFonts w:cs="Calibri"/>
          <w:color w:val="000000" w:themeColor="text1"/>
        </w:rPr>
        <w:t>erivados</w:t>
      </w:r>
      <w:r w:rsidR="00DC0EBB">
        <w:rPr>
          <w:rFonts w:cs="Calibri"/>
          <w:color w:val="000000" w:themeColor="text1"/>
        </w:rPr>
        <w:t>”</w:t>
      </w:r>
      <w:r w:rsidR="009D50EC">
        <w:rPr>
          <w:rFonts w:cs="Calibri"/>
          <w:color w:val="000000" w:themeColor="text1"/>
        </w:rPr>
        <w:t xml:space="preserve"> - Circular 177-2018</w:t>
      </w:r>
      <w:r w:rsidR="00BF7C1E">
        <w:rPr>
          <w:rFonts w:cs="Calibri"/>
          <w:color w:val="000000" w:themeColor="text1"/>
        </w:rPr>
        <w:t>.</w:t>
      </w:r>
    </w:p>
    <w:p w14:paraId="2C72A9B6" w14:textId="5FCE34F7" w:rsidR="00F972AF" w:rsidRPr="00861B72" w:rsidRDefault="001E0E6A" w:rsidP="00C92C5E">
      <w:pPr>
        <w:pStyle w:val="Ttulo21"/>
      </w:pPr>
      <w:bookmarkStart w:id="12" w:name="_Toc205549115"/>
      <w:r>
        <w:lastRenderedPageBreak/>
        <w:t>3</w:t>
      </w:r>
      <w:r w:rsidR="00F972AF" w:rsidRPr="00861B72">
        <w:t xml:space="preserve">.4. </w:t>
      </w:r>
      <w:proofErr w:type="spellStart"/>
      <w:r w:rsidR="00F972AF" w:rsidRPr="00861B72">
        <w:rPr>
          <w:i/>
        </w:rPr>
        <w:t>Back-Office</w:t>
      </w:r>
      <w:proofErr w:type="spellEnd"/>
      <w:r w:rsidR="003B1936" w:rsidRPr="00861B72">
        <w:rPr>
          <w:i/>
        </w:rPr>
        <w:t xml:space="preserve"> e </w:t>
      </w:r>
      <w:proofErr w:type="spellStart"/>
      <w:r w:rsidR="003B1936" w:rsidRPr="00861B72">
        <w:rPr>
          <w:i/>
        </w:rPr>
        <w:t>Mi</w:t>
      </w:r>
      <w:r w:rsidR="003B1936" w:rsidRPr="00CC3AEF">
        <w:rPr>
          <w:i/>
        </w:rPr>
        <w:t>d</w:t>
      </w:r>
      <w:r w:rsidR="003B1936" w:rsidRPr="00861B72">
        <w:rPr>
          <w:i/>
        </w:rPr>
        <w:t>dle</w:t>
      </w:r>
      <w:proofErr w:type="spellEnd"/>
      <w:r w:rsidR="003B1936" w:rsidRPr="00861B72">
        <w:rPr>
          <w:i/>
        </w:rPr>
        <w:t>-Off</w:t>
      </w:r>
      <w:r w:rsidR="003B1936" w:rsidRPr="00CC3AEF">
        <w:rPr>
          <w:i/>
        </w:rPr>
        <w:t>ice</w:t>
      </w:r>
      <w:bookmarkEnd w:id="12"/>
    </w:p>
    <w:p w14:paraId="6EC84203" w14:textId="0DCFFD4A" w:rsidR="00CA3D47" w:rsidRPr="00BA5680" w:rsidRDefault="00CA3D47" w:rsidP="00BA5680">
      <w:pPr>
        <w:pStyle w:val="Corpo"/>
        <w:spacing w:after="240" w:line="240" w:lineRule="auto"/>
        <w:jc w:val="both"/>
        <w:rPr>
          <w:rFonts w:cs="Calibri"/>
          <w:color w:val="000000" w:themeColor="text1"/>
        </w:rPr>
      </w:pPr>
      <w:r w:rsidRPr="00BA5680">
        <w:rPr>
          <w:rFonts w:cs="Calibri"/>
          <w:color w:val="000000" w:themeColor="text1"/>
        </w:rPr>
        <w:t xml:space="preserve">O </w:t>
      </w:r>
      <w:proofErr w:type="spellStart"/>
      <w:r w:rsidRPr="00EB6709">
        <w:rPr>
          <w:rFonts w:cs="Calibri"/>
          <w:i/>
          <w:iCs/>
          <w:color w:val="000000" w:themeColor="text1"/>
        </w:rPr>
        <w:t>Back-Office</w:t>
      </w:r>
      <w:proofErr w:type="spellEnd"/>
      <w:r w:rsidR="00D42D35">
        <w:rPr>
          <w:rFonts w:cs="Calibri"/>
          <w:i/>
          <w:iCs/>
          <w:color w:val="000000" w:themeColor="text1"/>
        </w:rPr>
        <w:t xml:space="preserve"> e </w:t>
      </w:r>
      <w:proofErr w:type="spellStart"/>
      <w:r w:rsidR="00D42D35">
        <w:rPr>
          <w:rFonts w:cs="Calibri"/>
          <w:i/>
          <w:iCs/>
          <w:color w:val="000000" w:themeColor="text1"/>
        </w:rPr>
        <w:t>Middle</w:t>
      </w:r>
      <w:proofErr w:type="spellEnd"/>
      <w:r w:rsidRPr="00EB6709">
        <w:rPr>
          <w:rFonts w:cs="Calibri"/>
          <w:i/>
          <w:iCs/>
          <w:color w:val="000000" w:themeColor="text1"/>
        </w:rPr>
        <w:t>-Office</w:t>
      </w:r>
      <w:r w:rsidRPr="00BA5680">
        <w:rPr>
          <w:rFonts w:cs="Calibri"/>
          <w:color w:val="000000" w:themeColor="text1"/>
        </w:rPr>
        <w:t xml:space="preserve"> </w:t>
      </w:r>
      <w:r w:rsidR="00B8629C">
        <w:rPr>
          <w:rFonts w:cs="Calibri"/>
          <w:color w:val="000000" w:themeColor="text1"/>
        </w:rPr>
        <w:t>são</w:t>
      </w:r>
      <w:r w:rsidRPr="00BA5680">
        <w:rPr>
          <w:rFonts w:cs="Calibri"/>
          <w:color w:val="000000" w:themeColor="text1"/>
        </w:rPr>
        <w:t xml:space="preserve"> área</w:t>
      </w:r>
      <w:r w:rsidR="00B8629C">
        <w:rPr>
          <w:rFonts w:cs="Calibri"/>
          <w:color w:val="000000" w:themeColor="text1"/>
        </w:rPr>
        <w:t>s</w:t>
      </w:r>
      <w:r w:rsidRPr="00BA5680">
        <w:rPr>
          <w:rFonts w:cs="Calibri"/>
          <w:color w:val="000000" w:themeColor="text1"/>
        </w:rPr>
        <w:t xml:space="preserve"> responsáve</w:t>
      </w:r>
      <w:r w:rsidR="00B8629C">
        <w:rPr>
          <w:rFonts w:cs="Calibri"/>
          <w:color w:val="000000" w:themeColor="text1"/>
        </w:rPr>
        <w:t>is</w:t>
      </w:r>
      <w:r w:rsidRPr="00BA5680">
        <w:rPr>
          <w:rFonts w:cs="Calibri"/>
          <w:color w:val="000000" w:themeColor="text1"/>
        </w:rPr>
        <w:t xml:space="preserve"> pela execução operacional e administrativa das transações financeiras, garantindo a correta liquidação, reconciliação e </w:t>
      </w:r>
      <w:r w:rsidR="00426D4E">
        <w:rPr>
          <w:rFonts w:cs="Calibri"/>
          <w:color w:val="000000" w:themeColor="text1"/>
        </w:rPr>
        <w:t xml:space="preserve">validação no SIGOM </w:t>
      </w:r>
      <w:r w:rsidRPr="00BA5680">
        <w:rPr>
          <w:rFonts w:cs="Calibri"/>
          <w:color w:val="000000" w:themeColor="text1"/>
        </w:rPr>
        <w:t xml:space="preserve">das operações realizadas pelo </w:t>
      </w:r>
      <w:proofErr w:type="spellStart"/>
      <w:r w:rsidRPr="00B8629C">
        <w:rPr>
          <w:rFonts w:cs="Calibri"/>
          <w:i/>
          <w:iCs/>
          <w:color w:val="000000" w:themeColor="text1"/>
        </w:rPr>
        <w:t>front-office</w:t>
      </w:r>
      <w:proofErr w:type="spellEnd"/>
      <w:r w:rsidRPr="00BA5680">
        <w:rPr>
          <w:rFonts w:cs="Calibri"/>
          <w:color w:val="000000" w:themeColor="text1"/>
        </w:rPr>
        <w:t>. Além disso, assegura o cumprimento das normas internas e regulamentares, assim como o suporte aos processos de controlo e auditoria, contribuindo para a integridade e fiabilidade dos sistemas de informação.</w:t>
      </w:r>
    </w:p>
    <w:p w14:paraId="2E6B4015" w14:textId="6818D07E" w:rsidR="00682F24" w:rsidRPr="00BA5680" w:rsidRDefault="00682F24" w:rsidP="00BA5680">
      <w:pPr>
        <w:pStyle w:val="Corpo"/>
        <w:spacing w:after="240" w:line="240" w:lineRule="auto"/>
        <w:jc w:val="both"/>
        <w:rPr>
          <w:rFonts w:cs="Calibri"/>
          <w:color w:val="000000" w:themeColor="text1"/>
        </w:rPr>
      </w:pPr>
      <w:r w:rsidRPr="00BA5680">
        <w:rPr>
          <w:rFonts w:cs="Calibri"/>
          <w:color w:val="000000" w:themeColor="text1"/>
        </w:rPr>
        <w:t xml:space="preserve">No âmbito do </w:t>
      </w:r>
      <w:proofErr w:type="spellStart"/>
      <w:r w:rsidRPr="00956F25">
        <w:rPr>
          <w:rFonts w:cs="Calibri"/>
          <w:i/>
          <w:iCs/>
          <w:color w:val="000000" w:themeColor="text1"/>
        </w:rPr>
        <w:t>hedge</w:t>
      </w:r>
      <w:proofErr w:type="spellEnd"/>
      <w:r w:rsidRPr="00956F25">
        <w:rPr>
          <w:rFonts w:cs="Calibri"/>
          <w:i/>
          <w:iCs/>
          <w:color w:val="000000" w:themeColor="text1"/>
        </w:rPr>
        <w:t xml:space="preserve"> </w:t>
      </w:r>
      <w:proofErr w:type="spellStart"/>
      <w:r w:rsidRPr="00956F25">
        <w:rPr>
          <w:rFonts w:cs="Calibri"/>
          <w:i/>
          <w:iCs/>
          <w:color w:val="000000" w:themeColor="text1"/>
        </w:rPr>
        <w:t>accounting</w:t>
      </w:r>
      <w:proofErr w:type="spellEnd"/>
      <w:r w:rsidRPr="00BA5680">
        <w:rPr>
          <w:rFonts w:cs="Calibri"/>
          <w:color w:val="000000" w:themeColor="text1"/>
        </w:rPr>
        <w:t xml:space="preserve"> do </w:t>
      </w:r>
      <w:r w:rsidR="00A15984">
        <w:rPr>
          <w:rFonts w:cs="Calibri"/>
          <w:color w:val="000000" w:themeColor="text1"/>
        </w:rPr>
        <w:t>Banco</w:t>
      </w:r>
      <w:r w:rsidRPr="00BA5680">
        <w:rPr>
          <w:rFonts w:cs="Calibri"/>
          <w:color w:val="000000" w:themeColor="text1"/>
        </w:rPr>
        <w:t xml:space="preserve">, a área de </w:t>
      </w:r>
      <w:proofErr w:type="spellStart"/>
      <w:r w:rsidRPr="00CC3AEF">
        <w:rPr>
          <w:rFonts w:cs="Calibri"/>
          <w:i/>
          <w:iCs/>
          <w:color w:val="000000" w:themeColor="text1"/>
        </w:rPr>
        <w:t>Back-Office</w:t>
      </w:r>
      <w:proofErr w:type="spellEnd"/>
      <w:r w:rsidRPr="00BA5680">
        <w:rPr>
          <w:rFonts w:cs="Calibri"/>
          <w:color w:val="000000" w:themeColor="text1"/>
        </w:rPr>
        <w:t xml:space="preserve"> </w:t>
      </w:r>
      <w:r w:rsidR="002229F7">
        <w:rPr>
          <w:rFonts w:cs="Calibri"/>
          <w:color w:val="000000" w:themeColor="text1"/>
        </w:rPr>
        <w:t xml:space="preserve">e </w:t>
      </w:r>
      <w:proofErr w:type="spellStart"/>
      <w:r w:rsidR="002229F7" w:rsidRPr="00CC3AEF">
        <w:rPr>
          <w:rFonts w:cs="Calibri"/>
          <w:i/>
          <w:iCs/>
          <w:color w:val="000000" w:themeColor="text1"/>
        </w:rPr>
        <w:t>Middle</w:t>
      </w:r>
      <w:proofErr w:type="spellEnd"/>
      <w:r w:rsidR="002229F7" w:rsidRPr="00CC3AEF">
        <w:rPr>
          <w:rFonts w:cs="Calibri"/>
          <w:i/>
          <w:iCs/>
          <w:color w:val="000000" w:themeColor="text1"/>
        </w:rPr>
        <w:t>-Office</w:t>
      </w:r>
      <w:r w:rsidR="002229F7">
        <w:rPr>
          <w:rFonts w:cs="Calibri"/>
          <w:i/>
          <w:iCs/>
          <w:color w:val="000000" w:themeColor="text1"/>
        </w:rPr>
        <w:t xml:space="preserve"> </w:t>
      </w:r>
      <w:r w:rsidRPr="002229F7">
        <w:rPr>
          <w:rFonts w:cs="Calibri"/>
          <w:color w:val="000000" w:themeColor="text1"/>
        </w:rPr>
        <w:t>é</w:t>
      </w:r>
      <w:r w:rsidRPr="00BA5680">
        <w:rPr>
          <w:rFonts w:cs="Calibri"/>
          <w:color w:val="000000" w:themeColor="text1"/>
        </w:rPr>
        <w:t xml:space="preserve"> responsável por:</w:t>
      </w:r>
    </w:p>
    <w:p w14:paraId="5F78269C" w14:textId="615DC05B" w:rsidR="00320841" w:rsidRPr="00BA5680" w:rsidRDefault="00320841" w:rsidP="006722F6">
      <w:pPr>
        <w:pStyle w:val="Corpo"/>
        <w:numPr>
          <w:ilvl w:val="0"/>
          <w:numId w:val="4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r w:rsidRPr="00BA5680">
        <w:rPr>
          <w:rFonts w:cs="Calibri"/>
          <w:color w:val="000000" w:themeColor="text1"/>
        </w:rPr>
        <w:t>Validar as características da operação no sistema SIGOM;</w:t>
      </w:r>
    </w:p>
    <w:p w14:paraId="708B2C20" w14:textId="62B48D04" w:rsidR="00A64E81" w:rsidRDefault="00320841" w:rsidP="006722F6">
      <w:pPr>
        <w:pStyle w:val="Corpo"/>
        <w:numPr>
          <w:ilvl w:val="0"/>
          <w:numId w:val="4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r w:rsidRPr="00BA5680">
        <w:rPr>
          <w:rFonts w:cs="Calibri"/>
          <w:color w:val="000000" w:themeColor="text1"/>
        </w:rPr>
        <w:t>Proceder, sempre que necessário, à correção d</w:t>
      </w:r>
      <w:r w:rsidR="00426D4E">
        <w:rPr>
          <w:rFonts w:cs="Calibri"/>
          <w:color w:val="000000" w:themeColor="text1"/>
        </w:rPr>
        <w:t>as características d</w:t>
      </w:r>
      <w:r w:rsidRPr="00BA5680">
        <w:rPr>
          <w:rFonts w:cs="Calibri"/>
          <w:color w:val="000000" w:themeColor="text1"/>
        </w:rPr>
        <w:t>as coberturas registadas no SIGOM.</w:t>
      </w:r>
    </w:p>
    <w:p w14:paraId="2BAB6257" w14:textId="5040C9B3" w:rsidR="00B8629C" w:rsidRPr="00BA5680" w:rsidRDefault="00B8629C" w:rsidP="00B8629C">
      <w:pPr>
        <w:pStyle w:val="Corpo"/>
        <w:spacing w:before="0" w:after="0" w:line="240" w:lineRule="auto"/>
        <w:ind w:left="193" w:right="0"/>
        <w:jc w:val="both"/>
        <w:rPr>
          <w:rFonts w:cs="Calibri"/>
          <w:color w:val="000000" w:themeColor="text1"/>
        </w:rPr>
      </w:pPr>
    </w:p>
    <w:p w14:paraId="428CD163" w14:textId="01334BCE" w:rsidR="0082622A" w:rsidRPr="00862CEE" w:rsidRDefault="001E0E6A" w:rsidP="00862CEE">
      <w:pPr>
        <w:pStyle w:val="Ttulo21"/>
      </w:pPr>
      <w:bookmarkStart w:id="13" w:name="_Toc205549116"/>
      <w:r>
        <w:t>3</w:t>
      </w:r>
      <w:r w:rsidR="0082622A" w:rsidRPr="00862CEE">
        <w:t>.5. Área Financeira</w:t>
      </w:r>
      <w:bookmarkEnd w:id="13"/>
    </w:p>
    <w:p w14:paraId="0BF53601" w14:textId="5B121E91" w:rsidR="0050406D" w:rsidRPr="00BA5680" w:rsidRDefault="0050406D" w:rsidP="00BA5680">
      <w:pPr>
        <w:pStyle w:val="Corpo"/>
        <w:spacing w:after="240" w:line="240" w:lineRule="auto"/>
        <w:jc w:val="both"/>
        <w:rPr>
          <w:rFonts w:cs="Calibri"/>
          <w:color w:val="000000" w:themeColor="text1"/>
        </w:rPr>
      </w:pPr>
      <w:r w:rsidRPr="00BA5680">
        <w:rPr>
          <w:rFonts w:cs="Calibri"/>
          <w:color w:val="000000" w:themeColor="text1"/>
        </w:rPr>
        <w:t xml:space="preserve">A Área Financeira tem como função principal a gestão </w:t>
      </w:r>
      <w:r w:rsidR="00075E24">
        <w:rPr>
          <w:rFonts w:cs="Calibri"/>
          <w:color w:val="000000" w:themeColor="text1"/>
        </w:rPr>
        <w:t xml:space="preserve">de risco </w:t>
      </w:r>
      <w:r w:rsidR="008F383C">
        <w:rPr>
          <w:rFonts w:cs="Calibri"/>
          <w:color w:val="000000" w:themeColor="text1"/>
        </w:rPr>
        <w:t>de taxa de juro, liquidez e capital do Banco. Esta área assegura a elaboração de análises financeiras de apoio à decisão, promovendo a sustentabilidade e a eficiênc</w:t>
      </w:r>
      <w:r w:rsidR="005D1797">
        <w:rPr>
          <w:rFonts w:cs="Calibri"/>
          <w:color w:val="000000" w:themeColor="text1"/>
        </w:rPr>
        <w:t>ia da instituição.</w:t>
      </w:r>
    </w:p>
    <w:p w14:paraId="36ABFF9F" w14:textId="5079D75D" w:rsidR="00682F24" w:rsidRPr="00BA5680" w:rsidRDefault="00682F24" w:rsidP="00BA5680">
      <w:pPr>
        <w:pStyle w:val="Corpo"/>
        <w:spacing w:after="240" w:line="240" w:lineRule="auto"/>
        <w:jc w:val="both"/>
        <w:rPr>
          <w:rFonts w:cs="Calibri"/>
          <w:color w:val="000000" w:themeColor="text1"/>
        </w:rPr>
      </w:pPr>
      <w:r w:rsidRPr="00BA5680">
        <w:rPr>
          <w:rFonts w:cs="Calibri"/>
          <w:color w:val="000000" w:themeColor="text1"/>
        </w:rPr>
        <w:t xml:space="preserve">No âmbito do </w:t>
      </w:r>
      <w:proofErr w:type="spellStart"/>
      <w:r w:rsidRPr="00956F25">
        <w:rPr>
          <w:rFonts w:cs="Calibri"/>
          <w:i/>
          <w:iCs/>
          <w:color w:val="000000" w:themeColor="text1"/>
        </w:rPr>
        <w:t>hedge</w:t>
      </w:r>
      <w:proofErr w:type="spellEnd"/>
      <w:r w:rsidRPr="00956F25">
        <w:rPr>
          <w:rFonts w:cs="Calibri"/>
          <w:i/>
          <w:iCs/>
          <w:color w:val="000000" w:themeColor="text1"/>
        </w:rPr>
        <w:t xml:space="preserve"> </w:t>
      </w:r>
      <w:proofErr w:type="spellStart"/>
      <w:r w:rsidRPr="00956F25">
        <w:rPr>
          <w:rFonts w:cs="Calibri"/>
          <w:i/>
          <w:iCs/>
          <w:color w:val="000000" w:themeColor="text1"/>
        </w:rPr>
        <w:t>accounting</w:t>
      </w:r>
      <w:proofErr w:type="spellEnd"/>
      <w:r w:rsidRPr="00BA5680">
        <w:rPr>
          <w:rFonts w:cs="Calibri"/>
          <w:color w:val="000000" w:themeColor="text1"/>
        </w:rPr>
        <w:t xml:space="preserve"> </w:t>
      </w:r>
      <w:r w:rsidR="00614806" w:rsidRPr="00BA5680">
        <w:rPr>
          <w:rFonts w:cs="Calibri"/>
          <w:color w:val="000000" w:themeColor="text1"/>
        </w:rPr>
        <w:t xml:space="preserve">especificamente para a tipologia de </w:t>
      </w:r>
      <w:r w:rsidR="00DB5B4E" w:rsidRPr="00DB5B4E">
        <w:rPr>
          <w:rFonts w:cs="Calibri"/>
          <w:i/>
          <w:iCs/>
          <w:color w:val="000000" w:themeColor="text1"/>
        </w:rPr>
        <w:t>c</w:t>
      </w:r>
      <w:r w:rsidR="00614806" w:rsidRPr="00DB5B4E">
        <w:rPr>
          <w:rFonts w:cs="Calibri"/>
          <w:i/>
          <w:iCs/>
          <w:color w:val="000000" w:themeColor="text1"/>
        </w:rPr>
        <w:t>ash-flow</w:t>
      </w:r>
      <w:r w:rsidR="00614806" w:rsidRPr="00BA5680">
        <w:rPr>
          <w:rFonts w:cs="Calibri"/>
          <w:color w:val="000000" w:themeColor="text1"/>
        </w:rPr>
        <w:t xml:space="preserve"> </w:t>
      </w:r>
      <w:r w:rsidRPr="00BA5680">
        <w:rPr>
          <w:rFonts w:cs="Calibri"/>
          <w:color w:val="000000" w:themeColor="text1"/>
        </w:rPr>
        <w:t xml:space="preserve">do </w:t>
      </w:r>
      <w:r w:rsidR="00A15984">
        <w:rPr>
          <w:rFonts w:cs="Calibri"/>
          <w:color w:val="000000" w:themeColor="text1"/>
        </w:rPr>
        <w:t>Banco</w:t>
      </w:r>
      <w:r w:rsidRPr="00BA5680">
        <w:rPr>
          <w:rFonts w:cs="Calibri"/>
          <w:color w:val="000000" w:themeColor="text1"/>
        </w:rPr>
        <w:t xml:space="preserve">, a área </w:t>
      </w:r>
      <w:r w:rsidR="008B71E7" w:rsidRPr="00BA5680">
        <w:rPr>
          <w:rFonts w:cs="Calibri"/>
          <w:color w:val="000000" w:themeColor="text1"/>
        </w:rPr>
        <w:t>Financeira</w:t>
      </w:r>
      <w:r w:rsidRPr="00BA5680">
        <w:rPr>
          <w:rFonts w:cs="Calibri"/>
          <w:color w:val="000000" w:themeColor="text1"/>
        </w:rPr>
        <w:t xml:space="preserve"> é responsável p</w:t>
      </w:r>
      <w:r w:rsidR="00323BA8">
        <w:rPr>
          <w:rFonts w:cs="Calibri"/>
          <w:color w:val="000000" w:themeColor="text1"/>
        </w:rPr>
        <w:t>ela execução do seguinte processo</w:t>
      </w:r>
      <w:r w:rsidRPr="00BA5680">
        <w:rPr>
          <w:rFonts w:cs="Calibri"/>
          <w:color w:val="000000" w:themeColor="text1"/>
        </w:rPr>
        <w:t>:</w:t>
      </w:r>
    </w:p>
    <w:p w14:paraId="0D09ED0C" w14:textId="683E3940" w:rsidR="00924D69" w:rsidRDefault="00EE09BF" w:rsidP="006722F6">
      <w:pPr>
        <w:pStyle w:val="Corpo"/>
        <w:numPr>
          <w:ilvl w:val="0"/>
          <w:numId w:val="5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No momento de contratação da operação de cobertura</w:t>
      </w:r>
      <w:r w:rsidR="00BF25AA">
        <w:rPr>
          <w:rFonts w:cs="Calibri"/>
          <w:color w:val="000000" w:themeColor="text1"/>
        </w:rPr>
        <w:t xml:space="preserve">, </w:t>
      </w:r>
      <w:r w:rsidR="00CC4372">
        <w:rPr>
          <w:rFonts w:cs="Calibri"/>
          <w:color w:val="000000" w:themeColor="text1"/>
        </w:rPr>
        <w:t>é definida</w:t>
      </w:r>
      <w:r w:rsidR="00AB1C48">
        <w:rPr>
          <w:rFonts w:cs="Calibri"/>
          <w:color w:val="000000" w:themeColor="text1"/>
        </w:rPr>
        <w:t xml:space="preserve"> </w:t>
      </w:r>
      <w:proofErr w:type="gramStart"/>
      <w:r w:rsidR="00BF25AA">
        <w:rPr>
          <w:rFonts w:cs="Calibri"/>
          <w:color w:val="000000" w:themeColor="text1"/>
        </w:rPr>
        <w:t>um</w:t>
      </w:r>
      <w:r w:rsidR="00BF5165">
        <w:rPr>
          <w:rFonts w:cs="Calibri"/>
          <w:color w:val="000000" w:themeColor="text1"/>
        </w:rPr>
        <w:t>a</w:t>
      </w:r>
      <w:r w:rsidR="009A13D2">
        <w:rPr>
          <w:rFonts w:cs="Calibri"/>
          <w:color w:val="000000" w:themeColor="text1"/>
        </w:rPr>
        <w:t xml:space="preserve"> </w:t>
      </w:r>
      <w:r w:rsidR="00BF25AA" w:rsidRPr="00BF25AA">
        <w:rPr>
          <w:rFonts w:cs="Calibri"/>
          <w:i/>
          <w:iCs/>
          <w:color w:val="000000" w:themeColor="text1"/>
        </w:rPr>
        <w:t>pool</w:t>
      </w:r>
      <w:proofErr w:type="gramEnd"/>
      <w:r w:rsidR="00BF25AA">
        <w:rPr>
          <w:rFonts w:cs="Calibri"/>
          <w:color w:val="000000" w:themeColor="text1"/>
        </w:rPr>
        <w:t xml:space="preserve"> de operações de crédito hipotecário</w:t>
      </w:r>
      <w:r w:rsidR="00054529">
        <w:rPr>
          <w:rFonts w:cs="Calibri"/>
          <w:color w:val="000000" w:themeColor="text1"/>
        </w:rPr>
        <w:t>,</w:t>
      </w:r>
      <w:r w:rsidR="00924D69">
        <w:rPr>
          <w:rFonts w:cs="Calibri"/>
          <w:color w:val="000000" w:themeColor="text1"/>
        </w:rPr>
        <w:t xml:space="preserve"> com os seguintes critérios</w:t>
      </w:r>
      <w:r w:rsidR="00E65749">
        <w:rPr>
          <w:rFonts w:cs="Calibri"/>
          <w:color w:val="000000" w:themeColor="text1"/>
        </w:rPr>
        <w:t>:</w:t>
      </w:r>
    </w:p>
    <w:p w14:paraId="4B574A02" w14:textId="211605F4" w:rsidR="004977FE" w:rsidRDefault="009A13D2" w:rsidP="006722F6">
      <w:pPr>
        <w:pStyle w:val="Corpo"/>
        <w:numPr>
          <w:ilvl w:val="0"/>
          <w:numId w:val="4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O maior nível de homogeneidade possível entre operações</w:t>
      </w:r>
      <w:r w:rsidR="00F67A75">
        <w:rPr>
          <w:rFonts w:cs="Calibri"/>
          <w:color w:val="000000" w:themeColor="text1"/>
        </w:rPr>
        <w:t>;</w:t>
      </w:r>
    </w:p>
    <w:p w14:paraId="43A63467" w14:textId="318731F1" w:rsidR="004977FE" w:rsidRDefault="009A13D2" w:rsidP="006722F6">
      <w:pPr>
        <w:pStyle w:val="Corpo"/>
        <w:numPr>
          <w:ilvl w:val="0"/>
          <w:numId w:val="4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O valor nominal </w:t>
      </w:r>
      <w:proofErr w:type="gramStart"/>
      <w:r w:rsidR="00267C67">
        <w:rPr>
          <w:rFonts w:cs="Calibri"/>
          <w:color w:val="000000" w:themeColor="text1"/>
        </w:rPr>
        <w:t xml:space="preserve">da </w:t>
      </w:r>
      <w:r w:rsidR="001C068C" w:rsidRPr="0011685F">
        <w:rPr>
          <w:rFonts w:cs="Calibri"/>
          <w:i/>
          <w:iCs/>
          <w:color w:val="000000" w:themeColor="text1"/>
        </w:rPr>
        <w:t>pool</w:t>
      </w:r>
      <w:proofErr w:type="gramEnd"/>
      <w:r w:rsidR="001C068C" w:rsidRPr="00F67A75">
        <w:rPr>
          <w:rFonts w:cs="Calibri"/>
          <w:color w:val="000000" w:themeColor="text1"/>
        </w:rPr>
        <w:t xml:space="preserve"> </w:t>
      </w:r>
      <w:r w:rsidR="0011685F">
        <w:rPr>
          <w:rFonts w:cs="Calibri"/>
          <w:color w:val="000000" w:themeColor="text1"/>
        </w:rPr>
        <w:t>é</w:t>
      </w:r>
      <w:r>
        <w:rPr>
          <w:rFonts w:cs="Calibri"/>
          <w:color w:val="000000" w:themeColor="text1"/>
        </w:rPr>
        <w:t xml:space="preserve"> superior ao do derivado</w:t>
      </w:r>
      <w:r w:rsidR="001C068C">
        <w:rPr>
          <w:rFonts w:cs="Calibri"/>
          <w:color w:val="000000" w:themeColor="text1"/>
        </w:rPr>
        <w:t xml:space="preserve">, para contemplar </w:t>
      </w:r>
      <w:r w:rsidR="0011685F">
        <w:rPr>
          <w:rFonts w:cs="Calibri"/>
          <w:color w:val="000000" w:themeColor="text1"/>
        </w:rPr>
        <w:t xml:space="preserve">as </w:t>
      </w:r>
      <w:r w:rsidR="001C068C">
        <w:rPr>
          <w:rFonts w:cs="Calibri"/>
          <w:color w:val="000000" w:themeColor="text1"/>
        </w:rPr>
        <w:t xml:space="preserve">amortizações e </w:t>
      </w:r>
      <w:r w:rsidR="0011685F">
        <w:rPr>
          <w:rFonts w:cs="Calibri"/>
          <w:color w:val="000000" w:themeColor="text1"/>
        </w:rPr>
        <w:t xml:space="preserve">possíveis </w:t>
      </w:r>
      <w:r w:rsidR="001C068C">
        <w:rPr>
          <w:rFonts w:cs="Calibri"/>
          <w:color w:val="000000" w:themeColor="text1"/>
        </w:rPr>
        <w:t>liquidações</w:t>
      </w:r>
      <w:r w:rsidR="00F67A75">
        <w:rPr>
          <w:rFonts w:cs="Calibri"/>
          <w:color w:val="000000" w:themeColor="text1"/>
        </w:rPr>
        <w:t>;</w:t>
      </w:r>
    </w:p>
    <w:p w14:paraId="72E2B9FA" w14:textId="1628D54B" w:rsidR="00EE09BF" w:rsidRDefault="0032052B" w:rsidP="006722F6">
      <w:pPr>
        <w:pStyle w:val="Corpo"/>
        <w:numPr>
          <w:ilvl w:val="0"/>
          <w:numId w:val="4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A </w:t>
      </w:r>
      <w:r w:rsidRPr="00F67A75">
        <w:rPr>
          <w:rFonts w:cs="Calibri"/>
          <w:color w:val="000000" w:themeColor="text1"/>
        </w:rPr>
        <w:t>pool</w:t>
      </w:r>
      <w:r>
        <w:rPr>
          <w:rFonts w:cs="Calibri"/>
          <w:color w:val="000000" w:themeColor="text1"/>
        </w:rPr>
        <w:t xml:space="preserve"> é </w:t>
      </w:r>
      <w:r w:rsidR="00213F57">
        <w:rPr>
          <w:rFonts w:cs="Calibri"/>
          <w:color w:val="000000" w:themeColor="text1"/>
        </w:rPr>
        <w:t>fechada</w:t>
      </w:r>
      <w:r w:rsidR="00054529">
        <w:rPr>
          <w:rFonts w:cs="Calibri"/>
          <w:color w:val="000000" w:themeColor="text1"/>
        </w:rPr>
        <w:t>,</w:t>
      </w:r>
      <w:r>
        <w:rPr>
          <w:rFonts w:cs="Calibri"/>
          <w:color w:val="000000" w:themeColor="text1"/>
        </w:rPr>
        <w:t xml:space="preserve"> não podendo sofrer alterações </w:t>
      </w:r>
      <w:r w:rsidR="000647C2">
        <w:rPr>
          <w:rFonts w:cs="Calibri"/>
          <w:color w:val="000000" w:themeColor="text1"/>
        </w:rPr>
        <w:t>até à sua data de maturidade</w:t>
      </w:r>
      <w:r w:rsidR="00F67A75">
        <w:rPr>
          <w:rFonts w:cs="Calibri"/>
          <w:color w:val="000000" w:themeColor="text1"/>
        </w:rPr>
        <w:t>;</w:t>
      </w:r>
      <w:r w:rsidR="000647C2">
        <w:rPr>
          <w:rFonts w:cs="Calibri"/>
          <w:color w:val="000000" w:themeColor="text1"/>
        </w:rPr>
        <w:t xml:space="preserve"> </w:t>
      </w:r>
    </w:p>
    <w:p w14:paraId="44B1732D" w14:textId="70DC2841" w:rsidR="004977FE" w:rsidRDefault="004977FE" w:rsidP="006722F6">
      <w:pPr>
        <w:pStyle w:val="Corpo"/>
        <w:numPr>
          <w:ilvl w:val="0"/>
          <w:numId w:val="4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No caso de uma operação </w:t>
      </w:r>
      <w:r w:rsidR="005D1797">
        <w:rPr>
          <w:rFonts w:cs="Calibri"/>
          <w:color w:val="000000" w:themeColor="text1"/>
        </w:rPr>
        <w:t>entrar em crédito vencido a mais de 90 dias,</w:t>
      </w:r>
      <w:r w:rsidR="0096349F">
        <w:rPr>
          <w:rFonts w:cs="Calibri"/>
          <w:color w:val="000000" w:themeColor="text1"/>
        </w:rPr>
        <w:t xml:space="preserve"> é considerada como liquidada. </w:t>
      </w:r>
    </w:p>
    <w:p w14:paraId="41BB43F6" w14:textId="77777777" w:rsidR="00BF5165" w:rsidRDefault="00BF5165" w:rsidP="00BF5165">
      <w:pPr>
        <w:pStyle w:val="Corpo"/>
        <w:spacing w:before="0" w:after="0" w:line="240" w:lineRule="auto"/>
        <w:ind w:left="550" w:right="0"/>
        <w:jc w:val="both"/>
        <w:rPr>
          <w:rFonts w:cs="Calibri"/>
          <w:color w:val="000000" w:themeColor="text1"/>
        </w:rPr>
      </w:pPr>
    </w:p>
    <w:p w14:paraId="2E0D030D" w14:textId="331A9BB9" w:rsidR="0099017C" w:rsidRDefault="0099017C" w:rsidP="006722F6">
      <w:pPr>
        <w:pStyle w:val="Corpo"/>
        <w:numPr>
          <w:ilvl w:val="0"/>
          <w:numId w:val="5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Através </w:t>
      </w:r>
      <w:r w:rsidR="0002710E">
        <w:rPr>
          <w:rFonts w:cs="Calibri"/>
          <w:color w:val="000000" w:themeColor="text1"/>
        </w:rPr>
        <w:t xml:space="preserve">de </w:t>
      </w:r>
      <w:r w:rsidR="006D2260">
        <w:rPr>
          <w:rFonts w:cs="Calibri"/>
          <w:color w:val="000000" w:themeColor="text1"/>
        </w:rPr>
        <w:t xml:space="preserve">uma ferramenta de ALM (MAT) </w:t>
      </w:r>
      <w:r w:rsidR="000B7F59">
        <w:rPr>
          <w:rFonts w:cs="Calibri"/>
          <w:color w:val="000000" w:themeColor="text1"/>
        </w:rPr>
        <w:t xml:space="preserve">a área </w:t>
      </w:r>
      <w:r w:rsidR="0002710E">
        <w:rPr>
          <w:rFonts w:cs="Calibri"/>
          <w:color w:val="000000" w:themeColor="text1"/>
        </w:rPr>
        <w:t>estima</w:t>
      </w:r>
      <w:r w:rsidR="000B7F59">
        <w:rPr>
          <w:rFonts w:cs="Calibri"/>
          <w:color w:val="000000" w:themeColor="text1"/>
        </w:rPr>
        <w:t xml:space="preserve"> a evolução das amortizações das operações de crédito</w:t>
      </w:r>
      <w:r w:rsidR="00E65749">
        <w:rPr>
          <w:rFonts w:cs="Calibri"/>
          <w:color w:val="000000" w:themeColor="text1"/>
        </w:rPr>
        <w:t xml:space="preserve"> com o objetivo de garantir que as</w:t>
      </w:r>
      <w:r w:rsidR="0058680D">
        <w:rPr>
          <w:rFonts w:cs="Calibri"/>
          <w:color w:val="000000" w:themeColor="text1"/>
        </w:rPr>
        <w:t xml:space="preserve"> operações de cobertura se mantêm</w:t>
      </w:r>
      <w:r w:rsidR="00290290">
        <w:rPr>
          <w:rFonts w:cs="Calibri"/>
          <w:color w:val="000000" w:themeColor="text1"/>
        </w:rPr>
        <w:t xml:space="preserve"> eficaz</w:t>
      </w:r>
      <w:r w:rsidR="00373CBF">
        <w:rPr>
          <w:rFonts w:cs="Calibri"/>
          <w:color w:val="000000" w:themeColor="text1"/>
        </w:rPr>
        <w:t>es</w:t>
      </w:r>
      <w:r w:rsidR="007A02F8">
        <w:rPr>
          <w:rFonts w:cs="Calibri"/>
          <w:color w:val="000000" w:themeColor="text1"/>
        </w:rPr>
        <w:t xml:space="preserve">. </w:t>
      </w:r>
    </w:p>
    <w:p w14:paraId="35EF82E3" w14:textId="77777777" w:rsidR="00BF5165" w:rsidRDefault="00BF5165" w:rsidP="00BF5165">
      <w:pPr>
        <w:pStyle w:val="Corpo"/>
        <w:spacing w:before="0" w:after="0" w:line="240" w:lineRule="auto"/>
        <w:ind w:left="550" w:right="0"/>
        <w:jc w:val="both"/>
        <w:rPr>
          <w:rFonts w:cs="Calibri"/>
          <w:color w:val="000000" w:themeColor="text1"/>
        </w:rPr>
      </w:pPr>
    </w:p>
    <w:p w14:paraId="3B110ACC" w14:textId="357BA2FD" w:rsidR="001C380B" w:rsidRPr="001C380B" w:rsidRDefault="005A1661" w:rsidP="006722F6">
      <w:pPr>
        <w:pStyle w:val="Corpo"/>
        <w:numPr>
          <w:ilvl w:val="0"/>
          <w:numId w:val="5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Usando as curvas de mercado fornecidas pela área de risco de mercado</w:t>
      </w:r>
      <w:r w:rsidR="00810FB4">
        <w:rPr>
          <w:rFonts w:cs="Calibri"/>
          <w:color w:val="000000" w:themeColor="text1"/>
        </w:rPr>
        <w:t xml:space="preserve">, </w:t>
      </w:r>
      <w:r w:rsidR="004C4062">
        <w:rPr>
          <w:rFonts w:cs="Calibri"/>
          <w:color w:val="000000" w:themeColor="text1"/>
        </w:rPr>
        <w:t xml:space="preserve">a ferramenta MAT executa </w:t>
      </w:r>
      <w:r w:rsidR="009C7938">
        <w:rPr>
          <w:rFonts w:cs="Calibri"/>
          <w:color w:val="000000" w:themeColor="text1"/>
        </w:rPr>
        <w:t xml:space="preserve">os testes </w:t>
      </w:r>
      <w:r w:rsidR="00810FB4">
        <w:rPr>
          <w:rFonts w:cs="Calibri"/>
          <w:color w:val="000000" w:themeColor="text1"/>
        </w:rPr>
        <w:t xml:space="preserve">prospetivos </w:t>
      </w:r>
      <w:r w:rsidR="0058680D">
        <w:rPr>
          <w:rFonts w:cs="Calibri"/>
          <w:color w:val="000000" w:themeColor="text1"/>
        </w:rPr>
        <w:t xml:space="preserve">às </w:t>
      </w:r>
      <w:r w:rsidR="00AD7B6A" w:rsidRPr="00AD7B6A">
        <w:rPr>
          <w:rFonts w:cs="Calibri"/>
          <w:color w:val="000000" w:themeColor="text1"/>
        </w:rPr>
        <w:t>coberturas</w:t>
      </w:r>
      <w:r w:rsidR="0058680D">
        <w:rPr>
          <w:rFonts w:cs="Calibri"/>
          <w:color w:val="000000" w:themeColor="text1"/>
        </w:rPr>
        <w:t xml:space="preserve"> existentes</w:t>
      </w:r>
      <w:r w:rsidR="006E34CD">
        <w:rPr>
          <w:rFonts w:cs="Calibri"/>
          <w:color w:val="000000" w:themeColor="text1"/>
        </w:rPr>
        <w:t>,</w:t>
      </w:r>
      <w:r w:rsidR="00F12E3C">
        <w:rPr>
          <w:rFonts w:cs="Calibri"/>
          <w:color w:val="000000" w:themeColor="text1"/>
        </w:rPr>
        <w:t xml:space="preserve"> tendo em conta</w:t>
      </w:r>
      <w:r w:rsidR="001C380B">
        <w:rPr>
          <w:rFonts w:cs="Calibri"/>
          <w:color w:val="000000" w:themeColor="text1"/>
        </w:rPr>
        <w:t>:</w:t>
      </w:r>
    </w:p>
    <w:p w14:paraId="58B88F98" w14:textId="378B6DBF" w:rsidR="001C380B" w:rsidRDefault="00F12E3C" w:rsidP="006722F6">
      <w:pPr>
        <w:pStyle w:val="Corpo"/>
        <w:numPr>
          <w:ilvl w:val="1"/>
          <w:numId w:val="6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 1 cenário de curvas de mercado</w:t>
      </w:r>
      <w:r w:rsidR="00F67A75">
        <w:rPr>
          <w:rFonts w:cs="Calibri"/>
          <w:color w:val="000000" w:themeColor="text1"/>
        </w:rPr>
        <w:t>;</w:t>
      </w:r>
    </w:p>
    <w:p w14:paraId="170B871C" w14:textId="6E178D2C" w:rsidR="00F21A8B" w:rsidRDefault="00F12E3C" w:rsidP="006722F6">
      <w:pPr>
        <w:pStyle w:val="Corpo"/>
        <w:numPr>
          <w:ilvl w:val="1"/>
          <w:numId w:val="6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 2 cenários de </w:t>
      </w:r>
      <w:r w:rsidRPr="009C315E">
        <w:rPr>
          <w:rFonts w:cs="Calibri"/>
          <w:i/>
          <w:iCs/>
          <w:color w:val="000000" w:themeColor="text1"/>
        </w:rPr>
        <w:t>stress</w:t>
      </w:r>
      <w:r w:rsidR="009C315E">
        <w:rPr>
          <w:rFonts w:cs="Calibri"/>
          <w:color w:val="000000" w:themeColor="text1"/>
        </w:rPr>
        <w:t>:</w:t>
      </w:r>
    </w:p>
    <w:p w14:paraId="244DED1C" w14:textId="188FD54F" w:rsidR="00F21A8B" w:rsidRPr="00DC254B" w:rsidRDefault="00E60C00" w:rsidP="006722F6">
      <w:pPr>
        <w:pStyle w:val="Corpo"/>
        <w:numPr>
          <w:ilvl w:val="2"/>
          <w:numId w:val="6"/>
        </w:numPr>
        <w:spacing w:before="0" w:after="0" w:line="240" w:lineRule="auto"/>
        <w:ind w:right="0"/>
        <w:jc w:val="both"/>
        <w:rPr>
          <w:rFonts w:cs="Calibri"/>
          <w:i/>
          <w:iCs/>
          <w:color w:val="000000" w:themeColor="text1"/>
          <w:lang w:val="en-US"/>
        </w:rPr>
      </w:pPr>
      <w:r w:rsidRPr="00DC254B">
        <w:rPr>
          <w:rFonts w:cs="Calibri"/>
          <w:i/>
          <w:iCs/>
          <w:color w:val="000000" w:themeColor="text1"/>
          <w:lang w:val="en-US"/>
        </w:rPr>
        <w:t xml:space="preserve">Parallel Shock Up </w:t>
      </w:r>
      <w:r w:rsidR="00147C52" w:rsidRPr="00DC254B">
        <w:rPr>
          <w:rFonts w:cs="Calibri"/>
          <w:i/>
          <w:iCs/>
          <w:color w:val="000000" w:themeColor="text1"/>
          <w:lang w:val="en-US"/>
        </w:rPr>
        <w:t>(100 basis points</w:t>
      </w:r>
      <w:proofErr w:type="gramStart"/>
      <w:r w:rsidR="00147C52" w:rsidRPr="00DC254B">
        <w:rPr>
          <w:rFonts w:cs="Calibri"/>
          <w:i/>
          <w:iCs/>
          <w:color w:val="000000" w:themeColor="text1"/>
          <w:lang w:val="en-US"/>
        </w:rPr>
        <w:t>)</w:t>
      </w:r>
      <w:r w:rsidR="009C315E" w:rsidRPr="00DC254B">
        <w:rPr>
          <w:rFonts w:cs="Calibri"/>
          <w:i/>
          <w:iCs/>
          <w:color w:val="000000" w:themeColor="text1"/>
          <w:lang w:val="en-US"/>
        </w:rPr>
        <w:t>;</w:t>
      </w:r>
      <w:proofErr w:type="gramEnd"/>
    </w:p>
    <w:p w14:paraId="4A594648" w14:textId="20090BA3" w:rsidR="00614806" w:rsidRPr="00DC254B" w:rsidRDefault="00E60C00" w:rsidP="006722F6">
      <w:pPr>
        <w:pStyle w:val="Corpo"/>
        <w:numPr>
          <w:ilvl w:val="2"/>
          <w:numId w:val="6"/>
        </w:numPr>
        <w:spacing w:before="0" w:after="0" w:line="240" w:lineRule="auto"/>
        <w:ind w:right="0"/>
        <w:jc w:val="both"/>
        <w:rPr>
          <w:rFonts w:cs="Calibri"/>
          <w:i/>
          <w:iCs/>
          <w:color w:val="000000" w:themeColor="text1"/>
          <w:lang w:val="en-US"/>
        </w:rPr>
      </w:pPr>
      <w:r w:rsidRPr="00DC254B">
        <w:rPr>
          <w:rFonts w:cs="Calibri"/>
          <w:i/>
          <w:iCs/>
          <w:color w:val="000000" w:themeColor="text1"/>
          <w:lang w:val="en-US"/>
        </w:rPr>
        <w:t>Parallel Shock Down</w:t>
      </w:r>
      <w:r w:rsidR="00147C52" w:rsidRPr="00DC254B">
        <w:rPr>
          <w:rFonts w:cs="Calibri"/>
          <w:i/>
          <w:iCs/>
          <w:color w:val="000000" w:themeColor="text1"/>
          <w:lang w:val="en-US"/>
        </w:rPr>
        <w:t xml:space="preserve"> (100 basis points)</w:t>
      </w:r>
      <w:r w:rsidR="006B25A3" w:rsidRPr="00DC254B">
        <w:rPr>
          <w:rFonts w:cs="Calibri"/>
          <w:i/>
          <w:iCs/>
          <w:color w:val="000000" w:themeColor="text1"/>
          <w:lang w:val="en-US"/>
        </w:rPr>
        <w:t>.</w:t>
      </w:r>
    </w:p>
    <w:p w14:paraId="7DCF2FDF" w14:textId="77777777" w:rsidR="00BF5165" w:rsidRPr="00147C52" w:rsidRDefault="00BF5165" w:rsidP="00BF5165">
      <w:pPr>
        <w:pStyle w:val="Corpo"/>
        <w:spacing w:before="0" w:after="0" w:line="240" w:lineRule="auto"/>
        <w:ind w:left="0" w:right="0"/>
        <w:jc w:val="both"/>
        <w:rPr>
          <w:rFonts w:cs="Calibri"/>
          <w:color w:val="000000" w:themeColor="text1"/>
          <w:lang w:val="en-US"/>
        </w:rPr>
      </w:pPr>
    </w:p>
    <w:p w14:paraId="3D2E4067" w14:textId="41D47D53" w:rsidR="00C55669" w:rsidRDefault="00ED586B" w:rsidP="006722F6">
      <w:pPr>
        <w:pStyle w:val="Corpo"/>
        <w:numPr>
          <w:ilvl w:val="0"/>
          <w:numId w:val="5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Usando as curvas de mercado fornecidas pela área de risco de mercado, a ferramenta MAT executa os testes retrospetivos relativos às coberturas </w:t>
      </w:r>
      <w:r w:rsidR="00DF0CBF">
        <w:rPr>
          <w:rFonts w:cs="Calibri"/>
          <w:color w:val="000000" w:themeColor="text1"/>
        </w:rPr>
        <w:t>existentes, comparando a variabilidade de valor de mercado da perna a pagar do instrumento de cobertura (</w:t>
      </w:r>
      <w:proofErr w:type="spellStart"/>
      <w:r w:rsidR="00DF0CBF" w:rsidRPr="0092050A">
        <w:rPr>
          <w:rFonts w:cs="Calibri"/>
          <w:i/>
          <w:iCs/>
          <w:color w:val="000000" w:themeColor="text1"/>
        </w:rPr>
        <w:t>Interest</w:t>
      </w:r>
      <w:proofErr w:type="spellEnd"/>
      <w:r w:rsidR="00DF0CBF" w:rsidRPr="0092050A">
        <w:rPr>
          <w:rFonts w:cs="Calibri"/>
          <w:i/>
          <w:iCs/>
          <w:color w:val="000000" w:themeColor="text1"/>
        </w:rPr>
        <w:t xml:space="preserve"> </w:t>
      </w:r>
      <w:r w:rsidR="00DF0CBF" w:rsidRPr="0092050A">
        <w:rPr>
          <w:rFonts w:cs="Calibri"/>
          <w:i/>
          <w:iCs/>
          <w:color w:val="000000" w:themeColor="text1"/>
        </w:rPr>
        <w:lastRenderedPageBreak/>
        <w:t xml:space="preserve">Rate </w:t>
      </w:r>
      <w:proofErr w:type="spellStart"/>
      <w:r w:rsidR="00DF0CBF" w:rsidRPr="0092050A">
        <w:rPr>
          <w:rFonts w:cs="Calibri"/>
          <w:i/>
          <w:iCs/>
          <w:color w:val="000000" w:themeColor="text1"/>
        </w:rPr>
        <w:t>Swap</w:t>
      </w:r>
      <w:proofErr w:type="spellEnd"/>
      <w:r w:rsidR="00DF0CBF" w:rsidRPr="0092050A">
        <w:rPr>
          <w:rFonts w:cs="Calibri"/>
          <w:i/>
          <w:iCs/>
          <w:color w:val="000000" w:themeColor="text1"/>
        </w:rPr>
        <w:t>)</w:t>
      </w:r>
      <w:r w:rsidR="00890381">
        <w:rPr>
          <w:rFonts w:cs="Calibri"/>
          <w:color w:val="000000" w:themeColor="text1"/>
        </w:rPr>
        <w:t xml:space="preserve">, com a variabilidade de valor de mercado do elemento coberto, no caso, a </w:t>
      </w:r>
      <w:r w:rsidR="00890381" w:rsidRPr="0092050A">
        <w:rPr>
          <w:rFonts w:cs="Calibri"/>
          <w:i/>
          <w:iCs/>
          <w:color w:val="000000" w:themeColor="text1"/>
        </w:rPr>
        <w:t>pool</w:t>
      </w:r>
      <w:r w:rsidR="00890381">
        <w:rPr>
          <w:rFonts w:cs="Calibri"/>
          <w:color w:val="000000" w:themeColor="text1"/>
        </w:rPr>
        <w:t xml:space="preserve"> de créditos hipotecários associados.</w:t>
      </w:r>
    </w:p>
    <w:p w14:paraId="351BBAD9" w14:textId="77777777" w:rsidR="00BF5165" w:rsidRDefault="00BF5165" w:rsidP="00BF5165">
      <w:pPr>
        <w:pStyle w:val="Corpo"/>
        <w:spacing w:before="0" w:after="0" w:line="240" w:lineRule="auto"/>
        <w:ind w:left="0" w:right="0"/>
        <w:jc w:val="both"/>
        <w:rPr>
          <w:rFonts w:cs="Calibri"/>
          <w:color w:val="000000" w:themeColor="text1"/>
        </w:rPr>
      </w:pPr>
    </w:p>
    <w:p w14:paraId="00A0A6FD" w14:textId="2A71ED26" w:rsidR="00B17ED6" w:rsidRDefault="0058680D" w:rsidP="006722F6">
      <w:pPr>
        <w:pStyle w:val="Corpo"/>
        <w:numPr>
          <w:ilvl w:val="0"/>
          <w:numId w:val="5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Trimestralmente são revistas através destes mesmos processos a eficácia de todas as operações de cobertura de </w:t>
      </w:r>
      <w:r>
        <w:rPr>
          <w:rFonts w:cs="Calibri"/>
          <w:i/>
          <w:iCs/>
          <w:color w:val="000000" w:themeColor="text1"/>
        </w:rPr>
        <w:t>Cash-flow</w:t>
      </w:r>
      <w:r>
        <w:rPr>
          <w:rFonts w:cs="Calibri"/>
          <w:color w:val="000000" w:themeColor="text1"/>
        </w:rPr>
        <w:t xml:space="preserve"> existentes.</w:t>
      </w:r>
    </w:p>
    <w:p w14:paraId="44857E5C" w14:textId="77777777" w:rsidR="00ED38C7" w:rsidRDefault="00ED38C7" w:rsidP="00ED38C7">
      <w:pPr>
        <w:pStyle w:val="ListParagraph"/>
        <w:rPr>
          <w:rFonts w:cs="Calibri"/>
          <w:color w:val="000000" w:themeColor="text1"/>
        </w:rPr>
      </w:pPr>
    </w:p>
    <w:p w14:paraId="359C340C" w14:textId="1311A0D2" w:rsidR="00ED38C7" w:rsidRDefault="00ED38C7" w:rsidP="006722F6">
      <w:pPr>
        <w:pStyle w:val="Corpo"/>
        <w:numPr>
          <w:ilvl w:val="0"/>
          <w:numId w:val="5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proofErr w:type="gramStart"/>
      <w:r>
        <w:rPr>
          <w:rFonts w:cs="Calibri"/>
          <w:color w:val="000000" w:themeColor="text1"/>
        </w:rPr>
        <w:t xml:space="preserve">As </w:t>
      </w:r>
      <w:r>
        <w:rPr>
          <w:rFonts w:cs="Calibri"/>
          <w:i/>
          <w:iCs/>
          <w:color w:val="000000" w:themeColor="text1"/>
        </w:rPr>
        <w:t>pools</w:t>
      </w:r>
      <w:proofErr w:type="gramEnd"/>
      <w:r>
        <w:rPr>
          <w:rFonts w:cs="Calibri"/>
          <w:color w:val="000000" w:themeColor="text1"/>
        </w:rPr>
        <w:t xml:space="preserve"> de operações de crédito hipotecário são registadas e mantidas exclusivamente </w:t>
      </w:r>
      <w:r w:rsidR="00147C52">
        <w:rPr>
          <w:rFonts w:cs="Calibri"/>
          <w:color w:val="000000" w:themeColor="text1"/>
        </w:rPr>
        <w:t>pela área financeira.</w:t>
      </w:r>
    </w:p>
    <w:p w14:paraId="19E8ABE3" w14:textId="77777777" w:rsidR="009C1FB3" w:rsidRDefault="009C1FB3" w:rsidP="0092050A">
      <w:pPr>
        <w:pStyle w:val="ListParagraph"/>
        <w:rPr>
          <w:rFonts w:cs="Calibri"/>
          <w:color w:val="000000" w:themeColor="text1"/>
        </w:rPr>
      </w:pPr>
    </w:p>
    <w:p w14:paraId="3F3506A9" w14:textId="0F92FB9D" w:rsidR="002A18B9" w:rsidRPr="0094584B" w:rsidRDefault="002A18B9" w:rsidP="009C1FB3">
      <w:pPr>
        <w:pStyle w:val="Corpo"/>
        <w:numPr>
          <w:ilvl w:val="0"/>
          <w:numId w:val="5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r w:rsidRPr="0094584B">
        <w:rPr>
          <w:rFonts w:cs="Calibri"/>
          <w:color w:val="000000" w:themeColor="text1"/>
        </w:rPr>
        <w:t>A identificação dos contratos associados a cada</w:t>
      </w:r>
      <w:r w:rsidRPr="0092050A">
        <w:rPr>
          <w:rFonts w:cs="Calibri"/>
          <w:i/>
          <w:iCs/>
          <w:color w:val="000000" w:themeColor="text1"/>
        </w:rPr>
        <w:t xml:space="preserve"> pool</w:t>
      </w:r>
      <w:r w:rsidRPr="0094584B">
        <w:rPr>
          <w:rFonts w:cs="Calibri"/>
          <w:color w:val="000000" w:themeColor="text1"/>
        </w:rPr>
        <w:t xml:space="preserve"> de operações de crédito hipotecário é efetuada exclusivamente pela área financeira.</w:t>
      </w:r>
    </w:p>
    <w:p w14:paraId="704D61F9" w14:textId="77777777" w:rsidR="002A18B9" w:rsidRPr="0094584B" w:rsidRDefault="002A18B9" w:rsidP="0092050A">
      <w:pPr>
        <w:pStyle w:val="ListParagraph"/>
        <w:rPr>
          <w:rFonts w:cs="Calibri"/>
          <w:color w:val="000000" w:themeColor="text1"/>
        </w:rPr>
      </w:pPr>
    </w:p>
    <w:p w14:paraId="1DA1DD0D" w14:textId="71D7DD78" w:rsidR="00AA493E" w:rsidRPr="0094584B" w:rsidRDefault="00DA5F15" w:rsidP="0092050A">
      <w:pPr>
        <w:pStyle w:val="Corpo"/>
        <w:spacing w:before="0" w:after="0" w:line="240" w:lineRule="auto"/>
        <w:ind w:left="0" w:right="0"/>
        <w:jc w:val="both"/>
        <w:rPr>
          <w:rFonts w:cs="Calibri"/>
          <w:color w:val="000000" w:themeColor="text1"/>
        </w:rPr>
      </w:pPr>
      <w:r w:rsidRPr="0092050A">
        <w:rPr>
          <w:rFonts w:cs="Calibri"/>
          <w:color w:val="000000" w:themeColor="text1"/>
        </w:rPr>
        <w:t xml:space="preserve">Adicionalmente, a área financeira pode também contratar </w:t>
      </w:r>
      <w:r w:rsidR="003949E8" w:rsidRPr="0092050A">
        <w:rPr>
          <w:rFonts w:cs="Calibri"/>
          <w:color w:val="000000" w:themeColor="text1"/>
        </w:rPr>
        <w:t xml:space="preserve">operações </w:t>
      </w:r>
      <w:r w:rsidR="009C1FB3" w:rsidRPr="0094584B">
        <w:rPr>
          <w:rFonts w:cs="Calibri"/>
          <w:color w:val="000000" w:themeColor="text1"/>
        </w:rPr>
        <w:t xml:space="preserve">de </w:t>
      </w:r>
      <w:r w:rsidR="009C1FB3" w:rsidRPr="0092050A">
        <w:rPr>
          <w:rFonts w:cs="Calibri"/>
          <w:i/>
          <w:iCs/>
          <w:color w:val="000000" w:themeColor="text1"/>
        </w:rPr>
        <w:t xml:space="preserve">fair </w:t>
      </w:r>
      <w:proofErr w:type="spellStart"/>
      <w:r w:rsidR="009C1FB3" w:rsidRPr="0092050A">
        <w:rPr>
          <w:rFonts w:cs="Calibri"/>
          <w:i/>
          <w:iCs/>
          <w:color w:val="000000" w:themeColor="text1"/>
        </w:rPr>
        <w:t>valu</w:t>
      </w:r>
      <w:r w:rsidR="0094584B" w:rsidRPr="0092050A">
        <w:rPr>
          <w:rFonts w:cs="Calibri"/>
          <w:i/>
          <w:iCs/>
          <w:color w:val="000000" w:themeColor="text1"/>
        </w:rPr>
        <w:t>e</w:t>
      </w:r>
      <w:proofErr w:type="spellEnd"/>
      <w:r w:rsidR="0094584B" w:rsidRPr="0092050A">
        <w:rPr>
          <w:rFonts w:cs="Calibri"/>
          <w:i/>
          <w:iCs/>
          <w:color w:val="000000" w:themeColor="text1"/>
        </w:rPr>
        <w:t xml:space="preserve"> </w:t>
      </w:r>
      <w:r w:rsidR="0094584B" w:rsidRPr="0092050A">
        <w:rPr>
          <w:rFonts w:cs="Calibri"/>
          <w:color w:val="000000" w:themeColor="text1"/>
        </w:rPr>
        <w:t>com o objetivo de fechar o risco do balanço do Banco. As operações contratadas são sempre aprovadas</w:t>
      </w:r>
      <w:r w:rsidR="009C1FB3" w:rsidRPr="0094584B">
        <w:rPr>
          <w:rFonts w:cs="Calibri"/>
          <w:color w:val="000000" w:themeColor="text1"/>
        </w:rPr>
        <w:t xml:space="preserve"> em Comité CALCO.</w:t>
      </w:r>
    </w:p>
    <w:p w14:paraId="5FB206DE" w14:textId="5530F267" w:rsidR="00F21A8B" w:rsidRPr="00F21A8B" w:rsidRDefault="00F21A8B" w:rsidP="00F21A8B">
      <w:pPr>
        <w:pStyle w:val="Corpo"/>
        <w:spacing w:before="0" w:after="0" w:line="240" w:lineRule="auto"/>
        <w:ind w:left="0" w:right="0"/>
        <w:jc w:val="both"/>
        <w:rPr>
          <w:rFonts w:cs="Calibri"/>
          <w:color w:val="000000" w:themeColor="text1"/>
        </w:rPr>
      </w:pPr>
    </w:p>
    <w:p w14:paraId="658965B6" w14:textId="5FB664E5" w:rsidR="00B46399" w:rsidRDefault="001E0E6A" w:rsidP="00C92C5E">
      <w:pPr>
        <w:pStyle w:val="Ttulo21"/>
      </w:pPr>
      <w:bookmarkStart w:id="14" w:name="_Toc205549117"/>
      <w:r>
        <w:t>3</w:t>
      </w:r>
      <w:r w:rsidR="00B46399">
        <w:t>.6. Risco de Mercado</w:t>
      </w:r>
      <w:bookmarkEnd w:id="14"/>
    </w:p>
    <w:p w14:paraId="45E54691" w14:textId="0E44BC25" w:rsidR="00307147" w:rsidRPr="00862CEE" w:rsidRDefault="00307147" w:rsidP="00862CEE">
      <w:pPr>
        <w:pStyle w:val="Corpo"/>
        <w:spacing w:after="240" w:line="240" w:lineRule="auto"/>
        <w:jc w:val="both"/>
        <w:rPr>
          <w:rFonts w:cs="Calibri"/>
          <w:color w:val="000000" w:themeColor="text1"/>
        </w:rPr>
      </w:pPr>
      <w:r w:rsidRPr="00862CEE">
        <w:rPr>
          <w:rFonts w:cs="Calibri"/>
          <w:color w:val="000000" w:themeColor="text1"/>
        </w:rPr>
        <w:t xml:space="preserve">A </w:t>
      </w:r>
      <w:r w:rsidR="00023444">
        <w:rPr>
          <w:rFonts w:cs="Calibri"/>
          <w:color w:val="000000" w:themeColor="text1"/>
        </w:rPr>
        <w:t>Á</w:t>
      </w:r>
      <w:r w:rsidRPr="00862CEE">
        <w:rPr>
          <w:rFonts w:cs="Calibri"/>
          <w:color w:val="000000" w:themeColor="text1"/>
        </w:rPr>
        <w:t xml:space="preserve">rea de Risco de Mercado dedica-se à identificação, avaliação e gestão dos riscos decorrentes das variações nos preços dos ativos financeiros, incluindo riscos de taxa de juro, câmbio, ações e </w:t>
      </w:r>
      <w:proofErr w:type="spellStart"/>
      <w:r w:rsidRPr="00DB5B4E">
        <w:rPr>
          <w:rFonts w:cs="Calibri"/>
          <w:i/>
          <w:iCs/>
          <w:color w:val="000000" w:themeColor="text1"/>
        </w:rPr>
        <w:t>commodities</w:t>
      </w:r>
      <w:proofErr w:type="spellEnd"/>
      <w:r w:rsidRPr="00862CEE">
        <w:rPr>
          <w:rFonts w:cs="Calibri"/>
          <w:color w:val="000000" w:themeColor="text1"/>
        </w:rPr>
        <w:t>. Utiliza modelos quantitativos para medir a exposição ao risco, definir limites operacionais e monitorizar a conformidade, suportando a tomada de decisão e assegurando o alinhamento com os requisitos regulatórios e as melhores práticas do setor.</w:t>
      </w:r>
    </w:p>
    <w:p w14:paraId="5C04CDED" w14:textId="28BF1B9D" w:rsidR="001A0CC2" w:rsidRPr="00862CEE" w:rsidRDefault="001A0CC2" w:rsidP="00862CEE">
      <w:pPr>
        <w:pStyle w:val="Corpo"/>
        <w:spacing w:after="240" w:line="240" w:lineRule="auto"/>
        <w:jc w:val="both"/>
        <w:rPr>
          <w:rFonts w:cs="Calibri"/>
          <w:color w:val="000000" w:themeColor="text1"/>
        </w:rPr>
      </w:pPr>
      <w:r w:rsidRPr="00862CEE">
        <w:rPr>
          <w:rFonts w:cs="Calibri"/>
          <w:color w:val="000000" w:themeColor="text1"/>
        </w:rPr>
        <w:t xml:space="preserve">No âmbito do </w:t>
      </w:r>
      <w:proofErr w:type="spellStart"/>
      <w:r w:rsidRPr="00956F25">
        <w:rPr>
          <w:rFonts w:cs="Calibri"/>
          <w:i/>
          <w:iCs/>
          <w:color w:val="000000" w:themeColor="text1"/>
        </w:rPr>
        <w:t>hedge</w:t>
      </w:r>
      <w:proofErr w:type="spellEnd"/>
      <w:r w:rsidRPr="00956F25">
        <w:rPr>
          <w:rFonts w:cs="Calibri"/>
          <w:i/>
          <w:iCs/>
          <w:color w:val="000000" w:themeColor="text1"/>
        </w:rPr>
        <w:t xml:space="preserve"> </w:t>
      </w:r>
      <w:proofErr w:type="spellStart"/>
      <w:r w:rsidRPr="00956F25">
        <w:rPr>
          <w:rFonts w:cs="Calibri"/>
          <w:i/>
          <w:iCs/>
          <w:color w:val="000000" w:themeColor="text1"/>
        </w:rPr>
        <w:t>accounting</w:t>
      </w:r>
      <w:proofErr w:type="spellEnd"/>
      <w:r w:rsidRPr="00862CEE">
        <w:rPr>
          <w:rFonts w:cs="Calibri"/>
          <w:color w:val="000000" w:themeColor="text1"/>
        </w:rPr>
        <w:t xml:space="preserve"> do </w:t>
      </w:r>
      <w:r w:rsidR="00A15984">
        <w:rPr>
          <w:rFonts w:cs="Calibri"/>
          <w:color w:val="000000" w:themeColor="text1"/>
        </w:rPr>
        <w:t>Banco</w:t>
      </w:r>
      <w:r w:rsidRPr="00862CEE">
        <w:rPr>
          <w:rFonts w:cs="Calibri"/>
          <w:color w:val="000000" w:themeColor="text1"/>
        </w:rPr>
        <w:t xml:space="preserve">, a </w:t>
      </w:r>
      <w:r w:rsidR="00F66328">
        <w:rPr>
          <w:rFonts w:cs="Calibri"/>
          <w:color w:val="000000" w:themeColor="text1"/>
        </w:rPr>
        <w:t>Á</w:t>
      </w:r>
      <w:r w:rsidRPr="00862CEE">
        <w:rPr>
          <w:rFonts w:cs="Calibri"/>
          <w:color w:val="000000" w:themeColor="text1"/>
        </w:rPr>
        <w:t>rea Risco de Mercado é responsável por:</w:t>
      </w:r>
    </w:p>
    <w:p w14:paraId="1146C048" w14:textId="117EFA43" w:rsidR="002068ED" w:rsidRPr="00862CEE" w:rsidRDefault="002068ED" w:rsidP="006722F6">
      <w:pPr>
        <w:pStyle w:val="Corpo"/>
        <w:numPr>
          <w:ilvl w:val="0"/>
          <w:numId w:val="4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r w:rsidRPr="00862CEE">
        <w:rPr>
          <w:rFonts w:cs="Calibri"/>
          <w:color w:val="000000" w:themeColor="text1"/>
        </w:rPr>
        <w:t>Valorizar as operações através de modelos (</w:t>
      </w:r>
      <w:proofErr w:type="spellStart"/>
      <w:r w:rsidRPr="00862CEE">
        <w:rPr>
          <w:rFonts w:cs="Calibri"/>
          <w:color w:val="000000" w:themeColor="text1"/>
        </w:rPr>
        <w:t>Murex</w:t>
      </w:r>
      <w:proofErr w:type="spellEnd"/>
      <w:r w:rsidRPr="00862CEE">
        <w:rPr>
          <w:rFonts w:cs="Calibri"/>
          <w:color w:val="000000" w:themeColor="text1"/>
        </w:rPr>
        <w:t xml:space="preserve"> e Mariner)</w:t>
      </w:r>
      <w:r w:rsidR="00F66328">
        <w:rPr>
          <w:rFonts w:cs="Calibri"/>
          <w:color w:val="000000" w:themeColor="text1"/>
        </w:rPr>
        <w:t>;</w:t>
      </w:r>
    </w:p>
    <w:p w14:paraId="2BBE3406" w14:textId="0FD89E04" w:rsidR="002068ED" w:rsidRPr="0092050A" w:rsidRDefault="002068ED" w:rsidP="006722F6">
      <w:pPr>
        <w:pStyle w:val="Corpo"/>
        <w:numPr>
          <w:ilvl w:val="0"/>
          <w:numId w:val="4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r w:rsidRPr="0092050A">
        <w:rPr>
          <w:rFonts w:cs="Calibri"/>
          <w:color w:val="000000" w:themeColor="text1"/>
        </w:rPr>
        <w:t xml:space="preserve">Conciliar </w:t>
      </w:r>
      <w:proofErr w:type="spellStart"/>
      <w:r w:rsidRPr="0092050A">
        <w:rPr>
          <w:rFonts w:cs="Calibri"/>
          <w:i/>
          <w:color w:val="000000" w:themeColor="text1"/>
        </w:rPr>
        <w:t>mark</w:t>
      </w:r>
      <w:proofErr w:type="spellEnd"/>
      <w:r w:rsidRPr="0092050A">
        <w:rPr>
          <w:rFonts w:cs="Calibri"/>
          <w:i/>
          <w:color w:val="000000" w:themeColor="text1"/>
        </w:rPr>
        <w:t>-to-</w:t>
      </w:r>
      <w:proofErr w:type="spellStart"/>
      <w:r w:rsidRPr="0092050A">
        <w:rPr>
          <w:rFonts w:cs="Calibri"/>
          <w:i/>
          <w:color w:val="000000" w:themeColor="text1"/>
        </w:rPr>
        <w:t>market</w:t>
      </w:r>
      <w:proofErr w:type="spellEnd"/>
      <w:r w:rsidRPr="0092050A">
        <w:rPr>
          <w:rFonts w:cs="Calibri"/>
          <w:color w:val="000000" w:themeColor="text1"/>
        </w:rPr>
        <w:t xml:space="preserve"> local com a contraparte </w:t>
      </w:r>
      <w:r w:rsidR="005429C4" w:rsidRPr="0092050A">
        <w:rPr>
          <w:rFonts w:cs="Calibri"/>
          <w:color w:val="000000" w:themeColor="text1"/>
        </w:rPr>
        <w:t>(</w:t>
      </w:r>
      <w:r w:rsidR="00A93265" w:rsidRPr="0092050A">
        <w:rPr>
          <w:rFonts w:cs="Calibri"/>
          <w:color w:val="000000" w:themeColor="text1"/>
        </w:rPr>
        <w:t>Banco S</w:t>
      </w:r>
      <w:r w:rsidR="00A93265">
        <w:rPr>
          <w:rFonts w:cs="Calibri"/>
          <w:color w:val="000000" w:themeColor="text1"/>
        </w:rPr>
        <w:t>antander S.A (Madrid)</w:t>
      </w:r>
      <w:r w:rsidR="005429C4" w:rsidRPr="0092050A">
        <w:rPr>
          <w:rFonts w:cs="Calibri"/>
          <w:color w:val="000000" w:themeColor="text1"/>
        </w:rPr>
        <w:t>)</w:t>
      </w:r>
      <w:r w:rsidR="00F66328" w:rsidRPr="0092050A">
        <w:rPr>
          <w:rFonts w:cs="Calibri"/>
          <w:color w:val="000000" w:themeColor="text1"/>
        </w:rPr>
        <w:t>;</w:t>
      </w:r>
    </w:p>
    <w:p w14:paraId="37C79B36" w14:textId="79888444" w:rsidR="002068ED" w:rsidRPr="00862CEE" w:rsidRDefault="002068ED" w:rsidP="006722F6">
      <w:pPr>
        <w:pStyle w:val="Corpo"/>
        <w:numPr>
          <w:ilvl w:val="0"/>
          <w:numId w:val="4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r w:rsidRPr="00862CEE">
        <w:rPr>
          <w:rFonts w:cs="Calibri"/>
          <w:color w:val="000000" w:themeColor="text1"/>
        </w:rPr>
        <w:t>Comunicar</w:t>
      </w:r>
      <w:r w:rsidR="002B79E0" w:rsidRPr="00862CEE">
        <w:rPr>
          <w:rFonts w:cs="Calibri"/>
          <w:color w:val="000000" w:themeColor="text1"/>
        </w:rPr>
        <w:t>/corrigir</w:t>
      </w:r>
      <w:r w:rsidRPr="00862CEE">
        <w:rPr>
          <w:rFonts w:cs="Calibri"/>
          <w:color w:val="000000" w:themeColor="text1"/>
        </w:rPr>
        <w:t xml:space="preserve"> valores de mercado ao SIGOM</w:t>
      </w:r>
      <w:r w:rsidR="00F66328">
        <w:rPr>
          <w:rFonts w:cs="Calibri"/>
          <w:color w:val="000000" w:themeColor="text1"/>
        </w:rPr>
        <w:t>;</w:t>
      </w:r>
      <w:r w:rsidR="005478FF">
        <w:rPr>
          <w:rFonts w:cs="Calibri"/>
          <w:color w:val="000000" w:themeColor="text1"/>
        </w:rPr>
        <w:t xml:space="preserve"> e</w:t>
      </w:r>
    </w:p>
    <w:p w14:paraId="0E4F17C7" w14:textId="0432B029" w:rsidR="00614806" w:rsidRPr="00862CEE" w:rsidRDefault="005429C4" w:rsidP="006722F6">
      <w:pPr>
        <w:pStyle w:val="Corpo"/>
        <w:numPr>
          <w:ilvl w:val="0"/>
          <w:numId w:val="4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r w:rsidRPr="00862CEE">
        <w:rPr>
          <w:rFonts w:cs="Calibri"/>
          <w:color w:val="000000" w:themeColor="text1"/>
        </w:rPr>
        <w:t xml:space="preserve">Calcular </w:t>
      </w:r>
      <w:r w:rsidR="00A93265">
        <w:rPr>
          <w:rFonts w:cs="Calibri"/>
          <w:color w:val="000000" w:themeColor="text1"/>
        </w:rPr>
        <w:t>X</w:t>
      </w:r>
      <w:r w:rsidRPr="00862CEE">
        <w:rPr>
          <w:rFonts w:cs="Calibri"/>
          <w:color w:val="000000" w:themeColor="text1"/>
        </w:rPr>
        <w:t>VA para os elementos de cobertura</w:t>
      </w:r>
      <w:r w:rsidR="00023444">
        <w:rPr>
          <w:rFonts w:cs="Calibri"/>
          <w:color w:val="000000" w:themeColor="text1"/>
        </w:rPr>
        <w:t>.</w:t>
      </w:r>
    </w:p>
    <w:p w14:paraId="6781FBFC" w14:textId="279CCAEB" w:rsidR="00211BEF" w:rsidRPr="009D68E9" w:rsidRDefault="00EE2A90" w:rsidP="00626C05">
      <w:pPr>
        <w:pStyle w:val="Corpo"/>
        <w:spacing w:after="240" w:line="240" w:lineRule="auto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O procedimento que regula o </w:t>
      </w:r>
      <w:r w:rsidR="005478FF">
        <w:rPr>
          <w:rFonts w:cs="Calibri"/>
          <w:color w:val="000000" w:themeColor="text1"/>
        </w:rPr>
        <w:t xml:space="preserve">processo de cálculo do </w:t>
      </w:r>
      <w:r w:rsidR="00A93265">
        <w:rPr>
          <w:rFonts w:cs="Calibri"/>
          <w:color w:val="000000" w:themeColor="text1"/>
        </w:rPr>
        <w:t>X</w:t>
      </w:r>
      <w:r w:rsidR="005478FF">
        <w:rPr>
          <w:rFonts w:cs="Calibri"/>
          <w:color w:val="000000" w:themeColor="text1"/>
        </w:rPr>
        <w:t>VA é descrito em detalhe pela circular 9/2023.</w:t>
      </w:r>
    </w:p>
    <w:p w14:paraId="795C49EE" w14:textId="77777777" w:rsidR="006E6078" w:rsidRPr="00862CEE" w:rsidRDefault="006E6078" w:rsidP="006E6078">
      <w:pPr>
        <w:pStyle w:val="Corpo"/>
        <w:spacing w:before="0" w:after="0" w:line="240" w:lineRule="auto"/>
        <w:ind w:left="550" w:right="0"/>
        <w:jc w:val="both"/>
        <w:rPr>
          <w:rFonts w:cs="Calibri"/>
          <w:color w:val="000000" w:themeColor="text1"/>
        </w:rPr>
      </w:pPr>
    </w:p>
    <w:p w14:paraId="08A6C8D9" w14:textId="323A7027" w:rsidR="0018016C" w:rsidRPr="00AD17DC" w:rsidRDefault="001E0E6A" w:rsidP="0018016C">
      <w:pPr>
        <w:pStyle w:val="Ttulo21"/>
      </w:pPr>
      <w:bookmarkStart w:id="15" w:name="_Toc205549118"/>
      <w:r>
        <w:t>3</w:t>
      </w:r>
      <w:r w:rsidR="00AE7C00">
        <w:t>.</w:t>
      </w:r>
      <w:r w:rsidR="00B46399">
        <w:t>7</w:t>
      </w:r>
      <w:r w:rsidR="00AE7C00">
        <w:t xml:space="preserve">. </w:t>
      </w:r>
      <w:r w:rsidR="00DE15E7">
        <w:t>Utilizadores de Dados</w:t>
      </w:r>
      <w:bookmarkEnd w:id="15"/>
    </w:p>
    <w:p w14:paraId="1FE9C217" w14:textId="2CADC35A" w:rsidR="00653F10" w:rsidRPr="004B07AD" w:rsidRDefault="008B5E43" w:rsidP="00592444">
      <w:pPr>
        <w:pStyle w:val="Corpo"/>
        <w:spacing w:after="240" w:line="240" w:lineRule="auto"/>
        <w:jc w:val="both"/>
        <w:rPr>
          <w:rFonts w:cs="Calibri"/>
          <w:color w:val="000000" w:themeColor="text1"/>
        </w:rPr>
      </w:pPr>
      <w:r w:rsidRPr="004B07AD">
        <w:rPr>
          <w:rFonts w:cs="Calibri"/>
          <w:color w:val="000000" w:themeColor="text1"/>
        </w:rPr>
        <w:t xml:space="preserve">Os </w:t>
      </w:r>
      <w:r w:rsidR="005478FF">
        <w:rPr>
          <w:rFonts w:cs="Calibri"/>
          <w:color w:val="000000" w:themeColor="text1"/>
        </w:rPr>
        <w:t>utilizadores de dados são os consumidores</w:t>
      </w:r>
      <w:r w:rsidR="005478FF" w:rsidRPr="004B07AD">
        <w:rPr>
          <w:rFonts w:cs="Calibri"/>
          <w:color w:val="000000" w:themeColor="text1"/>
        </w:rPr>
        <w:t xml:space="preserve"> </w:t>
      </w:r>
      <w:r w:rsidRPr="004B07AD">
        <w:rPr>
          <w:rFonts w:cs="Calibri"/>
          <w:color w:val="000000" w:themeColor="text1"/>
        </w:rPr>
        <w:t xml:space="preserve">dos </w:t>
      </w:r>
      <w:r w:rsidR="00614E58">
        <w:rPr>
          <w:rFonts w:cs="Calibri"/>
          <w:color w:val="000000" w:themeColor="text1"/>
        </w:rPr>
        <w:t xml:space="preserve">reportes de </w:t>
      </w:r>
      <w:proofErr w:type="spellStart"/>
      <w:r w:rsidR="00614E58">
        <w:rPr>
          <w:rFonts w:cs="Calibri"/>
          <w:i/>
          <w:iCs/>
          <w:color w:val="000000" w:themeColor="text1"/>
        </w:rPr>
        <w:t>hedge</w:t>
      </w:r>
      <w:proofErr w:type="spellEnd"/>
      <w:r w:rsidR="00614E58">
        <w:rPr>
          <w:rFonts w:cs="Calibri"/>
          <w:i/>
          <w:iCs/>
          <w:color w:val="000000" w:themeColor="text1"/>
        </w:rPr>
        <w:t xml:space="preserve"> </w:t>
      </w:r>
      <w:proofErr w:type="spellStart"/>
      <w:r w:rsidR="00614E58">
        <w:rPr>
          <w:rFonts w:cs="Calibri"/>
          <w:i/>
          <w:iCs/>
          <w:color w:val="000000" w:themeColor="text1"/>
        </w:rPr>
        <w:t>accounting</w:t>
      </w:r>
      <w:proofErr w:type="spellEnd"/>
      <w:r w:rsidR="005478FF">
        <w:rPr>
          <w:rFonts w:cs="Calibri"/>
          <w:color w:val="000000" w:themeColor="text1"/>
        </w:rPr>
        <w:t xml:space="preserve">, que </w:t>
      </w:r>
      <w:r w:rsidR="004367FE" w:rsidRPr="004B07AD">
        <w:rPr>
          <w:rFonts w:cs="Calibri"/>
          <w:color w:val="000000" w:themeColor="text1"/>
        </w:rPr>
        <w:t>incluem áreas internas</w:t>
      </w:r>
      <w:r w:rsidR="00163902" w:rsidRPr="004B07AD">
        <w:rPr>
          <w:rFonts w:cs="Calibri"/>
          <w:color w:val="000000" w:themeColor="text1"/>
        </w:rPr>
        <w:t xml:space="preserve"> ou corporativas</w:t>
      </w:r>
      <w:r w:rsidR="004367FE" w:rsidRPr="004B07AD">
        <w:rPr>
          <w:rFonts w:cs="Calibri"/>
          <w:color w:val="000000" w:themeColor="text1"/>
        </w:rPr>
        <w:t xml:space="preserve"> que utilizam esta informação para fins analíticos, regulatórios</w:t>
      </w:r>
      <w:r w:rsidR="005D7AC3" w:rsidRPr="004B07AD">
        <w:rPr>
          <w:rFonts w:cs="Calibri"/>
          <w:color w:val="000000" w:themeColor="text1"/>
        </w:rPr>
        <w:t xml:space="preserve">, </w:t>
      </w:r>
      <w:r w:rsidR="004367FE" w:rsidRPr="004B07AD">
        <w:rPr>
          <w:rFonts w:cs="Calibri"/>
          <w:color w:val="000000" w:themeColor="text1"/>
        </w:rPr>
        <w:t>gestão</w:t>
      </w:r>
      <w:r w:rsidR="005D7AC3" w:rsidRPr="004B07AD">
        <w:rPr>
          <w:rFonts w:cs="Calibri"/>
          <w:color w:val="000000" w:themeColor="text1"/>
        </w:rPr>
        <w:t xml:space="preserve"> ou auditoria</w:t>
      </w:r>
      <w:r w:rsidR="002C6F9A" w:rsidRPr="004B07AD">
        <w:rPr>
          <w:rFonts w:cs="Calibri"/>
          <w:color w:val="000000" w:themeColor="text1"/>
        </w:rPr>
        <w:t xml:space="preserve">, e áreas externas </w:t>
      </w:r>
      <w:r w:rsidR="00163902" w:rsidRPr="004B07AD">
        <w:rPr>
          <w:rFonts w:cs="Calibri"/>
          <w:color w:val="000000" w:themeColor="text1"/>
        </w:rPr>
        <w:t xml:space="preserve">no âmbito das suas funções </w:t>
      </w:r>
      <w:r w:rsidR="00423D6D" w:rsidRPr="004B07AD">
        <w:rPr>
          <w:rFonts w:cs="Calibri"/>
          <w:color w:val="000000" w:themeColor="text1"/>
        </w:rPr>
        <w:t>de supervisão, auditor</w:t>
      </w:r>
      <w:r w:rsidR="000D0446" w:rsidRPr="004B07AD">
        <w:rPr>
          <w:rFonts w:cs="Calibri"/>
          <w:color w:val="000000" w:themeColor="text1"/>
        </w:rPr>
        <w:t>i</w:t>
      </w:r>
      <w:r w:rsidR="00423D6D" w:rsidRPr="004B07AD">
        <w:rPr>
          <w:rFonts w:cs="Calibri"/>
          <w:color w:val="000000" w:themeColor="text1"/>
        </w:rPr>
        <w:t>a ou controlo</w:t>
      </w:r>
      <w:r w:rsidR="000D0446" w:rsidRPr="004B07AD">
        <w:rPr>
          <w:rFonts w:cs="Calibri"/>
          <w:color w:val="000000" w:themeColor="text1"/>
        </w:rPr>
        <w:t>.</w:t>
      </w:r>
    </w:p>
    <w:p w14:paraId="494B4099" w14:textId="5AC53A70" w:rsidR="00503C9A" w:rsidRPr="004B07AD" w:rsidRDefault="00AB78EA" w:rsidP="00592444">
      <w:pPr>
        <w:pStyle w:val="Corpo"/>
        <w:spacing w:after="240" w:line="240" w:lineRule="auto"/>
        <w:jc w:val="both"/>
        <w:rPr>
          <w:rFonts w:cs="Calibri"/>
          <w:color w:val="000000" w:themeColor="text1"/>
        </w:rPr>
      </w:pPr>
      <w:r w:rsidRPr="004B07AD">
        <w:rPr>
          <w:rFonts w:cs="Calibri"/>
          <w:color w:val="000000" w:themeColor="text1"/>
        </w:rPr>
        <w:t>As suas responsabilidades incluem</w:t>
      </w:r>
      <w:r w:rsidR="004B07AD" w:rsidRPr="004B07AD">
        <w:rPr>
          <w:rFonts w:cs="Calibri"/>
          <w:color w:val="000000" w:themeColor="text1"/>
        </w:rPr>
        <w:t xml:space="preserve"> u</w:t>
      </w:r>
      <w:r w:rsidR="00623FEE" w:rsidRPr="004B07AD">
        <w:rPr>
          <w:rFonts w:cs="Calibri"/>
          <w:color w:val="000000" w:themeColor="text1"/>
        </w:rPr>
        <w:t xml:space="preserve">tilizar os dados de forma responsável, </w:t>
      </w:r>
      <w:r w:rsidR="00503C9A" w:rsidRPr="004B07AD">
        <w:rPr>
          <w:rFonts w:cs="Calibri"/>
          <w:color w:val="000000" w:themeColor="text1"/>
        </w:rPr>
        <w:t>respeitando os princípios de segurança e confidencialidade</w:t>
      </w:r>
      <w:r w:rsidR="004B07AD" w:rsidRPr="004B07AD">
        <w:rPr>
          <w:rFonts w:cs="Calibri"/>
          <w:color w:val="000000" w:themeColor="text1"/>
        </w:rPr>
        <w:t>, e r</w:t>
      </w:r>
      <w:r w:rsidR="00603F42" w:rsidRPr="004B07AD">
        <w:rPr>
          <w:rFonts w:cs="Calibri"/>
          <w:color w:val="000000" w:themeColor="text1"/>
        </w:rPr>
        <w:t>eportar eventuais incidências ou inconsistências de qualidade</w:t>
      </w:r>
      <w:r w:rsidR="004B07AD" w:rsidRPr="004B07AD">
        <w:rPr>
          <w:rFonts w:cs="Calibri"/>
          <w:color w:val="000000" w:themeColor="text1"/>
        </w:rPr>
        <w:t>.</w:t>
      </w:r>
    </w:p>
    <w:p w14:paraId="714D7BFB" w14:textId="5AF7324F" w:rsidR="000C0309" w:rsidRPr="0000577A" w:rsidRDefault="00D64D42" w:rsidP="006722F6">
      <w:pPr>
        <w:pStyle w:val="Ttulo11"/>
        <w:numPr>
          <w:ilvl w:val="0"/>
          <w:numId w:val="1"/>
        </w:numPr>
      </w:pPr>
      <w:bookmarkStart w:id="16" w:name="_Toc205549119"/>
      <w:bookmarkEnd w:id="2"/>
      <w:r w:rsidRPr="0000577A">
        <w:lastRenderedPageBreak/>
        <w:t>Conclusão</w:t>
      </w:r>
      <w:bookmarkEnd w:id="16"/>
    </w:p>
    <w:p w14:paraId="51880C7A" w14:textId="045D7904" w:rsidR="00D64D42" w:rsidRDefault="00615275" w:rsidP="009455A4">
      <w:pPr>
        <w:pStyle w:val="Corpo"/>
        <w:spacing w:after="240"/>
        <w:jc w:val="both"/>
        <w:rPr>
          <w:rFonts w:cs="Calibri"/>
          <w:color w:val="000000" w:themeColor="text1"/>
        </w:rPr>
      </w:pPr>
      <w:r w:rsidRPr="0000577A">
        <w:rPr>
          <w:rFonts w:cs="Calibri"/>
          <w:color w:val="000000" w:themeColor="text1"/>
        </w:rPr>
        <w:t xml:space="preserve">A </w:t>
      </w:r>
      <w:r w:rsidR="003578EF" w:rsidRPr="001E4B3A">
        <w:rPr>
          <w:bCs/>
        </w:rPr>
        <w:t>adoção integral da norma IFRS 9</w:t>
      </w:r>
      <w:r w:rsidR="003578EF">
        <w:rPr>
          <w:bCs/>
        </w:rPr>
        <w:t xml:space="preserve"> </w:t>
      </w:r>
      <w:r w:rsidR="00D64D42" w:rsidRPr="0000577A">
        <w:rPr>
          <w:rFonts w:cs="Calibri"/>
          <w:color w:val="000000" w:themeColor="text1"/>
        </w:rPr>
        <w:t xml:space="preserve">exige um modelo de gestão </w:t>
      </w:r>
      <w:r w:rsidR="00A93265">
        <w:rPr>
          <w:rFonts w:cs="Calibri"/>
          <w:color w:val="000000" w:themeColor="text1"/>
        </w:rPr>
        <w:t xml:space="preserve">capacitado para </w:t>
      </w:r>
      <w:r w:rsidR="00A93265" w:rsidRPr="0000577A">
        <w:rPr>
          <w:rFonts w:cs="Calibri"/>
          <w:color w:val="000000" w:themeColor="text1"/>
        </w:rPr>
        <w:t xml:space="preserve">os </w:t>
      </w:r>
      <w:r w:rsidR="00D64D42" w:rsidRPr="0000577A">
        <w:rPr>
          <w:rFonts w:cs="Calibri"/>
          <w:color w:val="000000" w:themeColor="text1"/>
        </w:rPr>
        <w:t xml:space="preserve">desafios regulatórios, operacionais e </w:t>
      </w:r>
      <w:r w:rsidR="003B584B" w:rsidRPr="0000577A">
        <w:rPr>
          <w:rFonts w:cs="Calibri"/>
          <w:color w:val="000000" w:themeColor="text1"/>
        </w:rPr>
        <w:t>tecnológicos</w:t>
      </w:r>
      <w:r w:rsidR="00D64D42" w:rsidRPr="0000577A">
        <w:rPr>
          <w:rFonts w:cs="Calibri"/>
          <w:color w:val="000000" w:themeColor="text1"/>
        </w:rPr>
        <w:t xml:space="preserve"> atuais. O modelo aqui descrito reflete uma abordagem integrada, com clareza de responsabilidades, </w:t>
      </w:r>
      <w:r w:rsidR="008D6337">
        <w:rPr>
          <w:rFonts w:cs="Calibri"/>
          <w:color w:val="000000" w:themeColor="text1"/>
        </w:rPr>
        <w:t>identificação de</w:t>
      </w:r>
      <w:r w:rsidR="00D64D42" w:rsidRPr="0000577A">
        <w:rPr>
          <w:rFonts w:cs="Calibri"/>
          <w:color w:val="000000" w:themeColor="text1"/>
        </w:rPr>
        <w:t xml:space="preserve"> mecanismos de controlo e </w:t>
      </w:r>
      <w:r w:rsidR="003B584B" w:rsidRPr="0000577A">
        <w:rPr>
          <w:rFonts w:cs="Calibri"/>
          <w:color w:val="000000" w:themeColor="text1"/>
        </w:rPr>
        <w:t>compromisso</w:t>
      </w:r>
      <w:r w:rsidR="00D64D42" w:rsidRPr="0000577A">
        <w:rPr>
          <w:rFonts w:cs="Calibri"/>
          <w:color w:val="000000" w:themeColor="text1"/>
        </w:rPr>
        <w:t xml:space="preserve"> com a qualidade da </w:t>
      </w:r>
      <w:r w:rsidR="003B584B" w:rsidRPr="0000577A">
        <w:rPr>
          <w:rFonts w:cs="Calibri"/>
          <w:color w:val="000000" w:themeColor="text1"/>
        </w:rPr>
        <w:t>informação</w:t>
      </w:r>
      <w:r w:rsidR="00D64D42" w:rsidRPr="0000577A">
        <w:rPr>
          <w:rFonts w:cs="Calibri"/>
          <w:color w:val="000000" w:themeColor="text1"/>
        </w:rPr>
        <w:t>.</w:t>
      </w:r>
    </w:p>
    <w:p w14:paraId="5F1D4670" w14:textId="77777777" w:rsidR="009455A4" w:rsidRDefault="009455A4" w:rsidP="009455A4">
      <w:pPr>
        <w:pStyle w:val="Corpo"/>
        <w:spacing w:after="24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Cada capítulo do documento contribui de forma específica para a robustez do modelo:</w:t>
      </w:r>
    </w:p>
    <w:p w14:paraId="302F321A" w14:textId="5D06EE7E" w:rsidR="00E354BA" w:rsidRPr="00BC3E62" w:rsidRDefault="00B8028C" w:rsidP="006722F6">
      <w:pPr>
        <w:pStyle w:val="Corpo"/>
        <w:numPr>
          <w:ilvl w:val="0"/>
          <w:numId w:val="4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r w:rsidRPr="003233DA">
        <w:rPr>
          <w:rFonts w:cs="Calibri"/>
          <w:color w:val="000000" w:themeColor="text1"/>
          <w:u w:val="single"/>
        </w:rPr>
        <w:t>Enquadramento</w:t>
      </w:r>
      <w:r w:rsidR="00AE7ADC">
        <w:rPr>
          <w:rFonts w:cs="Calibri"/>
          <w:color w:val="000000" w:themeColor="text1"/>
          <w:u w:val="single"/>
        </w:rPr>
        <w:t xml:space="preserve"> do Modelo</w:t>
      </w:r>
      <w:r w:rsidR="00992858" w:rsidRPr="00992858">
        <w:rPr>
          <w:rFonts w:cs="Calibri"/>
          <w:color w:val="000000" w:themeColor="text1"/>
        </w:rPr>
        <w:t xml:space="preserve"> – </w:t>
      </w:r>
      <w:r w:rsidR="003538DA">
        <w:rPr>
          <w:rFonts w:cs="Calibri"/>
          <w:color w:val="000000" w:themeColor="text1"/>
        </w:rPr>
        <w:t>A</w:t>
      </w:r>
      <w:r w:rsidR="001C7F82" w:rsidRPr="003233DA">
        <w:rPr>
          <w:rFonts w:cs="Calibri"/>
          <w:color w:val="000000" w:themeColor="text1"/>
        </w:rPr>
        <w:t>presenta o racional e princípios orientadores</w:t>
      </w:r>
      <w:r w:rsidR="000E792A" w:rsidRPr="003233DA">
        <w:rPr>
          <w:rFonts w:cs="Calibri"/>
          <w:color w:val="000000" w:themeColor="text1"/>
        </w:rPr>
        <w:t xml:space="preserve"> através de uma </w:t>
      </w:r>
      <w:r w:rsidR="00F44EAE">
        <w:rPr>
          <w:rFonts w:cs="Calibri"/>
          <w:color w:val="000000" w:themeColor="text1"/>
        </w:rPr>
        <w:t>representação</w:t>
      </w:r>
      <w:r w:rsidR="00173FF2">
        <w:rPr>
          <w:rFonts w:cs="Calibri"/>
          <w:color w:val="000000" w:themeColor="text1"/>
        </w:rPr>
        <w:t xml:space="preserve"> visual e</w:t>
      </w:r>
      <w:r w:rsidR="000E792A" w:rsidRPr="003233DA">
        <w:rPr>
          <w:rFonts w:cs="Calibri"/>
          <w:color w:val="000000" w:themeColor="text1"/>
        </w:rPr>
        <w:t xml:space="preserve"> agregada</w:t>
      </w:r>
      <w:r w:rsidR="001C7F82" w:rsidRPr="003233DA">
        <w:rPr>
          <w:rFonts w:cs="Calibri"/>
          <w:color w:val="000000" w:themeColor="text1"/>
        </w:rPr>
        <w:t>,</w:t>
      </w:r>
      <w:r w:rsidR="00173FF2">
        <w:rPr>
          <w:rFonts w:cs="Calibri"/>
          <w:color w:val="000000" w:themeColor="text1"/>
        </w:rPr>
        <w:t xml:space="preserve"> que</w:t>
      </w:r>
      <w:r w:rsidR="001C7F82" w:rsidRPr="003233DA">
        <w:rPr>
          <w:rFonts w:cs="Calibri"/>
          <w:color w:val="000000" w:themeColor="text1"/>
        </w:rPr>
        <w:t xml:space="preserve"> estabelece</w:t>
      </w:r>
      <w:r w:rsidR="000E792A" w:rsidRPr="003233DA">
        <w:rPr>
          <w:rFonts w:cs="Calibri"/>
          <w:color w:val="000000" w:themeColor="text1"/>
        </w:rPr>
        <w:t xml:space="preserve"> </w:t>
      </w:r>
      <w:r w:rsidR="001C7F82" w:rsidRPr="003233DA">
        <w:rPr>
          <w:rFonts w:cs="Calibri"/>
          <w:color w:val="000000" w:themeColor="text1"/>
        </w:rPr>
        <w:t>as bases conceptuais que sustentam o modelo</w:t>
      </w:r>
      <w:r w:rsidR="000E792A" w:rsidRPr="003233DA">
        <w:rPr>
          <w:rFonts w:cs="Calibri"/>
          <w:color w:val="000000" w:themeColor="text1"/>
        </w:rPr>
        <w:t xml:space="preserve"> e </w:t>
      </w:r>
      <w:r w:rsidR="00173FF2">
        <w:rPr>
          <w:rFonts w:cs="Calibri"/>
          <w:color w:val="000000" w:themeColor="text1"/>
        </w:rPr>
        <w:t xml:space="preserve">facilita </w:t>
      </w:r>
      <w:r w:rsidR="003233DA" w:rsidRPr="003233DA">
        <w:rPr>
          <w:rFonts w:cs="Calibri"/>
          <w:color w:val="000000" w:themeColor="text1"/>
        </w:rPr>
        <w:t>a navegação</w:t>
      </w:r>
      <w:r w:rsidR="00B44BA0">
        <w:rPr>
          <w:rFonts w:cs="Calibri"/>
          <w:color w:val="000000" w:themeColor="text1"/>
        </w:rPr>
        <w:t xml:space="preserve"> e compreensão do restante conteúdo</w:t>
      </w:r>
      <w:r w:rsidR="00714A5B">
        <w:rPr>
          <w:rFonts w:cs="Calibri"/>
          <w:color w:val="000000" w:themeColor="text1"/>
        </w:rPr>
        <w:t>, d</w:t>
      </w:r>
      <w:r w:rsidR="00413B71" w:rsidRPr="00714A5B">
        <w:rPr>
          <w:rFonts w:cs="Calibri"/>
          <w:color w:val="000000" w:themeColor="text1"/>
        </w:rPr>
        <w:t>etalh</w:t>
      </w:r>
      <w:r w:rsidR="00B44BA0" w:rsidRPr="00714A5B">
        <w:rPr>
          <w:rFonts w:cs="Calibri"/>
          <w:color w:val="000000" w:themeColor="text1"/>
        </w:rPr>
        <w:t>a</w:t>
      </w:r>
      <w:r w:rsidR="00714A5B">
        <w:rPr>
          <w:rFonts w:cs="Calibri"/>
          <w:color w:val="000000" w:themeColor="text1"/>
        </w:rPr>
        <w:t>ndo</w:t>
      </w:r>
      <w:r w:rsidR="00413B71" w:rsidRPr="00714A5B">
        <w:rPr>
          <w:rFonts w:cs="Calibri"/>
          <w:color w:val="000000" w:themeColor="text1"/>
        </w:rPr>
        <w:t xml:space="preserve"> </w:t>
      </w:r>
      <w:r w:rsidR="00BC3E62">
        <w:rPr>
          <w:rFonts w:cs="Calibri"/>
          <w:color w:val="000000" w:themeColor="text1"/>
        </w:rPr>
        <w:t>os objetivos</w:t>
      </w:r>
      <w:r w:rsidR="00413B71" w:rsidRPr="0011207C">
        <w:rPr>
          <w:rFonts w:cs="Calibri"/>
          <w:color w:val="000000" w:themeColor="text1"/>
        </w:rPr>
        <w:t xml:space="preserve">, políticas, princípios de </w:t>
      </w:r>
      <w:proofErr w:type="spellStart"/>
      <w:r w:rsidR="00413B71" w:rsidRPr="0011207C">
        <w:rPr>
          <w:rFonts w:cs="Calibri"/>
          <w:i/>
          <w:iCs/>
          <w:color w:val="000000" w:themeColor="text1"/>
        </w:rPr>
        <w:t>compliance</w:t>
      </w:r>
      <w:proofErr w:type="spellEnd"/>
      <w:r w:rsidR="00413B71" w:rsidRPr="0011207C">
        <w:rPr>
          <w:rFonts w:cs="Calibri"/>
          <w:color w:val="000000" w:themeColor="text1"/>
        </w:rPr>
        <w:t xml:space="preserve">, </w:t>
      </w:r>
      <w:r w:rsidR="0011207C" w:rsidRPr="0011207C">
        <w:rPr>
          <w:rFonts w:cs="Calibri"/>
          <w:color w:val="000000" w:themeColor="text1"/>
        </w:rPr>
        <w:t xml:space="preserve">e </w:t>
      </w:r>
      <w:r w:rsidR="00413B71" w:rsidRPr="0011207C">
        <w:rPr>
          <w:rFonts w:cs="Calibri"/>
          <w:color w:val="000000" w:themeColor="text1"/>
        </w:rPr>
        <w:t>gestão da mudança</w:t>
      </w:r>
      <w:r w:rsidR="00BC3E62">
        <w:rPr>
          <w:rFonts w:cs="Calibri"/>
          <w:color w:val="000000" w:themeColor="text1"/>
        </w:rPr>
        <w:t>.</w:t>
      </w:r>
    </w:p>
    <w:p w14:paraId="345F75AD" w14:textId="10F832DF" w:rsidR="00AE6106" w:rsidRPr="00BC3E62" w:rsidRDefault="00A93B99" w:rsidP="006722F6">
      <w:pPr>
        <w:pStyle w:val="Corpo"/>
        <w:numPr>
          <w:ilvl w:val="0"/>
          <w:numId w:val="4"/>
        </w:numPr>
        <w:spacing w:before="0" w:after="0" w:line="240" w:lineRule="auto"/>
        <w:ind w:right="0"/>
        <w:jc w:val="both"/>
        <w:rPr>
          <w:rFonts w:cs="Calibri"/>
          <w:color w:val="000000" w:themeColor="text1"/>
        </w:rPr>
      </w:pPr>
      <w:r w:rsidRPr="003A3372">
        <w:rPr>
          <w:rFonts w:cs="Calibri"/>
          <w:color w:val="000000" w:themeColor="text1"/>
          <w:u w:val="single"/>
        </w:rPr>
        <w:t>Estrutura e Responsabilidades</w:t>
      </w:r>
      <w:r w:rsidR="00992858" w:rsidRPr="00992858">
        <w:rPr>
          <w:rFonts w:cs="Calibri"/>
          <w:color w:val="000000" w:themeColor="text1"/>
        </w:rPr>
        <w:t xml:space="preserve"> –</w:t>
      </w:r>
      <w:r w:rsidR="003538DA">
        <w:rPr>
          <w:rFonts w:cs="Calibri"/>
          <w:color w:val="000000" w:themeColor="text1"/>
        </w:rPr>
        <w:t xml:space="preserve"> </w:t>
      </w:r>
      <w:r w:rsidR="003538DA" w:rsidRPr="003A3372">
        <w:rPr>
          <w:rFonts w:cs="Calibri"/>
          <w:color w:val="000000" w:themeColor="text1"/>
        </w:rPr>
        <w:t>Clarifica</w:t>
      </w:r>
      <w:r w:rsidR="00A43354" w:rsidRPr="003A3372">
        <w:rPr>
          <w:rFonts w:cs="Calibri"/>
          <w:color w:val="000000" w:themeColor="text1"/>
        </w:rPr>
        <w:t xml:space="preserve"> </w:t>
      </w:r>
      <w:r w:rsidR="00A465EB" w:rsidRPr="003A3372">
        <w:rPr>
          <w:rFonts w:cs="Calibri"/>
          <w:color w:val="000000" w:themeColor="text1"/>
        </w:rPr>
        <w:t>os papéis</w:t>
      </w:r>
      <w:r w:rsidR="00A43354" w:rsidRPr="003A3372">
        <w:rPr>
          <w:rFonts w:cs="Calibri"/>
          <w:color w:val="000000" w:themeColor="text1"/>
        </w:rPr>
        <w:t>, responsabilidades e interações em fóruns</w:t>
      </w:r>
      <w:r w:rsidR="00A93265">
        <w:rPr>
          <w:rFonts w:cs="Calibri"/>
          <w:color w:val="000000" w:themeColor="text1"/>
        </w:rPr>
        <w:t>/comités</w:t>
      </w:r>
      <w:r w:rsidR="00A43354" w:rsidRPr="003A3372">
        <w:rPr>
          <w:rFonts w:cs="Calibri"/>
          <w:color w:val="000000" w:themeColor="text1"/>
        </w:rPr>
        <w:t xml:space="preserve"> adequados</w:t>
      </w:r>
      <w:r w:rsidR="003B049C" w:rsidRPr="003A3372">
        <w:rPr>
          <w:rFonts w:cs="Calibri"/>
          <w:color w:val="000000" w:themeColor="text1"/>
        </w:rPr>
        <w:t xml:space="preserve"> entre as áreas funcionais e técnicas</w:t>
      </w:r>
      <w:r w:rsidR="004F4333" w:rsidRPr="003A3372">
        <w:rPr>
          <w:rFonts w:cs="Calibri"/>
          <w:color w:val="000000" w:themeColor="text1"/>
        </w:rPr>
        <w:t>,</w:t>
      </w:r>
      <w:r w:rsidR="003B049C" w:rsidRPr="003A3372">
        <w:rPr>
          <w:rFonts w:cs="Calibri"/>
          <w:color w:val="000000" w:themeColor="text1"/>
        </w:rPr>
        <w:t xml:space="preserve"> garant</w:t>
      </w:r>
      <w:r w:rsidR="003538DA">
        <w:rPr>
          <w:rFonts w:cs="Calibri"/>
          <w:color w:val="000000" w:themeColor="text1"/>
        </w:rPr>
        <w:t>indo</w:t>
      </w:r>
      <w:r w:rsidR="003B049C" w:rsidRPr="003A3372">
        <w:rPr>
          <w:rFonts w:cs="Calibri"/>
          <w:color w:val="000000" w:themeColor="text1"/>
        </w:rPr>
        <w:t xml:space="preserve"> </w:t>
      </w:r>
      <w:r w:rsidR="004F4333" w:rsidRPr="003A3372">
        <w:rPr>
          <w:rFonts w:cs="Calibri"/>
          <w:color w:val="000000" w:themeColor="text1"/>
        </w:rPr>
        <w:t xml:space="preserve">uma gestão </w:t>
      </w:r>
      <w:r w:rsidR="00E16393">
        <w:rPr>
          <w:rFonts w:cs="Calibri"/>
          <w:color w:val="000000" w:themeColor="text1"/>
        </w:rPr>
        <w:t>eficiente</w:t>
      </w:r>
      <w:r w:rsidR="004F4333" w:rsidRPr="003A3372">
        <w:rPr>
          <w:rFonts w:cs="Calibri"/>
          <w:color w:val="000000" w:themeColor="text1"/>
        </w:rPr>
        <w:t xml:space="preserve"> e colaborativa.</w:t>
      </w:r>
      <w:r w:rsidR="00A465EB" w:rsidRPr="003A3372">
        <w:rPr>
          <w:rFonts w:cs="Calibri"/>
          <w:color w:val="000000" w:themeColor="text1"/>
        </w:rPr>
        <w:t xml:space="preserve"> É essencial para</w:t>
      </w:r>
      <w:r w:rsidR="003A3372" w:rsidRPr="003A3372">
        <w:rPr>
          <w:rFonts w:cs="Calibri"/>
          <w:color w:val="000000" w:themeColor="text1"/>
        </w:rPr>
        <w:t xml:space="preserve"> garantir um </w:t>
      </w:r>
      <w:r w:rsidR="008E2207" w:rsidRPr="0092050A">
        <w:rPr>
          <w:rFonts w:cs="Calibri"/>
          <w:color w:val="000000" w:themeColor="text1"/>
        </w:rPr>
        <w:t>govern</w:t>
      </w:r>
      <w:r w:rsidR="0092784B" w:rsidRPr="0092050A">
        <w:rPr>
          <w:rFonts w:cs="Calibri"/>
          <w:color w:val="000000" w:themeColor="text1"/>
        </w:rPr>
        <w:t>o</w:t>
      </w:r>
      <w:r w:rsidR="008E2207" w:rsidRPr="00BC3E62">
        <w:rPr>
          <w:rFonts w:cs="Calibri"/>
          <w:color w:val="000000" w:themeColor="text1"/>
        </w:rPr>
        <w:t xml:space="preserve"> </w:t>
      </w:r>
      <w:r w:rsidR="003A3372" w:rsidRPr="003A3372">
        <w:rPr>
          <w:rFonts w:cs="Calibri"/>
          <w:color w:val="000000" w:themeColor="text1"/>
        </w:rPr>
        <w:t>eficaz e</w:t>
      </w:r>
      <w:r w:rsidR="00A465EB" w:rsidRPr="003A3372">
        <w:rPr>
          <w:rFonts w:cs="Calibri"/>
          <w:color w:val="000000" w:themeColor="text1"/>
        </w:rPr>
        <w:t xml:space="preserve"> responder a exigências de auditoria</w:t>
      </w:r>
      <w:r w:rsidR="00BC3E62">
        <w:rPr>
          <w:rFonts w:cs="Calibri"/>
          <w:color w:val="000000" w:themeColor="text1"/>
        </w:rPr>
        <w:t>.</w:t>
      </w:r>
    </w:p>
    <w:p w14:paraId="35C7CD86" w14:textId="32B5E2B8" w:rsidR="00BF22D4" w:rsidRPr="006E64B3" w:rsidRDefault="00DA1CED" w:rsidP="00BC3E62">
      <w:pPr>
        <w:pStyle w:val="Corpo"/>
        <w:spacing w:after="240"/>
        <w:jc w:val="both"/>
        <w:rPr>
          <w:rFonts w:cs="Calibri"/>
          <w:color w:val="000000" w:themeColor="text1"/>
        </w:rPr>
      </w:pPr>
      <w:r w:rsidRPr="009371E3">
        <w:rPr>
          <w:rFonts w:cs="Calibri"/>
          <w:color w:val="000000" w:themeColor="text1"/>
        </w:rPr>
        <w:t>Neste sentido</w:t>
      </w:r>
      <w:r w:rsidR="009371E3" w:rsidRPr="009371E3">
        <w:rPr>
          <w:rFonts w:cs="Calibri"/>
          <w:color w:val="000000" w:themeColor="text1"/>
        </w:rPr>
        <w:t>, o modelo de</w:t>
      </w:r>
      <w:r w:rsidR="009371E3" w:rsidRPr="00E92DFA">
        <w:rPr>
          <w:rFonts w:cs="Calibri"/>
          <w:color w:val="000000" w:themeColor="text1"/>
        </w:rPr>
        <w:t xml:space="preserve"> </w:t>
      </w:r>
      <w:r w:rsidR="008E2207" w:rsidRPr="0092050A">
        <w:rPr>
          <w:rFonts w:cs="Calibri"/>
          <w:color w:val="000000" w:themeColor="text1"/>
        </w:rPr>
        <w:t>govern</w:t>
      </w:r>
      <w:r w:rsidR="00E92DFA" w:rsidRPr="0092050A">
        <w:rPr>
          <w:rFonts w:cs="Calibri"/>
          <w:color w:val="000000" w:themeColor="text1"/>
        </w:rPr>
        <w:t>o</w:t>
      </w:r>
      <w:r w:rsidR="008E2207" w:rsidRPr="00BC3E62">
        <w:rPr>
          <w:rFonts w:cs="Calibri"/>
          <w:color w:val="000000" w:themeColor="text1"/>
        </w:rPr>
        <w:t xml:space="preserve"> </w:t>
      </w:r>
      <w:r w:rsidR="009371E3" w:rsidRPr="009371E3">
        <w:rPr>
          <w:rFonts w:cs="Calibri"/>
          <w:color w:val="000000" w:themeColor="text1"/>
        </w:rPr>
        <w:t>formalizado</w:t>
      </w:r>
      <w:r w:rsidR="00B33736" w:rsidRPr="009371E3">
        <w:rPr>
          <w:rFonts w:cs="Calibri"/>
          <w:color w:val="000000" w:themeColor="text1"/>
        </w:rPr>
        <w:t xml:space="preserve"> </w:t>
      </w:r>
      <w:r w:rsidR="009371E3" w:rsidRPr="009371E3">
        <w:rPr>
          <w:rFonts w:cs="Calibri"/>
          <w:color w:val="000000" w:themeColor="text1"/>
        </w:rPr>
        <w:t>e</w:t>
      </w:r>
      <w:r w:rsidR="001C7474" w:rsidRPr="009371E3">
        <w:rPr>
          <w:rFonts w:cs="Calibri"/>
          <w:color w:val="000000" w:themeColor="text1"/>
        </w:rPr>
        <w:t>videncia</w:t>
      </w:r>
      <w:r w:rsidR="005A658B">
        <w:rPr>
          <w:rFonts w:cs="Calibri"/>
          <w:color w:val="000000" w:themeColor="text1"/>
        </w:rPr>
        <w:t xml:space="preserve"> seu</w:t>
      </w:r>
      <w:r w:rsidR="001C7474" w:rsidRPr="00992858">
        <w:rPr>
          <w:rFonts w:cs="Calibri"/>
          <w:color w:val="000000" w:themeColor="text1"/>
        </w:rPr>
        <w:t xml:space="preserve"> o valor, destacando</w:t>
      </w:r>
      <w:r w:rsidR="003239FC" w:rsidRPr="00992858">
        <w:rPr>
          <w:rFonts w:cs="Calibri"/>
          <w:color w:val="000000" w:themeColor="text1"/>
        </w:rPr>
        <w:t xml:space="preserve"> ganhos no que concerne </w:t>
      </w:r>
      <w:r w:rsidR="007A5AF5">
        <w:rPr>
          <w:rFonts w:cs="Calibri"/>
          <w:color w:val="000000" w:themeColor="text1"/>
        </w:rPr>
        <w:t>à</w:t>
      </w:r>
      <w:r w:rsidR="009631C1" w:rsidRPr="00992858">
        <w:rPr>
          <w:rFonts w:cs="Calibri"/>
          <w:color w:val="000000" w:themeColor="text1"/>
        </w:rPr>
        <w:t xml:space="preserve"> conformidade regulatória e alinhamento estratégico</w:t>
      </w:r>
      <w:r w:rsidR="00D50193">
        <w:rPr>
          <w:rFonts w:cs="Calibri"/>
          <w:color w:val="000000" w:themeColor="text1"/>
        </w:rPr>
        <w:t>, r</w:t>
      </w:r>
      <w:r w:rsidR="009631C1" w:rsidRPr="00992858">
        <w:rPr>
          <w:rFonts w:cs="Calibri"/>
          <w:color w:val="000000" w:themeColor="text1"/>
        </w:rPr>
        <w:t>eforça</w:t>
      </w:r>
      <w:r w:rsidR="00D50193">
        <w:rPr>
          <w:rFonts w:cs="Calibri"/>
          <w:color w:val="000000" w:themeColor="text1"/>
        </w:rPr>
        <w:t>ndo</w:t>
      </w:r>
      <w:r w:rsidR="009631C1" w:rsidRPr="00992858">
        <w:rPr>
          <w:rFonts w:cs="Calibri"/>
          <w:color w:val="000000" w:themeColor="text1"/>
        </w:rPr>
        <w:t xml:space="preserve"> o compromisso </w:t>
      </w:r>
      <w:r w:rsidR="004B327C" w:rsidRPr="00992858">
        <w:rPr>
          <w:rFonts w:cs="Calibri"/>
          <w:color w:val="000000" w:themeColor="text1"/>
        </w:rPr>
        <w:t xml:space="preserve">institucional com </w:t>
      </w:r>
      <w:r w:rsidR="00EE01C6" w:rsidRPr="00992858">
        <w:rPr>
          <w:rFonts w:cs="Calibri"/>
          <w:color w:val="000000" w:themeColor="text1"/>
        </w:rPr>
        <w:t xml:space="preserve">o </w:t>
      </w:r>
      <w:r w:rsidR="008E2207" w:rsidRPr="0092050A">
        <w:rPr>
          <w:rFonts w:cs="Calibri"/>
          <w:color w:val="000000" w:themeColor="text1"/>
        </w:rPr>
        <w:t>govern</w:t>
      </w:r>
      <w:r w:rsidR="0092784B" w:rsidRPr="0092050A">
        <w:rPr>
          <w:rFonts w:cs="Calibri"/>
          <w:color w:val="000000" w:themeColor="text1"/>
        </w:rPr>
        <w:t>o</w:t>
      </w:r>
      <w:r w:rsidR="008E2207" w:rsidRPr="00BC3E62">
        <w:rPr>
          <w:rFonts w:cs="Calibri"/>
          <w:color w:val="000000" w:themeColor="text1"/>
        </w:rPr>
        <w:t xml:space="preserve"> </w:t>
      </w:r>
      <w:r w:rsidR="00EE01C6" w:rsidRPr="00992858">
        <w:rPr>
          <w:rFonts w:cs="Calibri"/>
          <w:color w:val="000000" w:themeColor="text1"/>
        </w:rPr>
        <w:t xml:space="preserve">de </w:t>
      </w:r>
      <w:proofErr w:type="spellStart"/>
      <w:r w:rsidR="00E118F0" w:rsidRPr="00E118F0">
        <w:rPr>
          <w:rFonts w:cs="Calibri"/>
          <w:i/>
          <w:iCs/>
          <w:color w:val="000000" w:themeColor="text1"/>
        </w:rPr>
        <w:t>h</w:t>
      </w:r>
      <w:r w:rsidR="00E118F0">
        <w:rPr>
          <w:rFonts w:cs="Calibri"/>
          <w:i/>
          <w:iCs/>
          <w:color w:val="000000" w:themeColor="text1"/>
        </w:rPr>
        <w:t>edge</w:t>
      </w:r>
      <w:proofErr w:type="spellEnd"/>
      <w:r w:rsidR="00E118F0">
        <w:rPr>
          <w:rFonts w:cs="Calibri"/>
          <w:i/>
          <w:iCs/>
          <w:color w:val="000000" w:themeColor="text1"/>
        </w:rPr>
        <w:t xml:space="preserve"> </w:t>
      </w:r>
      <w:proofErr w:type="spellStart"/>
      <w:r w:rsidR="00E118F0" w:rsidRPr="00E118F0">
        <w:rPr>
          <w:rFonts w:cs="Calibri"/>
          <w:i/>
          <w:iCs/>
          <w:color w:val="000000" w:themeColor="text1"/>
        </w:rPr>
        <w:t>a</w:t>
      </w:r>
      <w:r w:rsidR="00E118F0">
        <w:rPr>
          <w:rFonts w:cs="Calibri"/>
          <w:i/>
          <w:iCs/>
          <w:color w:val="000000" w:themeColor="text1"/>
        </w:rPr>
        <w:t>ccounting</w:t>
      </w:r>
      <w:proofErr w:type="spellEnd"/>
      <w:r w:rsidR="0099668E" w:rsidRPr="00BC3E62">
        <w:rPr>
          <w:rFonts w:cs="Calibri"/>
          <w:color w:val="000000" w:themeColor="text1"/>
        </w:rPr>
        <w:t>.</w:t>
      </w:r>
    </w:p>
    <w:p w14:paraId="04658015" w14:textId="06C77C7F" w:rsidR="002779A8" w:rsidRPr="0000577A" w:rsidRDefault="00D64D42" w:rsidP="00BF22D4">
      <w:pPr>
        <w:pStyle w:val="Corpo"/>
        <w:spacing w:after="240"/>
        <w:jc w:val="both"/>
        <w:rPr>
          <w:rFonts w:cs="Calibri"/>
          <w:color w:val="000000" w:themeColor="text1"/>
        </w:rPr>
      </w:pPr>
      <w:r w:rsidRPr="0000577A">
        <w:rPr>
          <w:rFonts w:cs="Calibri"/>
          <w:color w:val="000000" w:themeColor="text1"/>
        </w:rPr>
        <w:t xml:space="preserve">A </w:t>
      </w:r>
      <w:r w:rsidR="008C4C1A">
        <w:rPr>
          <w:rFonts w:cs="Calibri"/>
          <w:color w:val="000000" w:themeColor="text1"/>
        </w:rPr>
        <w:t xml:space="preserve">sua </w:t>
      </w:r>
      <w:r w:rsidR="003B584B" w:rsidRPr="0000577A">
        <w:rPr>
          <w:rFonts w:cs="Calibri"/>
          <w:color w:val="000000" w:themeColor="text1"/>
        </w:rPr>
        <w:t>implementação</w:t>
      </w:r>
      <w:r w:rsidRPr="0000577A">
        <w:rPr>
          <w:rFonts w:cs="Calibri"/>
          <w:color w:val="000000" w:themeColor="text1"/>
        </w:rPr>
        <w:t xml:space="preserve"> </w:t>
      </w:r>
      <w:r w:rsidR="003B584B" w:rsidRPr="0000577A">
        <w:rPr>
          <w:rFonts w:cs="Calibri"/>
          <w:color w:val="000000" w:themeColor="text1"/>
        </w:rPr>
        <w:t>eficaz</w:t>
      </w:r>
      <w:r w:rsidRPr="0000577A">
        <w:rPr>
          <w:rFonts w:cs="Calibri"/>
          <w:color w:val="000000" w:themeColor="text1"/>
        </w:rPr>
        <w:t xml:space="preserve"> </w:t>
      </w:r>
      <w:r w:rsidR="003B584B" w:rsidRPr="0000577A">
        <w:rPr>
          <w:rFonts w:cs="Calibri"/>
          <w:color w:val="000000" w:themeColor="text1"/>
        </w:rPr>
        <w:t xml:space="preserve">contribui </w:t>
      </w:r>
      <w:r w:rsidRPr="0000577A">
        <w:rPr>
          <w:rFonts w:cs="Calibri"/>
          <w:color w:val="000000" w:themeColor="text1"/>
        </w:rPr>
        <w:t>decisivamente para garantir a conformidade regulamenta</w:t>
      </w:r>
      <w:r w:rsidR="003B584B" w:rsidRPr="0000577A">
        <w:rPr>
          <w:rFonts w:cs="Calibri"/>
          <w:color w:val="000000" w:themeColor="text1"/>
        </w:rPr>
        <w:t>r</w:t>
      </w:r>
      <w:r w:rsidRPr="0000577A">
        <w:rPr>
          <w:rFonts w:cs="Calibri"/>
          <w:color w:val="000000" w:themeColor="text1"/>
        </w:rPr>
        <w:t xml:space="preserve">, reforçar a confiança na </w:t>
      </w:r>
      <w:r w:rsidR="003B584B" w:rsidRPr="0000577A">
        <w:rPr>
          <w:rFonts w:cs="Calibri"/>
          <w:color w:val="000000" w:themeColor="text1"/>
        </w:rPr>
        <w:t>informação</w:t>
      </w:r>
      <w:r w:rsidRPr="0000577A">
        <w:rPr>
          <w:rFonts w:cs="Calibri"/>
          <w:color w:val="000000" w:themeColor="text1"/>
        </w:rPr>
        <w:t xml:space="preserve"> produzida e aumentar a eficiência do processo de reporte transversal </w:t>
      </w:r>
      <w:r w:rsidR="00AC2FD7">
        <w:rPr>
          <w:rFonts w:cs="Calibri"/>
          <w:color w:val="000000" w:themeColor="text1"/>
        </w:rPr>
        <w:t>do</w:t>
      </w:r>
      <w:r w:rsidR="008264CE">
        <w:rPr>
          <w:rFonts w:cs="Calibri"/>
          <w:color w:val="000000" w:themeColor="text1"/>
        </w:rPr>
        <w:t xml:space="preserve"> </w:t>
      </w:r>
      <w:r w:rsidR="00A15984">
        <w:rPr>
          <w:rFonts w:cs="Calibri"/>
          <w:color w:val="000000" w:themeColor="text1"/>
        </w:rPr>
        <w:t>Banco</w:t>
      </w:r>
      <w:r w:rsidR="00AE22BE">
        <w:rPr>
          <w:rFonts w:cs="Calibri"/>
          <w:color w:val="000000" w:themeColor="text1"/>
        </w:rPr>
        <w:t>.</w:t>
      </w:r>
    </w:p>
    <w:sectPr w:rsidR="002779A8" w:rsidRPr="0000577A" w:rsidSect="00CE38A1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094BB2" w14:textId="77777777" w:rsidR="0029691E" w:rsidRDefault="0029691E" w:rsidP="00CE38A1">
      <w:pPr>
        <w:spacing w:after="0" w:line="240" w:lineRule="auto"/>
      </w:pPr>
      <w:r>
        <w:separator/>
      </w:r>
    </w:p>
  </w:endnote>
  <w:endnote w:type="continuationSeparator" w:id="0">
    <w:p w14:paraId="5C0780A5" w14:textId="77777777" w:rsidR="0029691E" w:rsidRDefault="0029691E" w:rsidP="00CE3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o Sans Std">
    <w:altName w:val="Calibri"/>
    <w:charset w:val="00"/>
    <w:family w:val="swiss"/>
    <w:pitch w:val="variable"/>
    <w:sig w:usb0="800000AF" w:usb1="50002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28694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C846A5" w14:textId="035D3A5A" w:rsidR="00AE7C00" w:rsidRDefault="00AE7C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5B9C84" w14:textId="2334F5D9" w:rsidR="006C18D8" w:rsidRPr="006C18D8" w:rsidRDefault="006C18D8">
    <w:pPr>
      <w:pStyle w:val="Footer"/>
      <w:rPr>
        <w:rFonts w:ascii="Calibri" w:hAnsi="Calibri" w:cs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775354" w14:textId="77777777" w:rsidR="0029691E" w:rsidRDefault="0029691E" w:rsidP="00CE38A1">
      <w:pPr>
        <w:spacing w:after="0" w:line="240" w:lineRule="auto"/>
      </w:pPr>
      <w:r>
        <w:separator/>
      </w:r>
    </w:p>
  </w:footnote>
  <w:footnote w:type="continuationSeparator" w:id="0">
    <w:p w14:paraId="6B1D4DA9" w14:textId="77777777" w:rsidR="0029691E" w:rsidRDefault="0029691E" w:rsidP="00CE3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82B48" w14:textId="0353685A" w:rsidR="00CE38A1" w:rsidRDefault="00CE38A1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1EE50CC5" wp14:editId="1B26AB3C">
              <wp:simplePos x="0" y="0"/>
              <wp:positionH relativeFrom="margin">
                <wp:align>left</wp:align>
              </wp:positionH>
              <wp:positionV relativeFrom="margin">
                <wp:posOffset>-548640</wp:posOffset>
              </wp:positionV>
              <wp:extent cx="4382770" cy="266700"/>
              <wp:effectExtent l="0" t="0" r="0" b="0"/>
              <wp:wrapSquare wrapText="bothSides"/>
              <wp:docPr id="2136430758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277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B3EC7B" w14:textId="2E9A9DBE" w:rsidR="00CE38A1" w:rsidRPr="00D33F95" w:rsidRDefault="00D33F95" w:rsidP="00D33F95">
                          <w:pPr>
                            <w:pStyle w:val="Header"/>
                            <w:spacing w:before="100" w:beforeAutospacing="1"/>
                            <w:ind w:right="-96"/>
                            <w:rPr>
                              <w:rFonts w:ascii="Calibri" w:hAnsi="Calibri" w:cs="Calibri"/>
                              <w:b/>
                            </w:rPr>
                          </w:pPr>
                          <w:r w:rsidRPr="00D33F95">
                            <w:rPr>
                              <w:rFonts w:ascii="Calibri" w:hAnsi="Calibri" w:cs="Calibri"/>
                              <w:b/>
                              <w:color w:val="808080"/>
                            </w:rPr>
                            <w:t>Modelo</w:t>
                          </w:r>
                          <w:r w:rsidR="00CE38A1" w:rsidRPr="00D33F95">
                            <w:rPr>
                              <w:rFonts w:ascii="Calibri" w:hAnsi="Calibri" w:cs="Calibri"/>
                              <w:b/>
                              <w:color w:val="808080"/>
                            </w:rPr>
                            <w:t xml:space="preserve"> </w:t>
                          </w:r>
                          <w:r w:rsidRPr="00D33F95">
                            <w:rPr>
                              <w:rFonts w:ascii="Calibri" w:hAnsi="Calibri" w:cs="Calibri"/>
                              <w:b/>
                              <w:color w:val="808080"/>
                            </w:rPr>
                            <w:t>de</w:t>
                          </w:r>
                          <w:r w:rsidR="00CE38A1" w:rsidRPr="00D33F95">
                            <w:rPr>
                              <w:rFonts w:ascii="Calibri" w:hAnsi="Calibri" w:cs="Calibri"/>
                              <w:b/>
                              <w:color w:val="808080"/>
                            </w:rPr>
                            <w:t xml:space="preserve"> </w:t>
                          </w:r>
                          <w:r w:rsidR="000B03B6" w:rsidRPr="0092050A">
                            <w:rPr>
                              <w:rFonts w:ascii="Calibri" w:hAnsi="Calibri" w:cs="Calibri"/>
                              <w:b/>
                              <w:color w:val="808080"/>
                            </w:rPr>
                            <w:t>Govern</w:t>
                          </w:r>
                          <w:r w:rsidR="00E96086" w:rsidRPr="0092050A">
                            <w:rPr>
                              <w:rFonts w:ascii="Calibri" w:hAnsi="Calibri" w:cs="Calibri"/>
                              <w:b/>
                              <w:color w:val="808080"/>
                            </w:rPr>
                            <w:t>o</w:t>
                          </w:r>
                          <w:r w:rsidR="000B03B6">
                            <w:rPr>
                              <w:rFonts w:ascii="Calibri" w:hAnsi="Calibri" w:cs="Calibri"/>
                              <w:b/>
                              <w:i/>
                              <w:iCs/>
                              <w:color w:val="808080"/>
                            </w:rPr>
                            <w:t xml:space="preserve"> Operacional</w:t>
                          </w:r>
                          <w:r w:rsidRPr="00D33F95">
                            <w:rPr>
                              <w:rFonts w:ascii="Calibri" w:hAnsi="Calibri" w:cs="Calibri"/>
                              <w:b/>
                              <w:color w:val="808080"/>
                            </w:rPr>
                            <w:t xml:space="preserve"> </w:t>
                          </w:r>
                          <w:r w:rsidR="008F5538">
                            <w:rPr>
                              <w:rFonts w:ascii="Calibri" w:hAnsi="Calibri" w:cs="Calibri"/>
                              <w:b/>
                              <w:color w:val="808080"/>
                            </w:rPr>
                            <w:t xml:space="preserve">do Processo de </w:t>
                          </w:r>
                          <w:proofErr w:type="spellStart"/>
                          <w:r w:rsidR="008F5538">
                            <w:rPr>
                              <w:rFonts w:ascii="Calibri" w:hAnsi="Calibri" w:cs="Calibri"/>
                              <w:b/>
                              <w:i/>
                              <w:iCs/>
                              <w:color w:val="808080"/>
                            </w:rPr>
                            <w:t>Hedge</w:t>
                          </w:r>
                          <w:proofErr w:type="spellEnd"/>
                          <w:r w:rsidR="008F5538">
                            <w:rPr>
                              <w:rFonts w:ascii="Calibri" w:hAnsi="Calibri" w:cs="Calibri"/>
                              <w:b/>
                              <w:i/>
                              <w:iCs/>
                              <w:color w:val="808080"/>
                            </w:rPr>
                            <w:t xml:space="preserve"> </w:t>
                          </w:r>
                          <w:proofErr w:type="spellStart"/>
                          <w:r w:rsidR="008F5538">
                            <w:rPr>
                              <w:rFonts w:ascii="Calibri" w:hAnsi="Calibri" w:cs="Calibri"/>
                              <w:b/>
                              <w:i/>
                              <w:iCs/>
                              <w:color w:val="808080"/>
                            </w:rPr>
                            <w:t>Accounting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E50CC5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7" type="#_x0000_t202" style="position:absolute;margin-left:0;margin-top:-43.2pt;width:345.1pt;height:21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" stroked="f">
              <v:textbox>
                <w:txbxContent>
                  <w:p w14:paraId="4FB3EC7B" w14:textId="2E9A9DBE" w:rsidR="00CE38A1" w:rsidRPr="00D33F95" w:rsidRDefault="00D33F95" w:rsidP="00D33F95">
                    <w:pPr>
                      <w:pStyle w:val="Header"/>
                      <w:spacing w:before="100" w:beforeAutospacing="1"/>
                      <w:ind w:right="-96"/>
                      <w:rPr>
                        <w:rFonts w:ascii="Calibri" w:hAnsi="Calibri" w:cs="Calibri"/>
                        <w:b/>
                      </w:rPr>
                    </w:pPr>
                    <w:r w:rsidRPr="00D33F95">
                      <w:rPr>
                        <w:rFonts w:ascii="Calibri" w:hAnsi="Calibri" w:cs="Calibri"/>
                        <w:b/>
                        <w:color w:val="808080"/>
                      </w:rPr>
                      <w:t>Modelo</w:t>
                    </w:r>
                    <w:r w:rsidR="00CE38A1" w:rsidRPr="00D33F95">
                      <w:rPr>
                        <w:rFonts w:ascii="Calibri" w:hAnsi="Calibri" w:cs="Calibri"/>
                        <w:b/>
                        <w:color w:val="808080"/>
                      </w:rPr>
                      <w:t xml:space="preserve"> </w:t>
                    </w:r>
                    <w:r w:rsidRPr="00D33F95">
                      <w:rPr>
                        <w:rFonts w:ascii="Calibri" w:hAnsi="Calibri" w:cs="Calibri"/>
                        <w:b/>
                        <w:color w:val="808080"/>
                      </w:rPr>
                      <w:t>de</w:t>
                    </w:r>
                    <w:r w:rsidR="00CE38A1" w:rsidRPr="00D33F95">
                      <w:rPr>
                        <w:rFonts w:ascii="Calibri" w:hAnsi="Calibri" w:cs="Calibri"/>
                        <w:b/>
                        <w:color w:val="808080"/>
                      </w:rPr>
                      <w:t xml:space="preserve"> </w:t>
                    </w:r>
                    <w:r w:rsidR="000B03B6" w:rsidRPr="0092050A">
                      <w:rPr>
                        <w:rFonts w:ascii="Calibri" w:hAnsi="Calibri" w:cs="Calibri"/>
                        <w:b/>
                        <w:color w:val="808080"/>
                      </w:rPr>
                      <w:t>Govern</w:t>
                    </w:r>
                    <w:r w:rsidR="00E96086" w:rsidRPr="0092050A">
                      <w:rPr>
                        <w:rFonts w:ascii="Calibri" w:hAnsi="Calibri" w:cs="Calibri"/>
                        <w:b/>
                        <w:color w:val="808080"/>
                      </w:rPr>
                      <w:t>o</w:t>
                    </w:r>
                    <w:r w:rsidR="000B03B6">
                      <w:rPr>
                        <w:rFonts w:ascii="Calibri" w:hAnsi="Calibri" w:cs="Calibri"/>
                        <w:b/>
                        <w:i/>
                        <w:iCs/>
                        <w:color w:val="808080"/>
                      </w:rPr>
                      <w:t xml:space="preserve"> Operacional</w:t>
                    </w:r>
                    <w:r w:rsidRPr="00D33F95">
                      <w:rPr>
                        <w:rFonts w:ascii="Calibri" w:hAnsi="Calibri" w:cs="Calibri"/>
                        <w:b/>
                        <w:color w:val="808080"/>
                      </w:rPr>
                      <w:t xml:space="preserve"> </w:t>
                    </w:r>
                    <w:r w:rsidR="008F5538">
                      <w:rPr>
                        <w:rFonts w:ascii="Calibri" w:hAnsi="Calibri" w:cs="Calibri"/>
                        <w:b/>
                        <w:color w:val="808080"/>
                      </w:rPr>
                      <w:t xml:space="preserve">do Processo de </w:t>
                    </w:r>
                    <w:proofErr w:type="spellStart"/>
                    <w:r w:rsidR="008F5538">
                      <w:rPr>
                        <w:rFonts w:ascii="Calibri" w:hAnsi="Calibri" w:cs="Calibri"/>
                        <w:b/>
                        <w:i/>
                        <w:iCs/>
                        <w:color w:val="808080"/>
                      </w:rPr>
                      <w:t>Hedge</w:t>
                    </w:r>
                    <w:proofErr w:type="spellEnd"/>
                    <w:r w:rsidR="008F5538">
                      <w:rPr>
                        <w:rFonts w:ascii="Calibri" w:hAnsi="Calibri" w:cs="Calibri"/>
                        <w:b/>
                        <w:i/>
                        <w:iCs/>
                        <w:color w:val="808080"/>
                      </w:rPr>
                      <w:t xml:space="preserve"> </w:t>
                    </w:r>
                    <w:proofErr w:type="spellStart"/>
                    <w:r w:rsidR="008F5538">
                      <w:rPr>
                        <w:rFonts w:ascii="Calibri" w:hAnsi="Calibri" w:cs="Calibri"/>
                        <w:b/>
                        <w:i/>
                        <w:iCs/>
                        <w:color w:val="808080"/>
                      </w:rPr>
                      <w:t>Accounting</w:t>
                    </w:r>
                    <w:proofErr w:type="spellEnd"/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A112A"/>
    <w:multiLevelType w:val="hybridMultilevel"/>
    <w:tmpl w:val="8786BC2C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1D152F"/>
    <w:multiLevelType w:val="multilevel"/>
    <w:tmpl w:val="295E5DCE"/>
    <w:lvl w:ilvl="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03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2" w:hanging="2160"/>
      </w:pPr>
      <w:rPr>
        <w:rFonts w:hint="default"/>
      </w:rPr>
    </w:lvl>
  </w:abstractNum>
  <w:abstractNum w:abstractNumId="2" w15:restartNumberingAfterBreak="0">
    <w:nsid w:val="110808E0"/>
    <w:multiLevelType w:val="hybridMultilevel"/>
    <w:tmpl w:val="08EE1786"/>
    <w:lvl w:ilvl="0" w:tplc="0816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3" w15:restartNumberingAfterBreak="0">
    <w:nsid w:val="271C1B12"/>
    <w:multiLevelType w:val="hybridMultilevel"/>
    <w:tmpl w:val="6778CD8A"/>
    <w:lvl w:ilvl="0" w:tplc="0816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4" w15:restartNumberingAfterBreak="0">
    <w:nsid w:val="279D77C7"/>
    <w:multiLevelType w:val="hybridMultilevel"/>
    <w:tmpl w:val="BBB81242"/>
    <w:lvl w:ilvl="0" w:tplc="0816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5" w15:restartNumberingAfterBreak="0">
    <w:nsid w:val="2B825BCE"/>
    <w:multiLevelType w:val="hybridMultilevel"/>
    <w:tmpl w:val="72220232"/>
    <w:lvl w:ilvl="0" w:tplc="FFFFFFFF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816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num w:numId="1" w16cid:durableId="296617548">
    <w:abstractNumId w:val="1"/>
  </w:num>
  <w:num w:numId="2" w16cid:durableId="850988463">
    <w:abstractNumId w:val="4"/>
  </w:num>
  <w:num w:numId="3" w16cid:durableId="403451129">
    <w:abstractNumId w:val="2"/>
  </w:num>
  <w:num w:numId="4" w16cid:durableId="1131434784">
    <w:abstractNumId w:val="3"/>
  </w:num>
  <w:num w:numId="5" w16cid:durableId="482046578">
    <w:abstractNumId w:val="0"/>
  </w:num>
  <w:num w:numId="6" w16cid:durableId="68563933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A1"/>
    <w:rsid w:val="000021C2"/>
    <w:rsid w:val="00002AA0"/>
    <w:rsid w:val="000035EB"/>
    <w:rsid w:val="00003932"/>
    <w:rsid w:val="00003A95"/>
    <w:rsid w:val="00003AB7"/>
    <w:rsid w:val="00003F95"/>
    <w:rsid w:val="000040DD"/>
    <w:rsid w:val="000041A4"/>
    <w:rsid w:val="0000577A"/>
    <w:rsid w:val="00006284"/>
    <w:rsid w:val="000066A9"/>
    <w:rsid w:val="00007A38"/>
    <w:rsid w:val="00010308"/>
    <w:rsid w:val="00010F7F"/>
    <w:rsid w:val="00011014"/>
    <w:rsid w:val="00011020"/>
    <w:rsid w:val="000112E9"/>
    <w:rsid w:val="000120A0"/>
    <w:rsid w:val="00012384"/>
    <w:rsid w:val="0001267D"/>
    <w:rsid w:val="00012AEA"/>
    <w:rsid w:val="000136A3"/>
    <w:rsid w:val="0001389F"/>
    <w:rsid w:val="00013F0C"/>
    <w:rsid w:val="00014090"/>
    <w:rsid w:val="000144D5"/>
    <w:rsid w:val="000160ED"/>
    <w:rsid w:val="00016FB7"/>
    <w:rsid w:val="00017356"/>
    <w:rsid w:val="0002084B"/>
    <w:rsid w:val="00020CFE"/>
    <w:rsid w:val="00021053"/>
    <w:rsid w:val="000216A7"/>
    <w:rsid w:val="0002192E"/>
    <w:rsid w:val="0002194F"/>
    <w:rsid w:val="00022035"/>
    <w:rsid w:val="00022785"/>
    <w:rsid w:val="0002311B"/>
    <w:rsid w:val="0002333C"/>
    <w:rsid w:val="00023444"/>
    <w:rsid w:val="000237A1"/>
    <w:rsid w:val="00024254"/>
    <w:rsid w:val="0002438E"/>
    <w:rsid w:val="00024532"/>
    <w:rsid w:val="000248F6"/>
    <w:rsid w:val="00024ABB"/>
    <w:rsid w:val="00024D7E"/>
    <w:rsid w:val="00024E59"/>
    <w:rsid w:val="0002520F"/>
    <w:rsid w:val="00025782"/>
    <w:rsid w:val="000266DC"/>
    <w:rsid w:val="0002679A"/>
    <w:rsid w:val="00026EEC"/>
    <w:rsid w:val="0002700A"/>
    <w:rsid w:val="0002710E"/>
    <w:rsid w:val="00027350"/>
    <w:rsid w:val="00027AE6"/>
    <w:rsid w:val="00030098"/>
    <w:rsid w:val="00030207"/>
    <w:rsid w:val="0003028F"/>
    <w:rsid w:val="00030BD8"/>
    <w:rsid w:val="000315CC"/>
    <w:rsid w:val="000319D7"/>
    <w:rsid w:val="00031A1A"/>
    <w:rsid w:val="000323FE"/>
    <w:rsid w:val="00032884"/>
    <w:rsid w:val="00032977"/>
    <w:rsid w:val="00032C25"/>
    <w:rsid w:val="000331AD"/>
    <w:rsid w:val="00034EDA"/>
    <w:rsid w:val="000350B7"/>
    <w:rsid w:val="00036B86"/>
    <w:rsid w:val="00036D32"/>
    <w:rsid w:val="00037816"/>
    <w:rsid w:val="00037E5F"/>
    <w:rsid w:val="00040248"/>
    <w:rsid w:val="00040E4F"/>
    <w:rsid w:val="000415F1"/>
    <w:rsid w:val="000416C0"/>
    <w:rsid w:val="000420F7"/>
    <w:rsid w:val="0004276D"/>
    <w:rsid w:val="00042F00"/>
    <w:rsid w:val="00043406"/>
    <w:rsid w:val="000435B0"/>
    <w:rsid w:val="000439AD"/>
    <w:rsid w:val="00043C93"/>
    <w:rsid w:val="00044265"/>
    <w:rsid w:val="00044283"/>
    <w:rsid w:val="00044BFA"/>
    <w:rsid w:val="00044C43"/>
    <w:rsid w:val="00044CA6"/>
    <w:rsid w:val="00046237"/>
    <w:rsid w:val="00046340"/>
    <w:rsid w:val="0004655D"/>
    <w:rsid w:val="00046861"/>
    <w:rsid w:val="00047B7E"/>
    <w:rsid w:val="00050080"/>
    <w:rsid w:val="000505B6"/>
    <w:rsid w:val="0005068C"/>
    <w:rsid w:val="00050D5E"/>
    <w:rsid w:val="00050E57"/>
    <w:rsid w:val="00051A05"/>
    <w:rsid w:val="00052387"/>
    <w:rsid w:val="00052F0E"/>
    <w:rsid w:val="00053935"/>
    <w:rsid w:val="00054529"/>
    <w:rsid w:val="000568CB"/>
    <w:rsid w:val="00056BE9"/>
    <w:rsid w:val="00056CF9"/>
    <w:rsid w:val="00057148"/>
    <w:rsid w:val="00060315"/>
    <w:rsid w:val="00060E03"/>
    <w:rsid w:val="00060FBA"/>
    <w:rsid w:val="000615BD"/>
    <w:rsid w:val="000620DE"/>
    <w:rsid w:val="00062F9A"/>
    <w:rsid w:val="00063331"/>
    <w:rsid w:val="000647C2"/>
    <w:rsid w:val="00064A12"/>
    <w:rsid w:val="00064ACA"/>
    <w:rsid w:val="00064EC4"/>
    <w:rsid w:val="000651E8"/>
    <w:rsid w:val="0006538B"/>
    <w:rsid w:val="00065468"/>
    <w:rsid w:val="00065FA9"/>
    <w:rsid w:val="00067086"/>
    <w:rsid w:val="00071AED"/>
    <w:rsid w:val="0007214E"/>
    <w:rsid w:val="000722DC"/>
    <w:rsid w:val="00072F9E"/>
    <w:rsid w:val="00073E6B"/>
    <w:rsid w:val="00074C83"/>
    <w:rsid w:val="00074F2A"/>
    <w:rsid w:val="0007508F"/>
    <w:rsid w:val="0007516D"/>
    <w:rsid w:val="000755AD"/>
    <w:rsid w:val="00075BE2"/>
    <w:rsid w:val="00075E24"/>
    <w:rsid w:val="000764ED"/>
    <w:rsid w:val="00076685"/>
    <w:rsid w:val="00076ECB"/>
    <w:rsid w:val="00076ED9"/>
    <w:rsid w:val="00077062"/>
    <w:rsid w:val="0007771C"/>
    <w:rsid w:val="00080B31"/>
    <w:rsid w:val="00081A0B"/>
    <w:rsid w:val="000827E5"/>
    <w:rsid w:val="000828D3"/>
    <w:rsid w:val="00082BBB"/>
    <w:rsid w:val="0008357B"/>
    <w:rsid w:val="000836EC"/>
    <w:rsid w:val="00084469"/>
    <w:rsid w:val="00084AA9"/>
    <w:rsid w:val="000870A9"/>
    <w:rsid w:val="000872A4"/>
    <w:rsid w:val="000875E1"/>
    <w:rsid w:val="00087C40"/>
    <w:rsid w:val="00087F3C"/>
    <w:rsid w:val="000906DF"/>
    <w:rsid w:val="00090909"/>
    <w:rsid w:val="0009097D"/>
    <w:rsid w:val="00090DE5"/>
    <w:rsid w:val="00090F5F"/>
    <w:rsid w:val="00092594"/>
    <w:rsid w:val="00092D66"/>
    <w:rsid w:val="00092F4A"/>
    <w:rsid w:val="00093796"/>
    <w:rsid w:val="00095359"/>
    <w:rsid w:val="00096082"/>
    <w:rsid w:val="000960CA"/>
    <w:rsid w:val="0009619C"/>
    <w:rsid w:val="00096219"/>
    <w:rsid w:val="000974E2"/>
    <w:rsid w:val="00097B76"/>
    <w:rsid w:val="00097CFE"/>
    <w:rsid w:val="00097EAF"/>
    <w:rsid w:val="00097EC4"/>
    <w:rsid w:val="000A0448"/>
    <w:rsid w:val="000A11A0"/>
    <w:rsid w:val="000A120E"/>
    <w:rsid w:val="000A1A94"/>
    <w:rsid w:val="000A1D08"/>
    <w:rsid w:val="000A2AB9"/>
    <w:rsid w:val="000A3146"/>
    <w:rsid w:val="000A3263"/>
    <w:rsid w:val="000A3746"/>
    <w:rsid w:val="000A38A3"/>
    <w:rsid w:val="000A3CA0"/>
    <w:rsid w:val="000A3F71"/>
    <w:rsid w:val="000A48EF"/>
    <w:rsid w:val="000A5275"/>
    <w:rsid w:val="000A60C5"/>
    <w:rsid w:val="000A739F"/>
    <w:rsid w:val="000B03B6"/>
    <w:rsid w:val="000B0554"/>
    <w:rsid w:val="000B0A84"/>
    <w:rsid w:val="000B2232"/>
    <w:rsid w:val="000B2361"/>
    <w:rsid w:val="000B2A11"/>
    <w:rsid w:val="000B38E2"/>
    <w:rsid w:val="000B3CB3"/>
    <w:rsid w:val="000B5544"/>
    <w:rsid w:val="000B5B71"/>
    <w:rsid w:val="000B5BCD"/>
    <w:rsid w:val="000B70A0"/>
    <w:rsid w:val="000B732A"/>
    <w:rsid w:val="000B7B98"/>
    <w:rsid w:val="000B7F59"/>
    <w:rsid w:val="000B7F7A"/>
    <w:rsid w:val="000C0309"/>
    <w:rsid w:val="000C0AB4"/>
    <w:rsid w:val="000C0CE4"/>
    <w:rsid w:val="000C1482"/>
    <w:rsid w:val="000C167F"/>
    <w:rsid w:val="000C2557"/>
    <w:rsid w:val="000C2FD5"/>
    <w:rsid w:val="000C346E"/>
    <w:rsid w:val="000C442B"/>
    <w:rsid w:val="000C4641"/>
    <w:rsid w:val="000C5192"/>
    <w:rsid w:val="000C5DAB"/>
    <w:rsid w:val="000C75CE"/>
    <w:rsid w:val="000C78DE"/>
    <w:rsid w:val="000C7E74"/>
    <w:rsid w:val="000D01D4"/>
    <w:rsid w:val="000D0446"/>
    <w:rsid w:val="000D0508"/>
    <w:rsid w:val="000D0A54"/>
    <w:rsid w:val="000D0B78"/>
    <w:rsid w:val="000D14B7"/>
    <w:rsid w:val="000D1F03"/>
    <w:rsid w:val="000D2516"/>
    <w:rsid w:val="000D2953"/>
    <w:rsid w:val="000D2C59"/>
    <w:rsid w:val="000D363D"/>
    <w:rsid w:val="000D36D8"/>
    <w:rsid w:val="000D4635"/>
    <w:rsid w:val="000D559D"/>
    <w:rsid w:val="000D5C04"/>
    <w:rsid w:val="000D642A"/>
    <w:rsid w:val="000D6826"/>
    <w:rsid w:val="000E0B04"/>
    <w:rsid w:val="000E0DD9"/>
    <w:rsid w:val="000E1BCA"/>
    <w:rsid w:val="000E2478"/>
    <w:rsid w:val="000E27BF"/>
    <w:rsid w:val="000E2B00"/>
    <w:rsid w:val="000E3068"/>
    <w:rsid w:val="000E4E19"/>
    <w:rsid w:val="000E6395"/>
    <w:rsid w:val="000E6527"/>
    <w:rsid w:val="000E721A"/>
    <w:rsid w:val="000E7430"/>
    <w:rsid w:val="000E792A"/>
    <w:rsid w:val="000F0591"/>
    <w:rsid w:val="000F074E"/>
    <w:rsid w:val="000F0FBD"/>
    <w:rsid w:val="000F1A32"/>
    <w:rsid w:val="000F1EA6"/>
    <w:rsid w:val="000F2476"/>
    <w:rsid w:val="000F2928"/>
    <w:rsid w:val="000F2AC5"/>
    <w:rsid w:val="000F2CBA"/>
    <w:rsid w:val="000F2D5B"/>
    <w:rsid w:val="000F3C50"/>
    <w:rsid w:val="000F3E41"/>
    <w:rsid w:val="000F510E"/>
    <w:rsid w:val="000F535F"/>
    <w:rsid w:val="000F59F7"/>
    <w:rsid w:val="000F6031"/>
    <w:rsid w:val="000F60E9"/>
    <w:rsid w:val="000F60F2"/>
    <w:rsid w:val="000F6104"/>
    <w:rsid w:val="000F63A4"/>
    <w:rsid w:val="000F6561"/>
    <w:rsid w:val="000F67DA"/>
    <w:rsid w:val="000F747B"/>
    <w:rsid w:val="000F7737"/>
    <w:rsid w:val="0010028B"/>
    <w:rsid w:val="001013A8"/>
    <w:rsid w:val="001014D1"/>
    <w:rsid w:val="00104054"/>
    <w:rsid w:val="00104286"/>
    <w:rsid w:val="001053A4"/>
    <w:rsid w:val="00105DFB"/>
    <w:rsid w:val="00106798"/>
    <w:rsid w:val="0010721A"/>
    <w:rsid w:val="001072F5"/>
    <w:rsid w:val="00107852"/>
    <w:rsid w:val="001078CF"/>
    <w:rsid w:val="00107F70"/>
    <w:rsid w:val="00110652"/>
    <w:rsid w:val="0011149D"/>
    <w:rsid w:val="001116F4"/>
    <w:rsid w:val="0011207C"/>
    <w:rsid w:val="00112C03"/>
    <w:rsid w:val="00112E14"/>
    <w:rsid w:val="0011317C"/>
    <w:rsid w:val="0011364E"/>
    <w:rsid w:val="00113FA2"/>
    <w:rsid w:val="00114FA6"/>
    <w:rsid w:val="001158D5"/>
    <w:rsid w:val="00116802"/>
    <w:rsid w:val="0011685F"/>
    <w:rsid w:val="001170F8"/>
    <w:rsid w:val="001176A8"/>
    <w:rsid w:val="00117728"/>
    <w:rsid w:val="00117B61"/>
    <w:rsid w:val="00120489"/>
    <w:rsid w:val="00121755"/>
    <w:rsid w:val="00121EEA"/>
    <w:rsid w:val="001228E6"/>
    <w:rsid w:val="00122916"/>
    <w:rsid w:val="00122D1D"/>
    <w:rsid w:val="001230AD"/>
    <w:rsid w:val="00123D67"/>
    <w:rsid w:val="0012417C"/>
    <w:rsid w:val="00125710"/>
    <w:rsid w:val="00125FAA"/>
    <w:rsid w:val="00126FF3"/>
    <w:rsid w:val="001270BD"/>
    <w:rsid w:val="001274A1"/>
    <w:rsid w:val="001274C4"/>
    <w:rsid w:val="00131AB9"/>
    <w:rsid w:val="00131AF0"/>
    <w:rsid w:val="00131E7E"/>
    <w:rsid w:val="00132638"/>
    <w:rsid w:val="00132C46"/>
    <w:rsid w:val="00133201"/>
    <w:rsid w:val="00133B25"/>
    <w:rsid w:val="0013420C"/>
    <w:rsid w:val="0013432E"/>
    <w:rsid w:val="00134407"/>
    <w:rsid w:val="00134C6E"/>
    <w:rsid w:val="001359F3"/>
    <w:rsid w:val="001367E6"/>
    <w:rsid w:val="00136D7C"/>
    <w:rsid w:val="0013721F"/>
    <w:rsid w:val="0013752A"/>
    <w:rsid w:val="00137B05"/>
    <w:rsid w:val="00140527"/>
    <w:rsid w:val="00141165"/>
    <w:rsid w:val="001418AA"/>
    <w:rsid w:val="00141C33"/>
    <w:rsid w:val="00141DBD"/>
    <w:rsid w:val="001424B5"/>
    <w:rsid w:val="001428E3"/>
    <w:rsid w:val="00142BBB"/>
    <w:rsid w:val="00142CD7"/>
    <w:rsid w:val="00143937"/>
    <w:rsid w:val="00143A15"/>
    <w:rsid w:val="00143A76"/>
    <w:rsid w:val="00145148"/>
    <w:rsid w:val="00145223"/>
    <w:rsid w:val="00145602"/>
    <w:rsid w:val="00145706"/>
    <w:rsid w:val="00145B3A"/>
    <w:rsid w:val="00146932"/>
    <w:rsid w:val="00146E29"/>
    <w:rsid w:val="00146F8E"/>
    <w:rsid w:val="00147C52"/>
    <w:rsid w:val="001501D2"/>
    <w:rsid w:val="001502FA"/>
    <w:rsid w:val="00150CE6"/>
    <w:rsid w:val="00151067"/>
    <w:rsid w:val="00151A7C"/>
    <w:rsid w:val="00151AE6"/>
    <w:rsid w:val="00151F93"/>
    <w:rsid w:val="00152617"/>
    <w:rsid w:val="00152F27"/>
    <w:rsid w:val="0015334F"/>
    <w:rsid w:val="00153C63"/>
    <w:rsid w:val="00154438"/>
    <w:rsid w:val="00154B02"/>
    <w:rsid w:val="00155823"/>
    <w:rsid w:val="0015592A"/>
    <w:rsid w:val="00155F3E"/>
    <w:rsid w:val="00156A2A"/>
    <w:rsid w:val="00157130"/>
    <w:rsid w:val="00157793"/>
    <w:rsid w:val="00157B5C"/>
    <w:rsid w:val="00160609"/>
    <w:rsid w:val="00161ED4"/>
    <w:rsid w:val="00161F05"/>
    <w:rsid w:val="00162952"/>
    <w:rsid w:val="00163643"/>
    <w:rsid w:val="001636DB"/>
    <w:rsid w:val="00163902"/>
    <w:rsid w:val="00163956"/>
    <w:rsid w:val="00163AC4"/>
    <w:rsid w:val="00163E8F"/>
    <w:rsid w:val="00163EA3"/>
    <w:rsid w:val="001641F5"/>
    <w:rsid w:val="00164FBF"/>
    <w:rsid w:val="001654AA"/>
    <w:rsid w:val="001656B7"/>
    <w:rsid w:val="0016589F"/>
    <w:rsid w:val="00165EA6"/>
    <w:rsid w:val="001673AE"/>
    <w:rsid w:val="00167F08"/>
    <w:rsid w:val="00167F5D"/>
    <w:rsid w:val="00167F65"/>
    <w:rsid w:val="001704CA"/>
    <w:rsid w:val="00170F6E"/>
    <w:rsid w:val="00170FD8"/>
    <w:rsid w:val="001713D6"/>
    <w:rsid w:val="00172018"/>
    <w:rsid w:val="00172117"/>
    <w:rsid w:val="00172511"/>
    <w:rsid w:val="001729DE"/>
    <w:rsid w:val="00172C45"/>
    <w:rsid w:val="00172CA2"/>
    <w:rsid w:val="001730B7"/>
    <w:rsid w:val="001737A6"/>
    <w:rsid w:val="00173FF2"/>
    <w:rsid w:val="001742D4"/>
    <w:rsid w:val="00175050"/>
    <w:rsid w:val="00175961"/>
    <w:rsid w:val="0017677B"/>
    <w:rsid w:val="00176EB5"/>
    <w:rsid w:val="00177374"/>
    <w:rsid w:val="0018016C"/>
    <w:rsid w:val="00180196"/>
    <w:rsid w:val="001805F0"/>
    <w:rsid w:val="00180A42"/>
    <w:rsid w:val="001811F7"/>
    <w:rsid w:val="0018129E"/>
    <w:rsid w:val="00182287"/>
    <w:rsid w:val="00182305"/>
    <w:rsid w:val="001835C0"/>
    <w:rsid w:val="001837E3"/>
    <w:rsid w:val="00183F0C"/>
    <w:rsid w:val="001848AE"/>
    <w:rsid w:val="00185091"/>
    <w:rsid w:val="00185573"/>
    <w:rsid w:val="0018578E"/>
    <w:rsid w:val="00185AEE"/>
    <w:rsid w:val="00187B26"/>
    <w:rsid w:val="00187FCB"/>
    <w:rsid w:val="00190E10"/>
    <w:rsid w:val="00190F15"/>
    <w:rsid w:val="00191145"/>
    <w:rsid w:val="001923B9"/>
    <w:rsid w:val="0019388E"/>
    <w:rsid w:val="00193E44"/>
    <w:rsid w:val="00195364"/>
    <w:rsid w:val="00195CC3"/>
    <w:rsid w:val="001965B4"/>
    <w:rsid w:val="0019661B"/>
    <w:rsid w:val="00196C80"/>
    <w:rsid w:val="00197C8B"/>
    <w:rsid w:val="001A075E"/>
    <w:rsid w:val="001A0CC2"/>
    <w:rsid w:val="001A0FB4"/>
    <w:rsid w:val="001A106D"/>
    <w:rsid w:val="001A1397"/>
    <w:rsid w:val="001A26A7"/>
    <w:rsid w:val="001A29D0"/>
    <w:rsid w:val="001A2B5B"/>
    <w:rsid w:val="001A2E05"/>
    <w:rsid w:val="001A33CF"/>
    <w:rsid w:val="001A3E54"/>
    <w:rsid w:val="001A4A39"/>
    <w:rsid w:val="001A52E1"/>
    <w:rsid w:val="001A55DA"/>
    <w:rsid w:val="001A7389"/>
    <w:rsid w:val="001A7A1A"/>
    <w:rsid w:val="001A7F70"/>
    <w:rsid w:val="001B0D67"/>
    <w:rsid w:val="001B0FDF"/>
    <w:rsid w:val="001B0FE0"/>
    <w:rsid w:val="001B102C"/>
    <w:rsid w:val="001B1F3D"/>
    <w:rsid w:val="001B219C"/>
    <w:rsid w:val="001B2878"/>
    <w:rsid w:val="001B3640"/>
    <w:rsid w:val="001B3B7E"/>
    <w:rsid w:val="001B43B1"/>
    <w:rsid w:val="001B4830"/>
    <w:rsid w:val="001B4843"/>
    <w:rsid w:val="001B4B2E"/>
    <w:rsid w:val="001B4D48"/>
    <w:rsid w:val="001B7B09"/>
    <w:rsid w:val="001C0072"/>
    <w:rsid w:val="001C0508"/>
    <w:rsid w:val="001C068C"/>
    <w:rsid w:val="001C0A8F"/>
    <w:rsid w:val="001C0F70"/>
    <w:rsid w:val="001C1196"/>
    <w:rsid w:val="001C25FC"/>
    <w:rsid w:val="001C2C0A"/>
    <w:rsid w:val="001C2D50"/>
    <w:rsid w:val="001C380B"/>
    <w:rsid w:val="001C4819"/>
    <w:rsid w:val="001C4AA3"/>
    <w:rsid w:val="001C4BAF"/>
    <w:rsid w:val="001C6954"/>
    <w:rsid w:val="001C6B55"/>
    <w:rsid w:val="001C6D25"/>
    <w:rsid w:val="001C7474"/>
    <w:rsid w:val="001C7F0D"/>
    <w:rsid w:val="001C7F82"/>
    <w:rsid w:val="001D197C"/>
    <w:rsid w:val="001D199B"/>
    <w:rsid w:val="001D25AB"/>
    <w:rsid w:val="001D3023"/>
    <w:rsid w:val="001D31FD"/>
    <w:rsid w:val="001D4073"/>
    <w:rsid w:val="001D411F"/>
    <w:rsid w:val="001D41FC"/>
    <w:rsid w:val="001D4C32"/>
    <w:rsid w:val="001D4D5E"/>
    <w:rsid w:val="001D64F6"/>
    <w:rsid w:val="001D66DB"/>
    <w:rsid w:val="001D66E0"/>
    <w:rsid w:val="001D6C20"/>
    <w:rsid w:val="001E0623"/>
    <w:rsid w:val="001E0E6A"/>
    <w:rsid w:val="001E17BB"/>
    <w:rsid w:val="001E20AE"/>
    <w:rsid w:val="001E21DC"/>
    <w:rsid w:val="001E2E87"/>
    <w:rsid w:val="001E2FBB"/>
    <w:rsid w:val="001E47C4"/>
    <w:rsid w:val="001E4B3A"/>
    <w:rsid w:val="001E5537"/>
    <w:rsid w:val="001E5A08"/>
    <w:rsid w:val="001E5A76"/>
    <w:rsid w:val="001E5AB4"/>
    <w:rsid w:val="001E64FA"/>
    <w:rsid w:val="001E6B38"/>
    <w:rsid w:val="001E6E9C"/>
    <w:rsid w:val="001F0313"/>
    <w:rsid w:val="001F045A"/>
    <w:rsid w:val="001F10ED"/>
    <w:rsid w:val="001F12AD"/>
    <w:rsid w:val="001F1632"/>
    <w:rsid w:val="001F2E0B"/>
    <w:rsid w:val="001F30C6"/>
    <w:rsid w:val="001F3694"/>
    <w:rsid w:val="001F3B47"/>
    <w:rsid w:val="001F3F67"/>
    <w:rsid w:val="001F406F"/>
    <w:rsid w:val="001F464B"/>
    <w:rsid w:val="001F48E4"/>
    <w:rsid w:val="001F4E9A"/>
    <w:rsid w:val="001F5313"/>
    <w:rsid w:val="001F5762"/>
    <w:rsid w:val="001F5DE9"/>
    <w:rsid w:val="001F5E40"/>
    <w:rsid w:val="001F6AC4"/>
    <w:rsid w:val="001F7266"/>
    <w:rsid w:val="001F7320"/>
    <w:rsid w:val="001F78F6"/>
    <w:rsid w:val="00201268"/>
    <w:rsid w:val="002012DF"/>
    <w:rsid w:val="002029CE"/>
    <w:rsid w:val="00203105"/>
    <w:rsid w:val="00203F54"/>
    <w:rsid w:val="002043AB"/>
    <w:rsid w:val="002068ED"/>
    <w:rsid w:val="002069B7"/>
    <w:rsid w:val="00207E92"/>
    <w:rsid w:val="00210A6E"/>
    <w:rsid w:val="0021122F"/>
    <w:rsid w:val="00211BEF"/>
    <w:rsid w:val="00212775"/>
    <w:rsid w:val="00212C23"/>
    <w:rsid w:val="00213F57"/>
    <w:rsid w:val="00213F7F"/>
    <w:rsid w:val="002153E8"/>
    <w:rsid w:val="00216444"/>
    <w:rsid w:val="00217D0B"/>
    <w:rsid w:val="0022027A"/>
    <w:rsid w:val="00220317"/>
    <w:rsid w:val="00220D7E"/>
    <w:rsid w:val="00221D24"/>
    <w:rsid w:val="00221E85"/>
    <w:rsid w:val="00221EE9"/>
    <w:rsid w:val="00222820"/>
    <w:rsid w:val="002229F7"/>
    <w:rsid w:val="00222C12"/>
    <w:rsid w:val="00223A8C"/>
    <w:rsid w:val="00223E66"/>
    <w:rsid w:val="00224257"/>
    <w:rsid w:val="00225DD0"/>
    <w:rsid w:val="00225EB9"/>
    <w:rsid w:val="00226E02"/>
    <w:rsid w:val="00226EA4"/>
    <w:rsid w:val="00227007"/>
    <w:rsid w:val="002275BB"/>
    <w:rsid w:val="002277B9"/>
    <w:rsid w:val="00227AB9"/>
    <w:rsid w:val="00227B3D"/>
    <w:rsid w:val="00230439"/>
    <w:rsid w:val="00230616"/>
    <w:rsid w:val="0023071C"/>
    <w:rsid w:val="00230C4D"/>
    <w:rsid w:val="002310AF"/>
    <w:rsid w:val="002316D4"/>
    <w:rsid w:val="00231DA5"/>
    <w:rsid w:val="00231E02"/>
    <w:rsid w:val="00231FEC"/>
    <w:rsid w:val="0023265F"/>
    <w:rsid w:val="00233177"/>
    <w:rsid w:val="00233246"/>
    <w:rsid w:val="002338C4"/>
    <w:rsid w:val="00233C58"/>
    <w:rsid w:val="00234296"/>
    <w:rsid w:val="00234538"/>
    <w:rsid w:val="002355C3"/>
    <w:rsid w:val="002356B6"/>
    <w:rsid w:val="002356E3"/>
    <w:rsid w:val="00235ACC"/>
    <w:rsid w:val="00236485"/>
    <w:rsid w:val="00236C95"/>
    <w:rsid w:val="00237860"/>
    <w:rsid w:val="00240033"/>
    <w:rsid w:val="00240958"/>
    <w:rsid w:val="00240BDD"/>
    <w:rsid w:val="002411FA"/>
    <w:rsid w:val="002412CD"/>
    <w:rsid w:val="00241B53"/>
    <w:rsid w:val="00241F35"/>
    <w:rsid w:val="0024241F"/>
    <w:rsid w:val="00242C76"/>
    <w:rsid w:val="00242CB8"/>
    <w:rsid w:val="00242E0E"/>
    <w:rsid w:val="00243577"/>
    <w:rsid w:val="00244445"/>
    <w:rsid w:val="00244F8C"/>
    <w:rsid w:val="002463E7"/>
    <w:rsid w:val="002464C2"/>
    <w:rsid w:val="00246C8C"/>
    <w:rsid w:val="00247625"/>
    <w:rsid w:val="00250E07"/>
    <w:rsid w:val="00250FAF"/>
    <w:rsid w:val="002515C9"/>
    <w:rsid w:val="002519D4"/>
    <w:rsid w:val="00252343"/>
    <w:rsid w:val="0025337D"/>
    <w:rsid w:val="0025395D"/>
    <w:rsid w:val="0025408C"/>
    <w:rsid w:val="00254EF1"/>
    <w:rsid w:val="002551E6"/>
    <w:rsid w:val="00255468"/>
    <w:rsid w:val="002556FC"/>
    <w:rsid w:val="00255A23"/>
    <w:rsid w:val="00255C8B"/>
    <w:rsid w:val="0025601F"/>
    <w:rsid w:val="00256457"/>
    <w:rsid w:val="00256673"/>
    <w:rsid w:val="00256D8D"/>
    <w:rsid w:val="00257761"/>
    <w:rsid w:val="00260969"/>
    <w:rsid w:val="002613C3"/>
    <w:rsid w:val="002621F0"/>
    <w:rsid w:val="00262D70"/>
    <w:rsid w:val="00263253"/>
    <w:rsid w:val="0026446A"/>
    <w:rsid w:val="00264836"/>
    <w:rsid w:val="00266235"/>
    <w:rsid w:val="0026696C"/>
    <w:rsid w:val="00266C5F"/>
    <w:rsid w:val="0026739E"/>
    <w:rsid w:val="00267974"/>
    <w:rsid w:val="00267999"/>
    <w:rsid w:val="00267C67"/>
    <w:rsid w:val="00270E70"/>
    <w:rsid w:val="00270E78"/>
    <w:rsid w:val="00271EEE"/>
    <w:rsid w:val="002730D8"/>
    <w:rsid w:val="002738BD"/>
    <w:rsid w:val="00274A4B"/>
    <w:rsid w:val="002750F2"/>
    <w:rsid w:val="0027554B"/>
    <w:rsid w:val="00275B33"/>
    <w:rsid w:val="00275DDF"/>
    <w:rsid w:val="00276A70"/>
    <w:rsid w:val="00276EC5"/>
    <w:rsid w:val="002771C8"/>
    <w:rsid w:val="00277268"/>
    <w:rsid w:val="002779A8"/>
    <w:rsid w:val="00277B5A"/>
    <w:rsid w:val="00277BE3"/>
    <w:rsid w:val="002820D9"/>
    <w:rsid w:val="0028265A"/>
    <w:rsid w:val="00282EB5"/>
    <w:rsid w:val="00283770"/>
    <w:rsid w:val="00283D31"/>
    <w:rsid w:val="002841A5"/>
    <w:rsid w:val="00285BE5"/>
    <w:rsid w:val="00286849"/>
    <w:rsid w:val="00290290"/>
    <w:rsid w:val="00290451"/>
    <w:rsid w:val="002908EE"/>
    <w:rsid w:val="00291738"/>
    <w:rsid w:val="00291D17"/>
    <w:rsid w:val="0029226B"/>
    <w:rsid w:val="00292BEA"/>
    <w:rsid w:val="00294482"/>
    <w:rsid w:val="002949D7"/>
    <w:rsid w:val="00294D34"/>
    <w:rsid w:val="00294D8E"/>
    <w:rsid w:val="002951D8"/>
    <w:rsid w:val="00295964"/>
    <w:rsid w:val="002959E1"/>
    <w:rsid w:val="00295A3B"/>
    <w:rsid w:val="00295FEC"/>
    <w:rsid w:val="002960C2"/>
    <w:rsid w:val="0029691E"/>
    <w:rsid w:val="00296EE6"/>
    <w:rsid w:val="00297111"/>
    <w:rsid w:val="002976BB"/>
    <w:rsid w:val="00297BD8"/>
    <w:rsid w:val="002A04DE"/>
    <w:rsid w:val="002A0830"/>
    <w:rsid w:val="002A0FD0"/>
    <w:rsid w:val="002A139E"/>
    <w:rsid w:val="002A160E"/>
    <w:rsid w:val="002A184F"/>
    <w:rsid w:val="002A18B9"/>
    <w:rsid w:val="002A3103"/>
    <w:rsid w:val="002A3488"/>
    <w:rsid w:val="002A37DB"/>
    <w:rsid w:val="002A3962"/>
    <w:rsid w:val="002A3E23"/>
    <w:rsid w:val="002A4192"/>
    <w:rsid w:val="002A65CE"/>
    <w:rsid w:val="002A65DA"/>
    <w:rsid w:val="002A6B85"/>
    <w:rsid w:val="002A70B4"/>
    <w:rsid w:val="002A779A"/>
    <w:rsid w:val="002A78AC"/>
    <w:rsid w:val="002A7C55"/>
    <w:rsid w:val="002B0C0F"/>
    <w:rsid w:val="002B1190"/>
    <w:rsid w:val="002B14F0"/>
    <w:rsid w:val="002B2291"/>
    <w:rsid w:val="002B28B3"/>
    <w:rsid w:val="002B2BEA"/>
    <w:rsid w:val="002B419C"/>
    <w:rsid w:val="002B5774"/>
    <w:rsid w:val="002B59BC"/>
    <w:rsid w:val="002B5D4E"/>
    <w:rsid w:val="002B6ED4"/>
    <w:rsid w:val="002B79E0"/>
    <w:rsid w:val="002C020A"/>
    <w:rsid w:val="002C0A5C"/>
    <w:rsid w:val="002C110D"/>
    <w:rsid w:val="002C11E0"/>
    <w:rsid w:val="002C177C"/>
    <w:rsid w:val="002C2C5A"/>
    <w:rsid w:val="002C309A"/>
    <w:rsid w:val="002C30D1"/>
    <w:rsid w:val="002C31B4"/>
    <w:rsid w:val="002C33E7"/>
    <w:rsid w:val="002C4B69"/>
    <w:rsid w:val="002C5062"/>
    <w:rsid w:val="002C58FF"/>
    <w:rsid w:val="002C5DD9"/>
    <w:rsid w:val="002C64B3"/>
    <w:rsid w:val="002C6F9A"/>
    <w:rsid w:val="002C719B"/>
    <w:rsid w:val="002C793E"/>
    <w:rsid w:val="002C799C"/>
    <w:rsid w:val="002D0126"/>
    <w:rsid w:val="002D08FA"/>
    <w:rsid w:val="002D0966"/>
    <w:rsid w:val="002D1D56"/>
    <w:rsid w:val="002D1F24"/>
    <w:rsid w:val="002D314E"/>
    <w:rsid w:val="002D32AA"/>
    <w:rsid w:val="002D40E7"/>
    <w:rsid w:val="002D43AB"/>
    <w:rsid w:val="002D44AC"/>
    <w:rsid w:val="002D58D1"/>
    <w:rsid w:val="002D59A1"/>
    <w:rsid w:val="002D5FD6"/>
    <w:rsid w:val="002D72E2"/>
    <w:rsid w:val="002E0AEE"/>
    <w:rsid w:val="002E0CC9"/>
    <w:rsid w:val="002E0D48"/>
    <w:rsid w:val="002E1359"/>
    <w:rsid w:val="002E188C"/>
    <w:rsid w:val="002E18B1"/>
    <w:rsid w:val="002E196E"/>
    <w:rsid w:val="002E1DD1"/>
    <w:rsid w:val="002E2197"/>
    <w:rsid w:val="002E3CDB"/>
    <w:rsid w:val="002E4E4C"/>
    <w:rsid w:val="002E4E56"/>
    <w:rsid w:val="002E50AC"/>
    <w:rsid w:val="002E5130"/>
    <w:rsid w:val="002E6BBA"/>
    <w:rsid w:val="002E6DF7"/>
    <w:rsid w:val="002E763C"/>
    <w:rsid w:val="002E7995"/>
    <w:rsid w:val="002F0244"/>
    <w:rsid w:val="002F06B8"/>
    <w:rsid w:val="002F06E8"/>
    <w:rsid w:val="002F1E63"/>
    <w:rsid w:val="002F24C5"/>
    <w:rsid w:val="002F2935"/>
    <w:rsid w:val="002F3773"/>
    <w:rsid w:val="002F392B"/>
    <w:rsid w:val="002F3B6A"/>
    <w:rsid w:val="002F4523"/>
    <w:rsid w:val="002F560B"/>
    <w:rsid w:val="002F5E42"/>
    <w:rsid w:val="002F6033"/>
    <w:rsid w:val="002F659C"/>
    <w:rsid w:val="002F6E75"/>
    <w:rsid w:val="002F6EBF"/>
    <w:rsid w:val="002F7B70"/>
    <w:rsid w:val="002F7D22"/>
    <w:rsid w:val="00300244"/>
    <w:rsid w:val="003008F9"/>
    <w:rsid w:val="0030126A"/>
    <w:rsid w:val="00301B2B"/>
    <w:rsid w:val="003024DC"/>
    <w:rsid w:val="00303B8F"/>
    <w:rsid w:val="003041FD"/>
    <w:rsid w:val="003043EF"/>
    <w:rsid w:val="003046C6"/>
    <w:rsid w:val="00305734"/>
    <w:rsid w:val="00306CAD"/>
    <w:rsid w:val="00306E75"/>
    <w:rsid w:val="00307147"/>
    <w:rsid w:val="003105B5"/>
    <w:rsid w:val="00310E6E"/>
    <w:rsid w:val="00311F79"/>
    <w:rsid w:val="00312EAD"/>
    <w:rsid w:val="003134C1"/>
    <w:rsid w:val="00313D07"/>
    <w:rsid w:val="00313DB1"/>
    <w:rsid w:val="003144B1"/>
    <w:rsid w:val="0031484D"/>
    <w:rsid w:val="00314A16"/>
    <w:rsid w:val="00314FAF"/>
    <w:rsid w:val="003152BF"/>
    <w:rsid w:val="003159FF"/>
    <w:rsid w:val="00316A39"/>
    <w:rsid w:val="00317902"/>
    <w:rsid w:val="00317AE8"/>
    <w:rsid w:val="00317BF6"/>
    <w:rsid w:val="00320005"/>
    <w:rsid w:val="0032052B"/>
    <w:rsid w:val="00320841"/>
    <w:rsid w:val="003212D2"/>
    <w:rsid w:val="00321597"/>
    <w:rsid w:val="00321F00"/>
    <w:rsid w:val="00322631"/>
    <w:rsid w:val="00322EEB"/>
    <w:rsid w:val="003233DA"/>
    <w:rsid w:val="0032384A"/>
    <w:rsid w:val="003239FC"/>
    <w:rsid w:val="00323BA8"/>
    <w:rsid w:val="00323DF7"/>
    <w:rsid w:val="00323EBE"/>
    <w:rsid w:val="00324E86"/>
    <w:rsid w:val="00324F8D"/>
    <w:rsid w:val="00324FCE"/>
    <w:rsid w:val="0032613C"/>
    <w:rsid w:val="00326812"/>
    <w:rsid w:val="003269F1"/>
    <w:rsid w:val="003271A9"/>
    <w:rsid w:val="00327E30"/>
    <w:rsid w:val="0033072D"/>
    <w:rsid w:val="003313BB"/>
    <w:rsid w:val="00331763"/>
    <w:rsid w:val="00331A37"/>
    <w:rsid w:val="0033205F"/>
    <w:rsid w:val="00332714"/>
    <w:rsid w:val="00332B11"/>
    <w:rsid w:val="00332DE9"/>
    <w:rsid w:val="00333DFA"/>
    <w:rsid w:val="00333F0D"/>
    <w:rsid w:val="00334B7D"/>
    <w:rsid w:val="00334E03"/>
    <w:rsid w:val="00335392"/>
    <w:rsid w:val="00335BA0"/>
    <w:rsid w:val="00336D9C"/>
    <w:rsid w:val="003375B8"/>
    <w:rsid w:val="00337D2D"/>
    <w:rsid w:val="00337DE4"/>
    <w:rsid w:val="00337FD9"/>
    <w:rsid w:val="00340941"/>
    <w:rsid w:val="00341FE1"/>
    <w:rsid w:val="00342AE5"/>
    <w:rsid w:val="003437C0"/>
    <w:rsid w:val="00343DF1"/>
    <w:rsid w:val="00344718"/>
    <w:rsid w:val="003450E7"/>
    <w:rsid w:val="0034553A"/>
    <w:rsid w:val="0034581E"/>
    <w:rsid w:val="00345D8E"/>
    <w:rsid w:val="00345E73"/>
    <w:rsid w:val="00345FAC"/>
    <w:rsid w:val="0034771B"/>
    <w:rsid w:val="0035024F"/>
    <w:rsid w:val="003504A7"/>
    <w:rsid w:val="00351612"/>
    <w:rsid w:val="00351769"/>
    <w:rsid w:val="0035199D"/>
    <w:rsid w:val="00351C15"/>
    <w:rsid w:val="00351F23"/>
    <w:rsid w:val="00352493"/>
    <w:rsid w:val="00353828"/>
    <w:rsid w:val="003538DA"/>
    <w:rsid w:val="003540B3"/>
    <w:rsid w:val="00354550"/>
    <w:rsid w:val="00354C7C"/>
    <w:rsid w:val="00354CCC"/>
    <w:rsid w:val="0035542C"/>
    <w:rsid w:val="00355519"/>
    <w:rsid w:val="00355592"/>
    <w:rsid w:val="00355949"/>
    <w:rsid w:val="00356E53"/>
    <w:rsid w:val="00357470"/>
    <w:rsid w:val="003578EF"/>
    <w:rsid w:val="00357BAC"/>
    <w:rsid w:val="00357C97"/>
    <w:rsid w:val="00357DD2"/>
    <w:rsid w:val="003612F3"/>
    <w:rsid w:val="0036239F"/>
    <w:rsid w:val="0036279C"/>
    <w:rsid w:val="00362A01"/>
    <w:rsid w:val="0036330F"/>
    <w:rsid w:val="00363B90"/>
    <w:rsid w:val="00363E69"/>
    <w:rsid w:val="00364A38"/>
    <w:rsid w:val="00364B18"/>
    <w:rsid w:val="00364DEB"/>
    <w:rsid w:val="00364E69"/>
    <w:rsid w:val="00364E9F"/>
    <w:rsid w:val="003660B6"/>
    <w:rsid w:val="0036674B"/>
    <w:rsid w:val="00367FC2"/>
    <w:rsid w:val="003701D8"/>
    <w:rsid w:val="00370C55"/>
    <w:rsid w:val="00371827"/>
    <w:rsid w:val="00371AFA"/>
    <w:rsid w:val="003720A9"/>
    <w:rsid w:val="003720D2"/>
    <w:rsid w:val="0037299B"/>
    <w:rsid w:val="00372AC7"/>
    <w:rsid w:val="0037340B"/>
    <w:rsid w:val="003739F1"/>
    <w:rsid w:val="00373CBF"/>
    <w:rsid w:val="00374000"/>
    <w:rsid w:val="00374684"/>
    <w:rsid w:val="00374A9D"/>
    <w:rsid w:val="00375B4C"/>
    <w:rsid w:val="00375E4D"/>
    <w:rsid w:val="003775A2"/>
    <w:rsid w:val="003777A3"/>
    <w:rsid w:val="00380657"/>
    <w:rsid w:val="00380F96"/>
    <w:rsid w:val="003814E7"/>
    <w:rsid w:val="00381A00"/>
    <w:rsid w:val="003830C2"/>
    <w:rsid w:val="003831D1"/>
    <w:rsid w:val="00384183"/>
    <w:rsid w:val="0038563D"/>
    <w:rsid w:val="003861B6"/>
    <w:rsid w:val="00387A03"/>
    <w:rsid w:val="00390935"/>
    <w:rsid w:val="003912D0"/>
    <w:rsid w:val="00391313"/>
    <w:rsid w:val="003914A9"/>
    <w:rsid w:val="0039185A"/>
    <w:rsid w:val="00392700"/>
    <w:rsid w:val="003929AF"/>
    <w:rsid w:val="00393E0A"/>
    <w:rsid w:val="003949E8"/>
    <w:rsid w:val="00394A10"/>
    <w:rsid w:val="00394D89"/>
    <w:rsid w:val="00394F23"/>
    <w:rsid w:val="00395358"/>
    <w:rsid w:val="00395997"/>
    <w:rsid w:val="003959C3"/>
    <w:rsid w:val="00396399"/>
    <w:rsid w:val="003967CE"/>
    <w:rsid w:val="00397527"/>
    <w:rsid w:val="00397A6B"/>
    <w:rsid w:val="003A0006"/>
    <w:rsid w:val="003A00EB"/>
    <w:rsid w:val="003A1238"/>
    <w:rsid w:val="003A195F"/>
    <w:rsid w:val="003A19AE"/>
    <w:rsid w:val="003A231D"/>
    <w:rsid w:val="003A2C71"/>
    <w:rsid w:val="003A3372"/>
    <w:rsid w:val="003A3DC5"/>
    <w:rsid w:val="003A4264"/>
    <w:rsid w:val="003A4C68"/>
    <w:rsid w:val="003A6132"/>
    <w:rsid w:val="003A64A7"/>
    <w:rsid w:val="003A66E5"/>
    <w:rsid w:val="003A688F"/>
    <w:rsid w:val="003A6D78"/>
    <w:rsid w:val="003A6E8A"/>
    <w:rsid w:val="003A7641"/>
    <w:rsid w:val="003B03FE"/>
    <w:rsid w:val="003B049C"/>
    <w:rsid w:val="003B0818"/>
    <w:rsid w:val="003B166B"/>
    <w:rsid w:val="003B1936"/>
    <w:rsid w:val="003B1E5E"/>
    <w:rsid w:val="003B1E77"/>
    <w:rsid w:val="003B2091"/>
    <w:rsid w:val="003B240B"/>
    <w:rsid w:val="003B243D"/>
    <w:rsid w:val="003B263C"/>
    <w:rsid w:val="003B313B"/>
    <w:rsid w:val="003B5264"/>
    <w:rsid w:val="003B5450"/>
    <w:rsid w:val="003B584B"/>
    <w:rsid w:val="003B5C95"/>
    <w:rsid w:val="003B6065"/>
    <w:rsid w:val="003B6236"/>
    <w:rsid w:val="003B636A"/>
    <w:rsid w:val="003B67B6"/>
    <w:rsid w:val="003B700D"/>
    <w:rsid w:val="003B7602"/>
    <w:rsid w:val="003B7857"/>
    <w:rsid w:val="003B7B1E"/>
    <w:rsid w:val="003C01D5"/>
    <w:rsid w:val="003C0631"/>
    <w:rsid w:val="003C1345"/>
    <w:rsid w:val="003C14BE"/>
    <w:rsid w:val="003C1714"/>
    <w:rsid w:val="003C1FD8"/>
    <w:rsid w:val="003C2035"/>
    <w:rsid w:val="003C3E0B"/>
    <w:rsid w:val="003C47B6"/>
    <w:rsid w:val="003C555C"/>
    <w:rsid w:val="003C619B"/>
    <w:rsid w:val="003C6579"/>
    <w:rsid w:val="003C67FE"/>
    <w:rsid w:val="003C682C"/>
    <w:rsid w:val="003C6A81"/>
    <w:rsid w:val="003C6C0B"/>
    <w:rsid w:val="003C7396"/>
    <w:rsid w:val="003D00AC"/>
    <w:rsid w:val="003D011F"/>
    <w:rsid w:val="003D02AB"/>
    <w:rsid w:val="003D0573"/>
    <w:rsid w:val="003D06D4"/>
    <w:rsid w:val="003D0B01"/>
    <w:rsid w:val="003D16A6"/>
    <w:rsid w:val="003D1F5D"/>
    <w:rsid w:val="003D253B"/>
    <w:rsid w:val="003D29DA"/>
    <w:rsid w:val="003D2A3B"/>
    <w:rsid w:val="003D31F6"/>
    <w:rsid w:val="003D333F"/>
    <w:rsid w:val="003D3D56"/>
    <w:rsid w:val="003D49FA"/>
    <w:rsid w:val="003D52A3"/>
    <w:rsid w:val="003D5649"/>
    <w:rsid w:val="003D5DB3"/>
    <w:rsid w:val="003D5FBF"/>
    <w:rsid w:val="003D679F"/>
    <w:rsid w:val="003D6888"/>
    <w:rsid w:val="003D6DDA"/>
    <w:rsid w:val="003D6F5F"/>
    <w:rsid w:val="003D70EC"/>
    <w:rsid w:val="003E016E"/>
    <w:rsid w:val="003E0C8D"/>
    <w:rsid w:val="003E145C"/>
    <w:rsid w:val="003E1505"/>
    <w:rsid w:val="003E19D4"/>
    <w:rsid w:val="003E1AB0"/>
    <w:rsid w:val="003E2A73"/>
    <w:rsid w:val="003E2FAE"/>
    <w:rsid w:val="003E3304"/>
    <w:rsid w:val="003E3EE5"/>
    <w:rsid w:val="003E4A60"/>
    <w:rsid w:val="003E4AE1"/>
    <w:rsid w:val="003E4FF8"/>
    <w:rsid w:val="003E687F"/>
    <w:rsid w:val="003E6967"/>
    <w:rsid w:val="003E69CF"/>
    <w:rsid w:val="003E71B3"/>
    <w:rsid w:val="003E78B0"/>
    <w:rsid w:val="003E79D6"/>
    <w:rsid w:val="003E7C02"/>
    <w:rsid w:val="003F1AE6"/>
    <w:rsid w:val="003F2622"/>
    <w:rsid w:val="003F2C62"/>
    <w:rsid w:val="003F2D12"/>
    <w:rsid w:val="003F30C7"/>
    <w:rsid w:val="003F4125"/>
    <w:rsid w:val="003F51AD"/>
    <w:rsid w:val="003F683F"/>
    <w:rsid w:val="003F68BD"/>
    <w:rsid w:val="003F6CF6"/>
    <w:rsid w:val="003F7036"/>
    <w:rsid w:val="003F7152"/>
    <w:rsid w:val="003F7245"/>
    <w:rsid w:val="003F73D0"/>
    <w:rsid w:val="003F7561"/>
    <w:rsid w:val="003F7B20"/>
    <w:rsid w:val="003F7C0D"/>
    <w:rsid w:val="004000F3"/>
    <w:rsid w:val="00402033"/>
    <w:rsid w:val="004023AB"/>
    <w:rsid w:val="00402849"/>
    <w:rsid w:val="00404071"/>
    <w:rsid w:val="004040D9"/>
    <w:rsid w:val="00404130"/>
    <w:rsid w:val="00404F26"/>
    <w:rsid w:val="00404FD4"/>
    <w:rsid w:val="004050D3"/>
    <w:rsid w:val="00405AA2"/>
    <w:rsid w:val="00405ADC"/>
    <w:rsid w:val="00405BBD"/>
    <w:rsid w:val="00405C18"/>
    <w:rsid w:val="00405E35"/>
    <w:rsid w:val="00405F95"/>
    <w:rsid w:val="0040643A"/>
    <w:rsid w:val="00406A41"/>
    <w:rsid w:val="00406F93"/>
    <w:rsid w:val="004070B2"/>
    <w:rsid w:val="00407227"/>
    <w:rsid w:val="00407746"/>
    <w:rsid w:val="004077B7"/>
    <w:rsid w:val="00411032"/>
    <w:rsid w:val="004111AF"/>
    <w:rsid w:val="004123BD"/>
    <w:rsid w:val="00412754"/>
    <w:rsid w:val="00412D32"/>
    <w:rsid w:val="00412D92"/>
    <w:rsid w:val="004130F6"/>
    <w:rsid w:val="0041310D"/>
    <w:rsid w:val="00413535"/>
    <w:rsid w:val="004136C2"/>
    <w:rsid w:val="004137A3"/>
    <w:rsid w:val="00413B71"/>
    <w:rsid w:val="004141D2"/>
    <w:rsid w:val="004157F2"/>
    <w:rsid w:val="00415FFA"/>
    <w:rsid w:val="00416912"/>
    <w:rsid w:val="00416ACD"/>
    <w:rsid w:val="00417211"/>
    <w:rsid w:val="0041736B"/>
    <w:rsid w:val="00417A33"/>
    <w:rsid w:val="00417F13"/>
    <w:rsid w:val="00421C40"/>
    <w:rsid w:val="00421DD8"/>
    <w:rsid w:val="00422268"/>
    <w:rsid w:val="00422B63"/>
    <w:rsid w:val="00422C67"/>
    <w:rsid w:val="004234C5"/>
    <w:rsid w:val="00423704"/>
    <w:rsid w:val="00423BBB"/>
    <w:rsid w:val="00423D6D"/>
    <w:rsid w:val="004244D0"/>
    <w:rsid w:val="004246F6"/>
    <w:rsid w:val="00425821"/>
    <w:rsid w:val="00425CE1"/>
    <w:rsid w:val="00425FE2"/>
    <w:rsid w:val="00426D4E"/>
    <w:rsid w:val="00426D8A"/>
    <w:rsid w:val="004300EE"/>
    <w:rsid w:val="00430FAC"/>
    <w:rsid w:val="00431740"/>
    <w:rsid w:val="00431D78"/>
    <w:rsid w:val="00431E4B"/>
    <w:rsid w:val="00432476"/>
    <w:rsid w:val="00432C1D"/>
    <w:rsid w:val="004337E5"/>
    <w:rsid w:val="00433A95"/>
    <w:rsid w:val="00434639"/>
    <w:rsid w:val="00435BEF"/>
    <w:rsid w:val="00436500"/>
    <w:rsid w:val="004365AD"/>
    <w:rsid w:val="004367FE"/>
    <w:rsid w:val="00436A23"/>
    <w:rsid w:val="0043725D"/>
    <w:rsid w:val="0043795D"/>
    <w:rsid w:val="00437DFD"/>
    <w:rsid w:val="00440584"/>
    <w:rsid w:val="00440812"/>
    <w:rsid w:val="00440872"/>
    <w:rsid w:val="00440C9D"/>
    <w:rsid w:val="00440F5F"/>
    <w:rsid w:val="0044106B"/>
    <w:rsid w:val="004411BF"/>
    <w:rsid w:val="0044131F"/>
    <w:rsid w:val="00441C1C"/>
    <w:rsid w:val="00441F97"/>
    <w:rsid w:val="00442443"/>
    <w:rsid w:val="004433DB"/>
    <w:rsid w:val="004436E5"/>
    <w:rsid w:val="00444355"/>
    <w:rsid w:val="00444F6A"/>
    <w:rsid w:val="0044524B"/>
    <w:rsid w:val="00445647"/>
    <w:rsid w:val="0044617A"/>
    <w:rsid w:val="004462C4"/>
    <w:rsid w:val="00446476"/>
    <w:rsid w:val="00446527"/>
    <w:rsid w:val="00446813"/>
    <w:rsid w:val="00447121"/>
    <w:rsid w:val="0044721C"/>
    <w:rsid w:val="00447707"/>
    <w:rsid w:val="00450316"/>
    <w:rsid w:val="00451778"/>
    <w:rsid w:val="00451F49"/>
    <w:rsid w:val="00452675"/>
    <w:rsid w:val="00452E6D"/>
    <w:rsid w:val="00453100"/>
    <w:rsid w:val="0045325C"/>
    <w:rsid w:val="00454E9D"/>
    <w:rsid w:val="0045580E"/>
    <w:rsid w:val="00455916"/>
    <w:rsid w:val="004559B4"/>
    <w:rsid w:val="0045601B"/>
    <w:rsid w:val="00456507"/>
    <w:rsid w:val="004566E8"/>
    <w:rsid w:val="00456BAF"/>
    <w:rsid w:val="00457D88"/>
    <w:rsid w:val="0046022A"/>
    <w:rsid w:val="00460415"/>
    <w:rsid w:val="00460F65"/>
    <w:rsid w:val="00462B89"/>
    <w:rsid w:val="00463189"/>
    <w:rsid w:val="004637D8"/>
    <w:rsid w:val="00464A32"/>
    <w:rsid w:val="004658A5"/>
    <w:rsid w:val="00465EBC"/>
    <w:rsid w:val="004668AD"/>
    <w:rsid w:val="00466FB4"/>
    <w:rsid w:val="004673F0"/>
    <w:rsid w:val="0046743E"/>
    <w:rsid w:val="00467F03"/>
    <w:rsid w:val="00470ABA"/>
    <w:rsid w:val="00471457"/>
    <w:rsid w:val="004719BB"/>
    <w:rsid w:val="004727C6"/>
    <w:rsid w:val="00472EEA"/>
    <w:rsid w:val="00473876"/>
    <w:rsid w:val="00473DB2"/>
    <w:rsid w:val="004743B9"/>
    <w:rsid w:val="00474680"/>
    <w:rsid w:val="00474B9B"/>
    <w:rsid w:val="00476844"/>
    <w:rsid w:val="004769B2"/>
    <w:rsid w:val="00476AD9"/>
    <w:rsid w:val="00480D90"/>
    <w:rsid w:val="0048102D"/>
    <w:rsid w:val="004815AB"/>
    <w:rsid w:val="00482FEA"/>
    <w:rsid w:val="00483159"/>
    <w:rsid w:val="00483182"/>
    <w:rsid w:val="004836DA"/>
    <w:rsid w:val="00483BE8"/>
    <w:rsid w:val="004840DD"/>
    <w:rsid w:val="00485C9F"/>
    <w:rsid w:val="0048658C"/>
    <w:rsid w:val="00486DCF"/>
    <w:rsid w:val="004876F9"/>
    <w:rsid w:val="00487AC5"/>
    <w:rsid w:val="00487DD8"/>
    <w:rsid w:val="004907CB"/>
    <w:rsid w:val="004917DF"/>
    <w:rsid w:val="0049288E"/>
    <w:rsid w:val="00492DE6"/>
    <w:rsid w:val="00495F71"/>
    <w:rsid w:val="00495FC7"/>
    <w:rsid w:val="00496576"/>
    <w:rsid w:val="0049687F"/>
    <w:rsid w:val="0049746C"/>
    <w:rsid w:val="004977FE"/>
    <w:rsid w:val="00497BF5"/>
    <w:rsid w:val="004A00DC"/>
    <w:rsid w:val="004A105D"/>
    <w:rsid w:val="004A1C92"/>
    <w:rsid w:val="004A22AE"/>
    <w:rsid w:val="004A28B1"/>
    <w:rsid w:val="004A2AE8"/>
    <w:rsid w:val="004A2BFE"/>
    <w:rsid w:val="004A32DA"/>
    <w:rsid w:val="004A369C"/>
    <w:rsid w:val="004A3AD0"/>
    <w:rsid w:val="004A3FDB"/>
    <w:rsid w:val="004A432A"/>
    <w:rsid w:val="004A479D"/>
    <w:rsid w:val="004A4ED3"/>
    <w:rsid w:val="004A4F6C"/>
    <w:rsid w:val="004A50E3"/>
    <w:rsid w:val="004A59DC"/>
    <w:rsid w:val="004A6B34"/>
    <w:rsid w:val="004A7AF7"/>
    <w:rsid w:val="004B0601"/>
    <w:rsid w:val="004B07AD"/>
    <w:rsid w:val="004B0935"/>
    <w:rsid w:val="004B0B0E"/>
    <w:rsid w:val="004B1355"/>
    <w:rsid w:val="004B1D47"/>
    <w:rsid w:val="004B1F0B"/>
    <w:rsid w:val="004B2275"/>
    <w:rsid w:val="004B2A24"/>
    <w:rsid w:val="004B327C"/>
    <w:rsid w:val="004B33D0"/>
    <w:rsid w:val="004B4074"/>
    <w:rsid w:val="004B431C"/>
    <w:rsid w:val="004B459D"/>
    <w:rsid w:val="004B485C"/>
    <w:rsid w:val="004B53DA"/>
    <w:rsid w:val="004B5A7E"/>
    <w:rsid w:val="004B6252"/>
    <w:rsid w:val="004B6B70"/>
    <w:rsid w:val="004B755E"/>
    <w:rsid w:val="004B790E"/>
    <w:rsid w:val="004B7C1E"/>
    <w:rsid w:val="004C0139"/>
    <w:rsid w:val="004C02FC"/>
    <w:rsid w:val="004C181D"/>
    <w:rsid w:val="004C2893"/>
    <w:rsid w:val="004C301A"/>
    <w:rsid w:val="004C3456"/>
    <w:rsid w:val="004C3C49"/>
    <w:rsid w:val="004C4062"/>
    <w:rsid w:val="004C46B3"/>
    <w:rsid w:val="004C5B13"/>
    <w:rsid w:val="004C5CE8"/>
    <w:rsid w:val="004C60B1"/>
    <w:rsid w:val="004C621B"/>
    <w:rsid w:val="004C750A"/>
    <w:rsid w:val="004C754B"/>
    <w:rsid w:val="004D0127"/>
    <w:rsid w:val="004D0534"/>
    <w:rsid w:val="004D058E"/>
    <w:rsid w:val="004D2DD0"/>
    <w:rsid w:val="004D2E66"/>
    <w:rsid w:val="004D3346"/>
    <w:rsid w:val="004D3437"/>
    <w:rsid w:val="004D3597"/>
    <w:rsid w:val="004D3665"/>
    <w:rsid w:val="004D3C17"/>
    <w:rsid w:val="004D4B52"/>
    <w:rsid w:val="004D4CB5"/>
    <w:rsid w:val="004D582B"/>
    <w:rsid w:val="004D5DB5"/>
    <w:rsid w:val="004D5EE6"/>
    <w:rsid w:val="004D704E"/>
    <w:rsid w:val="004D71DE"/>
    <w:rsid w:val="004E39E5"/>
    <w:rsid w:val="004E3A01"/>
    <w:rsid w:val="004E5037"/>
    <w:rsid w:val="004E50AE"/>
    <w:rsid w:val="004E64F3"/>
    <w:rsid w:val="004E6A42"/>
    <w:rsid w:val="004E6AE3"/>
    <w:rsid w:val="004E700E"/>
    <w:rsid w:val="004E7078"/>
    <w:rsid w:val="004E7570"/>
    <w:rsid w:val="004E7C55"/>
    <w:rsid w:val="004F118B"/>
    <w:rsid w:val="004F154B"/>
    <w:rsid w:val="004F26C9"/>
    <w:rsid w:val="004F29E3"/>
    <w:rsid w:val="004F33A3"/>
    <w:rsid w:val="004F37C2"/>
    <w:rsid w:val="004F3836"/>
    <w:rsid w:val="004F4333"/>
    <w:rsid w:val="004F5CB6"/>
    <w:rsid w:val="004F62FD"/>
    <w:rsid w:val="004F68BD"/>
    <w:rsid w:val="004F6A8C"/>
    <w:rsid w:val="004F6E9F"/>
    <w:rsid w:val="004F6FD9"/>
    <w:rsid w:val="004F761A"/>
    <w:rsid w:val="004F7BB1"/>
    <w:rsid w:val="00500675"/>
    <w:rsid w:val="005007E5"/>
    <w:rsid w:val="00500BC9"/>
    <w:rsid w:val="0050132E"/>
    <w:rsid w:val="0050187C"/>
    <w:rsid w:val="00501CE9"/>
    <w:rsid w:val="00501E81"/>
    <w:rsid w:val="0050229E"/>
    <w:rsid w:val="00503790"/>
    <w:rsid w:val="00503B56"/>
    <w:rsid w:val="00503B8F"/>
    <w:rsid w:val="00503C9A"/>
    <w:rsid w:val="0050406D"/>
    <w:rsid w:val="005041BF"/>
    <w:rsid w:val="005047FB"/>
    <w:rsid w:val="00504C5F"/>
    <w:rsid w:val="0050532E"/>
    <w:rsid w:val="00505591"/>
    <w:rsid w:val="00505D8B"/>
    <w:rsid w:val="00505E13"/>
    <w:rsid w:val="00506063"/>
    <w:rsid w:val="0050663D"/>
    <w:rsid w:val="005066BB"/>
    <w:rsid w:val="0050729F"/>
    <w:rsid w:val="005074ED"/>
    <w:rsid w:val="00507782"/>
    <w:rsid w:val="00507B38"/>
    <w:rsid w:val="00507C50"/>
    <w:rsid w:val="00507CE5"/>
    <w:rsid w:val="0051019A"/>
    <w:rsid w:val="00510E51"/>
    <w:rsid w:val="00510FC1"/>
    <w:rsid w:val="0051135C"/>
    <w:rsid w:val="00511969"/>
    <w:rsid w:val="00511A3A"/>
    <w:rsid w:val="00511CD6"/>
    <w:rsid w:val="00512A2F"/>
    <w:rsid w:val="005131FE"/>
    <w:rsid w:val="00513776"/>
    <w:rsid w:val="00513D07"/>
    <w:rsid w:val="005150DB"/>
    <w:rsid w:val="005159B9"/>
    <w:rsid w:val="0051707B"/>
    <w:rsid w:val="005173DB"/>
    <w:rsid w:val="00517563"/>
    <w:rsid w:val="00517613"/>
    <w:rsid w:val="00517EDF"/>
    <w:rsid w:val="0052053D"/>
    <w:rsid w:val="00520717"/>
    <w:rsid w:val="00521CAD"/>
    <w:rsid w:val="00522055"/>
    <w:rsid w:val="00522218"/>
    <w:rsid w:val="00522841"/>
    <w:rsid w:val="00522910"/>
    <w:rsid w:val="005229FB"/>
    <w:rsid w:val="00523CBB"/>
    <w:rsid w:val="00523EFB"/>
    <w:rsid w:val="00524B8B"/>
    <w:rsid w:val="00524EC9"/>
    <w:rsid w:val="00525693"/>
    <w:rsid w:val="005261CA"/>
    <w:rsid w:val="00526AB2"/>
    <w:rsid w:val="00527511"/>
    <w:rsid w:val="00527FCE"/>
    <w:rsid w:val="005312CA"/>
    <w:rsid w:val="005315DD"/>
    <w:rsid w:val="00531824"/>
    <w:rsid w:val="00531FA8"/>
    <w:rsid w:val="00532538"/>
    <w:rsid w:val="00532D28"/>
    <w:rsid w:val="00533B9B"/>
    <w:rsid w:val="00534318"/>
    <w:rsid w:val="005345D8"/>
    <w:rsid w:val="00534FA3"/>
    <w:rsid w:val="00535398"/>
    <w:rsid w:val="00535CDD"/>
    <w:rsid w:val="005361A5"/>
    <w:rsid w:val="00536ED1"/>
    <w:rsid w:val="00536F60"/>
    <w:rsid w:val="00536F95"/>
    <w:rsid w:val="0053751E"/>
    <w:rsid w:val="00537A80"/>
    <w:rsid w:val="00537C47"/>
    <w:rsid w:val="00537EC4"/>
    <w:rsid w:val="00540E5E"/>
    <w:rsid w:val="00542414"/>
    <w:rsid w:val="005429C4"/>
    <w:rsid w:val="005439D5"/>
    <w:rsid w:val="00544B5C"/>
    <w:rsid w:val="00545A63"/>
    <w:rsid w:val="00545CBA"/>
    <w:rsid w:val="0054604B"/>
    <w:rsid w:val="00546273"/>
    <w:rsid w:val="005465BD"/>
    <w:rsid w:val="00546C71"/>
    <w:rsid w:val="00546E9B"/>
    <w:rsid w:val="005470A1"/>
    <w:rsid w:val="00547492"/>
    <w:rsid w:val="005478FF"/>
    <w:rsid w:val="00547B5E"/>
    <w:rsid w:val="00553926"/>
    <w:rsid w:val="00555477"/>
    <w:rsid w:val="00555680"/>
    <w:rsid w:val="00556A0C"/>
    <w:rsid w:val="00557AB3"/>
    <w:rsid w:val="00560076"/>
    <w:rsid w:val="00560642"/>
    <w:rsid w:val="00560A7F"/>
    <w:rsid w:val="00560C11"/>
    <w:rsid w:val="00560CF5"/>
    <w:rsid w:val="00560EBA"/>
    <w:rsid w:val="005613F1"/>
    <w:rsid w:val="00561AA7"/>
    <w:rsid w:val="00561B61"/>
    <w:rsid w:val="005622EE"/>
    <w:rsid w:val="005625B9"/>
    <w:rsid w:val="00562EB9"/>
    <w:rsid w:val="0056376D"/>
    <w:rsid w:val="005637E5"/>
    <w:rsid w:val="00563A48"/>
    <w:rsid w:val="00563EDB"/>
    <w:rsid w:val="00563FC3"/>
    <w:rsid w:val="005651D9"/>
    <w:rsid w:val="00567763"/>
    <w:rsid w:val="00567BD5"/>
    <w:rsid w:val="00567E6C"/>
    <w:rsid w:val="00567F33"/>
    <w:rsid w:val="005705A6"/>
    <w:rsid w:val="005726F6"/>
    <w:rsid w:val="005731E2"/>
    <w:rsid w:val="005735A5"/>
    <w:rsid w:val="00573800"/>
    <w:rsid w:val="0057390A"/>
    <w:rsid w:val="00573D5C"/>
    <w:rsid w:val="005741BD"/>
    <w:rsid w:val="0057643D"/>
    <w:rsid w:val="00576441"/>
    <w:rsid w:val="00577929"/>
    <w:rsid w:val="00577980"/>
    <w:rsid w:val="005801E2"/>
    <w:rsid w:val="005803FF"/>
    <w:rsid w:val="00580BB2"/>
    <w:rsid w:val="00581E73"/>
    <w:rsid w:val="00582010"/>
    <w:rsid w:val="0058216D"/>
    <w:rsid w:val="005822F4"/>
    <w:rsid w:val="005824F0"/>
    <w:rsid w:val="00583112"/>
    <w:rsid w:val="005831AA"/>
    <w:rsid w:val="005860A7"/>
    <w:rsid w:val="0058680D"/>
    <w:rsid w:val="00586A01"/>
    <w:rsid w:val="00587550"/>
    <w:rsid w:val="00590542"/>
    <w:rsid w:val="005909B8"/>
    <w:rsid w:val="00592188"/>
    <w:rsid w:val="00592264"/>
    <w:rsid w:val="005923A6"/>
    <w:rsid w:val="0059240E"/>
    <w:rsid w:val="00592444"/>
    <w:rsid w:val="005926AE"/>
    <w:rsid w:val="00593FA7"/>
    <w:rsid w:val="00594937"/>
    <w:rsid w:val="005952E4"/>
    <w:rsid w:val="00595608"/>
    <w:rsid w:val="00595B29"/>
    <w:rsid w:val="00595B4C"/>
    <w:rsid w:val="005963CD"/>
    <w:rsid w:val="00596CD9"/>
    <w:rsid w:val="005975CF"/>
    <w:rsid w:val="005A152A"/>
    <w:rsid w:val="005A1661"/>
    <w:rsid w:val="005A2450"/>
    <w:rsid w:val="005A37D1"/>
    <w:rsid w:val="005A43E9"/>
    <w:rsid w:val="005A4615"/>
    <w:rsid w:val="005A499F"/>
    <w:rsid w:val="005A49ED"/>
    <w:rsid w:val="005A4E3C"/>
    <w:rsid w:val="005A4F14"/>
    <w:rsid w:val="005A515E"/>
    <w:rsid w:val="005A5D4A"/>
    <w:rsid w:val="005A5EA8"/>
    <w:rsid w:val="005A658B"/>
    <w:rsid w:val="005A7D02"/>
    <w:rsid w:val="005B074D"/>
    <w:rsid w:val="005B0BD2"/>
    <w:rsid w:val="005B0CA0"/>
    <w:rsid w:val="005B127B"/>
    <w:rsid w:val="005B1B44"/>
    <w:rsid w:val="005B2892"/>
    <w:rsid w:val="005B28E7"/>
    <w:rsid w:val="005B2DBC"/>
    <w:rsid w:val="005B35C5"/>
    <w:rsid w:val="005B36BE"/>
    <w:rsid w:val="005B3F70"/>
    <w:rsid w:val="005B4602"/>
    <w:rsid w:val="005B4ABB"/>
    <w:rsid w:val="005B4EBC"/>
    <w:rsid w:val="005B4FCB"/>
    <w:rsid w:val="005B5F24"/>
    <w:rsid w:val="005B6494"/>
    <w:rsid w:val="005B675A"/>
    <w:rsid w:val="005B6E39"/>
    <w:rsid w:val="005B7AE3"/>
    <w:rsid w:val="005C0D00"/>
    <w:rsid w:val="005C0EF4"/>
    <w:rsid w:val="005C1637"/>
    <w:rsid w:val="005C1FC8"/>
    <w:rsid w:val="005C1FFD"/>
    <w:rsid w:val="005C24B0"/>
    <w:rsid w:val="005C297A"/>
    <w:rsid w:val="005C3FA9"/>
    <w:rsid w:val="005C43AB"/>
    <w:rsid w:val="005C44B3"/>
    <w:rsid w:val="005C4914"/>
    <w:rsid w:val="005C491A"/>
    <w:rsid w:val="005C4CE0"/>
    <w:rsid w:val="005C6AA2"/>
    <w:rsid w:val="005C6FAB"/>
    <w:rsid w:val="005C75E4"/>
    <w:rsid w:val="005C76C6"/>
    <w:rsid w:val="005C7EE2"/>
    <w:rsid w:val="005D012A"/>
    <w:rsid w:val="005D03F0"/>
    <w:rsid w:val="005D0630"/>
    <w:rsid w:val="005D08E3"/>
    <w:rsid w:val="005D09A7"/>
    <w:rsid w:val="005D1797"/>
    <w:rsid w:val="005D1F86"/>
    <w:rsid w:val="005D2599"/>
    <w:rsid w:val="005D2F77"/>
    <w:rsid w:val="005D3799"/>
    <w:rsid w:val="005D380D"/>
    <w:rsid w:val="005D3C58"/>
    <w:rsid w:val="005D3D86"/>
    <w:rsid w:val="005D4941"/>
    <w:rsid w:val="005D59A3"/>
    <w:rsid w:val="005D6AB6"/>
    <w:rsid w:val="005D6B60"/>
    <w:rsid w:val="005D785B"/>
    <w:rsid w:val="005D7AC3"/>
    <w:rsid w:val="005D7F26"/>
    <w:rsid w:val="005E10F5"/>
    <w:rsid w:val="005E13A9"/>
    <w:rsid w:val="005E21FB"/>
    <w:rsid w:val="005E272D"/>
    <w:rsid w:val="005E27F8"/>
    <w:rsid w:val="005E3009"/>
    <w:rsid w:val="005E3366"/>
    <w:rsid w:val="005E3864"/>
    <w:rsid w:val="005E3E79"/>
    <w:rsid w:val="005E42D3"/>
    <w:rsid w:val="005E4432"/>
    <w:rsid w:val="005E57CE"/>
    <w:rsid w:val="005E64B6"/>
    <w:rsid w:val="005E6794"/>
    <w:rsid w:val="005E69AF"/>
    <w:rsid w:val="005E6B70"/>
    <w:rsid w:val="005E74E0"/>
    <w:rsid w:val="005E7B56"/>
    <w:rsid w:val="005F0774"/>
    <w:rsid w:val="005F0821"/>
    <w:rsid w:val="005F0F69"/>
    <w:rsid w:val="005F101E"/>
    <w:rsid w:val="005F1555"/>
    <w:rsid w:val="005F1755"/>
    <w:rsid w:val="005F1DA5"/>
    <w:rsid w:val="005F2E57"/>
    <w:rsid w:val="005F3004"/>
    <w:rsid w:val="005F3618"/>
    <w:rsid w:val="005F3B1B"/>
    <w:rsid w:val="005F40BF"/>
    <w:rsid w:val="005F442D"/>
    <w:rsid w:val="005F453F"/>
    <w:rsid w:val="005F461B"/>
    <w:rsid w:val="005F4BE0"/>
    <w:rsid w:val="005F4D86"/>
    <w:rsid w:val="005F5FE2"/>
    <w:rsid w:val="005F6A32"/>
    <w:rsid w:val="005F744B"/>
    <w:rsid w:val="006001FB"/>
    <w:rsid w:val="00600293"/>
    <w:rsid w:val="0060069A"/>
    <w:rsid w:val="00600F18"/>
    <w:rsid w:val="00601774"/>
    <w:rsid w:val="006022B3"/>
    <w:rsid w:val="0060253D"/>
    <w:rsid w:val="00602562"/>
    <w:rsid w:val="0060297B"/>
    <w:rsid w:val="00602C3F"/>
    <w:rsid w:val="00603D73"/>
    <w:rsid w:val="00603F42"/>
    <w:rsid w:val="00604843"/>
    <w:rsid w:val="00604893"/>
    <w:rsid w:val="006055BA"/>
    <w:rsid w:val="00605E5D"/>
    <w:rsid w:val="00606819"/>
    <w:rsid w:val="006068DD"/>
    <w:rsid w:val="006069F1"/>
    <w:rsid w:val="006075F6"/>
    <w:rsid w:val="00610327"/>
    <w:rsid w:val="00610E2E"/>
    <w:rsid w:val="0061145E"/>
    <w:rsid w:val="00611A46"/>
    <w:rsid w:val="00611C36"/>
    <w:rsid w:val="00612885"/>
    <w:rsid w:val="00612D2E"/>
    <w:rsid w:val="00613F9C"/>
    <w:rsid w:val="0061410F"/>
    <w:rsid w:val="006141B2"/>
    <w:rsid w:val="006147F5"/>
    <w:rsid w:val="00614806"/>
    <w:rsid w:val="00614DC7"/>
    <w:rsid w:val="00614E58"/>
    <w:rsid w:val="00615275"/>
    <w:rsid w:val="00616D3A"/>
    <w:rsid w:val="006179A4"/>
    <w:rsid w:val="00620899"/>
    <w:rsid w:val="006209CE"/>
    <w:rsid w:val="006220DE"/>
    <w:rsid w:val="00622AC1"/>
    <w:rsid w:val="00622C0D"/>
    <w:rsid w:val="0062336A"/>
    <w:rsid w:val="00623DA6"/>
    <w:rsid w:val="00623FEE"/>
    <w:rsid w:val="006245F1"/>
    <w:rsid w:val="00625A84"/>
    <w:rsid w:val="00626523"/>
    <w:rsid w:val="0062664A"/>
    <w:rsid w:val="00626A7A"/>
    <w:rsid w:val="00626C05"/>
    <w:rsid w:val="00626F4F"/>
    <w:rsid w:val="00627708"/>
    <w:rsid w:val="006278C2"/>
    <w:rsid w:val="00627E50"/>
    <w:rsid w:val="0063048D"/>
    <w:rsid w:val="00630AB7"/>
    <w:rsid w:val="00630D2E"/>
    <w:rsid w:val="00631851"/>
    <w:rsid w:val="00631C39"/>
    <w:rsid w:val="00631CB3"/>
    <w:rsid w:val="00632F3D"/>
    <w:rsid w:val="00633BA3"/>
    <w:rsid w:val="006344DC"/>
    <w:rsid w:val="00634BC1"/>
    <w:rsid w:val="00634F89"/>
    <w:rsid w:val="006353AF"/>
    <w:rsid w:val="0063633E"/>
    <w:rsid w:val="006365BD"/>
    <w:rsid w:val="00636860"/>
    <w:rsid w:val="00636BB6"/>
    <w:rsid w:val="00637FDC"/>
    <w:rsid w:val="006410EB"/>
    <w:rsid w:val="0064155F"/>
    <w:rsid w:val="00641935"/>
    <w:rsid w:val="00642BFD"/>
    <w:rsid w:val="00644C14"/>
    <w:rsid w:val="006450DD"/>
    <w:rsid w:val="00645F59"/>
    <w:rsid w:val="0064694A"/>
    <w:rsid w:val="00646E99"/>
    <w:rsid w:val="0064753C"/>
    <w:rsid w:val="00647E04"/>
    <w:rsid w:val="00647EA2"/>
    <w:rsid w:val="00647EDF"/>
    <w:rsid w:val="00650461"/>
    <w:rsid w:val="006509BF"/>
    <w:rsid w:val="00651589"/>
    <w:rsid w:val="00651632"/>
    <w:rsid w:val="006516A2"/>
    <w:rsid w:val="00652062"/>
    <w:rsid w:val="00652A44"/>
    <w:rsid w:val="0065390F"/>
    <w:rsid w:val="00653AA8"/>
    <w:rsid w:val="00653F10"/>
    <w:rsid w:val="00654E83"/>
    <w:rsid w:val="006555B8"/>
    <w:rsid w:val="00655D44"/>
    <w:rsid w:val="00656291"/>
    <w:rsid w:val="00656783"/>
    <w:rsid w:val="0066073E"/>
    <w:rsid w:val="00660A92"/>
    <w:rsid w:val="006613E0"/>
    <w:rsid w:val="006616E8"/>
    <w:rsid w:val="00661AB1"/>
    <w:rsid w:val="00661AFE"/>
    <w:rsid w:val="00662ED7"/>
    <w:rsid w:val="00662F2D"/>
    <w:rsid w:val="00663196"/>
    <w:rsid w:val="0066348B"/>
    <w:rsid w:val="006643F2"/>
    <w:rsid w:val="0066451D"/>
    <w:rsid w:val="00664E65"/>
    <w:rsid w:val="00664E9B"/>
    <w:rsid w:val="00664EE4"/>
    <w:rsid w:val="0066523F"/>
    <w:rsid w:val="00665624"/>
    <w:rsid w:val="00666F4E"/>
    <w:rsid w:val="00667112"/>
    <w:rsid w:val="00670304"/>
    <w:rsid w:val="00670871"/>
    <w:rsid w:val="00670BAC"/>
    <w:rsid w:val="00670C1A"/>
    <w:rsid w:val="00671556"/>
    <w:rsid w:val="0067161B"/>
    <w:rsid w:val="006721C0"/>
    <w:rsid w:val="006722F6"/>
    <w:rsid w:val="00672A76"/>
    <w:rsid w:val="00673066"/>
    <w:rsid w:val="00673667"/>
    <w:rsid w:val="006736D2"/>
    <w:rsid w:val="00673D0D"/>
    <w:rsid w:val="00673D41"/>
    <w:rsid w:val="00674C1C"/>
    <w:rsid w:val="00675B45"/>
    <w:rsid w:val="006762F3"/>
    <w:rsid w:val="00676633"/>
    <w:rsid w:val="00677226"/>
    <w:rsid w:val="00677FF4"/>
    <w:rsid w:val="0068004B"/>
    <w:rsid w:val="00681119"/>
    <w:rsid w:val="006813DF"/>
    <w:rsid w:val="00681764"/>
    <w:rsid w:val="00682F24"/>
    <w:rsid w:val="00683047"/>
    <w:rsid w:val="0068314D"/>
    <w:rsid w:val="00684323"/>
    <w:rsid w:val="0068502D"/>
    <w:rsid w:val="006858C2"/>
    <w:rsid w:val="006875F2"/>
    <w:rsid w:val="00690C1C"/>
    <w:rsid w:val="006910A6"/>
    <w:rsid w:val="00691BE0"/>
    <w:rsid w:val="00692801"/>
    <w:rsid w:val="00692DDA"/>
    <w:rsid w:val="00693429"/>
    <w:rsid w:val="00693626"/>
    <w:rsid w:val="00693E8C"/>
    <w:rsid w:val="006944E4"/>
    <w:rsid w:val="0069519B"/>
    <w:rsid w:val="00695816"/>
    <w:rsid w:val="00695F6F"/>
    <w:rsid w:val="006962A0"/>
    <w:rsid w:val="0069630A"/>
    <w:rsid w:val="00696E8D"/>
    <w:rsid w:val="006977DE"/>
    <w:rsid w:val="006A06A1"/>
    <w:rsid w:val="006A072D"/>
    <w:rsid w:val="006A1832"/>
    <w:rsid w:val="006A1FAD"/>
    <w:rsid w:val="006A3DA5"/>
    <w:rsid w:val="006A55CA"/>
    <w:rsid w:val="006A5899"/>
    <w:rsid w:val="006A5B1E"/>
    <w:rsid w:val="006A634E"/>
    <w:rsid w:val="006A66F1"/>
    <w:rsid w:val="006A7591"/>
    <w:rsid w:val="006B0183"/>
    <w:rsid w:val="006B0EA9"/>
    <w:rsid w:val="006B0FF1"/>
    <w:rsid w:val="006B1541"/>
    <w:rsid w:val="006B1BB4"/>
    <w:rsid w:val="006B25A3"/>
    <w:rsid w:val="006B32E7"/>
    <w:rsid w:val="006B3461"/>
    <w:rsid w:val="006B3B48"/>
    <w:rsid w:val="006B3FE7"/>
    <w:rsid w:val="006B444A"/>
    <w:rsid w:val="006B456F"/>
    <w:rsid w:val="006B53AB"/>
    <w:rsid w:val="006B54D6"/>
    <w:rsid w:val="006B632B"/>
    <w:rsid w:val="006B7A89"/>
    <w:rsid w:val="006B7C48"/>
    <w:rsid w:val="006C01A3"/>
    <w:rsid w:val="006C1290"/>
    <w:rsid w:val="006C18D8"/>
    <w:rsid w:val="006C267A"/>
    <w:rsid w:val="006C26E2"/>
    <w:rsid w:val="006C2A39"/>
    <w:rsid w:val="006C2BE5"/>
    <w:rsid w:val="006C2FD3"/>
    <w:rsid w:val="006C3C79"/>
    <w:rsid w:val="006C3C8D"/>
    <w:rsid w:val="006C4959"/>
    <w:rsid w:val="006C4E27"/>
    <w:rsid w:val="006C4E87"/>
    <w:rsid w:val="006C5B93"/>
    <w:rsid w:val="006C5F2A"/>
    <w:rsid w:val="006C6171"/>
    <w:rsid w:val="006C66D8"/>
    <w:rsid w:val="006C711F"/>
    <w:rsid w:val="006C7DEB"/>
    <w:rsid w:val="006C7EFE"/>
    <w:rsid w:val="006C7F6F"/>
    <w:rsid w:val="006C7FF4"/>
    <w:rsid w:val="006D08BE"/>
    <w:rsid w:val="006D0AC5"/>
    <w:rsid w:val="006D1717"/>
    <w:rsid w:val="006D2260"/>
    <w:rsid w:val="006D2B2B"/>
    <w:rsid w:val="006D3C7D"/>
    <w:rsid w:val="006D5091"/>
    <w:rsid w:val="006D57E9"/>
    <w:rsid w:val="006D5EAD"/>
    <w:rsid w:val="006D61A3"/>
    <w:rsid w:val="006D7F22"/>
    <w:rsid w:val="006E019D"/>
    <w:rsid w:val="006E080A"/>
    <w:rsid w:val="006E096A"/>
    <w:rsid w:val="006E183E"/>
    <w:rsid w:val="006E1A38"/>
    <w:rsid w:val="006E23FA"/>
    <w:rsid w:val="006E2AC2"/>
    <w:rsid w:val="006E2D55"/>
    <w:rsid w:val="006E2DB3"/>
    <w:rsid w:val="006E34CD"/>
    <w:rsid w:val="006E4865"/>
    <w:rsid w:val="006E4BA6"/>
    <w:rsid w:val="006E5212"/>
    <w:rsid w:val="006E5C06"/>
    <w:rsid w:val="006E5F19"/>
    <w:rsid w:val="006E6078"/>
    <w:rsid w:val="006E632B"/>
    <w:rsid w:val="006E64B3"/>
    <w:rsid w:val="006E662E"/>
    <w:rsid w:val="006E695F"/>
    <w:rsid w:val="006E72A1"/>
    <w:rsid w:val="006E746E"/>
    <w:rsid w:val="006E7C11"/>
    <w:rsid w:val="006F0072"/>
    <w:rsid w:val="006F18AE"/>
    <w:rsid w:val="006F1EA3"/>
    <w:rsid w:val="006F1EFE"/>
    <w:rsid w:val="006F1F00"/>
    <w:rsid w:val="006F1F7E"/>
    <w:rsid w:val="006F27BB"/>
    <w:rsid w:val="006F3463"/>
    <w:rsid w:val="006F3780"/>
    <w:rsid w:val="006F3CA3"/>
    <w:rsid w:val="006F3EAC"/>
    <w:rsid w:val="006F50D0"/>
    <w:rsid w:val="006F56AF"/>
    <w:rsid w:val="006F5726"/>
    <w:rsid w:val="006F70DC"/>
    <w:rsid w:val="006F7B46"/>
    <w:rsid w:val="007002AE"/>
    <w:rsid w:val="00700361"/>
    <w:rsid w:val="0070043F"/>
    <w:rsid w:val="00700DB3"/>
    <w:rsid w:val="00701485"/>
    <w:rsid w:val="007017DC"/>
    <w:rsid w:val="00701D28"/>
    <w:rsid w:val="0070241D"/>
    <w:rsid w:val="007036EE"/>
    <w:rsid w:val="0070383E"/>
    <w:rsid w:val="00704104"/>
    <w:rsid w:val="0070432E"/>
    <w:rsid w:val="00704D1B"/>
    <w:rsid w:val="00704F43"/>
    <w:rsid w:val="0070554B"/>
    <w:rsid w:val="007062D1"/>
    <w:rsid w:val="00706369"/>
    <w:rsid w:val="0070647B"/>
    <w:rsid w:val="007065E4"/>
    <w:rsid w:val="00706B79"/>
    <w:rsid w:val="0070764A"/>
    <w:rsid w:val="00707815"/>
    <w:rsid w:val="00707A4F"/>
    <w:rsid w:val="00710356"/>
    <w:rsid w:val="007111B5"/>
    <w:rsid w:val="007118D1"/>
    <w:rsid w:val="00711C8C"/>
    <w:rsid w:val="00711EE2"/>
    <w:rsid w:val="00712254"/>
    <w:rsid w:val="00712815"/>
    <w:rsid w:val="00712A5D"/>
    <w:rsid w:val="0071308C"/>
    <w:rsid w:val="00713593"/>
    <w:rsid w:val="0071401E"/>
    <w:rsid w:val="007140C3"/>
    <w:rsid w:val="00714442"/>
    <w:rsid w:val="00714A5B"/>
    <w:rsid w:val="00714F4E"/>
    <w:rsid w:val="00715455"/>
    <w:rsid w:val="007168BC"/>
    <w:rsid w:val="00716920"/>
    <w:rsid w:val="00717493"/>
    <w:rsid w:val="00717C41"/>
    <w:rsid w:val="0072003E"/>
    <w:rsid w:val="00720AF7"/>
    <w:rsid w:val="0072134C"/>
    <w:rsid w:val="0072225D"/>
    <w:rsid w:val="00722A47"/>
    <w:rsid w:val="00723FBC"/>
    <w:rsid w:val="00724A69"/>
    <w:rsid w:val="00724ABF"/>
    <w:rsid w:val="00724C7F"/>
    <w:rsid w:val="00725365"/>
    <w:rsid w:val="00725377"/>
    <w:rsid w:val="0072552B"/>
    <w:rsid w:val="007257A5"/>
    <w:rsid w:val="00725A6C"/>
    <w:rsid w:val="00725F29"/>
    <w:rsid w:val="00725F77"/>
    <w:rsid w:val="007266ED"/>
    <w:rsid w:val="007268AB"/>
    <w:rsid w:val="007269DF"/>
    <w:rsid w:val="00727446"/>
    <w:rsid w:val="007303C7"/>
    <w:rsid w:val="00730CA5"/>
    <w:rsid w:val="00730F60"/>
    <w:rsid w:val="00731682"/>
    <w:rsid w:val="007318F3"/>
    <w:rsid w:val="00731BCD"/>
    <w:rsid w:val="00732DBB"/>
    <w:rsid w:val="00732FC5"/>
    <w:rsid w:val="007348C7"/>
    <w:rsid w:val="0073497D"/>
    <w:rsid w:val="00734AB7"/>
    <w:rsid w:val="00734C2D"/>
    <w:rsid w:val="00735000"/>
    <w:rsid w:val="00735442"/>
    <w:rsid w:val="007354EA"/>
    <w:rsid w:val="00735745"/>
    <w:rsid w:val="00736748"/>
    <w:rsid w:val="00737F54"/>
    <w:rsid w:val="00740050"/>
    <w:rsid w:val="007401CE"/>
    <w:rsid w:val="00740A8C"/>
    <w:rsid w:val="00741325"/>
    <w:rsid w:val="00742659"/>
    <w:rsid w:val="00742AF5"/>
    <w:rsid w:val="007433DB"/>
    <w:rsid w:val="007433E8"/>
    <w:rsid w:val="007439BA"/>
    <w:rsid w:val="00744196"/>
    <w:rsid w:val="007457CB"/>
    <w:rsid w:val="007466C9"/>
    <w:rsid w:val="007468E9"/>
    <w:rsid w:val="007469F5"/>
    <w:rsid w:val="00747528"/>
    <w:rsid w:val="00747F2F"/>
    <w:rsid w:val="00750AFE"/>
    <w:rsid w:val="007512AE"/>
    <w:rsid w:val="007516AE"/>
    <w:rsid w:val="00751E1E"/>
    <w:rsid w:val="00752AAF"/>
    <w:rsid w:val="00752FB7"/>
    <w:rsid w:val="00752FDA"/>
    <w:rsid w:val="00753918"/>
    <w:rsid w:val="00753996"/>
    <w:rsid w:val="00754230"/>
    <w:rsid w:val="007546A9"/>
    <w:rsid w:val="0075486F"/>
    <w:rsid w:val="00757D04"/>
    <w:rsid w:val="00761853"/>
    <w:rsid w:val="007622F9"/>
    <w:rsid w:val="007624AA"/>
    <w:rsid w:val="00763CB2"/>
    <w:rsid w:val="0076470E"/>
    <w:rsid w:val="00765DB1"/>
    <w:rsid w:val="007665C1"/>
    <w:rsid w:val="00766A84"/>
    <w:rsid w:val="00767749"/>
    <w:rsid w:val="00767F3E"/>
    <w:rsid w:val="00770FEC"/>
    <w:rsid w:val="00771630"/>
    <w:rsid w:val="0077182E"/>
    <w:rsid w:val="007727D1"/>
    <w:rsid w:val="00772A2E"/>
    <w:rsid w:val="00773917"/>
    <w:rsid w:val="00773E38"/>
    <w:rsid w:val="00773E6D"/>
    <w:rsid w:val="00773FAD"/>
    <w:rsid w:val="00775723"/>
    <w:rsid w:val="0077599D"/>
    <w:rsid w:val="00776448"/>
    <w:rsid w:val="00776DC7"/>
    <w:rsid w:val="007772A0"/>
    <w:rsid w:val="00777D08"/>
    <w:rsid w:val="00777F09"/>
    <w:rsid w:val="00780155"/>
    <w:rsid w:val="00780EDB"/>
    <w:rsid w:val="00781517"/>
    <w:rsid w:val="00783074"/>
    <w:rsid w:val="00783757"/>
    <w:rsid w:val="00783E3A"/>
    <w:rsid w:val="00784030"/>
    <w:rsid w:val="007849ED"/>
    <w:rsid w:val="007859B0"/>
    <w:rsid w:val="00786D21"/>
    <w:rsid w:val="00787282"/>
    <w:rsid w:val="0078740D"/>
    <w:rsid w:val="00787936"/>
    <w:rsid w:val="0078799D"/>
    <w:rsid w:val="00787D42"/>
    <w:rsid w:val="00790753"/>
    <w:rsid w:val="0079088A"/>
    <w:rsid w:val="00790D44"/>
    <w:rsid w:val="00791379"/>
    <w:rsid w:val="0079193A"/>
    <w:rsid w:val="00791E11"/>
    <w:rsid w:val="007926C9"/>
    <w:rsid w:val="00792828"/>
    <w:rsid w:val="007928F3"/>
    <w:rsid w:val="00793409"/>
    <w:rsid w:val="0079345D"/>
    <w:rsid w:val="00793640"/>
    <w:rsid w:val="00793ED8"/>
    <w:rsid w:val="0079409A"/>
    <w:rsid w:val="00794150"/>
    <w:rsid w:val="0079430D"/>
    <w:rsid w:val="00794617"/>
    <w:rsid w:val="007949E7"/>
    <w:rsid w:val="007951B1"/>
    <w:rsid w:val="007955A2"/>
    <w:rsid w:val="00795607"/>
    <w:rsid w:val="007956F6"/>
    <w:rsid w:val="00795755"/>
    <w:rsid w:val="007977CC"/>
    <w:rsid w:val="00797B2E"/>
    <w:rsid w:val="007A02F8"/>
    <w:rsid w:val="007A08F5"/>
    <w:rsid w:val="007A0A50"/>
    <w:rsid w:val="007A2AF4"/>
    <w:rsid w:val="007A33A6"/>
    <w:rsid w:val="007A45CD"/>
    <w:rsid w:val="007A4A38"/>
    <w:rsid w:val="007A4E6C"/>
    <w:rsid w:val="007A5272"/>
    <w:rsid w:val="007A596A"/>
    <w:rsid w:val="007A5AF5"/>
    <w:rsid w:val="007A5DA0"/>
    <w:rsid w:val="007A60ED"/>
    <w:rsid w:val="007A669C"/>
    <w:rsid w:val="007A6800"/>
    <w:rsid w:val="007A78B7"/>
    <w:rsid w:val="007B0E53"/>
    <w:rsid w:val="007B0EA0"/>
    <w:rsid w:val="007B15DC"/>
    <w:rsid w:val="007B1BC0"/>
    <w:rsid w:val="007B424F"/>
    <w:rsid w:val="007B5138"/>
    <w:rsid w:val="007B5348"/>
    <w:rsid w:val="007B63B2"/>
    <w:rsid w:val="007B6408"/>
    <w:rsid w:val="007B73E0"/>
    <w:rsid w:val="007B7623"/>
    <w:rsid w:val="007B7D8C"/>
    <w:rsid w:val="007C0965"/>
    <w:rsid w:val="007C1C98"/>
    <w:rsid w:val="007C1E28"/>
    <w:rsid w:val="007C2C3F"/>
    <w:rsid w:val="007C2C4A"/>
    <w:rsid w:val="007C32AA"/>
    <w:rsid w:val="007C3649"/>
    <w:rsid w:val="007C3FB3"/>
    <w:rsid w:val="007C42DC"/>
    <w:rsid w:val="007C4863"/>
    <w:rsid w:val="007C6ADC"/>
    <w:rsid w:val="007C705C"/>
    <w:rsid w:val="007C7FCB"/>
    <w:rsid w:val="007D0336"/>
    <w:rsid w:val="007D0EA4"/>
    <w:rsid w:val="007D0EE3"/>
    <w:rsid w:val="007D0F55"/>
    <w:rsid w:val="007D1598"/>
    <w:rsid w:val="007D1B26"/>
    <w:rsid w:val="007D20C3"/>
    <w:rsid w:val="007D23EE"/>
    <w:rsid w:val="007D2AFB"/>
    <w:rsid w:val="007D2B1F"/>
    <w:rsid w:val="007D33B5"/>
    <w:rsid w:val="007D3761"/>
    <w:rsid w:val="007D3B59"/>
    <w:rsid w:val="007D55A5"/>
    <w:rsid w:val="007D610D"/>
    <w:rsid w:val="007D6157"/>
    <w:rsid w:val="007D6526"/>
    <w:rsid w:val="007D6F63"/>
    <w:rsid w:val="007D70A5"/>
    <w:rsid w:val="007D7B60"/>
    <w:rsid w:val="007D7B6D"/>
    <w:rsid w:val="007E07A9"/>
    <w:rsid w:val="007E114B"/>
    <w:rsid w:val="007E11CE"/>
    <w:rsid w:val="007E1800"/>
    <w:rsid w:val="007E18B2"/>
    <w:rsid w:val="007E22AE"/>
    <w:rsid w:val="007E2934"/>
    <w:rsid w:val="007E2C37"/>
    <w:rsid w:val="007E2D49"/>
    <w:rsid w:val="007E3F05"/>
    <w:rsid w:val="007E504C"/>
    <w:rsid w:val="007E50FA"/>
    <w:rsid w:val="007E66C5"/>
    <w:rsid w:val="007E66CA"/>
    <w:rsid w:val="007E67F2"/>
    <w:rsid w:val="007E7115"/>
    <w:rsid w:val="007E7A2B"/>
    <w:rsid w:val="007E7F16"/>
    <w:rsid w:val="007F09F1"/>
    <w:rsid w:val="007F0D8E"/>
    <w:rsid w:val="007F1449"/>
    <w:rsid w:val="007F2BCE"/>
    <w:rsid w:val="007F3977"/>
    <w:rsid w:val="007F418A"/>
    <w:rsid w:val="007F4ECF"/>
    <w:rsid w:val="007F5027"/>
    <w:rsid w:val="007F532A"/>
    <w:rsid w:val="007F5909"/>
    <w:rsid w:val="007F5E12"/>
    <w:rsid w:val="007F66CF"/>
    <w:rsid w:val="007F6927"/>
    <w:rsid w:val="007F6BFA"/>
    <w:rsid w:val="007F6CCC"/>
    <w:rsid w:val="007F6CCD"/>
    <w:rsid w:val="007F6EE0"/>
    <w:rsid w:val="007F6F6B"/>
    <w:rsid w:val="007F7616"/>
    <w:rsid w:val="008000E9"/>
    <w:rsid w:val="00800165"/>
    <w:rsid w:val="00800506"/>
    <w:rsid w:val="00800570"/>
    <w:rsid w:val="008005DA"/>
    <w:rsid w:val="00800D90"/>
    <w:rsid w:val="0080186B"/>
    <w:rsid w:val="008019C5"/>
    <w:rsid w:val="00802698"/>
    <w:rsid w:val="00802884"/>
    <w:rsid w:val="00803EC7"/>
    <w:rsid w:val="00804251"/>
    <w:rsid w:val="008071B0"/>
    <w:rsid w:val="0081037E"/>
    <w:rsid w:val="00810D0A"/>
    <w:rsid w:val="00810FB4"/>
    <w:rsid w:val="00812447"/>
    <w:rsid w:val="008139AD"/>
    <w:rsid w:val="008141B6"/>
    <w:rsid w:val="008155C7"/>
    <w:rsid w:val="0081570D"/>
    <w:rsid w:val="00816074"/>
    <w:rsid w:val="00817E96"/>
    <w:rsid w:val="00817F29"/>
    <w:rsid w:val="008202EF"/>
    <w:rsid w:val="00820936"/>
    <w:rsid w:val="00821723"/>
    <w:rsid w:val="00821F3F"/>
    <w:rsid w:val="00822906"/>
    <w:rsid w:val="008230F5"/>
    <w:rsid w:val="008239AF"/>
    <w:rsid w:val="00823D79"/>
    <w:rsid w:val="008253B6"/>
    <w:rsid w:val="00825DD6"/>
    <w:rsid w:val="00826141"/>
    <w:rsid w:val="0082622A"/>
    <w:rsid w:val="008264CE"/>
    <w:rsid w:val="00826CEB"/>
    <w:rsid w:val="008305E3"/>
    <w:rsid w:val="00830AB8"/>
    <w:rsid w:val="00830CF0"/>
    <w:rsid w:val="00831230"/>
    <w:rsid w:val="00831A8C"/>
    <w:rsid w:val="00831CA3"/>
    <w:rsid w:val="00832008"/>
    <w:rsid w:val="00832838"/>
    <w:rsid w:val="00832A1D"/>
    <w:rsid w:val="00832C6C"/>
    <w:rsid w:val="008332AE"/>
    <w:rsid w:val="00834FB2"/>
    <w:rsid w:val="0083611F"/>
    <w:rsid w:val="0083657D"/>
    <w:rsid w:val="00836D3F"/>
    <w:rsid w:val="00836EF8"/>
    <w:rsid w:val="00837D1F"/>
    <w:rsid w:val="008407CD"/>
    <w:rsid w:val="00840DD3"/>
    <w:rsid w:val="00841AF1"/>
    <w:rsid w:val="00841BBA"/>
    <w:rsid w:val="00841F7D"/>
    <w:rsid w:val="0084213B"/>
    <w:rsid w:val="00842355"/>
    <w:rsid w:val="00842695"/>
    <w:rsid w:val="00842F52"/>
    <w:rsid w:val="00843345"/>
    <w:rsid w:val="0084401A"/>
    <w:rsid w:val="0084437F"/>
    <w:rsid w:val="00844880"/>
    <w:rsid w:val="00845838"/>
    <w:rsid w:val="0084586C"/>
    <w:rsid w:val="00845890"/>
    <w:rsid w:val="00846B13"/>
    <w:rsid w:val="00846BF9"/>
    <w:rsid w:val="00846C77"/>
    <w:rsid w:val="008475B0"/>
    <w:rsid w:val="008475FD"/>
    <w:rsid w:val="00847DF3"/>
    <w:rsid w:val="008506A5"/>
    <w:rsid w:val="008506BF"/>
    <w:rsid w:val="00850F6E"/>
    <w:rsid w:val="00850F97"/>
    <w:rsid w:val="008521B4"/>
    <w:rsid w:val="0085247C"/>
    <w:rsid w:val="00852FF7"/>
    <w:rsid w:val="008535F2"/>
    <w:rsid w:val="0085401B"/>
    <w:rsid w:val="008541F0"/>
    <w:rsid w:val="0085445A"/>
    <w:rsid w:val="00854A9C"/>
    <w:rsid w:val="00854D15"/>
    <w:rsid w:val="0085536C"/>
    <w:rsid w:val="0085591F"/>
    <w:rsid w:val="00855F09"/>
    <w:rsid w:val="00856319"/>
    <w:rsid w:val="00856C8F"/>
    <w:rsid w:val="00856EB0"/>
    <w:rsid w:val="00856F66"/>
    <w:rsid w:val="008575C0"/>
    <w:rsid w:val="008578D3"/>
    <w:rsid w:val="00860604"/>
    <w:rsid w:val="00860F9F"/>
    <w:rsid w:val="00861B72"/>
    <w:rsid w:val="00862CEE"/>
    <w:rsid w:val="008636A5"/>
    <w:rsid w:val="008636F6"/>
    <w:rsid w:val="008647A2"/>
    <w:rsid w:val="00864843"/>
    <w:rsid w:val="00866506"/>
    <w:rsid w:val="00866B7B"/>
    <w:rsid w:val="00867170"/>
    <w:rsid w:val="008679BD"/>
    <w:rsid w:val="00867CDF"/>
    <w:rsid w:val="00870693"/>
    <w:rsid w:val="00870808"/>
    <w:rsid w:val="00870CAC"/>
    <w:rsid w:val="008712FE"/>
    <w:rsid w:val="0087154D"/>
    <w:rsid w:val="008717F5"/>
    <w:rsid w:val="00872460"/>
    <w:rsid w:val="00872D9E"/>
    <w:rsid w:val="00872DBB"/>
    <w:rsid w:val="00873813"/>
    <w:rsid w:val="00873A76"/>
    <w:rsid w:val="00873CAF"/>
    <w:rsid w:val="008751CC"/>
    <w:rsid w:val="008755A5"/>
    <w:rsid w:val="0087586E"/>
    <w:rsid w:val="00875E84"/>
    <w:rsid w:val="00875FCB"/>
    <w:rsid w:val="00876112"/>
    <w:rsid w:val="0087738D"/>
    <w:rsid w:val="00877C38"/>
    <w:rsid w:val="008811C3"/>
    <w:rsid w:val="008812F3"/>
    <w:rsid w:val="008813F9"/>
    <w:rsid w:val="00881BF2"/>
    <w:rsid w:val="00881DA2"/>
    <w:rsid w:val="00881F72"/>
    <w:rsid w:val="00882677"/>
    <w:rsid w:val="00883F7E"/>
    <w:rsid w:val="0088523B"/>
    <w:rsid w:val="008853D2"/>
    <w:rsid w:val="008856CD"/>
    <w:rsid w:val="00885CE8"/>
    <w:rsid w:val="00887018"/>
    <w:rsid w:val="00887053"/>
    <w:rsid w:val="008877C4"/>
    <w:rsid w:val="00887AD6"/>
    <w:rsid w:val="00887CC7"/>
    <w:rsid w:val="00887FAD"/>
    <w:rsid w:val="008900EE"/>
    <w:rsid w:val="00890381"/>
    <w:rsid w:val="0089072A"/>
    <w:rsid w:val="00890CA0"/>
    <w:rsid w:val="00890D99"/>
    <w:rsid w:val="0089188E"/>
    <w:rsid w:val="00891C64"/>
    <w:rsid w:val="00891DDA"/>
    <w:rsid w:val="00892159"/>
    <w:rsid w:val="008926FC"/>
    <w:rsid w:val="00894516"/>
    <w:rsid w:val="008946C5"/>
    <w:rsid w:val="00895F96"/>
    <w:rsid w:val="00895FCF"/>
    <w:rsid w:val="008969D8"/>
    <w:rsid w:val="00897190"/>
    <w:rsid w:val="00897396"/>
    <w:rsid w:val="00897542"/>
    <w:rsid w:val="00897B37"/>
    <w:rsid w:val="00897D02"/>
    <w:rsid w:val="008A02DA"/>
    <w:rsid w:val="008A03E8"/>
    <w:rsid w:val="008A04B5"/>
    <w:rsid w:val="008A0F35"/>
    <w:rsid w:val="008A1086"/>
    <w:rsid w:val="008A205F"/>
    <w:rsid w:val="008A24A6"/>
    <w:rsid w:val="008A3474"/>
    <w:rsid w:val="008A3860"/>
    <w:rsid w:val="008A3BBE"/>
    <w:rsid w:val="008A3DD4"/>
    <w:rsid w:val="008A4F80"/>
    <w:rsid w:val="008A524F"/>
    <w:rsid w:val="008A65D2"/>
    <w:rsid w:val="008A6B7D"/>
    <w:rsid w:val="008A7222"/>
    <w:rsid w:val="008A776B"/>
    <w:rsid w:val="008A795A"/>
    <w:rsid w:val="008B0266"/>
    <w:rsid w:val="008B089C"/>
    <w:rsid w:val="008B0E1A"/>
    <w:rsid w:val="008B0F12"/>
    <w:rsid w:val="008B0FA6"/>
    <w:rsid w:val="008B13ED"/>
    <w:rsid w:val="008B1AC7"/>
    <w:rsid w:val="008B265F"/>
    <w:rsid w:val="008B2F97"/>
    <w:rsid w:val="008B30D8"/>
    <w:rsid w:val="008B32BA"/>
    <w:rsid w:val="008B32DE"/>
    <w:rsid w:val="008B3A21"/>
    <w:rsid w:val="008B3B6A"/>
    <w:rsid w:val="008B3F9D"/>
    <w:rsid w:val="008B5294"/>
    <w:rsid w:val="008B5E43"/>
    <w:rsid w:val="008B6035"/>
    <w:rsid w:val="008B673A"/>
    <w:rsid w:val="008B6B2B"/>
    <w:rsid w:val="008B6CBB"/>
    <w:rsid w:val="008B71CA"/>
    <w:rsid w:val="008B71E7"/>
    <w:rsid w:val="008C07A6"/>
    <w:rsid w:val="008C1D25"/>
    <w:rsid w:val="008C2623"/>
    <w:rsid w:val="008C2EB8"/>
    <w:rsid w:val="008C42BA"/>
    <w:rsid w:val="008C44CF"/>
    <w:rsid w:val="008C4C1A"/>
    <w:rsid w:val="008C4D6B"/>
    <w:rsid w:val="008C5998"/>
    <w:rsid w:val="008C60A4"/>
    <w:rsid w:val="008C6224"/>
    <w:rsid w:val="008C6705"/>
    <w:rsid w:val="008C69EF"/>
    <w:rsid w:val="008D1D90"/>
    <w:rsid w:val="008D237D"/>
    <w:rsid w:val="008D310B"/>
    <w:rsid w:val="008D329F"/>
    <w:rsid w:val="008D4C50"/>
    <w:rsid w:val="008D4F6F"/>
    <w:rsid w:val="008D5149"/>
    <w:rsid w:val="008D54F8"/>
    <w:rsid w:val="008D57A4"/>
    <w:rsid w:val="008D6337"/>
    <w:rsid w:val="008D6926"/>
    <w:rsid w:val="008D6EE3"/>
    <w:rsid w:val="008D763F"/>
    <w:rsid w:val="008D7B6B"/>
    <w:rsid w:val="008E1093"/>
    <w:rsid w:val="008E130A"/>
    <w:rsid w:val="008E183B"/>
    <w:rsid w:val="008E2207"/>
    <w:rsid w:val="008E2410"/>
    <w:rsid w:val="008E3502"/>
    <w:rsid w:val="008E35FF"/>
    <w:rsid w:val="008E3925"/>
    <w:rsid w:val="008E3951"/>
    <w:rsid w:val="008E406A"/>
    <w:rsid w:val="008E488C"/>
    <w:rsid w:val="008E5048"/>
    <w:rsid w:val="008E5110"/>
    <w:rsid w:val="008E52F2"/>
    <w:rsid w:val="008E53FE"/>
    <w:rsid w:val="008E5CF9"/>
    <w:rsid w:val="008E6878"/>
    <w:rsid w:val="008E69FF"/>
    <w:rsid w:val="008E7873"/>
    <w:rsid w:val="008E79E9"/>
    <w:rsid w:val="008E7C1F"/>
    <w:rsid w:val="008F08EB"/>
    <w:rsid w:val="008F0E72"/>
    <w:rsid w:val="008F1E2B"/>
    <w:rsid w:val="008F2A15"/>
    <w:rsid w:val="008F336B"/>
    <w:rsid w:val="008F383C"/>
    <w:rsid w:val="008F4AD8"/>
    <w:rsid w:val="008F50C1"/>
    <w:rsid w:val="008F5538"/>
    <w:rsid w:val="008F6492"/>
    <w:rsid w:val="008F667E"/>
    <w:rsid w:val="008F669C"/>
    <w:rsid w:val="008F6BE2"/>
    <w:rsid w:val="008F7AD4"/>
    <w:rsid w:val="008F7F8B"/>
    <w:rsid w:val="008F7FC7"/>
    <w:rsid w:val="009006A7"/>
    <w:rsid w:val="00900737"/>
    <w:rsid w:val="00900BE7"/>
    <w:rsid w:val="00900D0A"/>
    <w:rsid w:val="00900E1E"/>
    <w:rsid w:val="00900E5D"/>
    <w:rsid w:val="00902C3B"/>
    <w:rsid w:val="00904ECA"/>
    <w:rsid w:val="009065E9"/>
    <w:rsid w:val="00906700"/>
    <w:rsid w:val="009074CF"/>
    <w:rsid w:val="009077A2"/>
    <w:rsid w:val="00907F98"/>
    <w:rsid w:val="009106FA"/>
    <w:rsid w:val="00912643"/>
    <w:rsid w:val="0091271B"/>
    <w:rsid w:val="00912D8B"/>
    <w:rsid w:val="00913170"/>
    <w:rsid w:val="00913D2C"/>
    <w:rsid w:val="009141E2"/>
    <w:rsid w:val="009145ED"/>
    <w:rsid w:val="0091481F"/>
    <w:rsid w:val="00915829"/>
    <w:rsid w:val="00916C6D"/>
    <w:rsid w:val="00917041"/>
    <w:rsid w:val="00917181"/>
    <w:rsid w:val="00917B52"/>
    <w:rsid w:val="0092050A"/>
    <w:rsid w:val="00920B47"/>
    <w:rsid w:val="00920EE4"/>
    <w:rsid w:val="009215F7"/>
    <w:rsid w:val="00921BD7"/>
    <w:rsid w:val="00922458"/>
    <w:rsid w:val="00922C6D"/>
    <w:rsid w:val="00923249"/>
    <w:rsid w:val="009239F6"/>
    <w:rsid w:val="00923A3E"/>
    <w:rsid w:val="00923A81"/>
    <w:rsid w:val="0092406C"/>
    <w:rsid w:val="0092418F"/>
    <w:rsid w:val="00924D69"/>
    <w:rsid w:val="00925315"/>
    <w:rsid w:val="00925568"/>
    <w:rsid w:val="00925F7D"/>
    <w:rsid w:val="0092636B"/>
    <w:rsid w:val="00926EDC"/>
    <w:rsid w:val="0092784B"/>
    <w:rsid w:val="00927C50"/>
    <w:rsid w:val="0093189F"/>
    <w:rsid w:val="00931BF0"/>
    <w:rsid w:val="0093276F"/>
    <w:rsid w:val="00934098"/>
    <w:rsid w:val="00934C26"/>
    <w:rsid w:val="00934CCE"/>
    <w:rsid w:val="009352FD"/>
    <w:rsid w:val="00936277"/>
    <w:rsid w:val="00936789"/>
    <w:rsid w:val="00936ECD"/>
    <w:rsid w:val="00936FFD"/>
    <w:rsid w:val="009371E3"/>
    <w:rsid w:val="00937D88"/>
    <w:rsid w:val="009405C7"/>
    <w:rsid w:val="00940D11"/>
    <w:rsid w:val="009416A2"/>
    <w:rsid w:val="00942371"/>
    <w:rsid w:val="00942381"/>
    <w:rsid w:val="009425CA"/>
    <w:rsid w:val="009428FB"/>
    <w:rsid w:val="00942905"/>
    <w:rsid w:val="00942A5F"/>
    <w:rsid w:val="00944D68"/>
    <w:rsid w:val="009451C7"/>
    <w:rsid w:val="00945407"/>
    <w:rsid w:val="009455A4"/>
    <w:rsid w:val="0094571D"/>
    <w:rsid w:val="0094584B"/>
    <w:rsid w:val="009458E9"/>
    <w:rsid w:val="00945CE8"/>
    <w:rsid w:val="00945EBB"/>
    <w:rsid w:val="00946489"/>
    <w:rsid w:val="00946544"/>
    <w:rsid w:val="00946682"/>
    <w:rsid w:val="00946EE3"/>
    <w:rsid w:val="00946FFD"/>
    <w:rsid w:val="00947A93"/>
    <w:rsid w:val="00947DA2"/>
    <w:rsid w:val="00950055"/>
    <w:rsid w:val="00950AB9"/>
    <w:rsid w:val="00950BD5"/>
    <w:rsid w:val="00951A34"/>
    <w:rsid w:val="00951CAE"/>
    <w:rsid w:val="00951E33"/>
    <w:rsid w:val="00951EFF"/>
    <w:rsid w:val="00953A6D"/>
    <w:rsid w:val="00953E72"/>
    <w:rsid w:val="00953EEF"/>
    <w:rsid w:val="0095404B"/>
    <w:rsid w:val="00954D53"/>
    <w:rsid w:val="00954DE1"/>
    <w:rsid w:val="00955843"/>
    <w:rsid w:val="00955E0D"/>
    <w:rsid w:val="009561AF"/>
    <w:rsid w:val="00956AF2"/>
    <w:rsid w:val="00956F25"/>
    <w:rsid w:val="00957AEF"/>
    <w:rsid w:val="00957BDD"/>
    <w:rsid w:val="0096064A"/>
    <w:rsid w:val="00962237"/>
    <w:rsid w:val="009626B8"/>
    <w:rsid w:val="00962D1F"/>
    <w:rsid w:val="009631C1"/>
    <w:rsid w:val="0096349F"/>
    <w:rsid w:val="00963649"/>
    <w:rsid w:val="0096429D"/>
    <w:rsid w:val="00964536"/>
    <w:rsid w:val="009663DA"/>
    <w:rsid w:val="00966982"/>
    <w:rsid w:val="0096714A"/>
    <w:rsid w:val="00967389"/>
    <w:rsid w:val="0097012D"/>
    <w:rsid w:val="009706F6"/>
    <w:rsid w:val="00970B2B"/>
    <w:rsid w:val="00970C2D"/>
    <w:rsid w:val="00970F24"/>
    <w:rsid w:val="00971A0D"/>
    <w:rsid w:val="00971B58"/>
    <w:rsid w:val="0097288C"/>
    <w:rsid w:val="0097302C"/>
    <w:rsid w:val="009734F0"/>
    <w:rsid w:val="00973558"/>
    <w:rsid w:val="00973C3B"/>
    <w:rsid w:val="00976976"/>
    <w:rsid w:val="00976D2F"/>
    <w:rsid w:val="00977020"/>
    <w:rsid w:val="0098038E"/>
    <w:rsid w:val="0098341F"/>
    <w:rsid w:val="00983F05"/>
    <w:rsid w:val="0098446C"/>
    <w:rsid w:val="009844AE"/>
    <w:rsid w:val="00984C41"/>
    <w:rsid w:val="00985619"/>
    <w:rsid w:val="00985631"/>
    <w:rsid w:val="00985FAF"/>
    <w:rsid w:val="0098675A"/>
    <w:rsid w:val="0099017C"/>
    <w:rsid w:val="00991F0C"/>
    <w:rsid w:val="00992076"/>
    <w:rsid w:val="0099263F"/>
    <w:rsid w:val="00992858"/>
    <w:rsid w:val="00993709"/>
    <w:rsid w:val="00994551"/>
    <w:rsid w:val="00994F28"/>
    <w:rsid w:val="00995455"/>
    <w:rsid w:val="00995C40"/>
    <w:rsid w:val="0099668E"/>
    <w:rsid w:val="00996AC9"/>
    <w:rsid w:val="00996F86"/>
    <w:rsid w:val="00997014"/>
    <w:rsid w:val="009A114C"/>
    <w:rsid w:val="009A13C0"/>
    <w:rsid w:val="009A13D2"/>
    <w:rsid w:val="009A20CB"/>
    <w:rsid w:val="009A21E6"/>
    <w:rsid w:val="009A2534"/>
    <w:rsid w:val="009A2BAA"/>
    <w:rsid w:val="009A3094"/>
    <w:rsid w:val="009A3729"/>
    <w:rsid w:val="009A4D36"/>
    <w:rsid w:val="009A6278"/>
    <w:rsid w:val="009A6527"/>
    <w:rsid w:val="009A6593"/>
    <w:rsid w:val="009A676C"/>
    <w:rsid w:val="009A6C96"/>
    <w:rsid w:val="009A7DE3"/>
    <w:rsid w:val="009B0168"/>
    <w:rsid w:val="009B01C2"/>
    <w:rsid w:val="009B0394"/>
    <w:rsid w:val="009B03F4"/>
    <w:rsid w:val="009B07A7"/>
    <w:rsid w:val="009B19D5"/>
    <w:rsid w:val="009B1DAE"/>
    <w:rsid w:val="009B25BA"/>
    <w:rsid w:val="009B2828"/>
    <w:rsid w:val="009B2E3C"/>
    <w:rsid w:val="009B3102"/>
    <w:rsid w:val="009B5278"/>
    <w:rsid w:val="009B5A4E"/>
    <w:rsid w:val="009B6791"/>
    <w:rsid w:val="009B6D94"/>
    <w:rsid w:val="009C1FB3"/>
    <w:rsid w:val="009C20A8"/>
    <w:rsid w:val="009C2ED5"/>
    <w:rsid w:val="009C315E"/>
    <w:rsid w:val="009C3366"/>
    <w:rsid w:val="009C43EA"/>
    <w:rsid w:val="009C4761"/>
    <w:rsid w:val="009C5C7C"/>
    <w:rsid w:val="009C5CB8"/>
    <w:rsid w:val="009C60D1"/>
    <w:rsid w:val="009C62A0"/>
    <w:rsid w:val="009C6587"/>
    <w:rsid w:val="009C6DC2"/>
    <w:rsid w:val="009C732E"/>
    <w:rsid w:val="009C77B9"/>
    <w:rsid w:val="009C7938"/>
    <w:rsid w:val="009C7A91"/>
    <w:rsid w:val="009D1609"/>
    <w:rsid w:val="009D2370"/>
    <w:rsid w:val="009D413D"/>
    <w:rsid w:val="009D4BDD"/>
    <w:rsid w:val="009D4F8C"/>
    <w:rsid w:val="009D50EC"/>
    <w:rsid w:val="009D5BE4"/>
    <w:rsid w:val="009D68E9"/>
    <w:rsid w:val="009D6B83"/>
    <w:rsid w:val="009E22D7"/>
    <w:rsid w:val="009E424D"/>
    <w:rsid w:val="009E442B"/>
    <w:rsid w:val="009E4682"/>
    <w:rsid w:val="009E63E8"/>
    <w:rsid w:val="009E6D1B"/>
    <w:rsid w:val="009E7038"/>
    <w:rsid w:val="009E74FE"/>
    <w:rsid w:val="009F0377"/>
    <w:rsid w:val="009F0847"/>
    <w:rsid w:val="009F08FA"/>
    <w:rsid w:val="009F0C1D"/>
    <w:rsid w:val="009F2504"/>
    <w:rsid w:val="009F2E95"/>
    <w:rsid w:val="009F467A"/>
    <w:rsid w:val="009F4D5F"/>
    <w:rsid w:val="009F5416"/>
    <w:rsid w:val="009F5869"/>
    <w:rsid w:val="009F5E76"/>
    <w:rsid w:val="009F5FA8"/>
    <w:rsid w:val="009F6078"/>
    <w:rsid w:val="009F792A"/>
    <w:rsid w:val="009F7AE8"/>
    <w:rsid w:val="00A004D1"/>
    <w:rsid w:val="00A008EA"/>
    <w:rsid w:val="00A0091D"/>
    <w:rsid w:val="00A014CD"/>
    <w:rsid w:val="00A01C02"/>
    <w:rsid w:val="00A01C66"/>
    <w:rsid w:val="00A01CEC"/>
    <w:rsid w:val="00A0211F"/>
    <w:rsid w:val="00A02708"/>
    <w:rsid w:val="00A0279F"/>
    <w:rsid w:val="00A02D94"/>
    <w:rsid w:val="00A0301D"/>
    <w:rsid w:val="00A03440"/>
    <w:rsid w:val="00A04BE5"/>
    <w:rsid w:val="00A05013"/>
    <w:rsid w:val="00A05856"/>
    <w:rsid w:val="00A06612"/>
    <w:rsid w:val="00A06A59"/>
    <w:rsid w:val="00A07F80"/>
    <w:rsid w:val="00A10002"/>
    <w:rsid w:val="00A10516"/>
    <w:rsid w:val="00A10A1A"/>
    <w:rsid w:val="00A10D66"/>
    <w:rsid w:val="00A10F0F"/>
    <w:rsid w:val="00A12B09"/>
    <w:rsid w:val="00A12BB3"/>
    <w:rsid w:val="00A12F87"/>
    <w:rsid w:val="00A130B3"/>
    <w:rsid w:val="00A1318F"/>
    <w:rsid w:val="00A1328A"/>
    <w:rsid w:val="00A1407E"/>
    <w:rsid w:val="00A14991"/>
    <w:rsid w:val="00A15474"/>
    <w:rsid w:val="00A15984"/>
    <w:rsid w:val="00A15D42"/>
    <w:rsid w:val="00A163BA"/>
    <w:rsid w:val="00A164AC"/>
    <w:rsid w:val="00A164E6"/>
    <w:rsid w:val="00A16823"/>
    <w:rsid w:val="00A17846"/>
    <w:rsid w:val="00A20C99"/>
    <w:rsid w:val="00A21CBF"/>
    <w:rsid w:val="00A22188"/>
    <w:rsid w:val="00A230AA"/>
    <w:rsid w:val="00A23203"/>
    <w:rsid w:val="00A23344"/>
    <w:rsid w:val="00A23909"/>
    <w:rsid w:val="00A23CC6"/>
    <w:rsid w:val="00A23F7E"/>
    <w:rsid w:val="00A24D69"/>
    <w:rsid w:val="00A254FD"/>
    <w:rsid w:val="00A257C6"/>
    <w:rsid w:val="00A25D71"/>
    <w:rsid w:val="00A26601"/>
    <w:rsid w:val="00A269D7"/>
    <w:rsid w:val="00A27098"/>
    <w:rsid w:val="00A27A2C"/>
    <w:rsid w:val="00A3023E"/>
    <w:rsid w:val="00A30635"/>
    <w:rsid w:val="00A311FD"/>
    <w:rsid w:val="00A31BE2"/>
    <w:rsid w:val="00A32202"/>
    <w:rsid w:val="00A32471"/>
    <w:rsid w:val="00A3292B"/>
    <w:rsid w:val="00A339C8"/>
    <w:rsid w:val="00A34969"/>
    <w:rsid w:val="00A34C72"/>
    <w:rsid w:val="00A352D1"/>
    <w:rsid w:val="00A35CC6"/>
    <w:rsid w:val="00A35DC9"/>
    <w:rsid w:val="00A36525"/>
    <w:rsid w:val="00A366A9"/>
    <w:rsid w:val="00A366E4"/>
    <w:rsid w:val="00A36AF8"/>
    <w:rsid w:val="00A3772F"/>
    <w:rsid w:val="00A401D1"/>
    <w:rsid w:val="00A40CCF"/>
    <w:rsid w:val="00A43354"/>
    <w:rsid w:val="00A43584"/>
    <w:rsid w:val="00A44151"/>
    <w:rsid w:val="00A44950"/>
    <w:rsid w:val="00A44BEB"/>
    <w:rsid w:val="00A454C0"/>
    <w:rsid w:val="00A4616C"/>
    <w:rsid w:val="00A46409"/>
    <w:rsid w:val="00A465EB"/>
    <w:rsid w:val="00A4742C"/>
    <w:rsid w:val="00A47746"/>
    <w:rsid w:val="00A500AC"/>
    <w:rsid w:val="00A50221"/>
    <w:rsid w:val="00A50AED"/>
    <w:rsid w:val="00A50D1D"/>
    <w:rsid w:val="00A50ECA"/>
    <w:rsid w:val="00A5113F"/>
    <w:rsid w:val="00A515DE"/>
    <w:rsid w:val="00A535AE"/>
    <w:rsid w:val="00A5386A"/>
    <w:rsid w:val="00A53D3B"/>
    <w:rsid w:val="00A53EF5"/>
    <w:rsid w:val="00A5456D"/>
    <w:rsid w:val="00A54EFE"/>
    <w:rsid w:val="00A550F7"/>
    <w:rsid w:val="00A55262"/>
    <w:rsid w:val="00A552C0"/>
    <w:rsid w:val="00A55361"/>
    <w:rsid w:val="00A55517"/>
    <w:rsid w:val="00A55971"/>
    <w:rsid w:val="00A5627C"/>
    <w:rsid w:val="00A56409"/>
    <w:rsid w:val="00A56666"/>
    <w:rsid w:val="00A56871"/>
    <w:rsid w:val="00A575B8"/>
    <w:rsid w:val="00A57E34"/>
    <w:rsid w:val="00A60102"/>
    <w:rsid w:val="00A601D0"/>
    <w:rsid w:val="00A6124D"/>
    <w:rsid w:val="00A61714"/>
    <w:rsid w:val="00A619E5"/>
    <w:rsid w:val="00A61E42"/>
    <w:rsid w:val="00A62A48"/>
    <w:rsid w:val="00A62B6D"/>
    <w:rsid w:val="00A630D4"/>
    <w:rsid w:val="00A63816"/>
    <w:rsid w:val="00A63D20"/>
    <w:rsid w:val="00A64DFE"/>
    <w:rsid w:val="00A64E60"/>
    <w:rsid w:val="00A64E81"/>
    <w:rsid w:val="00A655A1"/>
    <w:rsid w:val="00A6578F"/>
    <w:rsid w:val="00A658E1"/>
    <w:rsid w:val="00A665EE"/>
    <w:rsid w:val="00A668B8"/>
    <w:rsid w:val="00A66B83"/>
    <w:rsid w:val="00A675DF"/>
    <w:rsid w:val="00A717A5"/>
    <w:rsid w:val="00A71F46"/>
    <w:rsid w:val="00A727F9"/>
    <w:rsid w:val="00A72D9F"/>
    <w:rsid w:val="00A732CF"/>
    <w:rsid w:val="00A73AFD"/>
    <w:rsid w:val="00A73B11"/>
    <w:rsid w:val="00A73EB3"/>
    <w:rsid w:val="00A74054"/>
    <w:rsid w:val="00A7502D"/>
    <w:rsid w:val="00A768C8"/>
    <w:rsid w:val="00A773A5"/>
    <w:rsid w:val="00A77A34"/>
    <w:rsid w:val="00A77E62"/>
    <w:rsid w:val="00A806F4"/>
    <w:rsid w:val="00A81680"/>
    <w:rsid w:val="00A81B3C"/>
    <w:rsid w:val="00A81F10"/>
    <w:rsid w:val="00A83058"/>
    <w:rsid w:val="00A83516"/>
    <w:rsid w:val="00A8351E"/>
    <w:rsid w:val="00A83CFB"/>
    <w:rsid w:val="00A84820"/>
    <w:rsid w:val="00A86646"/>
    <w:rsid w:val="00A86BCC"/>
    <w:rsid w:val="00A87323"/>
    <w:rsid w:val="00A8742D"/>
    <w:rsid w:val="00A87937"/>
    <w:rsid w:val="00A90188"/>
    <w:rsid w:val="00A918B0"/>
    <w:rsid w:val="00A92F66"/>
    <w:rsid w:val="00A92F86"/>
    <w:rsid w:val="00A93265"/>
    <w:rsid w:val="00A93B99"/>
    <w:rsid w:val="00A94873"/>
    <w:rsid w:val="00A9619C"/>
    <w:rsid w:val="00A967A5"/>
    <w:rsid w:val="00A97C3D"/>
    <w:rsid w:val="00AA11AB"/>
    <w:rsid w:val="00AA14F1"/>
    <w:rsid w:val="00AA19A1"/>
    <w:rsid w:val="00AA2757"/>
    <w:rsid w:val="00AA2CCC"/>
    <w:rsid w:val="00AA2FCC"/>
    <w:rsid w:val="00AA3C87"/>
    <w:rsid w:val="00AA461E"/>
    <w:rsid w:val="00AA493E"/>
    <w:rsid w:val="00AA51F3"/>
    <w:rsid w:val="00AA571A"/>
    <w:rsid w:val="00AA753B"/>
    <w:rsid w:val="00AA78D9"/>
    <w:rsid w:val="00AA7AAA"/>
    <w:rsid w:val="00AA7C93"/>
    <w:rsid w:val="00AB0255"/>
    <w:rsid w:val="00AB0DF5"/>
    <w:rsid w:val="00AB1081"/>
    <w:rsid w:val="00AB11A5"/>
    <w:rsid w:val="00AB1335"/>
    <w:rsid w:val="00AB1457"/>
    <w:rsid w:val="00AB1C48"/>
    <w:rsid w:val="00AB2E47"/>
    <w:rsid w:val="00AB37C2"/>
    <w:rsid w:val="00AB398B"/>
    <w:rsid w:val="00AB39AB"/>
    <w:rsid w:val="00AB41AE"/>
    <w:rsid w:val="00AB4763"/>
    <w:rsid w:val="00AB4F62"/>
    <w:rsid w:val="00AB5029"/>
    <w:rsid w:val="00AB67B5"/>
    <w:rsid w:val="00AB6B30"/>
    <w:rsid w:val="00AB6E07"/>
    <w:rsid w:val="00AB6EBB"/>
    <w:rsid w:val="00AB70CB"/>
    <w:rsid w:val="00AB78EA"/>
    <w:rsid w:val="00AB7ADA"/>
    <w:rsid w:val="00AC031A"/>
    <w:rsid w:val="00AC1D99"/>
    <w:rsid w:val="00AC269D"/>
    <w:rsid w:val="00AC2AA7"/>
    <w:rsid w:val="00AC2B1C"/>
    <w:rsid w:val="00AC2FD7"/>
    <w:rsid w:val="00AC34F0"/>
    <w:rsid w:val="00AC5B96"/>
    <w:rsid w:val="00AC613D"/>
    <w:rsid w:val="00AC6160"/>
    <w:rsid w:val="00AC6FE7"/>
    <w:rsid w:val="00AC742D"/>
    <w:rsid w:val="00AC79C4"/>
    <w:rsid w:val="00AD012E"/>
    <w:rsid w:val="00AD09DA"/>
    <w:rsid w:val="00AD0AC1"/>
    <w:rsid w:val="00AD0C64"/>
    <w:rsid w:val="00AD17DC"/>
    <w:rsid w:val="00AD216B"/>
    <w:rsid w:val="00AD23D3"/>
    <w:rsid w:val="00AD2670"/>
    <w:rsid w:val="00AD3841"/>
    <w:rsid w:val="00AD3A24"/>
    <w:rsid w:val="00AD43AA"/>
    <w:rsid w:val="00AD51D3"/>
    <w:rsid w:val="00AD75D1"/>
    <w:rsid w:val="00AD7B6A"/>
    <w:rsid w:val="00AE0938"/>
    <w:rsid w:val="00AE22BE"/>
    <w:rsid w:val="00AE26B0"/>
    <w:rsid w:val="00AE3B52"/>
    <w:rsid w:val="00AE3E49"/>
    <w:rsid w:val="00AE4557"/>
    <w:rsid w:val="00AE4DBB"/>
    <w:rsid w:val="00AE6106"/>
    <w:rsid w:val="00AE6347"/>
    <w:rsid w:val="00AE64DC"/>
    <w:rsid w:val="00AE6BC2"/>
    <w:rsid w:val="00AE726A"/>
    <w:rsid w:val="00AE7ADC"/>
    <w:rsid w:val="00AE7C00"/>
    <w:rsid w:val="00AF001E"/>
    <w:rsid w:val="00AF030D"/>
    <w:rsid w:val="00AF08AE"/>
    <w:rsid w:val="00AF148D"/>
    <w:rsid w:val="00AF1E05"/>
    <w:rsid w:val="00AF4696"/>
    <w:rsid w:val="00AF584C"/>
    <w:rsid w:val="00AF660D"/>
    <w:rsid w:val="00AF7523"/>
    <w:rsid w:val="00AF7928"/>
    <w:rsid w:val="00B0039B"/>
    <w:rsid w:val="00B00D06"/>
    <w:rsid w:val="00B018C3"/>
    <w:rsid w:val="00B018C9"/>
    <w:rsid w:val="00B01E93"/>
    <w:rsid w:val="00B033D7"/>
    <w:rsid w:val="00B04486"/>
    <w:rsid w:val="00B05AEA"/>
    <w:rsid w:val="00B05BB1"/>
    <w:rsid w:val="00B05DFD"/>
    <w:rsid w:val="00B069EB"/>
    <w:rsid w:val="00B0700E"/>
    <w:rsid w:val="00B112BC"/>
    <w:rsid w:val="00B11A30"/>
    <w:rsid w:val="00B12B14"/>
    <w:rsid w:val="00B13916"/>
    <w:rsid w:val="00B14158"/>
    <w:rsid w:val="00B142C6"/>
    <w:rsid w:val="00B14635"/>
    <w:rsid w:val="00B14773"/>
    <w:rsid w:val="00B1515C"/>
    <w:rsid w:val="00B16746"/>
    <w:rsid w:val="00B1691E"/>
    <w:rsid w:val="00B16D7A"/>
    <w:rsid w:val="00B16DAB"/>
    <w:rsid w:val="00B17249"/>
    <w:rsid w:val="00B17ED6"/>
    <w:rsid w:val="00B20FF5"/>
    <w:rsid w:val="00B216B7"/>
    <w:rsid w:val="00B219EA"/>
    <w:rsid w:val="00B21B73"/>
    <w:rsid w:val="00B2271B"/>
    <w:rsid w:val="00B238C1"/>
    <w:rsid w:val="00B23BA0"/>
    <w:rsid w:val="00B24C0B"/>
    <w:rsid w:val="00B25377"/>
    <w:rsid w:val="00B25C91"/>
    <w:rsid w:val="00B26928"/>
    <w:rsid w:val="00B27431"/>
    <w:rsid w:val="00B27901"/>
    <w:rsid w:val="00B30793"/>
    <w:rsid w:val="00B30AE5"/>
    <w:rsid w:val="00B31610"/>
    <w:rsid w:val="00B31871"/>
    <w:rsid w:val="00B31CF0"/>
    <w:rsid w:val="00B3242E"/>
    <w:rsid w:val="00B328B1"/>
    <w:rsid w:val="00B32AED"/>
    <w:rsid w:val="00B32CF0"/>
    <w:rsid w:val="00B33736"/>
    <w:rsid w:val="00B33BDD"/>
    <w:rsid w:val="00B33F6D"/>
    <w:rsid w:val="00B341AE"/>
    <w:rsid w:val="00B3533E"/>
    <w:rsid w:val="00B35D6F"/>
    <w:rsid w:val="00B364BC"/>
    <w:rsid w:val="00B36965"/>
    <w:rsid w:val="00B37271"/>
    <w:rsid w:val="00B37647"/>
    <w:rsid w:val="00B40026"/>
    <w:rsid w:val="00B40301"/>
    <w:rsid w:val="00B40481"/>
    <w:rsid w:val="00B404F6"/>
    <w:rsid w:val="00B40A50"/>
    <w:rsid w:val="00B40AE5"/>
    <w:rsid w:val="00B4246F"/>
    <w:rsid w:val="00B4342A"/>
    <w:rsid w:val="00B440CC"/>
    <w:rsid w:val="00B449A3"/>
    <w:rsid w:val="00B44BA0"/>
    <w:rsid w:val="00B45E04"/>
    <w:rsid w:val="00B46399"/>
    <w:rsid w:val="00B467E5"/>
    <w:rsid w:val="00B46931"/>
    <w:rsid w:val="00B46F49"/>
    <w:rsid w:val="00B4756D"/>
    <w:rsid w:val="00B47B6F"/>
    <w:rsid w:val="00B50325"/>
    <w:rsid w:val="00B515EC"/>
    <w:rsid w:val="00B51715"/>
    <w:rsid w:val="00B51773"/>
    <w:rsid w:val="00B51FBF"/>
    <w:rsid w:val="00B5250B"/>
    <w:rsid w:val="00B52BBE"/>
    <w:rsid w:val="00B52EA2"/>
    <w:rsid w:val="00B539E1"/>
    <w:rsid w:val="00B53A88"/>
    <w:rsid w:val="00B54244"/>
    <w:rsid w:val="00B5441A"/>
    <w:rsid w:val="00B54CEC"/>
    <w:rsid w:val="00B568E5"/>
    <w:rsid w:val="00B56C93"/>
    <w:rsid w:val="00B5716F"/>
    <w:rsid w:val="00B573E8"/>
    <w:rsid w:val="00B600C2"/>
    <w:rsid w:val="00B609F4"/>
    <w:rsid w:val="00B60BCE"/>
    <w:rsid w:val="00B61277"/>
    <w:rsid w:val="00B61726"/>
    <w:rsid w:val="00B61D25"/>
    <w:rsid w:val="00B624F3"/>
    <w:rsid w:val="00B62911"/>
    <w:rsid w:val="00B629A9"/>
    <w:rsid w:val="00B6352B"/>
    <w:rsid w:val="00B6405A"/>
    <w:rsid w:val="00B64208"/>
    <w:rsid w:val="00B64C14"/>
    <w:rsid w:val="00B64E26"/>
    <w:rsid w:val="00B6551C"/>
    <w:rsid w:val="00B65C76"/>
    <w:rsid w:val="00B65F35"/>
    <w:rsid w:val="00B67122"/>
    <w:rsid w:val="00B67C48"/>
    <w:rsid w:val="00B67E3F"/>
    <w:rsid w:val="00B705E6"/>
    <w:rsid w:val="00B70672"/>
    <w:rsid w:val="00B70C05"/>
    <w:rsid w:val="00B71B8B"/>
    <w:rsid w:val="00B72460"/>
    <w:rsid w:val="00B726D5"/>
    <w:rsid w:val="00B72D55"/>
    <w:rsid w:val="00B73B08"/>
    <w:rsid w:val="00B73B3A"/>
    <w:rsid w:val="00B73FFF"/>
    <w:rsid w:val="00B74330"/>
    <w:rsid w:val="00B749C9"/>
    <w:rsid w:val="00B74E01"/>
    <w:rsid w:val="00B76463"/>
    <w:rsid w:val="00B764FA"/>
    <w:rsid w:val="00B7689D"/>
    <w:rsid w:val="00B76C01"/>
    <w:rsid w:val="00B772F0"/>
    <w:rsid w:val="00B77D3D"/>
    <w:rsid w:val="00B8028C"/>
    <w:rsid w:val="00B80DAB"/>
    <w:rsid w:val="00B811AC"/>
    <w:rsid w:val="00B81B0A"/>
    <w:rsid w:val="00B8251C"/>
    <w:rsid w:val="00B825E2"/>
    <w:rsid w:val="00B8355A"/>
    <w:rsid w:val="00B8453B"/>
    <w:rsid w:val="00B84957"/>
    <w:rsid w:val="00B8522F"/>
    <w:rsid w:val="00B85EE1"/>
    <w:rsid w:val="00B8629C"/>
    <w:rsid w:val="00B864C8"/>
    <w:rsid w:val="00B900B3"/>
    <w:rsid w:val="00B913EF"/>
    <w:rsid w:val="00B91C0B"/>
    <w:rsid w:val="00B927DD"/>
    <w:rsid w:val="00B92B17"/>
    <w:rsid w:val="00B92BF4"/>
    <w:rsid w:val="00B92EA2"/>
    <w:rsid w:val="00B935A0"/>
    <w:rsid w:val="00B940A7"/>
    <w:rsid w:val="00B94111"/>
    <w:rsid w:val="00B9472F"/>
    <w:rsid w:val="00B948F3"/>
    <w:rsid w:val="00B9618B"/>
    <w:rsid w:val="00B97B08"/>
    <w:rsid w:val="00BA050F"/>
    <w:rsid w:val="00BA1C76"/>
    <w:rsid w:val="00BA1E59"/>
    <w:rsid w:val="00BA243D"/>
    <w:rsid w:val="00BA252A"/>
    <w:rsid w:val="00BA2A5A"/>
    <w:rsid w:val="00BA2CB7"/>
    <w:rsid w:val="00BA2E01"/>
    <w:rsid w:val="00BA35B2"/>
    <w:rsid w:val="00BA36A3"/>
    <w:rsid w:val="00BA3BD9"/>
    <w:rsid w:val="00BA40C9"/>
    <w:rsid w:val="00BA556B"/>
    <w:rsid w:val="00BA5680"/>
    <w:rsid w:val="00BA5D32"/>
    <w:rsid w:val="00BA6212"/>
    <w:rsid w:val="00BA6358"/>
    <w:rsid w:val="00BA646C"/>
    <w:rsid w:val="00BA6751"/>
    <w:rsid w:val="00BA6AF9"/>
    <w:rsid w:val="00BA6B29"/>
    <w:rsid w:val="00BA6BBD"/>
    <w:rsid w:val="00BA6E50"/>
    <w:rsid w:val="00BB03C1"/>
    <w:rsid w:val="00BB0818"/>
    <w:rsid w:val="00BB097C"/>
    <w:rsid w:val="00BB0D1F"/>
    <w:rsid w:val="00BB191C"/>
    <w:rsid w:val="00BB19BA"/>
    <w:rsid w:val="00BB1C7D"/>
    <w:rsid w:val="00BB1ED0"/>
    <w:rsid w:val="00BB21E2"/>
    <w:rsid w:val="00BB2324"/>
    <w:rsid w:val="00BB27E0"/>
    <w:rsid w:val="00BB3321"/>
    <w:rsid w:val="00BB4A07"/>
    <w:rsid w:val="00BB508E"/>
    <w:rsid w:val="00BB5930"/>
    <w:rsid w:val="00BB5E47"/>
    <w:rsid w:val="00BB62AC"/>
    <w:rsid w:val="00BB6B7D"/>
    <w:rsid w:val="00BC01C4"/>
    <w:rsid w:val="00BC02DC"/>
    <w:rsid w:val="00BC1D19"/>
    <w:rsid w:val="00BC2635"/>
    <w:rsid w:val="00BC271E"/>
    <w:rsid w:val="00BC282F"/>
    <w:rsid w:val="00BC3ADD"/>
    <w:rsid w:val="00BC3E62"/>
    <w:rsid w:val="00BC44C7"/>
    <w:rsid w:val="00BC4B78"/>
    <w:rsid w:val="00BC60DC"/>
    <w:rsid w:val="00BC6DB2"/>
    <w:rsid w:val="00BC6F89"/>
    <w:rsid w:val="00BC7081"/>
    <w:rsid w:val="00BC7423"/>
    <w:rsid w:val="00BD0021"/>
    <w:rsid w:val="00BD02A0"/>
    <w:rsid w:val="00BD0544"/>
    <w:rsid w:val="00BD0E7F"/>
    <w:rsid w:val="00BD152F"/>
    <w:rsid w:val="00BD2128"/>
    <w:rsid w:val="00BD2C7D"/>
    <w:rsid w:val="00BD3A08"/>
    <w:rsid w:val="00BD3B48"/>
    <w:rsid w:val="00BD53F8"/>
    <w:rsid w:val="00BD5579"/>
    <w:rsid w:val="00BD57F1"/>
    <w:rsid w:val="00BD5ACD"/>
    <w:rsid w:val="00BD5EDF"/>
    <w:rsid w:val="00BD671B"/>
    <w:rsid w:val="00BD6955"/>
    <w:rsid w:val="00BD6EEB"/>
    <w:rsid w:val="00BD7232"/>
    <w:rsid w:val="00BE013A"/>
    <w:rsid w:val="00BE0225"/>
    <w:rsid w:val="00BE0480"/>
    <w:rsid w:val="00BE09D3"/>
    <w:rsid w:val="00BE0E0C"/>
    <w:rsid w:val="00BE1AB9"/>
    <w:rsid w:val="00BE1C3F"/>
    <w:rsid w:val="00BE2D10"/>
    <w:rsid w:val="00BE2EFB"/>
    <w:rsid w:val="00BE48F5"/>
    <w:rsid w:val="00BE5349"/>
    <w:rsid w:val="00BE53BA"/>
    <w:rsid w:val="00BE76EE"/>
    <w:rsid w:val="00BE7D0F"/>
    <w:rsid w:val="00BE7F2D"/>
    <w:rsid w:val="00BF03C8"/>
    <w:rsid w:val="00BF08B8"/>
    <w:rsid w:val="00BF0E07"/>
    <w:rsid w:val="00BF1820"/>
    <w:rsid w:val="00BF1D19"/>
    <w:rsid w:val="00BF22D4"/>
    <w:rsid w:val="00BF25AA"/>
    <w:rsid w:val="00BF27C9"/>
    <w:rsid w:val="00BF2BB2"/>
    <w:rsid w:val="00BF3542"/>
    <w:rsid w:val="00BF3FF8"/>
    <w:rsid w:val="00BF5165"/>
    <w:rsid w:val="00BF55CD"/>
    <w:rsid w:val="00BF5CF0"/>
    <w:rsid w:val="00BF66F1"/>
    <w:rsid w:val="00BF6DF4"/>
    <w:rsid w:val="00BF737D"/>
    <w:rsid w:val="00BF7540"/>
    <w:rsid w:val="00BF7C1E"/>
    <w:rsid w:val="00C004B2"/>
    <w:rsid w:val="00C01241"/>
    <w:rsid w:val="00C01C50"/>
    <w:rsid w:val="00C02D8A"/>
    <w:rsid w:val="00C032E9"/>
    <w:rsid w:val="00C04D15"/>
    <w:rsid w:val="00C053C0"/>
    <w:rsid w:val="00C057C4"/>
    <w:rsid w:val="00C061AF"/>
    <w:rsid w:val="00C06292"/>
    <w:rsid w:val="00C070E2"/>
    <w:rsid w:val="00C07BFF"/>
    <w:rsid w:val="00C10244"/>
    <w:rsid w:val="00C10CEC"/>
    <w:rsid w:val="00C117AB"/>
    <w:rsid w:val="00C11AEB"/>
    <w:rsid w:val="00C123B1"/>
    <w:rsid w:val="00C12553"/>
    <w:rsid w:val="00C12D9D"/>
    <w:rsid w:val="00C13E13"/>
    <w:rsid w:val="00C14EEE"/>
    <w:rsid w:val="00C15CCA"/>
    <w:rsid w:val="00C15FE9"/>
    <w:rsid w:val="00C16023"/>
    <w:rsid w:val="00C1695B"/>
    <w:rsid w:val="00C16F0D"/>
    <w:rsid w:val="00C16F87"/>
    <w:rsid w:val="00C17168"/>
    <w:rsid w:val="00C175E0"/>
    <w:rsid w:val="00C17A80"/>
    <w:rsid w:val="00C20F04"/>
    <w:rsid w:val="00C21964"/>
    <w:rsid w:val="00C21BEC"/>
    <w:rsid w:val="00C21F02"/>
    <w:rsid w:val="00C2259C"/>
    <w:rsid w:val="00C22E35"/>
    <w:rsid w:val="00C240DE"/>
    <w:rsid w:val="00C24C14"/>
    <w:rsid w:val="00C254C9"/>
    <w:rsid w:val="00C258C0"/>
    <w:rsid w:val="00C26A2C"/>
    <w:rsid w:val="00C26E69"/>
    <w:rsid w:val="00C273BA"/>
    <w:rsid w:val="00C2748A"/>
    <w:rsid w:val="00C279E4"/>
    <w:rsid w:val="00C302AB"/>
    <w:rsid w:val="00C30B4E"/>
    <w:rsid w:val="00C31D8A"/>
    <w:rsid w:val="00C32629"/>
    <w:rsid w:val="00C327A9"/>
    <w:rsid w:val="00C32CBA"/>
    <w:rsid w:val="00C33514"/>
    <w:rsid w:val="00C336A4"/>
    <w:rsid w:val="00C33707"/>
    <w:rsid w:val="00C34245"/>
    <w:rsid w:val="00C358EC"/>
    <w:rsid w:val="00C3593E"/>
    <w:rsid w:val="00C35F1B"/>
    <w:rsid w:val="00C3650C"/>
    <w:rsid w:val="00C36709"/>
    <w:rsid w:val="00C36AB4"/>
    <w:rsid w:val="00C36B72"/>
    <w:rsid w:val="00C378A6"/>
    <w:rsid w:val="00C40612"/>
    <w:rsid w:val="00C4331F"/>
    <w:rsid w:val="00C439DC"/>
    <w:rsid w:val="00C43C83"/>
    <w:rsid w:val="00C44462"/>
    <w:rsid w:val="00C4483A"/>
    <w:rsid w:val="00C44A12"/>
    <w:rsid w:val="00C44FB0"/>
    <w:rsid w:val="00C46260"/>
    <w:rsid w:val="00C46B99"/>
    <w:rsid w:val="00C47713"/>
    <w:rsid w:val="00C502DE"/>
    <w:rsid w:val="00C51029"/>
    <w:rsid w:val="00C52BCA"/>
    <w:rsid w:val="00C52C8C"/>
    <w:rsid w:val="00C52CAA"/>
    <w:rsid w:val="00C52F7F"/>
    <w:rsid w:val="00C5301D"/>
    <w:rsid w:val="00C53C48"/>
    <w:rsid w:val="00C53ECF"/>
    <w:rsid w:val="00C543EA"/>
    <w:rsid w:val="00C5454A"/>
    <w:rsid w:val="00C545CE"/>
    <w:rsid w:val="00C5508E"/>
    <w:rsid w:val="00C55669"/>
    <w:rsid w:val="00C5643C"/>
    <w:rsid w:val="00C569EA"/>
    <w:rsid w:val="00C5770C"/>
    <w:rsid w:val="00C600BC"/>
    <w:rsid w:val="00C60573"/>
    <w:rsid w:val="00C6157E"/>
    <w:rsid w:val="00C615D7"/>
    <w:rsid w:val="00C6224A"/>
    <w:rsid w:val="00C63529"/>
    <w:rsid w:val="00C6428A"/>
    <w:rsid w:val="00C64379"/>
    <w:rsid w:val="00C65200"/>
    <w:rsid w:val="00C6562D"/>
    <w:rsid w:val="00C65794"/>
    <w:rsid w:val="00C6767B"/>
    <w:rsid w:val="00C707D6"/>
    <w:rsid w:val="00C70D3B"/>
    <w:rsid w:val="00C71392"/>
    <w:rsid w:val="00C71547"/>
    <w:rsid w:val="00C715B7"/>
    <w:rsid w:val="00C71D46"/>
    <w:rsid w:val="00C732CF"/>
    <w:rsid w:val="00C74675"/>
    <w:rsid w:val="00C74CC1"/>
    <w:rsid w:val="00C75DAF"/>
    <w:rsid w:val="00C75EA6"/>
    <w:rsid w:val="00C763F8"/>
    <w:rsid w:val="00C76C82"/>
    <w:rsid w:val="00C7740E"/>
    <w:rsid w:val="00C808B6"/>
    <w:rsid w:val="00C80939"/>
    <w:rsid w:val="00C80A89"/>
    <w:rsid w:val="00C816CB"/>
    <w:rsid w:val="00C81A4B"/>
    <w:rsid w:val="00C81CF9"/>
    <w:rsid w:val="00C82F79"/>
    <w:rsid w:val="00C831FD"/>
    <w:rsid w:val="00C84C5B"/>
    <w:rsid w:val="00C84DB3"/>
    <w:rsid w:val="00C85C73"/>
    <w:rsid w:val="00C86B86"/>
    <w:rsid w:val="00C86FE5"/>
    <w:rsid w:val="00C872D1"/>
    <w:rsid w:val="00C87373"/>
    <w:rsid w:val="00C87D3D"/>
    <w:rsid w:val="00C87ED2"/>
    <w:rsid w:val="00C900F5"/>
    <w:rsid w:val="00C90142"/>
    <w:rsid w:val="00C901D9"/>
    <w:rsid w:val="00C9031B"/>
    <w:rsid w:val="00C908F8"/>
    <w:rsid w:val="00C9152F"/>
    <w:rsid w:val="00C9165A"/>
    <w:rsid w:val="00C91E1E"/>
    <w:rsid w:val="00C9246F"/>
    <w:rsid w:val="00C92C5E"/>
    <w:rsid w:val="00C93689"/>
    <w:rsid w:val="00C94088"/>
    <w:rsid w:val="00C9432F"/>
    <w:rsid w:val="00C94495"/>
    <w:rsid w:val="00C9478D"/>
    <w:rsid w:val="00C94F1B"/>
    <w:rsid w:val="00C94FC1"/>
    <w:rsid w:val="00C95D3F"/>
    <w:rsid w:val="00C95E25"/>
    <w:rsid w:val="00C95E89"/>
    <w:rsid w:val="00C9673D"/>
    <w:rsid w:val="00C96D13"/>
    <w:rsid w:val="00C97012"/>
    <w:rsid w:val="00C9765D"/>
    <w:rsid w:val="00C976F3"/>
    <w:rsid w:val="00CA0050"/>
    <w:rsid w:val="00CA02A2"/>
    <w:rsid w:val="00CA054A"/>
    <w:rsid w:val="00CA0B8B"/>
    <w:rsid w:val="00CA1C85"/>
    <w:rsid w:val="00CA25B8"/>
    <w:rsid w:val="00CA3A6A"/>
    <w:rsid w:val="00CA3D47"/>
    <w:rsid w:val="00CA3DAB"/>
    <w:rsid w:val="00CA3DF2"/>
    <w:rsid w:val="00CA516A"/>
    <w:rsid w:val="00CA59CE"/>
    <w:rsid w:val="00CA5CF1"/>
    <w:rsid w:val="00CA61D9"/>
    <w:rsid w:val="00CA6807"/>
    <w:rsid w:val="00CA6BF4"/>
    <w:rsid w:val="00CA6CD6"/>
    <w:rsid w:val="00CA6D89"/>
    <w:rsid w:val="00CA741E"/>
    <w:rsid w:val="00CB0654"/>
    <w:rsid w:val="00CB1868"/>
    <w:rsid w:val="00CB1AF6"/>
    <w:rsid w:val="00CB1C27"/>
    <w:rsid w:val="00CB1CBE"/>
    <w:rsid w:val="00CB1F0D"/>
    <w:rsid w:val="00CB24A1"/>
    <w:rsid w:val="00CB2FB7"/>
    <w:rsid w:val="00CB33D5"/>
    <w:rsid w:val="00CB4490"/>
    <w:rsid w:val="00CB4C70"/>
    <w:rsid w:val="00CB530B"/>
    <w:rsid w:val="00CB5BCF"/>
    <w:rsid w:val="00CB5FFE"/>
    <w:rsid w:val="00CB6545"/>
    <w:rsid w:val="00CC01F4"/>
    <w:rsid w:val="00CC035A"/>
    <w:rsid w:val="00CC093A"/>
    <w:rsid w:val="00CC09E1"/>
    <w:rsid w:val="00CC0D6D"/>
    <w:rsid w:val="00CC1177"/>
    <w:rsid w:val="00CC13BC"/>
    <w:rsid w:val="00CC1B6E"/>
    <w:rsid w:val="00CC1DF6"/>
    <w:rsid w:val="00CC1EF2"/>
    <w:rsid w:val="00CC2650"/>
    <w:rsid w:val="00CC2B78"/>
    <w:rsid w:val="00CC3214"/>
    <w:rsid w:val="00CC353C"/>
    <w:rsid w:val="00CC3AEF"/>
    <w:rsid w:val="00CC4372"/>
    <w:rsid w:val="00CC5B0B"/>
    <w:rsid w:val="00CC5BC2"/>
    <w:rsid w:val="00CC5CC1"/>
    <w:rsid w:val="00CC6728"/>
    <w:rsid w:val="00CD04D8"/>
    <w:rsid w:val="00CD05F9"/>
    <w:rsid w:val="00CD185D"/>
    <w:rsid w:val="00CD1DAC"/>
    <w:rsid w:val="00CD234E"/>
    <w:rsid w:val="00CD41CE"/>
    <w:rsid w:val="00CD4380"/>
    <w:rsid w:val="00CD441F"/>
    <w:rsid w:val="00CD4520"/>
    <w:rsid w:val="00CD45EC"/>
    <w:rsid w:val="00CD4650"/>
    <w:rsid w:val="00CD491D"/>
    <w:rsid w:val="00CD5101"/>
    <w:rsid w:val="00CD5897"/>
    <w:rsid w:val="00CD6A8C"/>
    <w:rsid w:val="00CD6AF2"/>
    <w:rsid w:val="00CD762B"/>
    <w:rsid w:val="00CE158E"/>
    <w:rsid w:val="00CE192B"/>
    <w:rsid w:val="00CE29BD"/>
    <w:rsid w:val="00CE2E59"/>
    <w:rsid w:val="00CE38A1"/>
    <w:rsid w:val="00CE3A76"/>
    <w:rsid w:val="00CE3CEF"/>
    <w:rsid w:val="00CE40CD"/>
    <w:rsid w:val="00CE429C"/>
    <w:rsid w:val="00CE4D37"/>
    <w:rsid w:val="00CE510E"/>
    <w:rsid w:val="00CE58FA"/>
    <w:rsid w:val="00CE6117"/>
    <w:rsid w:val="00CE63E7"/>
    <w:rsid w:val="00CE6BB4"/>
    <w:rsid w:val="00CF197D"/>
    <w:rsid w:val="00CF1AEC"/>
    <w:rsid w:val="00CF2320"/>
    <w:rsid w:val="00CF25AD"/>
    <w:rsid w:val="00CF323F"/>
    <w:rsid w:val="00CF32B3"/>
    <w:rsid w:val="00CF3ED4"/>
    <w:rsid w:val="00CF447D"/>
    <w:rsid w:val="00CF5481"/>
    <w:rsid w:val="00CF583C"/>
    <w:rsid w:val="00CF7482"/>
    <w:rsid w:val="00CF77C7"/>
    <w:rsid w:val="00CF77C8"/>
    <w:rsid w:val="00D00527"/>
    <w:rsid w:val="00D00804"/>
    <w:rsid w:val="00D02516"/>
    <w:rsid w:val="00D02742"/>
    <w:rsid w:val="00D02947"/>
    <w:rsid w:val="00D0391D"/>
    <w:rsid w:val="00D04465"/>
    <w:rsid w:val="00D04969"/>
    <w:rsid w:val="00D05586"/>
    <w:rsid w:val="00D06692"/>
    <w:rsid w:val="00D06ABF"/>
    <w:rsid w:val="00D07252"/>
    <w:rsid w:val="00D07786"/>
    <w:rsid w:val="00D102BC"/>
    <w:rsid w:val="00D10D9C"/>
    <w:rsid w:val="00D1135F"/>
    <w:rsid w:val="00D1143F"/>
    <w:rsid w:val="00D11600"/>
    <w:rsid w:val="00D11616"/>
    <w:rsid w:val="00D122E9"/>
    <w:rsid w:val="00D12553"/>
    <w:rsid w:val="00D12B54"/>
    <w:rsid w:val="00D14666"/>
    <w:rsid w:val="00D14703"/>
    <w:rsid w:val="00D15632"/>
    <w:rsid w:val="00D15932"/>
    <w:rsid w:val="00D15A7E"/>
    <w:rsid w:val="00D15E84"/>
    <w:rsid w:val="00D16462"/>
    <w:rsid w:val="00D166DC"/>
    <w:rsid w:val="00D16B12"/>
    <w:rsid w:val="00D170B0"/>
    <w:rsid w:val="00D17441"/>
    <w:rsid w:val="00D176FE"/>
    <w:rsid w:val="00D17E9C"/>
    <w:rsid w:val="00D2092B"/>
    <w:rsid w:val="00D20B87"/>
    <w:rsid w:val="00D211BD"/>
    <w:rsid w:val="00D21241"/>
    <w:rsid w:val="00D22FA2"/>
    <w:rsid w:val="00D23B61"/>
    <w:rsid w:val="00D23F4B"/>
    <w:rsid w:val="00D24831"/>
    <w:rsid w:val="00D2518A"/>
    <w:rsid w:val="00D2560B"/>
    <w:rsid w:val="00D26480"/>
    <w:rsid w:val="00D26E38"/>
    <w:rsid w:val="00D2796F"/>
    <w:rsid w:val="00D27C5E"/>
    <w:rsid w:val="00D27E13"/>
    <w:rsid w:val="00D304FA"/>
    <w:rsid w:val="00D31388"/>
    <w:rsid w:val="00D33740"/>
    <w:rsid w:val="00D33F95"/>
    <w:rsid w:val="00D3576C"/>
    <w:rsid w:val="00D35FCA"/>
    <w:rsid w:val="00D360F8"/>
    <w:rsid w:val="00D37C90"/>
    <w:rsid w:val="00D37CCB"/>
    <w:rsid w:val="00D40EAA"/>
    <w:rsid w:val="00D424B2"/>
    <w:rsid w:val="00D42D35"/>
    <w:rsid w:val="00D44055"/>
    <w:rsid w:val="00D44574"/>
    <w:rsid w:val="00D446DE"/>
    <w:rsid w:val="00D44FC3"/>
    <w:rsid w:val="00D453D2"/>
    <w:rsid w:val="00D45C0A"/>
    <w:rsid w:val="00D45C0E"/>
    <w:rsid w:val="00D478CE"/>
    <w:rsid w:val="00D47F5F"/>
    <w:rsid w:val="00D50193"/>
    <w:rsid w:val="00D507AE"/>
    <w:rsid w:val="00D508FC"/>
    <w:rsid w:val="00D51045"/>
    <w:rsid w:val="00D51A27"/>
    <w:rsid w:val="00D520AE"/>
    <w:rsid w:val="00D520E6"/>
    <w:rsid w:val="00D52376"/>
    <w:rsid w:val="00D52755"/>
    <w:rsid w:val="00D52FF9"/>
    <w:rsid w:val="00D53100"/>
    <w:rsid w:val="00D531E6"/>
    <w:rsid w:val="00D53AE8"/>
    <w:rsid w:val="00D543C4"/>
    <w:rsid w:val="00D5447C"/>
    <w:rsid w:val="00D546AF"/>
    <w:rsid w:val="00D5690E"/>
    <w:rsid w:val="00D56D34"/>
    <w:rsid w:val="00D575D0"/>
    <w:rsid w:val="00D57A07"/>
    <w:rsid w:val="00D6003F"/>
    <w:rsid w:val="00D607E7"/>
    <w:rsid w:val="00D60950"/>
    <w:rsid w:val="00D61242"/>
    <w:rsid w:val="00D61E48"/>
    <w:rsid w:val="00D62CAB"/>
    <w:rsid w:val="00D633C1"/>
    <w:rsid w:val="00D63598"/>
    <w:rsid w:val="00D6363F"/>
    <w:rsid w:val="00D63A73"/>
    <w:rsid w:val="00D63CEA"/>
    <w:rsid w:val="00D6461F"/>
    <w:rsid w:val="00D64D42"/>
    <w:rsid w:val="00D65D93"/>
    <w:rsid w:val="00D6651B"/>
    <w:rsid w:val="00D67A83"/>
    <w:rsid w:val="00D67E7B"/>
    <w:rsid w:val="00D7011D"/>
    <w:rsid w:val="00D7187F"/>
    <w:rsid w:val="00D73401"/>
    <w:rsid w:val="00D74214"/>
    <w:rsid w:val="00D74915"/>
    <w:rsid w:val="00D75729"/>
    <w:rsid w:val="00D75F10"/>
    <w:rsid w:val="00D776E0"/>
    <w:rsid w:val="00D778C2"/>
    <w:rsid w:val="00D812DC"/>
    <w:rsid w:val="00D8164D"/>
    <w:rsid w:val="00D816C4"/>
    <w:rsid w:val="00D81BB2"/>
    <w:rsid w:val="00D82CEB"/>
    <w:rsid w:val="00D82D20"/>
    <w:rsid w:val="00D8331A"/>
    <w:rsid w:val="00D834F3"/>
    <w:rsid w:val="00D838E8"/>
    <w:rsid w:val="00D838F8"/>
    <w:rsid w:val="00D83917"/>
    <w:rsid w:val="00D83A87"/>
    <w:rsid w:val="00D8465F"/>
    <w:rsid w:val="00D84744"/>
    <w:rsid w:val="00D8476A"/>
    <w:rsid w:val="00D85313"/>
    <w:rsid w:val="00D85350"/>
    <w:rsid w:val="00D85B14"/>
    <w:rsid w:val="00D85ECD"/>
    <w:rsid w:val="00D86DD5"/>
    <w:rsid w:val="00D9095E"/>
    <w:rsid w:val="00D911E9"/>
    <w:rsid w:val="00D9159B"/>
    <w:rsid w:val="00D91ABA"/>
    <w:rsid w:val="00D91E53"/>
    <w:rsid w:val="00D9271A"/>
    <w:rsid w:val="00D92860"/>
    <w:rsid w:val="00D92BF4"/>
    <w:rsid w:val="00D95403"/>
    <w:rsid w:val="00D9714F"/>
    <w:rsid w:val="00D976FE"/>
    <w:rsid w:val="00D9795F"/>
    <w:rsid w:val="00D979EE"/>
    <w:rsid w:val="00DA0825"/>
    <w:rsid w:val="00DA092A"/>
    <w:rsid w:val="00DA151B"/>
    <w:rsid w:val="00DA19AB"/>
    <w:rsid w:val="00DA1CED"/>
    <w:rsid w:val="00DA20C6"/>
    <w:rsid w:val="00DA2256"/>
    <w:rsid w:val="00DA2618"/>
    <w:rsid w:val="00DA2A2A"/>
    <w:rsid w:val="00DA3020"/>
    <w:rsid w:val="00DA3164"/>
    <w:rsid w:val="00DA3478"/>
    <w:rsid w:val="00DA3932"/>
    <w:rsid w:val="00DA3DFF"/>
    <w:rsid w:val="00DA3F07"/>
    <w:rsid w:val="00DA423B"/>
    <w:rsid w:val="00DA4448"/>
    <w:rsid w:val="00DA4584"/>
    <w:rsid w:val="00DA4C26"/>
    <w:rsid w:val="00DA4F5D"/>
    <w:rsid w:val="00DA53B2"/>
    <w:rsid w:val="00DA546C"/>
    <w:rsid w:val="00DA574B"/>
    <w:rsid w:val="00DA5F15"/>
    <w:rsid w:val="00DA6EB3"/>
    <w:rsid w:val="00DA7E63"/>
    <w:rsid w:val="00DB09B9"/>
    <w:rsid w:val="00DB09D7"/>
    <w:rsid w:val="00DB0CD7"/>
    <w:rsid w:val="00DB1221"/>
    <w:rsid w:val="00DB1BF5"/>
    <w:rsid w:val="00DB21EB"/>
    <w:rsid w:val="00DB2266"/>
    <w:rsid w:val="00DB38F9"/>
    <w:rsid w:val="00DB3983"/>
    <w:rsid w:val="00DB3C6B"/>
    <w:rsid w:val="00DB3D56"/>
    <w:rsid w:val="00DB3DEC"/>
    <w:rsid w:val="00DB4993"/>
    <w:rsid w:val="00DB49D4"/>
    <w:rsid w:val="00DB5350"/>
    <w:rsid w:val="00DB5378"/>
    <w:rsid w:val="00DB569A"/>
    <w:rsid w:val="00DB570A"/>
    <w:rsid w:val="00DB5B4E"/>
    <w:rsid w:val="00DB60C9"/>
    <w:rsid w:val="00DB6E3B"/>
    <w:rsid w:val="00DB70B4"/>
    <w:rsid w:val="00DC0EBB"/>
    <w:rsid w:val="00DC12B1"/>
    <w:rsid w:val="00DC1BAD"/>
    <w:rsid w:val="00DC1FE0"/>
    <w:rsid w:val="00DC2336"/>
    <w:rsid w:val="00DC240D"/>
    <w:rsid w:val="00DC254B"/>
    <w:rsid w:val="00DC3262"/>
    <w:rsid w:val="00DC3A01"/>
    <w:rsid w:val="00DC48CE"/>
    <w:rsid w:val="00DC564C"/>
    <w:rsid w:val="00DC5F39"/>
    <w:rsid w:val="00DC5FCE"/>
    <w:rsid w:val="00DC5FEF"/>
    <w:rsid w:val="00DC7914"/>
    <w:rsid w:val="00DD0192"/>
    <w:rsid w:val="00DD05A4"/>
    <w:rsid w:val="00DD11A4"/>
    <w:rsid w:val="00DD1373"/>
    <w:rsid w:val="00DD1A14"/>
    <w:rsid w:val="00DD1D23"/>
    <w:rsid w:val="00DD1E92"/>
    <w:rsid w:val="00DD2343"/>
    <w:rsid w:val="00DD2970"/>
    <w:rsid w:val="00DD2F71"/>
    <w:rsid w:val="00DD3D54"/>
    <w:rsid w:val="00DD3E68"/>
    <w:rsid w:val="00DD4234"/>
    <w:rsid w:val="00DD4C2F"/>
    <w:rsid w:val="00DD5185"/>
    <w:rsid w:val="00DD5826"/>
    <w:rsid w:val="00DD5B8E"/>
    <w:rsid w:val="00DD5C1D"/>
    <w:rsid w:val="00DD6C76"/>
    <w:rsid w:val="00DD74CA"/>
    <w:rsid w:val="00DD7E0A"/>
    <w:rsid w:val="00DE15E7"/>
    <w:rsid w:val="00DE194C"/>
    <w:rsid w:val="00DE1DDF"/>
    <w:rsid w:val="00DE3944"/>
    <w:rsid w:val="00DE3DB6"/>
    <w:rsid w:val="00DE408A"/>
    <w:rsid w:val="00DE4982"/>
    <w:rsid w:val="00DE55A7"/>
    <w:rsid w:val="00DE5CAE"/>
    <w:rsid w:val="00DE61F4"/>
    <w:rsid w:val="00DE6A84"/>
    <w:rsid w:val="00DE77CA"/>
    <w:rsid w:val="00DF0CBF"/>
    <w:rsid w:val="00DF170F"/>
    <w:rsid w:val="00DF1876"/>
    <w:rsid w:val="00DF1EFD"/>
    <w:rsid w:val="00DF1F7F"/>
    <w:rsid w:val="00DF2C5C"/>
    <w:rsid w:val="00DF2C64"/>
    <w:rsid w:val="00DF326B"/>
    <w:rsid w:val="00DF3CFE"/>
    <w:rsid w:val="00DF498E"/>
    <w:rsid w:val="00DF5C07"/>
    <w:rsid w:val="00DF5ED1"/>
    <w:rsid w:val="00DF6F67"/>
    <w:rsid w:val="00DF6F9F"/>
    <w:rsid w:val="00DF71E3"/>
    <w:rsid w:val="00DF7713"/>
    <w:rsid w:val="00E00AC4"/>
    <w:rsid w:val="00E016BE"/>
    <w:rsid w:val="00E02142"/>
    <w:rsid w:val="00E029C0"/>
    <w:rsid w:val="00E02BC8"/>
    <w:rsid w:val="00E0369C"/>
    <w:rsid w:val="00E038B7"/>
    <w:rsid w:val="00E03FC7"/>
    <w:rsid w:val="00E040A4"/>
    <w:rsid w:val="00E05E48"/>
    <w:rsid w:val="00E062ED"/>
    <w:rsid w:val="00E066A0"/>
    <w:rsid w:val="00E100AD"/>
    <w:rsid w:val="00E10997"/>
    <w:rsid w:val="00E118F0"/>
    <w:rsid w:val="00E12AB9"/>
    <w:rsid w:val="00E12AF7"/>
    <w:rsid w:val="00E12E01"/>
    <w:rsid w:val="00E12F2E"/>
    <w:rsid w:val="00E13F1A"/>
    <w:rsid w:val="00E143A7"/>
    <w:rsid w:val="00E1455D"/>
    <w:rsid w:val="00E1468A"/>
    <w:rsid w:val="00E14D80"/>
    <w:rsid w:val="00E14F6A"/>
    <w:rsid w:val="00E153A8"/>
    <w:rsid w:val="00E15464"/>
    <w:rsid w:val="00E15B87"/>
    <w:rsid w:val="00E16072"/>
    <w:rsid w:val="00E16393"/>
    <w:rsid w:val="00E16D6E"/>
    <w:rsid w:val="00E171CA"/>
    <w:rsid w:val="00E17A08"/>
    <w:rsid w:val="00E17D12"/>
    <w:rsid w:val="00E20121"/>
    <w:rsid w:val="00E20E93"/>
    <w:rsid w:val="00E20F16"/>
    <w:rsid w:val="00E21167"/>
    <w:rsid w:val="00E22ACB"/>
    <w:rsid w:val="00E23A4F"/>
    <w:rsid w:val="00E240AD"/>
    <w:rsid w:val="00E24898"/>
    <w:rsid w:val="00E24FC3"/>
    <w:rsid w:val="00E2573C"/>
    <w:rsid w:val="00E2599C"/>
    <w:rsid w:val="00E265A8"/>
    <w:rsid w:val="00E269B5"/>
    <w:rsid w:val="00E26FE6"/>
    <w:rsid w:val="00E2747C"/>
    <w:rsid w:val="00E3028F"/>
    <w:rsid w:val="00E30CD0"/>
    <w:rsid w:val="00E31EF0"/>
    <w:rsid w:val="00E32115"/>
    <w:rsid w:val="00E3223B"/>
    <w:rsid w:val="00E330A0"/>
    <w:rsid w:val="00E3344B"/>
    <w:rsid w:val="00E33FF1"/>
    <w:rsid w:val="00E34D78"/>
    <w:rsid w:val="00E34E95"/>
    <w:rsid w:val="00E354BA"/>
    <w:rsid w:val="00E35B41"/>
    <w:rsid w:val="00E36747"/>
    <w:rsid w:val="00E369A1"/>
    <w:rsid w:val="00E37865"/>
    <w:rsid w:val="00E378E4"/>
    <w:rsid w:val="00E40249"/>
    <w:rsid w:val="00E40BAD"/>
    <w:rsid w:val="00E41ACA"/>
    <w:rsid w:val="00E4283A"/>
    <w:rsid w:val="00E438F4"/>
    <w:rsid w:val="00E43BDF"/>
    <w:rsid w:val="00E448B5"/>
    <w:rsid w:val="00E44ABC"/>
    <w:rsid w:val="00E4588D"/>
    <w:rsid w:val="00E461F6"/>
    <w:rsid w:val="00E463A2"/>
    <w:rsid w:val="00E46B20"/>
    <w:rsid w:val="00E477B1"/>
    <w:rsid w:val="00E47EEF"/>
    <w:rsid w:val="00E50773"/>
    <w:rsid w:val="00E5118D"/>
    <w:rsid w:val="00E518AD"/>
    <w:rsid w:val="00E51DD3"/>
    <w:rsid w:val="00E52858"/>
    <w:rsid w:val="00E536B4"/>
    <w:rsid w:val="00E53C4A"/>
    <w:rsid w:val="00E5442D"/>
    <w:rsid w:val="00E545BF"/>
    <w:rsid w:val="00E555CE"/>
    <w:rsid w:val="00E55EB2"/>
    <w:rsid w:val="00E56326"/>
    <w:rsid w:val="00E564DA"/>
    <w:rsid w:val="00E5704A"/>
    <w:rsid w:val="00E5739A"/>
    <w:rsid w:val="00E603C2"/>
    <w:rsid w:val="00E60820"/>
    <w:rsid w:val="00E60C00"/>
    <w:rsid w:val="00E60C99"/>
    <w:rsid w:val="00E60EEE"/>
    <w:rsid w:val="00E61D8D"/>
    <w:rsid w:val="00E6250D"/>
    <w:rsid w:val="00E62B63"/>
    <w:rsid w:val="00E62FCE"/>
    <w:rsid w:val="00E635C7"/>
    <w:rsid w:val="00E6372C"/>
    <w:rsid w:val="00E64430"/>
    <w:rsid w:val="00E653A7"/>
    <w:rsid w:val="00E65749"/>
    <w:rsid w:val="00E66DA4"/>
    <w:rsid w:val="00E6725E"/>
    <w:rsid w:val="00E67414"/>
    <w:rsid w:val="00E6779E"/>
    <w:rsid w:val="00E67D14"/>
    <w:rsid w:val="00E70042"/>
    <w:rsid w:val="00E70506"/>
    <w:rsid w:val="00E70FD2"/>
    <w:rsid w:val="00E72470"/>
    <w:rsid w:val="00E72A5E"/>
    <w:rsid w:val="00E72FA7"/>
    <w:rsid w:val="00E735ED"/>
    <w:rsid w:val="00E750DC"/>
    <w:rsid w:val="00E7528E"/>
    <w:rsid w:val="00E752E6"/>
    <w:rsid w:val="00E75556"/>
    <w:rsid w:val="00E75703"/>
    <w:rsid w:val="00E761D5"/>
    <w:rsid w:val="00E763E3"/>
    <w:rsid w:val="00E76432"/>
    <w:rsid w:val="00E76986"/>
    <w:rsid w:val="00E76C0A"/>
    <w:rsid w:val="00E8010B"/>
    <w:rsid w:val="00E804B0"/>
    <w:rsid w:val="00E805EC"/>
    <w:rsid w:val="00E80724"/>
    <w:rsid w:val="00E80AD6"/>
    <w:rsid w:val="00E82042"/>
    <w:rsid w:val="00E821E9"/>
    <w:rsid w:val="00E82F45"/>
    <w:rsid w:val="00E8307C"/>
    <w:rsid w:val="00E83E2A"/>
    <w:rsid w:val="00E84BB8"/>
    <w:rsid w:val="00E8501D"/>
    <w:rsid w:val="00E852C4"/>
    <w:rsid w:val="00E85512"/>
    <w:rsid w:val="00E859D9"/>
    <w:rsid w:val="00E86396"/>
    <w:rsid w:val="00E90174"/>
    <w:rsid w:val="00E90187"/>
    <w:rsid w:val="00E90389"/>
    <w:rsid w:val="00E907BD"/>
    <w:rsid w:val="00E91AC9"/>
    <w:rsid w:val="00E92A86"/>
    <w:rsid w:val="00E92DF5"/>
    <w:rsid w:val="00E92DFA"/>
    <w:rsid w:val="00E94493"/>
    <w:rsid w:val="00E96086"/>
    <w:rsid w:val="00E966E9"/>
    <w:rsid w:val="00E96DC3"/>
    <w:rsid w:val="00E978CE"/>
    <w:rsid w:val="00EA029E"/>
    <w:rsid w:val="00EA0574"/>
    <w:rsid w:val="00EA0AC3"/>
    <w:rsid w:val="00EA2919"/>
    <w:rsid w:val="00EA2AC1"/>
    <w:rsid w:val="00EA2F4D"/>
    <w:rsid w:val="00EA444F"/>
    <w:rsid w:val="00EA4A8D"/>
    <w:rsid w:val="00EA4F9D"/>
    <w:rsid w:val="00EA4FA0"/>
    <w:rsid w:val="00EA6259"/>
    <w:rsid w:val="00EA640C"/>
    <w:rsid w:val="00EA7257"/>
    <w:rsid w:val="00EA7784"/>
    <w:rsid w:val="00EA7B07"/>
    <w:rsid w:val="00EB1AFE"/>
    <w:rsid w:val="00EB260C"/>
    <w:rsid w:val="00EB28E9"/>
    <w:rsid w:val="00EB2C36"/>
    <w:rsid w:val="00EB3158"/>
    <w:rsid w:val="00EB35FE"/>
    <w:rsid w:val="00EB4F42"/>
    <w:rsid w:val="00EB52F4"/>
    <w:rsid w:val="00EB55E9"/>
    <w:rsid w:val="00EB59CB"/>
    <w:rsid w:val="00EB5F7A"/>
    <w:rsid w:val="00EB6709"/>
    <w:rsid w:val="00EB6BA2"/>
    <w:rsid w:val="00EB7BDB"/>
    <w:rsid w:val="00EB7EC1"/>
    <w:rsid w:val="00EB7ECB"/>
    <w:rsid w:val="00EC0D36"/>
    <w:rsid w:val="00EC227A"/>
    <w:rsid w:val="00EC2973"/>
    <w:rsid w:val="00EC37EB"/>
    <w:rsid w:val="00EC459A"/>
    <w:rsid w:val="00EC4845"/>
    <w:rsid w:val="00EC48FE"/>
    <w:rsid w:val="00EC4BFC"/>
    <w:rsid w:val="00EC704E"/>
    <w:rsid w:val="00EC71A4"/>
    <w:rsid w:val="00EC7229"/>
    <w:rsid w:val="00EC74D1"/>
    <w:rsid w:val="00EC7D6F"/>
    <w:rsid w:val="00ED0143"/>
    <w:rsid w:val="00ED024A"/>
    <w:rsid w:val="00ED187F"/>
    <w:rsid w:val="00ED1B99"/>
    <w:rsid w:val="00ED2428"/>
    <w:rsid w:val="00ED2454"/>
    <w:rsid w:val="00ED26D3"/>
    <w:rsid w:val="00ED2C6C"/>
    <w:rsid w:val="00ED38C7"/>
    <w:rsid w:val="00ED3AA4"/>
    <w:rsid w:val="00ED3CD5"/>
    <w:rsid w:val="00ED4C24"/>
    <w:rsid w:val="00ED536B"/>
    <w:rsid w:val="00ED586B"/>
    <w:rsid w:val="00ED5C01"/>
    <w:rsid w:val="00ED5F04"/>
    <w:rsid w:val="00ED62D4"/>
    <w:rsid w:val="00ED6FF2"/>
    <w:rsid w:val="00EE01C6"/>
    <w:rsid w:val="00EE09BF"/>
    <w:rsid w:val="00EE0CE0"/>
    <w:rsid w:val="00EE1369"/>
    <w:rsid w:val="00EE17A5"/>
    <w:rsid w:val="00EE1F01"/>
    <w:rsid w:val="00EE2457"/>
    <w:rsid w:val="00EE2A90"/>
    <w:rsid w:val="00EE2BDE"/>
    <w:rsid w:val="00EE334A"/>
    <w:rsid w:val="00EE3A30"/>
    <w:rsid w:val="00EE41BD"/>
    <w:rsid w:val="00EE447E"/>
    <w:rsid w:val="00EE4DDA"/>
    <w:rsid w:val="00EE510E"/>
    <w:rsid w:val="00EE656F"/>
    <w:rsid w:val="00EF00B6"/>
    <w:rsid w:val="00EF05CD"/>
    <w:rsid w:val="00EF07F2"/>
    <w:rsid w:val="00EF08ED"/>
    <w:rsid w:val="00EF0AF3"/>
    <w:rsid w:val="00EF0E5A"/>
    <w:rsid w:val="00EF112B"/>
    <w:rsid w:val="00EF12F8"/>
    <w:rsid w:val="00EF1715"/>
    <w:rsid w:val="00EF1C5A"/>
    <w:rsid w:val="00EF1E49"/>
    <w:rsid w:val="00EF2701"/>
    <w:rsid w:val="00EF2C4C"/>
    <w:rsid w:val="00EF398E"/>
    <w:rsid w:val="00EF3B67"/>
    <w:rsid w:val="00EF53B6"/>
    <w:rsid w:val="00EF5906"/>
    <w:rsid w:val="00EF5E97"/>
    <w:rsid w:val="00EF7F1E"/>
    <w:rsid w:val="00EF7F56"/>
    <w:rsid w:val="00F001A8"/>
    <w:rsid w:val="00F00A8E"/>
    <w:rsid w:val="00F01266"/>
    <w:rsid w:val="00F023C1"/>
    <w:rsid w:val="00F02976"/>
    <w:rsid w:val="00F03433"/>
    <w:rsid w:val="00F03C41"/>
    <w:rsid w:val="00F03FB1"/>
    <w:rsid w:val="00F04837"/>
    <w:rsid w:val="00F04BBC"/>
    <w:rsid w:val="00F05B09"/>
    <w:rsid w:val="00F0678F"/>
    <w:rsid w:val="00F06849"/>
    <w:rsid w:val="00F06E99"/>
    <w:rsid w:val="00F0700F"/>
    <w:rsid w:val="00F07244"/>
    <w:rsid w:val="00F07275"/>
    <w:rsid w:val="00F07673"/>
    <w:rsid w:val="00F076B7"/>
    <w:rsid w:val="00F07A4A"/>
    <w:rsid w:val="00F07BCB"/>
    <w:rsid w:val="00F106FF"/>
    <w:rsid w:val="00F1141F"/>
    <w:rsid w:val="00F11990"/>
    <w:rsid w:val="00F11BA6"/>
    <w:rsid w:val="00F129B8"/>
    <w:rsid w:val="00F12E3C"/>
    <w:rsid w:val="00F12F13"/>
    <w:rsid w:val="00F14AB7"/>
    <w:rsid w:val="00F156DE"/>
    <w:rsid w:val="00F157CF"/>
    <w:rsid w:val="00F15905"/>
    <w:rsid w:val="00F15948"/>
    <w:rsid w:val="00F1653D"/>
    <w:rsid w:val="00F16B01"/>
    <w:rsid w:val="00F16D0E"/>
    <w:rsid w:val="00F17918"/>
    <w:rsid w:val="00F2019E"/>
    <w:rsid w:val="00F203B2"/>
    <w:rsid w:val="00F20A75"/>
    <w:rsid w:val="00F20D7E"/>
    <w:rsid w:val="00F21276"/>
    <w:rsid w:val="00F21352"/>
    <w:rsid w:val="00F21A8B"/>
    <w:rsid w:val="00F21E45"/>
    <w:rsid w:val="00F22643"/>
    <w:rsid w:val="00F22A0F"/>
    <w:rsid w:val="00F2490C"/>
    <w:rsid w:val="00F26381"/>
    <w:rsid w:val="00F272E9"/>
    <w:rsid w:val="00F279EA"/>
    <w:rsid w:val="00F27DBB"/>
    <w:rsid w:val="00F27F9A"/>
    <w:rsid w:val="00F31122"/>
    <w:rsid w:val="00F313AE"/>
    <w:rsid w:val="00F326F9"/>
    <w:rsid w:val="00F33629"/>
    <w:rsid w:val="00F34D04"/>
    <w:rsid w:val="00F34F66"/>
    <w:rsid w:val="00F355E3"/>
    <w:rsid w:val="00F35C21"/>
    <w:rsid w:val="00F35ED0"/>
    <w:rsid w:val="00F36CA1"/>
    <w:rsid w:val="00F37172"/>
    <w:rsid w:val="00F408C9"/>
    <w:rsid w:val="00F419C6"/>
    <w:rsid w:val="00F42217"/>
    <w:rsid w:val="00F42BE5"/>
    <w:rsid w:val="00F42C7F"/>
    <w:rsid w:val="00F43421"/>
    <w:rsid w:val="00F44B75"/>
    <w:rsid w:val="00F44EAE"/>
    <w:rsid w:val="00F4523C"/>
    <w:rsid w:val="00F45FB0"/>
    <w:rsid w:val="00F47910"/>
    <w:rsid w:val="00F50864"/>
    <w:rsid w:val="00F50D49"/>
    <w:rsid w:val="00F50FFF"/>
    <w:rsid w:val="00F516D9"/>
    <w:rsid w:val="00F52702"/>
    <w:rsid w:val="00F52B23"/>
    <w:rsid w:val="00F52E45"/>
    <w:rsid w:val="00F533DE"/>
    <w:rsid w:val="00F53769"/>
    <w:rsid w:val="00F54042"/>
    <w:rsid w:val="00F54C6C"/>
    <w:rsid w:val="00F558AC"/>
    <w:rsid w:val="00F5620A"/>
    <w:rsid w:val="00F56C9E"/>
    <w:rsid w:val="00F56F23"/>
    <w:rsid w:val="00F57623"/>
    <w:rsid w:val="00F57B8E"/>
    <w:rsid w:val="00F57CF9"/>
    <w:rsid w:val="00F6031A"/>
    <w:rsid w:val="00F608F0"/>
    <w:rsid w:val="00F60A83"/>
    <w:rsid w:val="00F60D7A"/>
    <w:rsid w:val="00F60FE0"/>
    <w:rsid w:val="00F6112E"/>
    <w:rsid w:val="00F61647"/>
    <w:rsid w:val="00F617E8"/>
    <w:rsid w:val="00F619E8"/>
    <w:rsid w:val="00F61CB9"/>
    <w:rsid w:val="00F62126"/>
    <w:rsid w:val="00F6234F"/>
    <w:rsid w:val="00F6248C"/>
    <w:rsid w:val="00F62F19"/>
    <w:rsid w:val="00F63A8E"/>
    <w:rsid w:val="00F63B16"/>
    <w:rsid w:val="00F641E8"/>
    <w:rsid w:val="00F64989"/>
    <w:rsid w:val="00F6519A"/>
    <w:rsid w:val="00F65EA6"/>
    <w:rsid w:val="00F66328"/>
    <w:rsid w:val="00F679C8"/>
    <w:rsid w:val="00F67A75"/>
    <w:rsid w:val="00F67EC8"/>
    <w:rsid w:val="00F701D2"/>
    <w:rsid w:val="00F70ED4"/>
    <w:rsid w:val="00F7162E"/>
    <w:rsid w:val="00F71E57"/>
    <w:rsid w:val="00F720C4"/>
    <w:rsid w:val="00F72C02"/>
    <w:rsid w:val="00F72EED"/>
    <w:rsid w:val="00F732B4"/>
    <w:rsid w:val="00F74363"/>
    <w:rsid w:val="00F74EA8"/>
    <w:rsid w:val="00F751F1"/>
    <w:rsid w:val="00F755DA"/>
    <w:rsid w:val="00F75961"/>
    <w:rsid w:val="00F75E6E"/>
    <w:rsid w:val="00F761F8"/>
    <w:rsid w:val="00F762EA"/>
    <w:rsid w:val="00F76BC5"/>
    <w:rsid w:val="00F76D01"/>
    <w:rsid w:val="00F80537"/>
    <w:rsid w:val="00F8065B"/>
    <w:rsid w:val="00F80AF4"/>
    <w:rsid w:val="00F81091"/>
    <w:rsid w:val="00F813A0"/>
    <w:rsid w:val="00F81A08"/>
    <w:rsid w:val="00F81F5B"/>
    <w:rsid w:val="00F8303B"/>
    <w:rsid w:val="00F838D4"/>
    <w:rsid w:val="00F83D99"/>
    <w:rsid w:val="00F840A4"/>
    <w:rsid w:val="00F84232"/>
    <w:rsid w:val="00F84369"/>
    <w:rsid w:val="00F8437E"/>
    <w:rsid w:val="00F848C5"/>
    <w:rsid w:val="00F864D2"/>
    <w:rsid w:val="00F870AA"/>
    <w:rsid w:val="00F873B0"/>
    <w:rsid w:val="00F87714"/>
    <w:rsid w:val="00F8771F"/>
    <w:rsid w:val="00F87F21"/>
    <w:rsid w:val="00F87F91"/>
    <w:rsid w:val="00F90042"/>
    <w:rsid w:val="00F904AC"/>
    <w:rsid w:val="00F90632"/>
    <w:rsid w:val="00F9065B"/>
    <w:rsid w:val="00F90A08"/>
    <w:rsid w:val="00F9217F"/>
    <w:rsid w:val="00F92651"/>
    <w:rsid w:val="00F92A3F"/>
    <w:rsid w:val="00F93598"/>
    <w:rsid w:val="00F9360B"/>
    <w:rsid w:val="00F937C3"/>
    <w:rsid w:val="00F93AE1"/>
    <w:rsid w:val="00F93FA2"/>
    <w:rsid w:val="00F941D5"/>
    <w:rsid w:val="00F948E9"/>
    <w:rsid w:val="00F94C9C"/>
    <w:rsid w:val="00F95056"/>
    <w:rsid w:val="00F95414"/>
    <w:rsid w:val="00F95700"/>
    <w:rsid w:val="00F96473"/>
    <w:rsid w:val="00F971FF"/>
    <w:rsid w:val="00F972AF"/>
    <w:rsid w:val="00F9752F"/>
    <w:rsid w:val="00F976DA"/>
    <w:rsid w:val="00F97FE6"/>
    <w:rsid w:val="00FA109E"/>
    <w:rsid w:val="00FA2257"/>
    <w:rsid w:val="00FA446E"/>
    <w:rsid w:val="00FA44B4"/>
    <w:rsid w:val="00FA4D34"/>
    <w:rsid w:val="00FA50F5"/>
    <w:rsid w:val="00FA5E3F"/>
    <w:rsid w:val="00FA6584"/>
    <w:rsid w:val="00FA66A4"/>
    <w:rsid w:val="00FA70CE"/>
    <w:rsid w:val="00FA76CB"/>
    <w:rsid w:val="00FA7762"/>
    <w:rsid w:val="00FA7B4D"/>
    <w:rsid w:val="00FB0033"/>
    <w:rsid w:val="00FB035C"/>
    <w:rsid w:val="00FB071D"/>
    <w:rsid w:val="00FB07D6"/>
    <w:rsid w:val="00FB0B3A"/>
    <w:rsid w:val="00FB0B41"/>
    <w:rsid w:val="00FB20AE"/>
    <w:rsid w:val="00FB2E7B"/>
    <w:rsid w:val="00FB3054"/>
    <w:rsid w:val="00FB392B"/>
    <w:rsid w:val="00FB3E44"/>
    <w:rsid w:val="00FB439A"/>
    <w:rsid w:val="00FB4597"/>
    <w:rsid w:val="00FB4C1D"/>
    <w:rsid w:val="00FB4CDC"/>
    <w:rsid w:val="00FB6BE7"/>
    <w:rsid w:val="00FC091B"/>
    <w:rsid w:val="00FC0A45"/>
    <w:rsid w:val="00FC2F00"/>
    <w:rsid w:val="00FC3F6E"/>
    <w:rsid w:val="00FC4253"/>
    <w:rsid w:val="00FC44C3"/>
    <w:rsid w:val="00FC53FB"/>
    <w:rsid w:val="00FC575F"/>
    <w:rsid w:val="00FC6900"/>
    <w:rsid w:val="00FC69AA"/>
    <w:rsid w:val="00FC6B1D"/>
    <w:rsid w:val="00FC740D"/>
    <w:rsid w:val="00FC7A82"/>
    <w:rsid w:val="00FD0B1A"/>
    <w:rsid w:val="00FD1450"/>
    <w:rsid w:val="00FD1FEA"/>
    <w:rsid w:val="00FD21BC"/>
    <w:rsid w:val="00FD26D3"/>
    <w:rsid w:val="00FD2CDD"/>
    <w:rsid w:val="00FD397A"/>
    <w:rsid w:val="00FD458E"/>
    <w:rsid w:val="00FD510F"/>
    <w:rsid w:val="00FD5746"/>
    <w:rsid w:val="00FD5869"/>
    <w:rsid w:val="00FD5B8B"/>
    <w:rsid w:val="00FD5D9B"/>
    <w:rsid w:val="00FD6911"/>
    <w:rsid w:val="00FE08FC"/>
    <w:rsid w:val="00FE0B61"/>
    <w:rsid w:val="00FE167F"/>
    <w:rsid w:val="00FE171A"/>
    <w:rsid w:val="00FE1774"/>
    <w:rsid w:val="00FE228A"/>
    <w:rsid w:val="00FE401C"/>
    <w:rsid w:val="00FE458C"/>
    <w:rsid w:val="00FE4A21"/>
    <w:rsid w:val="00FE4CD2"/>
    <w:rsid w:val="00FE584F"/>
    <w:rsid w:val="00FE5C1D"/>
    <w:rsid w:val="00FE687B"/>
    <w:rsid w:val="00FE6A20"/>
    <w:rsid w:val="00FE7A9C"/>
    <w:rsid w:val="00FF072F"/>
    <w:rsid w:val="00FF08F0"/>
    <w:rsid w:val="00FF0A72"/>
    <w:rsid w:val="00FF1232"/>
    <w:rsid w:val="00FF128E"/>
    <w:rsid w:val="00FF1346"/>
    <w:rsid w:val="00FF4B9B"/>
    <w:rsid w:val="00FF52E4"/>
    <w:rsid w:val="00FF692B"/>
    <w:rsid w:val="00FF6C58"/>
    <w:rsid w:val="00FF79BF"/>
    <w:rsid w:val="039A1D68"/>
    <w:rsid w:val="05B0CF99"/>
    <w:rsid w:val="0700B561"/>
    <w:rsid w:val="07296DAA"/>
    <w:rsid w:val="0880183B"/>
    <w:rsid w:val="09022D5C"/>
    <w:rsid w:val="09C6EE58"/>
    <w:rsid w:val="0D47DD47"/>
    <w:rsid w:val="0EB433DE"/>
    <w:rsid w:val="1108D61C"/>
    <w:rsid w:val="13AFF24A"/>
    <w:rsid w:val="15AD44E2"/>
    <w:rsid w:val="16DD0639"/>
    <w:rsid w:val="178E2569"/>
    <w:rsid w:val="17CB2FF0"/>
    <w:rsid w:val="182D5A45"/>
    <w:rsid w:val="1A8AEE87"/>
    <w:rsid w:val="1BF4BABF"/>
    <w:rsid w:val="21F07886"/>
    <w:rsid w:val="22392A4F"/>
    <w:rsid w:val="22DCC078"/>
    <w:rsid w:val="23A00A1A"/>
    <w:rsid w:val="2687228D"/>
    <w:rsid w:val="28FBF0DF"/>
    <w:rsid w:val="2CAAC832"/>
    <w:rsid w:val="2D35CA73"/>
    <w:rsid w:val="2E609049"/>
    <w:rsid w:val="2FDD6083"/>
    <w:rsid w:val="33A46BA7"/>
    <w:rsid w:val="349764A4"/>
    <w:rsid w:val="37DA7E2E"/>
    <w:rsid w:val="37EA6874"/>
    <w:rsid w:val="384B02B5"/>
    <w:rsid w:val="40115D64"/>
    <w:rsid w:val="431FFE4C"/>
    <w:rsid w:val="44BD9834"/>
    <w:rsid w:val="45C1530C"/>
    <w:rsid w:val="4657E41C"/>
    <w:rsid w:val="465B7559"/>
    <w:rsid w:val="48E20F5D"/>
    <w:rsid w:val="4BE511AE"/>
    <w:rsid w:val="4C233996"/>
    <w:rsid w:val="4E7AE4DF"/>
    <w:rsid w:val="4F5CA3C8"/>
    <w:rsid w:val="4F6251F8"/>
    <w:rsid w:val="4FCAF0C6"/>
    <w:rsid w:val="5022FA3C"/>
    <w:rsid w:val="5028D29F"/>
    <w:rsid w:val="5189F041"/>
    <w:rsid w:val="533AC3F8"/>
    <w:rsid w:val="563D2CF8"/>
    <w:rsid w:val="5658003D"/>
    <w:rsid w:val="596792DD"/>
    <w:rsid w:val="5A4DC49D"/>
    <w:rsid w:val="5DB06CB3"/>
    <w:rsid w:val="62D54739"/>
    <w:rsid w:val="6306CADF"/>
    <w:rsid w:val="6328729A"/>
    <w:rsid w:val="6686A4B7"/>
    <w:rsid w:val="6BCCC69A"/>
    <w:rsid w:val="6C5177C8"/>
    <w:rsid w:val="6CD9A6E6"/>
    <w:rsid w:val="6E8F3BCA"/>
    <w:rsid w:val="6ECF611C"/>
    <w:rsid w:val="715320F3"/>
    <w:rsid w:val="71D0F2F1"/>
    <w:rsid w:val="72AA9818"/>
    <w:rsid w:val="737548E7"/>
    <w:rsid w:val="7512E52B"/>
    <w:rsid w:val="75554507"/>
    <w:rsid w:val="755AD7CB"/>
    <w:rsid w:val="7591C98E"/>
    <w:rsid w:val="7F27B345"/>
    <w:rsid w:val="7FF0B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B5950C"/>
  <w15:chartTrackingRefBased/>
  <w15:docId w15:val="{69267B04-FC7A-42E6-99AA-0B9CE482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E3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8A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8A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8A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38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38A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8A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8A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8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8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8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8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8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8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8A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8A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8A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8A1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3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8A1"/>
  </w:style>
  <w:style w:type="paragraph" w:styleId="Footer">
    <w:name w:val="footer"/>
    <w:basedOn w:val="Normal"/>
    <w:link w:val="FooterChar"/>
    <w:uiPriority w:val="99"/>
    <w:unhideWhenUsed/>
    <w:rsid w:val="00CE3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8A1"/>
  </w:style>
  <w:style w:type="paragraph" w:styleId="NoSpacing">
    <w:name w:val="No Spacing"/>
    <w:link w:val="NoSpacingChar"/>
    <w:uiPriority w:val="1"/>
    <w:qFormat/>
    <w:rsid w:val="00CE38A1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E38A1"/>
    <w:rPr>
      <w:rFonts w:eastAsiaTheme="minorEastAsia"/>
      <w:kern w:val="0"/>
      <w:lang w:eastAsia="pt-PT"/>
      <w14:ligatures w14:val="none"/>
    </w:rPr>
  </w:style>
  <w:style w:type="paragraph" w:styleId="BodyText">
    <w:name w:val="Body Text"/>
    <w:basedOn w:val="Normal"/>
    <w:link w:val="BodyTextChar"/>
    <w:rsid w:val="00CE38A1"/>
    <w:pPr>
      <w:spacing w:after="120" w:line="240" w:lineRule="auto"/>
    </w:pPr>
    <w:rPr>
      <w:rFonts w:ascii="Neo Sans Std" w:eastAsia="Times New Roman" w:hAnsi="Neo Sans Std" w:cs="Times New Roman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CE38A1"/>
    <w:rPr>
      <w:rFonts w:ascii="Neo Sans Std" w:eastAsia="Times New Roman" w:hAnsi="Neo Sans Std" w:cs="Times New Roman"/>
      <w:kern w:val="0"/>
      <w:sz w:val="20"/>
      <w:szCs w:val="20"/>
      <w:lang w:val="en-US"/>
      <w14:ligatures w14:val="none"/>
    </w:rPr>
  </w:style>
  <w:style w:type="paragraph" w:customStyle="1" w:styleId="Corpo">
    <w:name w:val="Corpo"/>
    <w:basedOn w:val="Normal"/>
    <w:link w:val="CorpoChar"/>
    <w:qFormat/>
    <w:rsid w:val="006C18D8"/>
    <w:pPr>
      <w:spacing w:before="240" w:after="360"/>
      <w:ind w:left="-170" w:right="-437"/>
    </w:pPr>
    <w:rPr>
      <w:rFonts w:ascii="Calibri" w:hAnsi="Calibri"/>
      <w:sz w:val="24"/>
    </w:rPr>
  </w:style>
  <w:style w:type="character" w:customStyle="1" w:styleId="CorpoChar">
    <w:name w:val="Corpo Char"/>
    <w:basedOn w:val="DefaultParagraphFont"/>
    <w:link w:val="Corpo"/>
    <w:rsid w:val="006C18D8"/>
    <w:rPr>
      <w:rFonts w:ascii="Calibri" w:hAnsi="Calibri"/>
      <w:sz w:val="24"/>
    </w:rPr>
  </w:style>
  <w:style w:type="paragraph" w:customStyle="1" w:styleId="Ttulo11">
    <w:name w:val="Título 11"/>
    <w:basedOn w:val="Heading1"/>
    <w:link w:val="Ttulo1Char"/>
    <w:qFormat/>
    <w:rsid w:val="006C18D8"/>
    <w:pPr>
      <w:ind w:left="-284"/>
      <w:jc w:val="both"/>
    </w:pPr>
    <w:rPr>
      <w:rFonts w:ascii="Calibri" w:hAnsi="Calibri" w:cs="Calibri"/>
      <w:b/>
      <w:color w:val="000000" w:themeColor="text1"/>
      <w:sz w:val="32"/>
      <w:szCs w:val="32"/>
    </w:rPr>
  </w:style>
  <w:style w:type="character" w:customStyle="1" w:styleId="Ttulo1Char">
    <w:name w:val="Título 1 Char"/>
    <w:basedOn w:val="Heading1Char"/>
    <w:link w:val="Ttulo11"/>
    <w:rsid w:val="006C18D8"/>
    <w:rPr>
      <w:rFonts w:ascii="Calibri" w:eastAsiaTheme="majorEastAsia" w:hAnsi="Calibri" w:cs="Calibri"/>
      <w:b/>
      <w:color w:val="000000" w:themeColor="text1"/>
      <w:sz w:val="32"/>
      <w:szCs w:val="32"/>
    </w:rPr>
  </w:style>
  <w:style w:type="paragraph" w:customStyle="1" w:styleId="Ttulo21">
    <w:name w:val="Título 21"/>
    <w:basedOn w:val="Heading2"/>
    <w:link w:val="Ttulo2Char"/>
    <w:qFormat/>
    <w:rsid w:val="007951B1"/>
    <w:rPr>
      <w:rFonts w:ascii="Calibri" w:hAnsi="Calibri"/>
      <w:b/>
      <w:color w:val="000000" w:themeColor="text1"/>
      <w:sz w:val="28"/>
    </w:rPr>
  </w:style>
  <w:style w:type="character" w:customStyle="1" w:styleId="Ttulo2Char">
    <w:name w:val="Título 2 Char"/>
    <w:basedOn w:val="Heading2Char"/>
    <w:link w:val="Ttulo21"/>
    <w:rsid w:val="007951B1"/>
    <w:rPr>
      <w:rFonts w:ascii="Calibri" w:eastAsiaTheme="majorEastAsia" w:hAnsi="Calibri" w:cstheme="majorBidi"/>
      <w:b/>
      <w:color w:val="000000" w:themeColor="text1"/>
      <w:sz w:val="28"/>
      <w:szCs w:val="32"/>
    </w:rPr>
  </w:style>
  <w:style w:type="paragraph" w:customStyle="1" w:styleId="Ttulo31">
    <w:name w:val="Título 31"/>
    <w:basedOn w:val="Heading3"/>
    <w:link w:val="Ttulo3Char"/>
    <w:qFormat/>
    <w:rsid w:val="007951B1"/>
    <w:rPr>
      <w:rFonts w:ascii="Calibri" w:hAnsi="Calibri"/>
      <w:b/>
      <w:color w:val="000000" w:themeColor="text1"/>
      <w:sz w:val="24"/>
    </w:rPr>
  </w:style>
  <w:style w:type="character" w:customStyle="1" w:styleId="Ttulo3Char">
    <w:name w:val="Título 3 Char"/>
    <w:basedOn w:val="Ttulo2Char"/>
    <w:link w:val="Ttulo31"/>
    <w:rsid w:val="007951B1"/>
    <w:rPr>
      <w:rFonts w:ascii="Calibri" w:eastAsiaTheme="majorEastAsia" w:hAnsi="Calibri" w:cstheme="majorBidi"/>
      <w:b/>
      <w:color w:val="000000" w:themeColor="text1"/>
      <w:sz w:val="24"/>
      <w:szCs w:val="28"/>
    </w:rPr>
  </w:style>
  <w:style w:type="paragraph" w:styleId="NormalWeb">
    <w:name w:val="Normal (Web)"/>
    <w:basedOn w:val="Normal"/>
    <w:uiPriority w:val="99"/>
    <w:semiHidden/>
    <w:unhideWhenUsed/>
    <w:rsid w:val="00735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apple-converted-space">
    <w:name w:val="apple-converted-space"/>
    <w:basedOn w:val="DefaultParagraphFont"/>
    <w:rsid w:val="00735745"/>
  </w:style>
  <w:style w:type="character" w:styleId="Strong">
    <w:name w:val="Strong"/>
    <w:basedOn w:val="DefaultParagraphFont"/>
    <w:uiPriority w:val="22"/>
    <w:qFormat/>
    <w:rsid w:val="00735745"/>
    <w:rPr>
      <w:b/>
      <w:bCs/>
    </w:rPr>
  </w:style>
  <w:style w:type="table" w:styleId="TableGrid">
    <w:name w:val="Table Grid"/>
    <w:basedOn w:val="TableNormal"/>
    <w:uiPriority w:val="39"/>
    <w:rsid w:val="000F2D5B"/>
    <w:pPr>
      <w:spacing w:after="0" w:line="240" w:lineRule="auto"/>
      <w:jc w:val="both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6E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B6E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B6E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E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E0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D2970"/>
    <w:pPr>
      <w:spacing w:after="0" w:line="240" w:lineRule="auto"/>
    </w:pPr>
  </w:style>
  <w:style w:type="table" w:styleId="TableGridLight">
    <w:name w:val="Grid Table Light"/>
    <w:basedOn w:val="TableNormal"/>
    <w:uiPriority w:val="40"/>
    <w:rsid w:val="009856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D0C64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D0C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0C6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0C6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635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8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7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6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40b26f53-77c6-4f31-b474-1b6c0b689905">
      <Terms xmlns="http://schemas.microsoft.com/office/infopath/2007/PartnerControls"/>
    </lcf76f155ced4ddcb4097134ff3c332f>
    <TaxCatchAll xmlns="80d2f4e6-502b-474e-a807-4ab6ee726216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359A456467CD2488C78C1BFCAE50E3F" ma:contentTypeVersion="13" ma:contentTypeDescription="Criar um novo documento." ma:contentTypeScope="" ma:versionID="5fd7a53ec2a9c000904d98d367386840">
  <xsd:schema xmlns:xsd="http://www.w3.org/2001/XMLSchema" xmlns:xs="http://www.w3.org/2001/XMLSchema" xmlns:p="http://schemas.microsoft.com/office/2006/metadata/properties" xmlns:ns1="http://schemas.microsoft.com/sharepoint/v3" xmlns:ns2="40b26f53-77c6-4f31-b474-1b6c0b689905" xmlns:ns3="80d2f4e6-502b-474e-a807-4ab6ee726216" targetNamespace="http://schemas.microsoft.com/office/2006/metadata/properties" ma:root="true" ma:fieldsID="18c07e447296ae5198c65b6d7d42f01a" ns1:_="" ns2:_="" ns3:_="">
    <xsd:import namespace="http://schemas.microsoft.com/sharepoint/v3"/>
    <xsd:import namespace="40b26f53-77c6-4f31-b474-1b6c0b689905"/>
    <xsd:import namespace="80d2f4e6-502b-474e-a807-4ab6ee7262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Ação de IU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b26f53-77c6-4f31-b474-1b6c0b6899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m" ma:readOnly="false" ma:fieldId="{5cf76f15-5ced-4ddc-b409-7134ff3c332f}" ma:taxonomyMulti="true" ma:sspId="e471ada5-31db-43fa-8830-84ca9293ff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2f4e6-502b-474e-a807-4ab6ee726216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a157526b-579a-45f9-bcc4-84233a074825}" ma:internalName="TaxCatchAll" ma:showField="CatchAllData" ma:web="80d2f4e6-502b-474e-a807-4ab6ee7262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3F0932-5F82-48F1-B148-B729E49CC6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2A7CBB-7370-4961-B83F-024E2D5E74D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0b26f53-77c6-4f31-b474-1b6c0b689905"/>
    <ds:schemaRef ds:uri="80d2f4e6-502b-474e-a807-4ab6ee726216"/>
  </ds:schemaRefs>
</ds:datastoreItem>
</file>

<file path=customXml/itemProps3.xml><?xml version="1.0" encoding="utf-8"?>
<ds:datastoreItem xmlns:ds="http://schemas.openxmlformats.org/officeDocument/2006/customXml" ds:itemID="{C055EAE2-E510-4F2B-AD7B-12600600649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3F36B29-1F07-45A8-BE73-DC79A0B77D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0b26f53-77c6-4f31-b474-1b6c0b689905"/>
    <ds:schemaRef ds:uri="80d2f4e6-502b-474e-a807-4ab6ee7262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3484</Words>
  <Characters>18814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mODELO DE GOverno</vt:lpstr>
    </vt:vector>
  </TitlesOfParts>
  <Company>Banco Santander Portugal</Company>
  <LinksUpToDate>false</LinksUpToDate>
  <CharactersWithSpaces>22254</CharactersWithSpaces>
  <SharedDoc>false</SharedDoc>
  <HLinks>
    <vt:vector size="90" baseType="variant"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_Toc204348061</vt:lpwstr>
      </vt:variant>
      <vt:variant>
        <vt:i4>1703986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_Toc204348060</vt:lpwstr>
      </vt:variant>
      <vt:variant>
        <vt:i4>1638450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_Toc204348059</vt:lpwstr>
      </vt:variant>
      <vt:variant>
        <vt:i4>1638450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_Toc204348058</vt:lpwstr>
      </vt:variant>
      <vt:variant>
        <vt:i4>1638450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_Toc204348057</vt:lpwstr>
      </vt:variant>
      <vt:variant>
        <vt:i4>1638450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_Toc204348056</vt:lpwstr>
      </vt:variant>
      <vt:variant>
        <vt:i4>1638450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_Toc204348055</vt:lpwstr>
      </vt:variant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_Toc204348054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_Toc204348053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_Toc204348052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_Toc204348051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_Toc204348050</vt:lpwstr>
      </vt:variant>
      <vt:variant>
        <vt:i4>1572914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_Toc204348049</vt:lpwstr>
      </vt:variant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_Toc204348048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_Toc204348047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GOverno</dc:title>
  <dc:subject>FERRAMENTA GRANULAR DE REPORTE (FGR)</dc:subject>
  <dc:creator>Marta Rafaela Teixeira Nunes</dc:creator>
  <cp:keywords/>
  <dc:description/>
  <cp:lastModifiedBy>Joana Rita Bentinho Silva</cp:lastModifiedBy>
  <cp:revision>12</cp:revision>
  <dcterms:created xsi:type="dcterms:W3CDTF">2025-08-08T11:48:00Z</dcterms:created>
  <dcterms:modified xsi:type="dcterms:W3CDTF">2025-08-08T15:57:00Z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2abd79-57a9-4473-8700-c843f76a1e37_Enabled">
    <vt:lpwstr>true</vt:lpwstr>
  </property>
  <property fmtid="{D5CDD505-2E9C-101B-9397-08002B2CF9AE}" pid="3" name="MSIP_Label_0c2abd79-57a9-4473-8700-c843f76a1e37_SetDate">
    <vt:lpwstr>2025-06-23T17:59:37Z</vt:lpwstr>
  </property>
  <property fmtid="{D5CDD505-2E9C-101B-9397-08002B2CF9AE}" pid="4" name="MSIP_Label_0c2abd79-57a9-4473-8700-c843f76a1e37_Method">
    <vt:lpwstr>Privileged</vt:lpwstr>
  </property>
  <property fmtid="{D5CDD505-2E9C-101B-9397-08002B2CF9AE}" pid="5" name="MSIP_Label_0c2abd79-57a9-4473-8700-c843f76a1e37_Name">
    <vt:lpwstr>Internal</vt:lpwstr>
  </property>
  <property fmtid="{D5CDD505-2E9C-101B-9397-08002B2CF9AE}" pid="6" name="MSIP_Label_0c2abd79-57a9-4473-8700-c843f76a1e37_SiteId">
    <vt:lpwstr>35595a02-4d6d-44ac-99e1-f9ab4cd872db</vt:lpwstr>
  </property>
  <property fmtid="{D5CDD505-2E9C-101B-9397-08002B2CF9AE}" pid="7" name="MSIP_Label_0c2abd79-57a9-4473-8700-c843f76a1e37_ActionId">
    <vt:lpwstr>822585aa-bf85-4270-9eaa-febb65c0f28c</vt:lpwstr>
  </property>
  <property fmtid="{D5CDD505-2E9C-101B-9397-08002B2CF9AE}" pid="8" name="MSIP_Label_0c2abd79-57a9-4473-8700-c843f76a1e37_ContentBits">
    <vt:lpwstr>0</vt:lpwstr>
  </property>
  <property fmtid="{D5CDD505-2E9C-101B-9397-08002B2CF9AE}" pid="9" name="MSIP_Label_0c2abd79-57a9-4473-8700-c843f76a1e37_Tag">
    <vt:lpwstr>10, 0, 1, 1</vt:lpwstr>
  </property>
  <property fmtid="{D5CDD505-2E9C-101B-9397-08002B2CF9AE}" pid="10" name="ContentTypeId">
    <vt:lpwstr>0x010100F359A456467CD2488C78C1BFCAE50E3F</vt:lpwstr>
  </property>
  <property fmtid="{D5CDD505-2E9C-101B-9397-08002B2CF9AE}" pid="11" name="MediaServiceImageTags">
    <vt:lpwstr/>
  </property>
</Properties>
</file>