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Pr="00BC1E45" w:rsidRDefault="00A11A88" w:rsidP="00BC1E45">
      <w:pPr>
        <w:pStyle w:val="ListParagraph"/>
        <w:numPr>
          <w:ilvl w:val="0"/>
          <w:numId w:val="15"/>
        </w:numPr>
        <w:rPr>
          <w:lang w:val="en-US"/>
        </w:rPr>
      </w:pPr>
      <w:r>
        <w:rPr>
          <w:lang w:val="en-US"/>
        </w:rPr>
        <w:t>wild-xxx , wild-yyy , …</w:t>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337F38"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337F38"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337F38"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337F38"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337F38"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337F38"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337F38"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337F38"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337F38"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337F38"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337F38"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337F38"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337F38"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337F38"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337F38"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337F38"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37F38"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37F38"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37F38"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337F3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337F3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337F38"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337F38"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337F38"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337F38"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337F38"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337F38"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337F38"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337F38"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337F38"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337F38"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337F38"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337F38"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337F3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337F3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337F3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337F3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337F38"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337F38"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337F38"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337F38"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337F38"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337F38"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337F38"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337F38"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337F38"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337F38"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337F3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337F3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337F3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337F3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337F3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337F3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337F3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337F3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337F3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337F3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337F38"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337F3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337F3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337F3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337F3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337F38"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337F38"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337F3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337F38"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337F38"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337F38"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337F38"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337F3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337F3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337F3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6D03D8">
        <w:tc>
          <w:tcPr>
            <w:tcW w:w="1621" w:type="dxa"/>
          </w:tcPr>
          <w:p w:rsidR="00165514" w:rsidRPr="006449C4" w:rsidRDefault="00165514" w:rsidP="006D03D8">
            <w:pPr>
              <w:rPr>
                <w:b/>
                <w:lang w:val="en-US"/>
              </w:rPr>
            </w:pPr>
            <w:r w:rsidRPr="006449C4">
              <w:rPr>
                <w:b/>
                <w:lang w:val="en-US"/>
              </w:rPr>
              <w:t>Parameter</w:t>
            </w:r>
          </w:p>
        </w:tc>
        <w:tc>
          <w:tcPr>
            <w:tcW w:w="7441" w:type="dxa"/>
          </w:tcPr>
          <w:p w:rsidR="00165514" w:rsidRPr="006449C4" w:rsidRDefault="00165514" w:rsidP="006D03D8">
            <w:pPr>
              <w:rPr>
                <w:b/>
                <w:lang w:val="en-US"/>
              </w:rPr>
            </w:pPr>
            <w:r w:rsidRPr="006449C4">
              <w:rPr>
                <w:b/>
                <w:lang w:val="en-US"/>
              </w:rPr>
              <w:t>Meaning</w:t>
            </w:r>
          </w:p>
        </w:tc>
      </w:tr>
      <w:tr w:rsidR="00165514" w:rsidRPr="00337F38" w:rsidTr="006D03D8">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6D03D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6D03D8">
            <w:pPr>
              <w:rPr>
                <w:lang w:val="en-US"/>
              </w:rPr>
            </w:pPr>
            <w:r>
              <w:rPr>
                <w:lang w:val="en-US"/>
              </w:rPr>
              <w:t>Input items to which the full text query is applied.</w:t>
            </w:r>
          </w:p>
        </w:tc>
      </w:tr>
      <w:tr w:rsidR="00165514" w:rsidRPr="00337F38" w:rsidTr="006D03D8">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6D03D8">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337F38" w:rsidTr="006D03D8">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337F3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337F38"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337F38"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337F38"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337F38"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337F38"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337F38"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337F38"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337F38"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337F38"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337F38"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337F38"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337F38"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337F38"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337F38"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two or more nodes are deep-similar. Deep similarity means that after removing content nodes selected by supplied expressions, the compared nodes are </w:t>
      </w:r>
      <w:hyperlink r:id="rId8" w:anchor="func-deep-equal" w:history="1">
        <w:r w:rsidRPr="00685598">
          <w:rPr>
            <w:rStyle w:val="Hyperlink"/>
            <w:lang w:val="en-US"/>
          </w:rPr>
          <w:t>deep-equal</w:t>
        </w:r>
      </w:hyperlink>
      <w:r>
        <w:rPr>
          <w:lang w:val="en-US"/>
        </w:rPr>
        <w:t xml:space="preserve">. Input nodes can be supplied as nodes or document URIs, which are replaced with the corresponding document node. Atomic input items which cannot be parsed into a document node are silently ignored. </w:t>
      </w:r>
    </w:p>
    <w:p w:rsidR="00376541" w:rsidRDefault="00E0503F" w:rsidP="008F70B1">
      <w:pPr>
        <w:spacing w:after="0"/>
        <w:rPr>
          <w:lang w:val="en-US"/>
        </w:rPr>
      </w:pPr>
      <w:r>
        <w:rPr>
          <w:lang w:val="en-US"/>
        </w:rPr>
        <w:t xml:space="preserve">Checks if two or more nodes have deep-equal content. </w:t>
      </w:r>
      <w:r w:rsidR="00B3104A">
        <w:rPr>
          <w:lang w:val="en-US"/>
        </w:rPr>
        <w:t>Input nodes can be supplied as nodes or document URIs, which are replaced with the corresponding document node. Atomic input items which cannot be parsed into a document node are silently ignored.</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337F38"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337F38"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337F3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337F3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6B4B89"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6B4B89"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6B4B89"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6B4B89"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6B4B89"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B4B8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55554E" w:rsidRDefault="0051067B" w:rsidP="0093549C">
      <w:pPr>
        <w:spacing w:after="0"/>
        <w:rPr>
          <w:lang w:val="es-E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6B4B89"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6B4B89"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6B4B89"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w:t>
            </w:r>
            <w:r>
              <w:rPr>
                <w:lang w:val="en-US"/>
              </w:rPr>
              <w:t>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5B0BE2" w:rsidRDefault="0055554E" w:rsidP="0055554E">
      <w:pPr>
        <w:shd w:val="clear" w:color="auto" w:fill="FFFFFF"/>
        <w:autoSpaceDE w:val="0"/>
        <w:autoSpaceDN w:val="0"/>
        <w:adjustRightInd w:val="0"/>
        <w:spacing w:after="0" w:line="240" w:lineRule="auto"/>
        <w:rPr>
          <w:rFonts w:cstheme="minorHAnsi"/>
          <w:highlight w:val="white"/>
        </w:rPr>
      </w:pPr>
      <w:r w:rsidRPr="0055554E">
        <w:rPr>
          <w:rFonts w:cstheme="minorHAnsi"/>
          <w:highlight w:val="white"/>
          <w:lang w:val="en-US"/>
        </w:rPr>
        <w:lastRenderedPageBreak/>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6B4B89"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6B4B89"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6B4B8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6B4B89"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6B4B89"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6B4B8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Insert into the root element a 'count' attribute containing the number of airports. </w:t>
      </w:r>
    </w:p>
    <w:p w:rsidR="00B9340B" w:rsidRDefault="00F042D6" w:rsidP="00B9340B">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F042D6">
        <w:rPr>
          <w:rFonts w:ascii="Courier New" w:hAnsi="Courier New" w:cs="Courier New"/>
          <w:sz w:val="16"/>
          <w:szCs w:val="16"/>
          <w:highlight w:val="white"/>
          <w:lang w:val="en-US"/>
        </w:rPr>
        <w:t>fox "airports/airports.xml/insert-nodes('\airports', 'count(airport)', '</w:t>
      </w:r>
      <w:r w:rsidR="005B16FA">
        <w:rPr>
          <w:rFonts w:ascii="Courier New" w:hAnsi="Courier New" w:cs="Courier New"/>
          <w:sz w:val="16"/>
          <w:szCs w:val="16"/>
          <w:highlight w:val="white"/>
          <w:lang w:val="en-US"/>
        </w:rPr>
        <w:t>@c</w:t>
      </w:r>
      <w:r w:rsidRPr="00F042D6">
        <w:rPr>
          <w:rFonts w:ascii="Courier New" w:hAnsi="Courier New" w:cs="Courier New"/>
          <w:sz w:val="16"/>
          <w:szCs w:val="16"/>
          <w:highlight w:val="white"/>
          <w:lang w:val="en-US"/>
        </w:rPr>
        <w:t xml:space="preserve">ount')" </w:t>
      </w:r>
      <w:r w:rsidRPr="00F042D6">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after="0" w:line="240" w:lineRule="auto"/>
        <w:rPr>
          <w:rFonts w:cstheme="minorHAnsi"/>
          <w:highlight w:val="white"/>
          <w:lang w:val="en-US"/>
        </w:rPr>
      </w:pPr>
      <w:r w:rsidRPr="00D602F7">
        <w:rPr>
          <w:rFonts w:cstheme="minorHAnsi"/>
          <w:highlight w:val="white"/>
          <w:lang w:val="en-US"/>
        </w:rPr>
        <w:t xml:space="preserve">Augment each 'geo' element with a further child element 'coordinates', containing the latitude </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and longitude rounded to 3 fractional digits.</w:t>
      </w:r>
    </w:p>
    <w:p w:rsidR="00F042D6" w:rsidRPr="00B9340B" w:rsidRDefault="00F042D6" w:rsidP="00B9340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'coordinates')/pretty-node()"                </w:t>
      </w:r>
      <w:r w:rsidRPr="00B9340B">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As the preceding example, but insert new elements as first child of their parent. </w:t>
      </w:r>
    </w:p>
    <w:p w:rsidR="00F042D6" w:rsidRPr="00B9340B" w:rsidRDefault="00F042D6" w:rsidP="00AA05F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 'first')/pretty-node()"                </w:t>
      </w:r>
      <w:r w:rsidRPr="00B9340B">
        <w:rPr>
          <w:rFonts w:ascii="Courier New" w:hAnsi="Courier New" w:cs="Courier New"/>
          <w:sz w:val="16"/>
          <w:szCs w:val="16"/>
          <w:highlight w:val="white"/>
          <w:lang w:val="en-US"/>
        </w:rPr>
        <w:br/>
      </w: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Insert after every 'temporal' element an element 'temporal' containing copies of the child nodes of 'temporal', exception 'dst'.</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'after')/pretty-node()"                </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Chaining t</w:t>
      </w:r>
      <w:r w:rsidR="00590660">
        <w:rPr>
          <w:rFonts w:cstheme="minorHAnsi"/>
          <w:color w:val="000000"/>
          <w:highlight w:val="white"/>
          <w:lang w:val="en-US"/>
        </w:rPr>
        <w:t>w</w:t>
      </w:r>
      <w:r w:rsidRPr="00E7351A">
        <w:rPr>
          <w:rFonts w:cstheme="minorHAnsi"/>
          <w:color w:val="000000"/>
          <w:highlight w:val="white"/>
          <w:lang w:val="en-US"/>
        </w:rPr>
        <w:t>o insertions.</w:t>
      </w:r>
    </w:p>
    <w:p w:rsidR="005A5F30" w:rsidRDefault="00E7351A"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'after')/insert-nodes('\airports', 'count(airport)', 'count', 'att')/pretty-node()"      </w:t>
      </w:r>
    </w:p>
    <w:p w:rsidR="00DD4126" w:rsidRDefault="00DD4126"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D4126" w:rsidRPr="00DD4126" w:rsidRDefault="00DD4126" w:rsidP="00DD4126">
      <w:pPr>
        <w:shd w:val="clear" w:color="auto" w:fill="FFFFFF"/>
        <w:autoSpaceDE w:val="0"/>
        <w:autoSpaceDN w:val="0"/>
        <w:adjustRightInd w:val="0"/>
        <w:spacing w:line="240" w:lineRule="auto"/>
        <w:rPr>
          <w:rFonts w:cstheme="minorHAnsi"/>
          <w:highlight w:val="white"/>
          <w:lang w:val="en-US"/>
        </w:rPr>
      </w:pPr>
      <w:r w:rsidRPr="00DD4126">
        <w:rPr>
          <w:rFonts w:cstheme="minorHAnsi"/>
          <w:color w:val="000000"/>
          <w:highlight w:val="white"/>
          <w:lang w:val="en-US"/>
        </w:rPr>
        <w:t>Processing a set of documents, chaining two insertions.</w:t>
      </w:r>
    </w:p>
    <w:p w:rsidR="005A5F30" w:rsidRPr="005A5F30" w:rsidRDefault="005A5F30" w:rsidP="005A5F3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F30">
        <w:rPr>
          <w:rFonts w:ascii="Courier New" w:hAnsi="Courier New" w:cs="Courier New"/>
          <w:color w:val="000000"/>
          <w:sz w:val="16"/>
          <w:szCs w:val="16"/>
          <w:highlight w:val="white"/>
          <w:lang w:val="en-US"/>
        </w:rPr>
        <w:t>fox "(airports/*.xml =&gt; insert-nodes-ec('\\temporal', '* except dst', 'temporal2', 'after') =&gt; insert-nodes-ec('\airports', 'count(airport)', '@count'))/pretty-node()"</w:t>
      </w:r>
    </w:p>
    <w:p w:rsidR="00CB44E1" w:rsidRDefault="00E7351A" w:rsidP="00B01029">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E7351A">
        <w:rPr>
          <w:rFonts w:ascii="Courier New" w:hAnsi="Courier New" w:cs="Courier New"/>
          <w:color w:val="000000"/>
          <w:sz w:val="16"/>
          <w:szCs w:val="16"/>
          <w:highlight w:val="white"/>
          <w:lang w:val="en-US"/>
        </w:rPr>
        <w:t xml:space="preserve">          </w:t>
      </w:r>
      <w:r w:rsidRPr="00E7351A">
        <w:rPr>
          <w:rFonts w:ascii="Courier New" w:hAnsi="Courier New" w:cs="Courier New"/>
          <w:color w:val="000000"/>
          <w:sz w:val="16"/>
          <w:szCs w:val="16"/>
          <w:highlight w:val="white"/>
          <w:lang w:val="en-US"/>
        </w:rPr>
        <w:br/>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6B4B89"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bookmarkStart w:id="17" w:name="_GoBack"/>
      <w:r w:rsidR="00C82131" w:rsidRPr="004E45EE">
        <w:rPr>
          <w:rFonts w:ascii="Courier New" w:hAnsi="Courier New" w:cs="Courier New"/>
          <w:sz w:val="18"/>
          <w:szCs w:val="18"/>
          <w:highlight w:val="white"/>
          <w:lang w:val="en-US"/>
        </w:rPr>
        <w:t>@xml:base</w:t>
      </w:r>
      <w:bookmarkEnd w:id="17"/>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write-docs('output')"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write-docs('output')"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6B4B89"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6B4B89"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6B4B89"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6B4B89"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6D03D8">
        <w:tc>
          <w:tcPr>
            <w:tcW w:w="2161" w:type="dxa"/>
          </w:tcPr>
          <w:p w:rsidR="004244F2" w:rsidRPr="006449C4" w:rsidRDefault="004244F2" w:rsidP="006D03D8">
            <w:pPr>
              <w:rPr>
                <w:b/>
                <w:lang w:val="en-US"/>
              </w:rPr>
            </w:pPr>
            <w:r w:rsidRPr="006449C4">
              <w:rPr>
                <w:b/>
                <w:lang w:val="en-US"/>
              </w:rPr>
              <w:t>Parameter</w:t>
            </w:r>
          </w:p>
        </w:tc>
        <w:tc>
          <w:tcPr>
            <w:tcW w:w="6901" w:type="dxa"/>
          </w:tcPr>
          <w:p w:rsidR="004244F2" w:rsidRPr="006449C4" w:rsidRDefault="004244F2" w:rsidP="006D03D8">
            <w:pPr>
              <w:rPr>
                <w:b/>
                <w:lang w:val="en-US"/>
              </w:rPr>
            </w:pPr>
            <w:r w:rsidRPr="006449C4">
              <w:rPr>
                <w:b/>
                <w:lang w:val="en-US"/>
              </w:rPr>
              <w:t>Meaning</w:t>
            </w:r>
          </w:p>
        </w:tc>
      </w:tr>
      <w:tr w:rsidR="004244F2" w:rsidRPr="006B4B89" w:rsidTr="006D03D8">
        <w:tc>
          <w:tcPr>
            <w:tcW w:w="2161" w:type="dxa"/>
          </w:tcPr>
          <w:p w:rsidR="004244F2" w:rsidRPr="00F244E5" w:rsidRDefault="004244F2" w:rsidP="006D03D8">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6D03D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6D03D8">
            <w:pPr>
              <w:rPr>
                <w:lang w:val="en-US"/>
              </w:rPr>
            </w:pPr>
            <w:r>
              <w:rPr>
                <w:lang w:val="en-US"/>
              </w:rPr>
              <w:t>The input documents, provided as document URI or as a node from its content.</w:t>
            </w:r>
          </w:p>
        </w:tc>
      </w:tr>
      <w:tr w:rsidR="004244F2" w:rsidRPr="006B4B89" w:rsidTr="006D03D8">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6B4B89" w:rsidTr="006D03D8">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6B4B89" w:rsidTr="006D03D8">
        <w:tc>
          <w:tcPr>
            <w:tcW w:w="2161" w:type="dxa"/>
          </w:tcPr>
          <w:p w:rsidR="004244F2" w:rsidRDefault="004244F2" w:rsidP="006D03D8">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6D03D8">
            <w:pPr>
              <w:rPr>
                <w:lang w:val="en-US"/>
              </w:rPr>
            </w:pPr>
            <w:r>
              <w:rPr>
                <w:lang w:val="en-US"/>
              </w:rPr>
              <w:t>Options controling details of function behaviour.</w:t>
            </w:r>
          </w:p>
          <w:p w:rsidR="004244F2" w:rsidRDefault="004244F2" w:rsidP="006D03D8">
            <w:pPr>
              <w:rPr>
                <w:lang w:val="en-US"/>
              </w:rPr>
            </w:pPr>
          </w:p>
          <w:p w:rsidR="004244F2" w:rsidRDefault="004244F2" w:rsidP="006D03D8">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344888" w:rsidRPr="001E6980" w:rsidRDefault="00344888" w:rsidP="00344888">
      <w:pPr>
        <w:pStyle w:val="Heading2"/>
        <w:spacing w:after="160"/>
        <w:rPr>
          <w:lang w:val="en-US"/>
        </w:rPr>
      </w:pPr>
      <w:r>
        <w:rPr>
          <w:lang w:val="en-US"/>
        </w:rPr>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6B4B89"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6B4B89"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6B4B8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6B4B8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lastRenderedPageBreak/>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6B4B89"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6B4B89"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6B4B89"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6B4B89"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6B4B89"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6B4B89"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6B4B89"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6B4B89"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6B4B89"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6B4B89"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6B4B89"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6B4B89"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6B4B89"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6B4B89"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6B4B89"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6B4B89"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6B4B89"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6B4B89"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6B4B89"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9"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6B4B8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6B4B8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6B4B89"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6B4B89"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6B4B89"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6B4B89"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6B4B89"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6B4B89"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6B4B89"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6B4B89"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6B4B89"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6B4B89"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6B4B89"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6B4B89"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6B4B89"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6B4B89"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6B4B89"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6B4B89"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6B4B89"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6B4B8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6B4B8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6B4B89"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6B4B89"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6B4B89"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6B4B89"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6B4B89"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2EF4"/>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4E7"/>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3277"/>
    <w:rsid w:val="0037423B"/>
    <w:rsid w:val="003742CA"/>
    <w:rsid w:val="00374827"/>
    <w:rsid w:val="00374BC9"/>
    <w:rsid w:val="00376541"/>
    <w:rsid w:val="003765F6"/>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717"/>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F16"/>
    <w:rsid w:val="00402E78"/>
    <w:rsid w:val="00403D86"/>
    <w:rsid w:val="0040438F"/>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4F2"/>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908"/>
    <w:rsid w:val="00433FFE"/>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1FF"/>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C2A"/>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B89"/>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716"/>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E8D"/>
    <w:rsid w:val="007E0B79"/>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557A"/>
    <w:rsid w:val="00835A31"/>
    <w:rsid w:val="008362F0"/>
    <w:rsid w:val="00837843"/>
    <w:rsid w:val="00837B02"/>
    <w:rsid w:val="00840928"/>
    <w:rsid w:val="00840B5C"/>
    <w:rsid w:val="00840E4E"/>
    <w:rsid w:val="00841C40"/>
    <w:rsid w:val="00845088"/>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275"/>
    <w:rsid w:val="00860B2B"/>
    <w:rsid w:val="00860EBA"/>
    <w:rsid w:val="00861ED7"/>
    <w:rsid w:val="0086288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C0"/>
    <w:rsid w:val="008B1CD7"/>
    <w:rsid w:val="008B294C"/>
    <w:rsid w:val="008B3838"/>
    <w:rsid w:val="008B406F"/>
    <w:rsid w:val="008B42F3"/>
    <w:rsid w:val="008B4A6E"/>
    <w:rsid w:val="008B5658"/>
    <w:rsid w:val="008B5E02"/>
    <w:rsid w:val="008B6099"/>
    <w:rsid w:val="008B6458"/>
    <w:rsid w:val="008B64CA"/>
    <w:rsid w:val="008B6A4C"/>
    <w:rsid w:val="008C01AA"/>
    <w:rsid w:val="008C06E1"/>
    <w:rsid w:val="008C1DAD"/>
    <w:rsid w:val="008C259C"/>
    <w:rsid w:val="008C268D"/>
    <w:rsid w:val="008C28BC"/>
    <w:rsid w:val="008C28EF"/>
    <w:rsid w:val="008C314A"/>
    <w:rsid w:val="008C3535"/>
    <w:rsid w:val="008C3C4A"/>
    <w:rsid w:val="008C3FC2"/>
    <w:rsid w:val="008C4BA4"/>
    <w:rsid w:val="008C54AE"/>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5A11"/>
    <w:rsid w:val="00906DB4"/>
    <w:rsid w:val="009077C6"/>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5BC4"/>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3454"/>
    <w:rsid w:val="00A141B1"/>
    <w:rsid w:val="00A1499E"/>
    <w:rsid w:val="00A15DDB"/>
    <w:rsid w:val="00A162D8"/>
    <w:rsid w:val="00A16575"/>
    <w:rsid w:val="00A17270"/>
    <w:rsid w:val="00A174FD"/>
    <w:rsid w:val="00A17898"/>
    <w:rsid w:val="00A20047"/>
    <w:rsid w:val="00A20995"/>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D17"/>
    <w:rsid w:val="00A752A3"/>
    <w:rsid w:val="00A75BC2"/>
    <w:rsid w:val="00A77C19"/>
    <w:rsid w:val="00A80335"/>
    <w:rsid w:val="00A81EDF"/>
    <w:rsid w:val="00A82C6C"/>
    <w:rsid w:val="00A82FCE"/>
    <w:rsid w:val="00A83130"/>
    <w:rsid w:val="00A839AD"/>
    <w:rsid w:val="00A84318"/>
    <w:rsid w:val="00A846C2"/>
    <w:rsid w:val="00A856C1"/>
    <w:rsid w:val="00A85F82"/>
    <w:rsid w:val="00A86575"/>
    <w:rsid w:val="00A8662D"/>
    <w:rsid w:val="00A87B76"/>
    <w:rsid w:val="00A9077F"/>
    <w:rsid w:val="00A9122D"/>
    <w:rsid w:val="00A91F12"/>
    <w:rsid w:val="00A91FC7"/>
    <w:rsid w:val="00A921DD"/>
    <w:rsid w:val="00A92E3C"/>
    <w:rsid w:val="00A94037"/>
    <w:rsid w:val="00A94848"/>
    <w:rsid w:val="00A94DC7"/>
    <w:rsid w:val="00A95002"/>
    <w:rsid w:val="00A95380"/>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1E4"/>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07A"/>
    <w:rsid w:val="00AF44CE"/>
    <w:rsid w:val="00AF461F"/>
    <w:rsid w:val="00AF4DA5"/>
    <w:rsid w:val="00AF4DFE"/>
    <w:rsid w:val="00AF4E8C"/>
    <w:rsid w:val="00AF54F1"/>
    <w:rsid w:val="00AF56A9"/>
    <w:rsid w:val="00AF5BF2"/>
    <w:rsid w:val="00AF6CCF"/>
    <w:rsid w:val="00AF6D45"/>
    <w:rsid w:val="00B000CF"/>
    <w:rsid w:val="00B00F8D"/>
    <w:rsid w:val="00B01029"/>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04A"/>
    <w:rsid w:val="00B31472"/>
    <w:rsid w:val="00B3154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46E46"/>
    <w:rsid w:val="00B5051D"/>
    <w:rsid w:val="00B505F0"/>
    <w:rsid w:val="00B507F5"/>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2FE7"/>
    <w:rsid w:val="00BE3141"/>
    <w:rsid w:val="00BE3271"/>
    <w:rsid w:val="00BE35A9"/>
    <w:rsid w:val="00BE3C1A"/>
    <w:rsid w:val="00BE3CD4"/>
    <w:rsid w:val="00BE48F1"/>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3E56"/>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90"/>
    <w:rsid w:val="00C923BD"/>
    <w:rsid w:val="00C92529"/>
    <w:rsid w:val="00C92A3B"/>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999"/>
    <w:rsid w:val="00CD2BB1"/>
    <w:rsid w:val="00CD2D02"/>
    <w:rsid w:val="00CD32A0"/>
    <w:rsid w:val="00CD3556"/>
    <w:rsid w:val="00CD3BDB"/>
    <w:rsid w:val="00CD4704"/>
    <w:rsid w:val="00CD4CC0"/>
    <w:rsid w:val="00CD4E2F"/>
    <w:rsid w:val="00CD4F94"/>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A78"/>
    <w:rsid w:val="00D35DFB"/>
    <w:rsid w:val="00D366EA"/>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1AB4"/>
    <w:rsid w:val="00DD2FE8"/>
    <w:rsid w:val="00DD3196"/>
    <w:rsid w:val="00DD31B9"/>
    <w:rsid w:val="00DD3E25"/>
    <w:rsid w:val="00DD4126"/>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12C"/>
    <w:rsid w:val="00E1072C"/>
    <w:rsid w:val="00E10B6D"/>
    <w:rsid w:val="00E117D6"/>
    <w:rsid w:val="00E12AC2"/>
    <w:rsid w:val="00E12E74"/>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4653"/>
    <w:rsid w:val="00E7570C"/>
    <w:rsid w:val="00E76786"/>
    <w:rsid w:val="00E768BE"/>
    <w:rsid w:val="00E769B4"/>
    <w:rsid w:val="00E76E25"/>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90F1-148B-4194-8CDC-83F297B75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226</Pages>
  <Words>28908</Words>
  <Characters>182121</Characters>
  <Application>Microsoft Office Word</Application>
  <DocSecurity>0</DocSecurity>
  <Lines>1517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8344</cp:revision>
  <dcterms:created xsi:type="dcterms:W3CDTF">2022-01-12T18:50:00Z</dcterms:created>
  <dcterms:modified xsi:type="dcterms:W3CDTF">2022-09-08T13:08:00Z</dcterms:modified>
</cp:coreProperties>
</file>