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E2045"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E2045"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E204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E2045"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E2045"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E2045"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E2045"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E2045"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E2045"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E2045"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E2045"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E2045"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E2045"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E204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E204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E2045"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E2045"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E2045"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E2045"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E204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E2045"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E2045"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E204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E2045"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E2045"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E204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E2045"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E2045"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E204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E204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E204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E204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E204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E204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E204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E204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E204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E204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E204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E204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E204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204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204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204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E2045"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E2045"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E204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E204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E204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E204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E204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E204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E204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E204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E204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E204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E204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E204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E204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E204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E204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E204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E204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E204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E2045"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E204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E204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E204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E204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E2045"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E2045"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E2045"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E2045"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E2045"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E204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E204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E2045"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E2045"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E2045"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E2045"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E2045"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E2045"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E204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E204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E204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E204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E204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E2045"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Pr>
          <w:lang w:val="en-US"/>
        </w:rPr>
        <w:t>-flow</w:t>
      </w:r>
      <w:r>
        <w:rPr>
          <w:lang w:val="en-US"/>
        </w:rPr>
        <w:t xml:space="preserve"> (</w:t>
      </w:r>
      <w:r>
        <w:rPr>
          <w:lang w:val="en-US"/>
        </w:rPr>
        <w:t>child-lname-flow, child-jname-flow, *-ec</w:t>
      </w:r>
      <w:r>
        <w:rPr>
          <w:lang w:val="en-US"/>
        </w:rPr>
        <w:t>)</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8608BD">
        <w:tc>
          <w:tcPr>
            <w:tcW w:w="2161" w:type="dxa"/>
          </w:tcPr>
          <w:p w:rsidR="008E2045" w:rsidRPr="006449C4" w:rsidRDefault="008E2045" w:rsidP="008608BD">
            <w:pPr>
              <w:rPr>
                <w:b/>
                <w:lang w:val="en-US"/>
              </w:rPr>
            </w:pPr>
            <w:r w:rsidRPr="006449C4">
              <w:rPr>
                <w:b/>
                <w:lang w:val="en-US"/>
              </w:rPr>
              <w:t>Parameter</w:t>
            </w:r>
          </w:p>
        </w:tc>
        <w:tc>
          <w:tcPr>
            <w:tcW w:w="6901" w:type="dxa"/>
          </w:tcPr>
          <w:p w:rsidR="008E2045" w:rsidRPr="006449C4" w:rsidRDefault="008E2045" w:rsidP="008608BD">
            <w:pPr>
              <w:rPr>
                <w:b/>
                <w:lang w:val="en-US"/>
              </w:rPr>
            </w:pPr>
            <w:r w:rsidRPr="006449C4">
              <w:rPr>
                <w:b/>
                <w:lang w:val="en-US"/>
              </w:rPr>
              <w:t>Meaning</w:t>
            </w:r>
          </w:p>
        </w:tc>
      </w:tr>
      <w:tr w:rsidR="008E2045" w:rsidRPr="008E2045" w:rsidTr="008608BD">
        <w:tc>
          <w:tcPr>
            <w:tcW w:w="2161" w:type="dxa"/>
          </w:tcPr>
          <w:p w:rsidR="008E2045" w:rsidRPr="00F244E5" w:rsidRDefault="008E2045" w:rsidP="008608BD">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8608BD">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8E2045" w:rsidTr="008608BD">
        <w:tc>
          <w:tcPr>
            <w:tcW w:w="2161" w:type="dxa"/>
          </w:tcPr>
          <w:p w:rsidR="008E2045" w:rsidRDefault="008E2045" w:rsidP="008608BD">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8608BD">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8608BD">
        <w:tc>
          <w:tcPr>
            <w:tcW w:w="2161" w:type="dxa"/>
          </w:tcPr>
          <w:p w:rsidR="008E2045" w:rsidRDefault="008E2045" w:rsidP="008608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8608BD">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bookmarkStart w:id="16" w:name="_GoBack"/>
      <w:bookmarkEnd w:id="16"/>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E204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E204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E204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E204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E204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E204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E204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E204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E204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E204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E204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E204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E204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E204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E204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8E2045"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8E2045"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8E2045"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8E2045"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8E2045"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8E2045"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8E2045"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8E2045"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8E2045"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8E2045"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8E2045"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E204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E2045"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E2045"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E2045"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8E2045"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8E2045"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E204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E204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E204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E204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E204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657100" w:rsidRPr="00BD04E8" w:rsidRDefault="00657100" w:rsidP="00657100">
      <w:pPr>
        <w:pStyle w:val="Heading2"/>
        <w:spacing w:after="160"/>
        <w:rPr>
          <w:rFonts w:cstheme="majorHAnsi"/>
          <w:sz w:val="18"/>
          <w:szCs w:val="18"/>
          <w:lang w:val="en-US"/>
        </w:rPr>
      </w:pPr>
      <w:r w:rsidRPr="00BD04E8">
        <w:rPr>
          <w:rFonts w:cstheme="majorHAnsi"/>
          <w:lang w:val="en-US"/>
        </w:rPr>
        <w:lastRenderedPageBreak/>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E2045"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E2045"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E2045"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E204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E204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E2045"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E204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E2045"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E2045"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E204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E204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E204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E204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E204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E204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E204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E204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E2045"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E204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E204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E204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E204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E204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E204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E204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E204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E204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204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E204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E204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E2045"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E2045"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E2045"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E2045"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204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204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E2045"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E204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E204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E2045"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E204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E2045"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E2045"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E204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E2045"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E2045"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E204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E2045"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8E2045"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8E2045"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8E2045"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8E2045"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E2045"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E2045"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E2045"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E2045"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E2045"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E2045"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E2045"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E2045"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E2045"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E2045"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E2045"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E204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E204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E204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E204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E204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E204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8E204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E2045"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E2045"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E2045"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E204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E204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E204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E204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8E204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E204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E204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E204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E204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E204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572114">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572114">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8E2045"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8E2045"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572114">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8E2045" w:rsidTr="00830EB5">
        <w:tc>
          <w:tcPr>
            <w:tcW w:w="2053" w:type="dxa"/>
          </w:tcPr>
          <w:p w:rsidR="00BD4303" w:rsidRDefault="00F148EB" w:rsidP="00572114">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572114">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572114">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572114">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572114">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572114">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8E2045" w:rsidTr="00830EB5">
        <w:tc>
          <w:tcPr>
            <w:tcW w:w="2053" w:type="dxa"/>
          </w:tcPr>
          <w:p w:rsidR="00110A37" w:rsidRDefault="00A00763" w:rsidP="00572114">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572114">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8E2045" w:rsidTr="00830EB5">
        <w:tc>
          <w:tcPr>
            <w:tcW w:w="2053" w:type="dxa"/>
          </w:tcPr>
          <w:p w:rsidR="009F252D" w:rsidRDefault="009F252D" w:rsidP="00572114">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572114">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572114">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E204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E204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E2045"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E2045"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E2045"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E204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E204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E2045"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E204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E204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E204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E2045"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E2045"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E204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E204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E204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E204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E204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E204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E204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E2045"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E2045"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E2045"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E2045"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E2045"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E2045"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E2045"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E204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E204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E204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E204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E2045"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E2045"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E2045"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2D2F"/>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35DF"/>
    <w:rsid w:val="00123FFD"/>
    <w:rsid w:val="00124040"/>
    <w:rsid w:val="0012416F"/>
    <w:rsid w:val="00124557"/>
    <w:rsid w:val="00124566"/>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47F9A"/>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8F8"/>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E68"/>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A89"/>
    <w:rsid w:val="00B22D14"/>
    <w:rsid w:val="00B2325F"/>
    <w:rsid w:val="00B233E1"/>
    <w:rsid w:val="00B23451"/>
    <w:rsid w:val="00B2369C"/>
    <w:rsid w:val="00B238B9"/>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BDB"/>
    <w:rsid w:val="00C95CFD"/>
    <w:rsid w:val="00C96336"/>
    <w:rsid w:val="00C96590"/>
    <w:rsid w:val="00C9697E"/>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681"/>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5B4D-E0AD-49CA-A0B5-860C37B6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281</Pages>
  <Words>40572</Words>
  <Characters>255610</Characters>
  <Application>Microsoft Office Word</Application>
  <DocSecurity>0</DocSecurity>
  <Lines>2130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11474</cp:revision>
  <dcterms:created xsi:type="dcterms:W3CDTF">2022-01-12T18:50:00Z</dcterms:created>
  <dcterms:modified xsi:type="dcterms:W3CDTF">2025-05-27T17:19:00Z</dcterms:modified>
</cp:coreProperties>
</file>