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E72BB7">
      <w:pPr>
        <w:pStyle w:val="Heading2"/>
        <w:spacing w:after="160"/>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FB797D" w:rsidTr="00DA2216">
        <w:tc>
          <w:tcPr>
            <w:tcW w:w="1696" w:type="dxa"/>
            <w:vMerge w:val="restart"/>
          </w:tcPr>
          <w:p w:rsidR="009B3F4E" w:rsidRDefault="009B3F4E" w:rsidP="004D767F">
            <w:pPr>
              <w:rPr>
                <w:lang w:val="en-US"/>
              </w:rPr>
            </w:pPr>
            <w:r>
              <w:rPr>
                <w:lang w:val="en-US"/>
              </w:rPr>
              <w:lastRenderedPageBreak/>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FB797D"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FB797D"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An item returned by @expr1* (*=FOX|XP|LP); may be a node or an atom</w:t>
            </w:r>
          </w:p>
        </w:tc>
        <w:tc>
          <w:tcPr>
            <w:tcW w:w="2593" w:type="dxa"/>
          </w:tcPr>
          <w:p w:rsidR="007462CE" w:rsidRDefault="007462CE" w:rsidP="00D41E41">
            <w:pPr>
              <w:rPr>
                <w:lang w:val="en-US"/>
              </w:rPr>
            </w:pPr>
            <w:r>
              <w:rPr>
                <w:lang w:val="en-US"/>
              </w:rPr>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 xml:space="preserve">Link context item (a content </w:t>
            </w:r>
            <w:r>
              <w:rPr>
                <w:lang w:val="en-US"/>
              </w:rPr>
              <w:lastRenderedPageBreak/>
              <w:t>node, the root node or the URI)</w:t>
            </w:r>
          </w:p>
        </w:tc>
        <w:tc>
          <w:tcPr>
            <w:tcW w:w="2593" w:type="dxa"/>
          </w:tcPr>
          <w:p w:rsidR="007462CE" w:rsidRDefault="007462CE" w:rsidP="00B252C5">
            <w:pPr>
              <w:rPr>
                <w:lang w:val="en-US"/>
              </w:rPr>
            </w:pPr>
            <w:r>
              <w:rPr>
                <w:lang w:val="en-US"/>
              </w:rPr>
              <w:lastRenderedPageBreak/>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FB797D"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lastRenderedPageBreak/>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FB797D"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lastRenderedPageBreak/>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lastRenderedPageBreak/>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lastRenderedPageBreak/>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lastRenderedPageBreak/>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w:t>
      </w:r>
      <w:r w:rsidR="004E0348">
        <w:rPr>
          <w:lang w:val="en-US"/>
        </w:rPr>
        <w:lastRenderedPageBreak/>
        <w:t xml:space="preserve">(@targetXP).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FB797D"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FB797D"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FB797D"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FB797D"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lastRenderedPageBreak/>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FB797D"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FB797D"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FB797D"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FB797D"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644476" w:rsidRDefault="00644476" w:rsidP="00DA78E7">
      <w:pPr>
        <w:pStyle w:val="Heading4"/>
        <w:spacing w:after="160"/>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lastRenderedPageBreak/>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FB797D"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FB797D"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FB797D"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FB797D"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FB797D"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FB797D"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FB797D"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FB030C">
            <w:pPr>
              <w:rPr>
                <w:lang w:val="en-US"/>
              </w:rPr>
            </w:pPr>
            <w:r>
              <w:rPr>
                <w:lang w:val="en-US"/>
              </w:rPr>
              <w:t>T</w:t>
            </w:r>
            <w:r w:rsidR="00CC6666">
              <w:rPr>
                <w:lang w:val="en-US"/>
              </w:rPr>
              <w:t>he number of target resources per context resource fragment</w:t>
            </w:r>
            <w:r w:rsidR="006B621D">
              <w:rPr>
                <w:lang w:val="en-US"/>
              </w:rPr>
              <w:t xml:space="preserve"> (or </w:t>
            </w:r>
            <w:r w:rsidR="00E7304B">
              <w:rPr>
                <w:lang w:val="en-US"/>
              </w:rPr>
              <w:t xml:space="preserve">the </w:t>
            </w:r>
            <w:r w:rsidR="006B621D">
              <w:rPr>
                <w:lang w:val="en-US"/>
              </w:rPr>
              <w:t>total</w:t>
            </w:r>
            <w:r w:rsidR="0021273A">
              <w:rPr>
                <w:lang w:val="en-US"/>
              </w:rPr>
              <w:t xml:space="preserve"> number</w:t>
            </w:r>
            <w:r w:rsidR="00E7304B">
              <w:rPr>
                <w:lang w:val="en-US"/>
              </w:rPr>
              <w:t xml:space="preserve"> o</w:t>
            </w:r>
            <w:r w:rsidR="00FB030C">
              <w:rPr>
                <w:lang w:val="en-US"/>
              </w:rPr>
              <w:t>f</w:t>
            </w:r>
            <w:bookmarkStart w:id="6" w:name="_GoBack"/>
            <w:bookmarkEnd w:id="6"/>
            <w:r w:rsidR="00E7304B">
              <w:rPr>
                <w:lang w:val="en-US"/>
              </w:rPr>
              <w:t xml:space="preserve"> target resources</w:t>
            </w:r>
            <w:r w:rsidR="0021273A">
              <w:rPr>
                <w:lang w:val="en-US"/>
              </w:rPr>
              <w:t>, if no context selector</w:t>
            </w:r>
            <w:r w:rsidR="000C2E9A">
              <w:rPr>
                <w:lang w:val="en-US"/>
              </w:rPr>
              <w:t xml:space="preserve"> has been defined</w:t>
            </w:r>
            <w:r w:rsidR="0021273A">
              <w:rPr>
                <w:lang w:val="en-US"/>
              </w:rPr>
              <w:t>)</w:t>
            </w:r>
          </w:p>
        </w:tc>
      </w:tr>
      <w:tr w:rsidR="004B46AF" w:rsidRPr="00FB797D"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FB797D"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r w:rsidR="000C2E9A">
              <w:rPr>
                <w:lang w:val="en-US"/>
              </w:rPr>
              <w:t xml:space="preserve"> (or </w:t>
            </w:r>
            <w:r w:rsidR="0064082C">
              <w:rPr>
                <w:lang w:val="en-US"/>
              </w:rPr>
              <w:t xml:space="preserve">the </w:t>
            </w:r>
            <w:r w:rsidR="000C2E9A">
              <w:rPr>
                <w:lang w:val="en-US"/>
              </w:rPr>
              <w:t>total number, if no context selector has been defined)</w:t>
            </w:r>
          </w:p>
        </w:tc>
      </w:tr>
      <w:tr w:rsidR="004B46AF" w:rsidRPr="00FB797D"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FB797D" w:rsidTr="00860E66">
        <w:tc>
          <w:tcPr>
            <w:tcW w:w="3964" w:type="dxa"/>
          </w:tcPr>
          <w:p w:rsidR="004B46AF" w:rsidRDefault="004B46AF" w:rsidP="00805898">
            <w:pPr>
              <w:rPr>
                <w:lang w:val="en-US"/>
              </w:rPr>
            </w:pPr>
            <w:r>
              <w:rPr>
                <w:lang w:val="en-US"/>
              </w:rPr>
              <w:lastRenderedPageBreak/>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r w:rsidR="001B0F70">
              <w:rPr>
                <w:lang w:val="en-US"/>
              </w:rPr>
              <w:t xml:space="preserve"> (or the total number,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lastRenderedPageBreak/>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FB797D"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lastRenderedPageBreak/>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lastRenderedPageBreak/>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615"/>
    <w:rsid w:val="00043743"/>
    <w:rsid w:val="000465BF"/>
    <w:rsid w:val="00046EA2"/>
    <w:rsid w:val="00047D07"/>
    <w:rsid w:val="000505C4"/>
    <w:rsid w:val="000508A2"/>
    <w:rsid w:val="00051B0A"/>
    <w:rsid w:val="0005267A"/>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6577"/>
    <w:rsid w:val="0007687D"/>
    <w:rsid w:val="00076FB0"/>
    <w:rsid w:val="000777EA"/>
    <w:rsid w:val="000803D0"/>
    <w:rsid w:val="000813E3"/>
    <w:rsid w:val="0008253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7256"/>
    <w:rsid w:val="000A0667"/>
    <w:rsid w:val="000A182C"/>
    <w:rsid w:val="000A18EF"/>
    <w:rsid w:val="000A1EF2"/>
    <w:rsid w:val="000A226E"/>
    <w:rsid w:val="000A5719"/>
    <w:rsid w:val="000A64A9"/>
    <w:rsid w:val="000A662C"/>
    <w:rsid w:val="000A702D"/>
    <w:rsid w:val="000A7BCD"/>
    <w:rsid w:val="000B1406"/>
    <w:rsid w:val="000B4FE9"/>
    <w:rsid w:val="000B65E4"/>
    <w:rsid w:val="000B6A87"/>
    <w:rsid w:val="000C0F02"/>
    <w:rsid w:val="000C1B73"/>
    <w:rsid w:val="000C2034"/>
    <w:rsid w:val="000C2E9A"/>
    <w:rsid w:val="000C3862"/>
    <w:rsid w:val="000C5493"/>
    <w:rsid w:val="000C5868"/>
    <w:rsid w:val="000D1603"/>
    <w:rsid w:val="000D173E"/>
    <w:rsid w:val="000D2E2E"/>
    <w:rsid w:val="000E00F2"/>
    <w:rsid w:val="000E05ED"/>
    <w:rsid w:val="000E2F7F"/>
    <w:rsid w:val="000E2FCB"/>
    <w:rsid w:val="000E3161"/>
    <w:rsid w:val="000E3EE0"/>
    <w:rsid w:val="000E574A"/>
    <w:rsid w:val="000E5FAC"/>
    <w:rsid w:val="000E71AC"/>
    <w:rsid w:val="000E75F5"/>
    <w:rsid w:val="000E77FE"/>
    <w:rsid w:val="000F1C63"/>
    <w:rsid w:val="000F26F2"/>
    <w:rsid w:val="000F45C8"/>
    <w:rsid w:val="000F4AC0"/>
    <w:rsid w:val="000F6D21"/>
    <w:rsid w:val="000F6F20"/>
    <w:rsid w:val="000F763F"/>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659A"/>
    <w:rsid w:val="0013682A"/>
    <w:rsid w:val="00136AB0"/>
    <w:rsid w:val="00136EE6"/>
    <w:rsid w:val="0013711B"/>
    <w:rsid w:val="00137B22"/>
    <w:rsid w:val="00140343"/>
    <w:rsid w:val="0014091E"/>
    <w:rsid w:val="00144078"/>
    <w:rsid w:val="0014545E"/>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7D72"/>
    <w:rsid w:val="001810A5"/>
    <w:rsid w:val="00181D9E"/>
    <w:rsid w:val="00182BFA"/>
    <w:rsid w:val="001835EB"/>
    <w:rsid w:val="00186685"/>
    <w:rsid w:val="00190482"/>
    <w:rsid w:val="00190E09"/>
    <w:rsid w:val="00194580"/>
    <w:rsid w:val="001947B6"/>
    <w:rsid w:val="00194F82"/>
    <w:rsid w:val="00196400"/>
    <w:rsid w:val="001970BD"/>
    <w:rsid w:val="001974AB"/>
    <w:rsid w:val="001A0B70"/>
    <w:rsid w:val="001A0ED3"/>
    <w:rsid w:val="001A233B"/>
    <w:rsid w:val="001A4142"/>
    <w:rsid w:val="001A5211"/>
    <w:rsid w:val="001A66F2"/>
    <w:rsid w:val="001A6A20"/>
    <w:rsid w:val="001A7889"/>
    <w:rsid w:val="001B0F70"/>
    <w:rsid w:val="001B1312"/>
    <w:rsid w:val="001B33C6"/>
    <w:rsid w:val="001B4ABB"/>
    <w:rsid w:val="001B4B08"/>
    <w:rsid w:val="001C059C"/>
    <w:rsid w:val="001C1AD4"/>
    <w:rsid w:val="001C2750"/>
    <w:rsid w:val="001C2F6F"/>
    <w:rsid w:val="001C3DF5"/>
    <w:rsid w:val="001C6739"/>
    <w:rsid w:val="001C743C"/>
    <w:rsid w:val="001C7568"/>
    <w:rsid w:val="001D006C"/>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67E"/>
    <w:rsid w:val="001F5788"/>
    <w:rsid w:val="002022E6"/>
    <w:rsid w:val="00202514"/>
    <w:rsid w:val="00206BA9"/>
    <w:rsid w:val="00207BFE"/>
    <w:rsid w:val="0021036C"/>
    <w:rsid w:val="0021102D"/>
    <w:rsid w:val="00211890"/>
    <w:rsid w:val="00212423"/>
    <w:rsid w:val="0021273A"/>
    <w:rsid w:val="00212F6E"/>
    <w:rsid w:val="00213265"/>
    <w:rsid w:val="002154A2"/>
    <w:rsid w:val="002155E3"/>
    <w:rsid w:val="0021636E"/>
    <w:rsid w:val="00220D14"/>
    <w:rsid w:val="00221073"/>
    <w:rsid w:val="00222278"/>
    <w:rsid w:val="0022426A"/>
    <w:rsid w:val="002257C9"/>
    <w:rsid w:val="00225B9D"/>
    <w:rsid w:val="002278C3"/>
    <w:rsid w:val="00227B0D"/>
    <w:rsid w:val="00227BD5"/>
    <w:rsid w:val="00227C09"/>
    <w:rsid w:val="00230607"/>
    <w:rsid w:val="00231091"/>
    <w:rsid w:val="00231D2A"/>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2ED2"/>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2D14"/>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77D38"/>
    <w:rsid w:val="00380D78"/>
    <w:rsid w:val="00380E20"/>
    <w:rsid w:val="0038107A"/>
    <w:rsid w:val="00381EF0"/>
    <w:rsid w:val="00381FDF"/>
    <w:rsid w:val="0038249E"/>
    <w:rsid w:val="00384AE3"/>
    <w:rsid w:val="00385427"/>
    <w:rsid w:val="00385EB5"/>
    <w:rsid w:val="00386EF4"/>
    <w:rsid w:val="00386F39"/>
    <w:rsid w:val="00390071"/>
    <w:rsid w:val="00390672"/>
    <w:rsid w:val="00390794"/>
    <w:rsid w:val="0039114A"/>
    <w:rsid w:val="00391953"/>
    <w:rsid w:val="00392249"/>
    <w:rsid w:val="00393BF0"/>
    <w:rsid w:val="0039453B"/>
    <w:rsid w:val="0039579F"/>
    <w:rsid w:val="003970A1"/>
    <w:rsid w:val="00397CE1"/>
    <w:rsid w:val="003A1DE4"/>
    <w:rsid w:val="003A229F"/>
    <w:rsid w:val="003A3556"/>
    <w:rsid w:val="003A4EB3"/>
    <w:rsid w:val="003A59DE"/>
    <w:rsid w:val="003A5BE9"/>
    <w:rsid w:val="003A70C3"/>
    <w:rsid w:val="003A793D"/>
    <w:rsid w:val="003B03BF"/>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3F61A5"/>
    <w:rsid w:val="00401C3B"/>
    <w:rsid w:val="00403027"/>
    <w:rsid w:val="00404FD8"/>
    <w:rsid w:val="00407DE6"/>
    <w:rsid w:val="00413929"/>
    <w:rsid w:val="00413A2C"/>
    <w:rsid w:val="00414431"/>
    <w:rsid w:val="00414B4F"/>
    <w:rsid w:val="00415846"/>
    <w:rsid w:val="00415AB8"/>
    <w:rsid w:val="00417511"/>
    <w:rsid w:val="00417F67"/>
    <w:rsid w:val="00420244"/>
    <w:rsid w:val="00420E55"/>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86EEB"/>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3048"/>
    <w:rsid w:val="004B46AF"/>
    <w:rsid w:val="004B4B74"/>
    <w:rsid w:val="004B7475"/>
    <w:rsid w:val="004B7F84"/>
    <w:rsid w:val="004C078C"/>
    <w:rsid w:val="004C2774"/>
    <w:rsid w:val="004C3CEA"/>
    <w:rsid w:val="004C403D"/>
    <w:rsid w:val="004C41E7"/>
    <w:rsid w:val="004C5B98"/>
    <w:rsid w:val="004C5D80"/>
    <w:rsid w:val="004C5E79"/>
    <w:rsid w:val="004C7634"/>
    <w:rsid w:val="004C77BF"/>
    <w:rsid w:val="004D0052"/>
    <w:rsid w:val="004D1B45"/>
    <w:rsid w:val="004D3C5E"/>
    <w:rsid w:val="004D48AD"/>
    <w:rsid w:val="004D4BD0"/>
    <w:rsid w:val="004D5627"/>
    <w:rsid w:val="004D59ED"/>
    <w:rsid w:val="004D5E44"/>
    <w:rsid w:val="004D60AE"/>
    <w:rsid w:val="004D63A5"/>
    <w:rsid w:val="004D6587"/>
    <w:rsid w:val="004D767F"/>
    <w:rsid w:val="004D7EE6"/>
    <w:rsid w:val="004E0348"/>
    <w:rsid w:val="004E0F2B"/>
    <w:rsid w:val="004E6E63"/>
    <w:rsid w:val="004E728B"/>
    <w:rsid w:val="004F05E3"/>
    <w:rsid w:val="004F275E"/>
    <w:rsid w:val="004F3308"/>
    <w:rsid w:val="004F3E53"/>
    <w:rsid w:val="004F5C89"/>
    <w:rsid w:val="00501CEB"/>
    <w:rsid w:val="00503D03"/>
    <w:rsid w:val="00504ACC"/>
    <w:rsid w:val="0050598C"/>
    <w:rsid w:val="005065A4"/>
    <w:rsid w:val="00506ACC"/>
    <w:rsid w:val="00506E67"/>
    <w:rsid w:val="00510610"/>
    <w:rsid w:val="0051101D"/>
    <w:rsid w:val="005116A5"/>
    <w:rsid w:val="00511BB6"/>
    <w:rsid w:val="005168AB"/>
    <w:rsid w:val="00516BD0"/>
    <w:rsid w:val="0051763C"/>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37D8A"/>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4944"/>
    <w:rsid w:val="005655C4"/>
    <w:rsid w:val="005661B7"/>
    <w:rsid w:val="00567E65"/>
    <w:rsid w:val="0057065A"/>
    <w:rsid w:val="00570E16"/>
    <w:rsid w:val="0057121C"/>
    <w:rsid w:val="00571758"/>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2962"/>
    <w:rsid w:val="005A3259"/>
    <w:rsid w:val="005A46EF"/>
    <w:rsid w:val="005A673E"/>
    <w:rsid w:val="005A75BD"/>
    <w:rsid w:val="005A7BED"/>
    <w:rsid w:val="005B0694"/>
    <w:rsid w:val="005B23AA"/>
    <w:rsid w:val="005B4113"/>
    <w:rsid w:val="005B4627"/>
    <w:rsid w:val="005B4C45"/>
    <w:rsid w:val="005B6236"/>
    <w:rsid w:val="005C0134"/>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A83"/>
    <w:rsid w:val="00632385"/>
    <w:rsid w:val="006334C1"/>
    <w:rsid w:val="006341E7"/>
    <w:rsid w:val="00634A6D"/>
    <w:rsid w:val="0063642D"/>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7C87"/>
    <w:rsid w:val="0065083C"/>
    <w:rsid w:val="0065127A"/>
    <w:rsid w:val="00651C9B"/>
    <w:rsid w:val="00654208"/>
    <w:rsid w:val="00655327"/>
    <w:rsid w:val="006556BA"/>
    <w:rsid w:val="00655AE5"/>
    <w:rsid w:val="00657670"/>
    <w:rsid w:val="00657D85"/>
    <w:rsid w:val="00660BA8"/>
    <w:rsid w:val="00661656"/>
    <w:rsid w:val="006617F1"/>
    <w:rsid w:val="00661A9F"/>
    <w:rsid w:val="00661B23"/>
    <w:rsid w:val="00661CFA"/>
    <w:rsid w:val="00661D34"/>
    <w:rsid w:val="00661E41"/>
    <w:rsid w:val="006626A9"/>
    <w:rsid w:val="00663528"/>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2798"/>
    <w:rsid w:val="006E2C8B"/>
    <w:rsid w:val="006E3B39"/>
    <w:rsid w:val="006E579A"/>
    <w:rsid w:val="006E75E0"/>
    <w:rsid w:val="006F0537"/>
    <w:rsid w:val="006F15DF"/>
    <w:rsid w:val="006F1A76"/>
    <w:rsid w:val="006F1EB0"/>
    <w:rsid w:val="006F22A5"/>
    <w:rsid w:val="006F3AA4"/>
    <w:rsid w:val="006F47B4"/>
    <w:rsid w:val="006F4BD7"/>
    <w:rsid w:val="006F5E56"/>
    <w:rsid w:val="006F66BA"/>
    <w:rsid w:val="00700EA0"/>
    <w:rsid w:val="00700EEB"/>
    <w:rsid w:val="00700F13"/>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11F"/>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7EE"/>
    <w:rsid w:val="00771A88"/>
    <w:rsid w:val="00771B6C"/>
    <w:rsid w:val="00773913"/>
    <w:rsid w:val="00773C3B"/>
    <w:rsid w:val="00773CF6"/>
    <w:rsid w:val="00774113"/>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6D4"/>
    <w:rsid w:val="007B0D8E"/>
    <w:rsid w:val="007B10A3"/>
    <w:rsid w:val="007B1F3B"/>
    <w:rsid w:val="007B249F"/>
    <w:rsid w:val="007B3B29"/>
    <w:rsid w:val="007B3D18"/>
    <w:rsid w:val="007B504D"/>
    <w:rsid w:val="007B52D4"/>
    <w:rsid w:val="007B5CF6"/>
    <w:rsid w:val="007B5D14"/>
    <w:rsid w:val="007C07D6"/>
    <w:rsid w:val="007C199B"/>
    <w:rsid w:val="007C1A30"/>
    <w:rsid w:val="007C3A92"/>
    <w:rsid w:val="007C49AC"/>
    <w:rsid w:val="007C4BA8"/>
    <w:rsid w:val="007C6438"/>
    <w:rsid w:val="007C6C09"/>
    <w:rsid w:val="007D0C3D"/>
    <w:rsid w:val="007D4134"/>
    <w:rsid w:val="007D6047"/>
    <w:rsid w:val="007E02D1"/>
    <w:rsid w:val="007E0443"/>
    <w:rsid w:val="007E0F49"/>
    <w:rsid w:val="007E1A94"/>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E3F"/>
    <w:rsid w:val="00812AF4"/>
    <w:rsid w:val="00813452"/>
    <w:rsid w:val="008175E6"/>
    <w:rsid w:val="0081763A"/>
    <w:rsid w:val="00817D52"/>
    <w:rsid w:val="0082010D"/>
    <w:rsid w:val="0082048E"/>
    <w:rsid w:val="00820773"/>
    <w:rsid w:val="008208CF"/>
    <w:rsid w:val="008209B4"/>
    <w:rsid w:val="008218D6"/>
    <w:rsid w:val="00821D22"/>
    <w:rsid w:val="00822074"/>
    <w:rsid w:val="008224B1"/>
    <w:rsid w:val="00822FE7"/>
    <w:rsid w:val="00823D0D"/>
    <w:rsid w:val="008256E7"/>
    <w:rsid w:val="008320A4"/>
    <w:rsid w:val="008328F1"/>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07"/>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7E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127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8F57A2"/>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8A"/>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17A"/>
    <w:rsid w:val="00970AA7"/>
    <w:rsid w:val="009716F0"/>
    <w:rsid w:val="00972019"/>
    <w:rsid w:val="0097258B"/>
    <w:rsid w:val="009732E8"/>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3E45"/>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0CC"/>
    <w:rsid w:val="009B4FCD"/>
    <w:rsid w:val="009B5438"/>
    <w:rsid w:val="009B5FC9"/>
    <w:rsid w:val="009B65D6"/>
    <w:rsid w:val="009B6746"/>
    <w:rsid w:val="009B6827"/>
    <w:rsid w:val="009B71E2"/>
    <w:rsid w:val="009C061A"/>
    <w:rsid w:val="009C09B7"/>
    <w:rsid w:val="009C3501"/>
    <w:rsid w:val="009C3FFD"/>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0F18"/>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501C1"/>
    <w:rsid w:val="00A50667"/>
    <w:rsid w:val="00A50B11"/>
    <w:rsid w:val="00A52ED5"/>
    <w:rsid w:val="00A53D5A"/>
    <w:rsid w:val="00A55DC0"/>
    <w:rsid w:val="00A56661"/>
    <w:rsid w:val="00A60560"/>
    <w:rsid w:val="00A6085D"/>
    <w:rsid w:val="00A60DED"/>
    <w:rsid w:val="00A616CC"/>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641"/>
    <w:rsid w:val="00B14739"/>
    <w:rsid w:val="00B14BE2"/>
    <w:rsid w:val="00B14D1C"/>
    <w:rsid w:val="00B15E5D"/>
    <w:rsid w:val="00B16B46"/>
    <w:rsid w:val="00B20E57"/>
    <w:rsid w:val="00B23284"/>
    <w:rsid w:val="00B23385"/>
    <w:rsid w:val="00B23C3F"/>
    <w:rsid w:val="00B252C5"/>
    <w:rsid w:val="00B2553E"/>
    <w:rsid w:val="00B25637"/>
    <w:rsid w:val="00B25B9A"/>
    <w:rsid w:val="00B2612A"/>
    <w:rsid w:val="00B30D41"/>
    <w:rsid w:val="00B3254F"/>
    <w:rsid w:val="00B3285D"/>
    <w:rsid w:val="00B3362F"/>
    <w:rsid w:val="00B3410A"/>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5C4"/>
    <w:rsid w:val="00B933B5"/>
    <w:rsid w:val="00B93548"/>
    <w:rsid w:val="00BA21EF"/>
    <w:rsid w:val="00BA6339"/>
    <w:rsid w:val="00BA656E"/>
    <w:rsid w:val="00BA6D15"/>
    <w:rsid w:val="00BA7C41"/>
    <w:rsid w:val="00BB03F6"/>
    <w:rsid w:val="00BB21E7"/>
    <w:rsid w:val="00BB3FBA"/>
    <w:rsid w:val="00BB4596"/>
    <w:rsid w:val="00BB6B27"/>
    <w:rsid w:val="00BC0384"/>
    <w:rsid w:val="00BC1247"/>
    <w:rsid w:val="00BC2049"/>
    <w:rsid w:val="00BC3AC0"/>
    <w:rsid w:val="00BC7DC4"/>
    <w:rsid w:val="00BD1524"/>
    <w:rsid w:val="00BD3096"/>
    <w:rsid w:val="00BD398A"/>
    <w:rsid w:val="00BD39A1"/>
    <w:rsid w:val="00BD41DB"/>
    <w:rsid w:val="00BD4594"/>
    <w:rsid w:val="00BD573A"/>
    <w:rsid w:val="00BD784D"/>
    <w:rsid w:val="00BD7BAE"/>
    <w:rsid w:val="00BD7CE1"/>
    <w:rsid w:val="00BE2560"/>
    <w:rsid w:val="00BE2A67"/>
    <w:rsid w:val="00BE4B35"/>
    <w:rsid w:val="00BE4B63"/>
    <w:rsid w:val="00BE50FC"/>
    <w:rsid w:val="00BE5F34"/>
    <w:rsid w:val="00BE5FD9"/>
    <w:rsid w:val="00BE677F"/>
    <w:rsid w:val="00BF1661"/>
    <w:rsid w:val="00BF1903"/>
    <w:rsid w:val="00BF5DD2"/>
    <w:rsid w:val="00BF70A2"/>
    <w:rsid w:val="00BF728A"/>
    <w:rsid w:val="00BF72AB"/>
    <w:rsid w:val="00BF790B"/>
    <w:rsid w:val="00C015EE"/>
    <w:rsid w:val="00C03615"/>
    <w:rsid w:val="00C03694"/>
    <w:rsid w:val="00C03876"/>
    <w:rsid w:val="00C039EB"/>
    <w:rsid w:val="00C04A86"/>
    <w:rsid w:val="00C057E5"/>
    <w:rsid w:val="00C06C6E"/>
    <w:rsid w:val="00C10B85"/>
    <w:rsid w:val="00C11779"/>
    <w:rsid w:val="00C11B58"/>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0A6"/>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334E"/>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398F"/>
    <w:rsid w:val="00CE49D9"/>
    <w:rsid w:val="00CE5077"/>
    <w:rsid w:val="00CE5E53"/>
    <w:rsid w:val="00CE5FE1"/>
    <w:rsid w:val="00CE6805"/>
    <w:rsid w:val="00CE6D3E"/>
    <w:rsid w:val="00CE7CA2"/>
    <w:rsid w:val="00CF0BC8"/>
    <w:rsid w:val="00CF0D88"/>
    <w:rsid w:val="00CF1497"/>
    <w:rsid w:val="00CF658E"/>
    <w:rsid w:val="00CF6636"/>
    <w:rsid w:val="00D01AA1"/>
    <w:rsid w:val="00D02D9F"/>
    <w:rsid w:val="00D03875"/>
    <w:rsid w:val="00D0393D"/>
    <w:rsid w:val="00D047E7"/>
    <w:rsid w:val="00D05C84"/>
    <w:rsid w:val="00D063A3"/>
    <w:rsid w:val="00D0687E"/>
    <w:rsid w:val="00D0716B"/>
    <w:rsid w:val="00D103A6"/>
    <w:rsid w:val="00D10C62"/>
    <w:rsid w:val="00D1126C"/>
    <w:rsid w:val="00D1234E"/>
    <w:rsid w:val="00D14B7C"/>
    <w:rsid w:val="00D14E97"/>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410F"/>
    <w:rsid w:val="00D77A56"/>
    <w:rsid w:val="00D82739"/>
    <w:rsid w:val="00D83138"/>
    <w:rsid w:val="00D83758"/>
    <w:rsid w:val="00D84BD9"/>
    <w:rsid w:val="00D859E1"/>
    <w:rsid w:val="00D8607D"/>
    <w:rsid w:val="00D8686A"/>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C67"/>
    <w:rsid w:val="00E12323"/>
    <w:rsid w:val="00E125E9"/>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1474"/>
    <w:rsid w:val="00EA33F8"/>
    <w:rsid w:val="00EA37CC"/>
    <w:rsid w:val="00EA38FB"/>
    <w:rsid w:val="00EA3F4B"/>
    <w:rsid w:val="00EA6E68"/>
    <w:rsid w:val="00EA79F1"/>
    <w:rsid w:val="00EB206B"/>
    <w:rsid w:val="00EB28FB"/>
    <w:rsid w:val="00EB2E4E"/>
    <w:rsid w:val="00EB4C11"/>
    <w:rsid w:val="00EC03A0"/>
    <w:rsid w:val="00EC11A0"/>
    <w:rsid w:val="00EC30A1"/>
    <w:rsid w:val="00EC6CB4"/>
    <w:rsid w:val="00ED01F8"/>
    <w:rsid w:val="00ED3B60"/>
    <w:rsid w:val="00ED63BE"/>
    <w:rsid w:val="00EE02ED"/>
    <w:rsid w:val="00EE1D52"/>
    <w:rsid w:val="00EE3493"/>
    <w:rsid w:val="00EE47A3"/>
    <w:rsid w:val="00EE4D25"/>
    <w:rsid w:val="00EE56FA"/>
    <w:rsid w:val="00EE61F7"/>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75C"/>
    <w:rsid w:val="00F06A42"/>
    <w:rsid w:val="00F07FA9"/>
    <w:rsid w:val="00F10BBC"/>
    <w:rsid w:val="00F10DB2"/>
    <w:rsid w:val="00F10F20"/>
    <w:rsid w:val="00F124F2"/>
    <w:rsid w:val="00F12CCE"/>
    <w:rsid w:val="00F13457"/>
    <w:rsid w:val="00F14129"/>
    <w:rsid w:val="00F160E1"/>
    <w:rsid w:val="00F16A7E"/>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DE2"/>
    <w:rsid w:val="00F627D8"/>
    <w:rsid w:val="00F62E96"/>
    <w:rsid w:val="00F63740"/>
    <w:rsid w:val="00F6494B"/>
    <w:rsid w:val="00F65168"/>
    <w:rsid w:val="00F65AA6"/>
    <w:rsid w:val="00F663A6"/>
    <w:rsid w:val="00F6683D"/>
    <w:rsid w:val="00F66B17"/>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3525"/>
    <w:rsid w:val="00F94E06"/>
    <w:rsid w:val="00F964AB"/>
    <w:rsid w:val="00F96FFE"/>
    <w:rsid w:val="00FA1B3F"/>
    <w:rsid w:val="00FA2461"/>
    <w:rsid w:val="00FA302F"/>
    <w:rsid w:val="00FA3941"/>
    <w:rsid w:val="00FA4B8D"/>
    <w:rsid w:val="00FB030C"/>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81"/>
    <w:rsid w:val="00FC69A5"/>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1E39-DC23-4333-8013-39123DBD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7216</Words>
  <Characters>45467</Characters>
  <Application>Microsoft Office Word</Application>
  <DocSecurity>0</DocSecurity>
  <Lines>378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4029</cp:revision>
  <dcterms:created xsi:type="dcterms:W3CDTF">2020-10-02T18:13:00Z</dcterms:created>
  <dcterms:modified xsi:type="dcterms:W3CDTF">2020-11-01T14:26:00Z</dcterms:modified>
</cp:coreProperties>
</file>