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E442DB">
        <w:rPr>
          <w:b/>
          <w:color w:val="4472C4" w:themeColor="accent1"/>
        </w:rPr>
        <w:t>NOVEMBER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2021</w:t>
      </w:r>
    </w:p>
    <w:p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2021</w:t>
      </w:r>
      <w:r w:rsidR="00F24C14">
        <w:rPr>
          <w:color w:val="FF0000"/>
        </w:rPr>
        <w:t>1</w:t>
      </w:r>
      <w:r w:rsidR="00E442DB">
        <w:rPr>
          <w:color w:val="FF0000"/>
        </w:rPr>
        <w:t>1</w:t>
      </w:r>
      <w:r w:rsidR="00D55685">
        <w:rPr>
          <w:color w:val="FF0000"/>
        </w:rPr>
        <w:t>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:rsidTr="00ED7202">
        <w:tc>
          <w:tcPr>
            <w:tcW w:w="1980" w:type="dxa"/>
          </w:tcPr>
          <w:p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:rsidR="00C97FD1" w:rsidRDefault="00E442DB" w:rsidP="00C97FD1">
            <w:r>
              <w:t>A.Raghuveer</w:t>
            </w:r>
          </w:p>
        </w:tc>
      </w:tr>
      <w:tr w:rsidR="00C97FD1" w:rsidTr="00ED7202">
        <w:tc>
          <w:tcPr>
            <w:tcW w:w="1980" w:type="dxa"/>
          </w:tcPr>
          <w:p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:rsidR="00C97FD1" w:rsidRDefault="00E442DB" w:rsidP="0043195C">
            <w:r>
              <w:t>J.Hutsul</w:t>
            </w:r>
          </w:p>
        </w:tc>
      </w:tr>
    </w:tbl>
    <w:p w:rsidR="00584370" w:rsidRDefault="00584370" w:rsidP="00EC2E04">
      <w:pPr>
        <w:pStyle w:val="Heading2"/>
        <w:rPr>
          <w:b/>
          <w:color w:val="4472C4" w:themeColor="accent1"/>
        </w:rPr>
      </w:pPr>
    </w:p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094CAA" w:rsidRDefault="00094CAA" w:rsidP="00094CAA"/>
    <w:p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E442DB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B245A8" w:rsidRPr="000941B4" w:rsidRDefault="00B245A8" w:rsidP="00094CAA">
      <w:pPr>
        <w:rPr>
          <w:b/>
          <w:color w:val="4472C4" w:themeColor="accent1"/>
        </w:rPr>
      </w:pPr>
    </w:p>
    <w:p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:rsidTr="00ED7202">
        <w:tc>
          <w:tcPr>
            <w:tcW w:w="1083" w:type="dxa"/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F24C14" w:rsidRPr="00E40790" w:rsidTr="00FB1136">
        <w:trPr>
          <w:trHeight w:val="315"/>
        </w:trPr>
        <w:tc>
          <w:tcPr>
            <w:tcW w:w="1083" w:type="dxa"/>
          </w:tcPr>
          <w:p w:rsidR="00F24C14" w:rsidRPr="00435039" w:rsidRDefault="00F24C14" w:rsidP="00F24C14"/>
        </w:tc>
        <w:tc>
          <w:tcPr>
            <w:tcW w:w="7701" w:type="dxa"/>
          </w:tcPr>
          <w:p w:rsidR="00F24C14" w:rsidRPr="00435039" w:rsidRDefault="00E442DB" w:rsidP="00F24C14">
            <w:r>
              <w:t>[NONE]</w:t>
            </w:r>
          </w:p>
        </w:tc>
      </w:tr>
    </w:tbl>
    <w:p w:rsidR="002977B9" w:rsidRDefault="002977B9" w:rsidP="00094CAA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C74CF8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C74CF8" w:rsidRDefault="00C74CF8" w:rsidP="00C74CF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C97FD1" w:rsidRDefault="00C97FD1" w:rsidP="00C74CF8">
            <w:pPr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  <w:r w:rsidRPr="00C97FD1">
              <w:rPr>
                <w:rFonts w:eastAsia="Times New Roman" w:cstheme="minorHAnsi"/>
                <w:szCs w:val="20"/>
                <w:lang w:val="en-CA" w:eastAsia="en-CA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584370" w:rsidRDefault="00C74CF8" w:rsidP="00C970E3">
            <w:pPr>
              <w:rPr>
                <w:rFonts w:cstheme="minorHAnsi"/>
                <w:color w:val="FF000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2D3F36" w:rsidRDefault="00C74CF8" w:rsidP="00C74CF8">
            <w:pPr>
              <w:rPr>
                <w:rFonts w:cstheme="minorHAnsi"/>
              </w:rPr>
            </w:pPr>
          </w:p>
        </w:tc>
      </w:tr>
    </w:tbl>
    <w:p w:rsidR="004E7CA5" w:rsidRPr="00473D77" w:rsidRDefault="004E7CA5" w:rsidP="004E7CA5">
      <w:pPr>
        <w:rPr>
          <w:lang w:val="fr-CA"/>
        </w:rPr>
      </w:pPr>
    </w:p>
    <w:p w:rsidR="00EF6138" w:rsidRPr="00473D77" w:rsidRDefault="00EF6138" w:rsidP="00005782">
      <w:pPr>
        <w:pStyle w:val="Heading3"/>
        <w:rPr>
          <w:b/>
          <w:color w:val="4472C4" w:themeColor="accent1"/>
          <w:lang w:val="fr-CA"/>
        </w:rPr>
      </w:pPr>
    </w:p>
    <w:p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57687A" w:rsidTr="001E32A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87A" w:rsidRPr="007D2EA1" w:rsidRDefault="00E442DB" w:rsidP="0057687A"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87A" w:rsidRPr="001A2129" w:rsidRDefault="0057687A" w:rsidP="0057687A"/>
        </w:tc>
      </w:tr>
    </w:tbl>
    <w:p w:rsidR="00EF6138" w:rsidRPr="00EF6138" w:rsidRDefault="00EF6138" w:rsidP="00EF6138"/>
    <w:p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:rsidTr="00ED7202">
        <w:tc>
          <w:tcPr>
            <w:tcW w:w="1083" w:type="dxa"/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E442DB" w:rsidRPr="00E442DB" w:rsidTr="003B6C07">
        <w:trPr>
          <w:trHeight w:val="315"/>
        </w:trPr>
        <w:tc>
          <w:tcPr>
            <w:tcW w:w="1083" w:type="dxa"/>
            <w:vAlign w:val="bottom"/>
          </w:tcPr>
          <w:p w:rsidR="00E442DB" w:rsidRDefault="00E442DB" w:rsidP="00E442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9013816</w:t>
            </w:r>
          </w:p>
        </w:tc>
        <w:tc>
          <w:tcPr>
            <w:tcW w:w="7843" w:type="dxa"/>
            <w:vAlign w:val="bottom"/>
          </w:tcPr>
          <w:p w:rsidR="00E442DB" w:rsidRDefault="00E442DB" w:rsidP="00E442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dextromethorphan hydrobromide 10 mg per 15 mL and guaifenesin 200 mg per 15 mL syrup</w:t>
            </w:r>
          </w:p>
        </w:tc>
      </w:tr>
      <w:tr w:rsidR="00E442DB" w:rsidRPr="00E442DB" w:rsidTr="003B6C07">
        <w:trPr>
          <w:trHeight w:val="315"/>
        </w:trPr>
        <w:tc>
          <w:tcPr>
            <w:tcW w:w="1083" w:type="dxa"/>
            <w:vAlign w:val="bottom"/>
          </w:tcPr>
          <w:p w:rsidR="00E442DB" w:rsidRDefault="00E442DB" w:rsidP="00E442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9003684</w:t>
            </w:r>
          </w:p>
        </w:tc>
        <w:tc>
          <w:tcPr>
            <w:tcW w:w="7843" w:type="dxa"/>
            <w:vAlign w:val="bottom"/>
          </w:tcPr>
          <w:p w:rsidR="00E442DB" w:rsidRDefault="00E442DB" w:rsidP="00E442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didanosine 125 mg gastro-resistant capsule</w:t>
            </w:r>
          </w:p>
        </w:tc>
      </w:tr>
      <w:tr w:rsidR="00E442DB" w:rsidRPr="00E442DB" w:rsidTr="003B6C07">
        <w:trPr>
          <w:trHeight w:val="315"/>
        </w:trPr>
        <w:tc>
          <w:tcPr>
            <w:tcW w:w="1083" w:type="dxa"/>
            <w:vAlign w:val="bottom"/>
          </w:tcPr>
          <w:p w:rsidR="00E442DB" w:rsidRDefault="00E442DB" w:rsidP="00E442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9003685</w:t>
            </w:r>
          </w:p>
        </w:tc>
        <w:tc>
          <w:tcPr>
            <w:tcW w:w="7843" w:type="dxa"/>
            <w:vAlign w:val="bottom"/>
          </w:tcPr>
          <w:p w:rsidR="00E442DB" w:rsidRDefault="00E442DB" w:rsidP="00E442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didanosine 200 mg gastro-resistant capsule</w:t>
            </w:r>
          </w:p>
        </w:tc>
      </w:tr>
      <w:tr w:rsidR="00E442DB" w:rsidRPr="00E442DB" w:rsidTr="003B6C07">
        <w:trPr>
          <w:trHeight w:val="315"/>
        </w:trPr>
        <w:tc>
          <w:tcPr>
            <w:tcW w:w="1083" w:type="dxa"/>
            <w:vAlign w:val="bottom"/>
          </w:tcPr>
          <w:p w:rsidR="00E442DB" w:rsidRDefault="00E442DB" w:rsidP="00E442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9002679</w:t>
            </w:r>
          </w:p>
        </w:tc>
        <w:tc>
          <w:tcPr>
            <w:tcW w:w="7843" w:type="dxa"/>
            <w:vAlign w:val="bottom"/>
          </w:tcPr>
          <w:p w:rsidR="00E442DB" w:rsidRDefault="00E442DB" w:rsidP="00E442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hydrocodone bitartrate 1.7 mg per 5 mL and phenylephrine hydrochloride 10 mg per 5 mL syrup</w:t>
            </w:r>
          </w:p>
        </w:tc>
      </w:tr>
      <w:tr w:rsidR="00E442DB" w:rsidRPr="00E442DB" w:rsidTr="003B6C07">
        <w:trPr>
          <w:trHeight w:val="315"/>
        </w:trPr>
        <w:tc>
          <w:tcPr>
            <w:tcW w:w="1083" w:type="dxa"/>
            <w:vAlign w:val="bottom"/>
          </w:tcPr>
          <w:p w:rsidR="00E442DB" w:rsidRDefault="00E442DB" w:rsidP="00E442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9003998</w:t>
            </w:r>
          </w:p>
        </w:tc>
        <w:tc>
          <w:tcPr>
            <w:tcW w:w="7843" w:type="dxa"/>
            <w:vAlign w:val="bottom"/>
          </w:tcPr>
          <w:p w:rsidR="00E442DB" w:rsidRPr="00E442DB" w:rsidRDefault="00E442DB" w:rsidP="00E442DB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E442DB">
              <w:rPr>
                <w:rFonts w:ascii="Arial" w:hAnsi="Arial" w:cs="Arial"/>
                <w:sz w:val="20"/>
                <w:szCs w:val="20"/>
                <w:lang w:val="fr-CA"/>
              </w:rPr>
              <w:t>quinagolide (quinagolide hydrochloride) 0.025 mg oral tablet</w:t>
            </w:r>
          </w:p>
        </w:tc>
      </w:tr>
      <w:tr w:rsidR="00E442DB" w:rsidRPr="00E442DB" w:rsidTr="003B6C07">
        <w:trPr>
          <w:trHeight w:val="315"/>
        </w:trPr>
        <w:tc>
          <w:tcPr>
            <w:tcW w:w="1083" w:type="dxa"/>
            <w:vAlign w:val="bottom"/>
          </w:tcPr>
          <w:p w:rsidR="00E442DB" w:rsidRDefault="00E442DB" w:rsidP="00E442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9003999</w:t>
            </w:r>
          </w:p>
        </w:tc>
        <w:tc>
          <w:tcPr>
            <w:tcW w:w="7843" w:type="dxa"/>
            <w:vAlign w:val="bottom"/>
          </w:tcPr>
          <w:p w:rsidR="00E442DB" w:rsidRPr="00E442DB" w:rsidRDefault="00E442DB" w:rsidP="00E442DB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E442DB">
              <w:rPr>
                <w:rFonts w:ascii="Arial" w:hAnsi="Arial" w:cs="Arial"/>
                <w:sz w:val="20"/>
                <w:szCs w:val="20"/>
                <w:lang w:val="fr-CA"/>
              </w:rPr>
              <w:t>quinagolide (quinagolide hydrochloride) 0.05 mg oral tablet</w:t>
            </w:r>
          </w:p>
        </w:tc>
      </w:tr>
    </w:tbl>
    <w:p w:rsidR="008A469B" w:rsidRPr="00E442DB" w:rsidRDefault="008A469B" w:rsidP="001B7235">
      <w:pPr>
        <w:rPr>
          <w:lang w:val="fr-CA"/>
        </w:rPr>
      </w:pPr>
    </w:p>
    <w:p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:rsidR="00221352" w:rsidRPr="00960174" w:rsidRDefault="00221352" w:rsidP="00221352">
      <w:r w:rsidRPr="00960174">
        <w:t>No new deprecated concepts</w:t>
      </w:r>
      <w:r w:rsidR="00960174">
        <w:t>.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276"/>
      </w:tblGrid>
      <w:tr w:rsidR="00F134BA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:rsidTr="00C970E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Pr="00960174" w:rsidRDefault="00960174" w:rsidP="0096017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00</w:t>
            </w: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587737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960174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HUMULIN N (insulin isophane human 100 unit per mL suspension for injection 10 mL vial) ELI LILLY CANADA INC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960174">
            <w:pPr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HUMULIN N (insuline isophane humaine 100 unité par mL suspension injectable 10 mL fiole) ELI LILLY CANADA INC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1B7235" w:rsidRDefault="00960174" w:rsidP="00960174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960174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lastRenderedPageBreak/>
              <w:t>0</w:t>
            </w:r>
            <w:r w:rsidRPr="00E83672">
              <w:t>2182777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A64A68" w:rsidRDefault="00960174" w:rsidP="00960174"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960174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221352" w:rsidRDefault="00221352" w:rsidP="00221352"/>
    <w:p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>. For both products, they have been assigned a new DIN (0</w:t>
      </w:r>
      <w:r w:rsidRPr="007431D8">
        <w:rPr>
          <w:rFonts w:ascii="Arial" w:hAnsi="Arial" w:cs="Arial"/>
          <w:sz w:val="20"/>
          <w:szCs w:val="20"/>
        </w:rPr>
        <w:t>2474891, 02474735)</w:t>
      </w:r>
      <w:r w:rsidRPr="007431D8">
        <w:t xml:space="preserve">. </w:t>
      </w:r>
      <w:r w:rsidR="005E070C">
        <w:t>T</w:t>
      </w:r>
      <w:r w:rsidRPr="007431D8">
        <w:t>his will have to be done manually each month.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D8234D" w:rsidRDefault="00D8234D" w:rsidP="00D8234D">
      <w:pPr>
        <w:pStyle w:val="Heading3"/>
      </w:pPr>
    </w:p>
    <w:p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:rsidTr="00C97FD1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A76501" w:rsidRDefault="00A76501" w:rsidP="00601A33">
            <w:r w:rsidRPr="00A75047">
              <w:t>drug_</w:t>
            </w:r>
          </w:p>
          <w:p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r>
              <w:t>DPD descriptor - FR</w:t>
            </w:r>
          </w:p>
        </w:tc>
      </w:tr>
      <w:tr w:rsidR="00C970E3" w:rsidRPr="008138B1" w:rsidTr="00C97FD1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C970E3" w:rsidRDefault="00C970E3" w:rsidP="00C970E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:rsidR="00C970E3" w:rsidRDefault="00C97FD1" w:rsidP="00C970E3">
            <w:r>
              <w:t>[NONE]</w:t>
            </w:r>
          </w:p>
        </w:tc>
        <w:tc>
          <w:tcPr>
            <w:tcW w:w="3004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:rsidR="00C970E3" w:rsidRPr="00906ABE" w:rsidRDefault="00C970E3" w:rsidP="00C970E3"/>
        </w:tc>
        <w:tc>
          <w:tcPr>
            <w:tcW w:w="1803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FFFFF" w:themeFill="background1"/>
          </w:tcPr>
          <w:p w:rsidR="00C970E3" w:rsidRDefault="00C970E3" w:rsidP="00C970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510194" w:rsidRDefault="00C970E3" w:rsidP="00C970E3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</w:tbl>
    <w:p w:rsidR="00540D7F" w:rsidRDefault="00540D7F" w:rsidP="00221352">
      <w:pPr>
        <w:pStyle w:val="Heading3"/>
        <w:rPr>
          <w:b/>
          <w:color w:val="5B9BD5" w:themeColor="accent5"/>
        </w:rPr>
      </w:pPr>
    </w:p>
    <w:p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F134BA" w:rsidRDefault="00F134BA" w:rsidP="00601A33"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r>
              <w:t>CCDD status</w:t>
            </w:r>
          </w:p>
        </w:tc>
      </w:tr>
      <w:tr w:rsidR="00F134BA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83314F" w:rsidRDefault="0083314F" w:rsidP="00736790">
      <w:pPr>
        <w:pStyle w:val="Heading3"/>
        <w:rPr>
          <w:b/>
        </w:rPr>
      </w:pPr>
    </w:p>
    <w:p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:rsidTr="00ED7202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94341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77700907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ACYCLOVIR SODIUM INJECTION (acyclovir (acyclovir sodium) 1000 mg per 20 mL solution for injection vial) STERIMAX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2021.09.05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94341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77700908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ACYCLOVIR SODIUM INJECTION (acyclovir (acyclovir sodium) 500 mg per 10 mL solution for injection vial) STERIMAX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2021.09.05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86145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2375990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ALLERGY REMEDY (loratadine 10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2021.04.24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96149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2472171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ATROPINE SULFATE INJECTION USP (atropine sulfate 0.5 mg per 5 mL solution for injection syringe)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2021.11.01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81729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2331616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BUPROPION SR (bupropion hydrochloride 100 mg prolonged-release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2021.10.31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90701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2422328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CEFUROXIME FOR INJECTION, USP (cefuroxime (cefuroxime sodium) 7.5 g per vial powder for solution for injection) STERIMAX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2021.10.22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90699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2422298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CEFUROXIME FOR INJECTION, USP (cefuroxime (cefuroxime sodium) 750 mg per vial powder for solution for injection) STERIMAX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2021.10.22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85155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77700757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CISPLATIN INJECTION BP (cisplatin 10 mg per 10 mL solution for injection vial)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2021.10.19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85155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77700756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CISPLATIN INJECTION BP (cisplatin 100 mg per 100 mL solution for injection vial)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2021.10.19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85155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77700755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CISPLATIN INJECTION BP (cisplatin 50 mg per 50 mL solution for injection vial)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2021.10.19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42382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2092964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DRISTAN TABLETS (acetaminophen 325 mg and chlorpheniramine maleate 2 mg and phenylephrine hydrochloride 5 mg oral tablet) PFIZER CONSUMER HEALTHCARE A DIVISION OF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2021.10.31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8187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745626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HUMATROPE (somatropin 5 mg per vial powder for solution for injection with diluent solution) ELI LILLY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2021.10.13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518123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LECTOPAM TAB 3MG (bromazepam 3 mg oral tablet) HOFFMANN-LA ROCHE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2021.10.31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78536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2300036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MYLAN-ENALAPRIL (enalapril maleate 2.5 mg oral tablet) MYLAN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2021.10.31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43389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2223740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NORPROLAC (quinagolide (quinagolide hydrochloride) 0.025 mg oral tablet) FERRING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2021.10.31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43390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2223759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NORPROLAC (quinagolide (quinagolide hydrochloride) 0.05 mg oral tablet) FERRING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2021.10.31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16640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2049473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NOVAHISTINE DH (hydrocodone bitartrate 1.7 mg per 5 mL and phenylephrine hydrochloride 10 mg per 5 mL syrup) SANOFI-AVENTIS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2021.10.17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66276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2242528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ODAN PROCTOMYXIN HC SUPPOSITORIES (dibucaine hydrochloride 5 mg and esculin 10 mg and framycetin sulfate 10 mg and hydrocortisone 5 mg suppository) ODAN LABORATORIES LTD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2021.10.21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11030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893757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PRAVACHOL (pravastatin sodium 20 mg oral tablet) BRISTOL-MYERS SQUIBB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2021.10.31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43329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2222051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PRAVACHOL (pravastatin sodium 40 mg oral tablet) BRISTOL-MYERS SQUIBB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2021.10.31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11102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839396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PRINIVIL (lisinopril 10 mg oral tablet) MERCK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2021.10.27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11103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839418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PRINIVIL (lisinopril 20 mg oral tablet) MERCK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2021.10.25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79703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2311461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PRO-DICLO RAPIDE - 50 (diclofenac potassium 50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2021.10.31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78617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2300834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RIVA-ENALAPRIL (enalapril maleate 20 mg oral tablet) LABORATOIRE RIVA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2021.10.31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74833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2262924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Pr="00671EBD" w:rsidRDefault="00671EBD" w:rsidP="00671EBD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671EBD">
              <w:rPr>
                <w:rFonts w:ascii="Arial" w:hAnsi="Arial" w:cs="Arial"/>
                <w:sz w:val="20"/>
                <w:szCs w:val="20"/>
                <w:lang w:val="fr-CA"/>
              </w:rPr>
              <w:t>RIVA-TERBINAFINE (terbinafine (terbinafine hydrochloride) 250 mg oral tablet) LABORATOIRE RIVA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2021.10.30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80938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2323907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VICKS DAYQUIL COUGH COUGH &amp; CONGESTION (dextromethorphan hydrobromide 10 mg per 15 mL and guaifenesin 200 mg per 15 mL syrup) PROCTER &amp; GAMBLE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2021.10.31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68582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2244596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VIDEX EC (didanosine 125 mg gastro-resistant capsule) BRISTOL-MYERS SQUIBB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2021.10.31</w:t>
            </w:r>
          </w:p>
        </w:tc>
      </w:tr>
      <w:tr w:rsidR="00671EBD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68583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2244597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VIDEX EC (didanosine 200 mg gastro-resistant capsule) BRISTOL-MYERS SQUIBB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1EBD" w:rsidRDefault="00671EBD" w:rsidP="00671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2021.10.31</w:t>
            </w:r>
          </w:p>
        </w:tc>
      </w:tr>
    </w:tbl>
    <w:p w:rsidR="001B7235" w:rsidRPr="00117948" w:rsidRDefault="001B7235">
      <w:pPr>
        <w:rPr>
          <w:lang w:val="fr-CA"/>
        </w:rPr>
      </w:pPr>
    </w:p>
    <w:p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D55685">
        <w:t>August</w:t>
      </w:r>
      <w:r w:rsidR="00566B5D">
        <w:t xml:space="preserve"> 2021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:rsidR="00987C22" w:rsidRDefault="00987C22">
      <w:r>
        <w:lastRenderedPageBreak/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:rsidTr="0091527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15278">
              <w:rPr>
                <w:rFonts w:cstheme="minorHAnsi"/>
                <w:szCs w:val="20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E71014" w:rsidP="00E71014">
            <w:r w:rsidRPr="00DD7E66"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6804FA" w:rsidP="00E71014">
            <w:r>
              <w:t>0</w:t>
            </w:r>
            <w:r w:rsidR="00E71014" w:rsidRPr="00DD7E66"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E71014" w:rsidP="00915278">
            <w:pPr>
              <w:spacing w:after="0" w:line="240" w:lineRule="auto"/>
            </w:pPr>
            <w:r w:rsidRPr="00DD7E66"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1014" w:rsidRDefault="00636D8D" w:rsidP="00E71014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STAY</w:t>
            </w:r>
          </w:p>
        </w:tc>
      </w:tr>
      <w:tr w:rsidR="002D260D" w:rsidRPr="008A281D" w:rsidTr="00E710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0D" w:rsidRPr="00077030" w:rsidRDefault="00671EBD" w:rsidP="002D260D">
            <w:r w:rsidRPr="00671EBD">
              <w:t>9006572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0D" w:rsidRDefault="00671EBD" w:rsidP="002D260D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drospirenone 3 mg and ethinyl estradiol 20 mcg oral tablet with lactose oral tablet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0D" w:rsidRPr="00C22A56" w:rsidRDefault="002D260D" w:rsidP="002D260D">
            <w:r w:rsidRPr="00C22A56">
              <w:t>94980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0D" w:rsidRPr="00C22A56" w:rsidRDefault="00FF7BA8" w:rsidP="002D260D">
            <w:r>
              <w:t>0</w:t>
            </w:r>
            <w:r w:rsidR="002D260D" w:rsidRPr="00C22A56">
              <w:t>2462060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0D" w:rsidRDefault="00671EBD" w:rsidP="002D260D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DROSPIRENONE AND ETHINYL ESTRADIOL TABLETS USP (drospirenone 3 mg and ethinyl estradiol 20 mcg oral tablet with lactose oral tablet) GLENMARK PHARMACEUTICALS CANADA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D260D" w:rsidRDefault="00671EBD" w:rsidP="002D260D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FF7BA8" w:rsidRPr="008A281D" w:rsidTr="00E710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Pr="00671EBD" w:rsidRDefault="00FF7BA8" w:rsidP="002D260D">
            <w:r>
              <w:rPr>
                <w:rFonts w:ascii="Arial" w:hAnsi="Arial" w:cs="Arial"/>
                <w:sz w:val="20"/>
                <w:szCs w:val="20"/>
              </w:rPr>
              <w:t>9014551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Default="00FF7BA8" w:rsidP="00FF7BA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methotrexate (methotrexate disodium) 2.5 mg oral tablet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Pr="00C22A56" w:rsidRDefault="00FF7BA8" w:rsidP="002D260D">
            <w:r>
              <w:rPr>
                <w:rFonts w:ascii="Arial" w:hAnsi="Arial" w:cs="Arial"/>
                <w:sz w:val="20"/>
                <w:szCs w:val="20"/>
              </w:rPr>
              <w:t>99838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Pr="00C22A56" w:rsidRDefault="00FF7BA8" w:rsidP="002D260D">
            <w:r>
              <w:t>0</w:t>
            </w:r>
            <w:r>
              <w:rPr>
                <w:rFonts w:ascii="Arial" w:hAnsi="Arial" w:cs="Arial"/>
                <w:sz w:val="20"/>
                <w:szCs w:val="20"/>
              </w:rPr>
              <w:t>2509067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Default="00FF7BA8" w:rsidP="002D260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ACH-METHOTREXATE (methotrexate (methotrexate disodium) 2.5 mg oral tablet) ACCORD HEALTHCARE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7BA8" w:rsidRDefault="00FF7BA8" w:rsidP="002D260D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bookmarkStart w:id="0" w:name="_GoBack"/>
        <w:bookmarkEnd w:id="0"/>
      </w:tr>
    </w:tbl>
    <w:p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D8D" w:rsidRDefault="00636D8D" w:rsidP="00B11ACC">
      <w:pPr>
        <w:spacing w:after="0" w:line="240" w:lineRule="auto"/>
      </w:pPr>
      <w:r>
        <w:separator/>
      </w:r>
    </w:p>
  </w:endnote>
  <w:endnote w:type="continuationSeparator" w:id="0">
    <w:p w:rsidR="00636D8D" w:rsidRDefault="00636D8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D8D" w:rsidRDefault="00636D8D" w:rsidP="00B11ACC">
      <w:pPr>
        <w:spacing w:after="0" w:line="240" w:lineRule="auto"/>
      </w:pPr>
      <w:r>
        <w:separator/>
      </w:r>
    </w:p>
  </w:footnote>
  <w:footnote w:type="continuationSeparator" w:id="0">
    <w:p w:rsidR="00636D8D" w:rsidRDefault="00636D8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43FF"/>
    <w:rsid w:val="0003504C"/>
    <w:rsid w:val="0004012D"/>
    <w:rsid w:val="0004371B"/>
    <w:rsid w:val="000445B3"/>
    <w:rsid w:val="0005427F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A55"/>
    <w:rsid w:val="001257E3"/>
    <w:rsid w:val="0012783E"/>
    <w:rsid w:val="001300C0"/>
    <w:rsid w:val="00131EAF"/>
    <w:rsid w:val="00136C1C"/>
    <w:rsid w:val="00136F72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795C"/>
    <w:rsid w:val="001B4218"/>
    <w:rsid w:val="001B5312"/>
    <w:rsid w:val="001B7235"/>
    <w:rsid w:val="001C32A1"/>
    <w:rsid w:val="001D090E"/>
    <w:rsid w:val="001D5B71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62BD"/>
    <w:rsid w:val="00247FDA"/>
    <w:rsid w:val="002518A8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C36F6"/>
    <w:rsid w:val="002C7139"/>
    <w:rsid w:val="002C7160"/>
    <w:rsid w:val="002D01B3"/>
    <w:rsid w:val="002D260D"/>
    <w:rsid w:val="002D3F36"/>
    <w:rsid w:val="002D4661"/>
    <w:rsid w:val="002E00B2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2EC7"/>
    <w:rsid w:val="00393455"/>
    <w:rsid w:val="003A36E7"/>
    <w:rsid w:val="003A5CB4"/>
    <w:rsid w:val="003A6143"/>
    <w:rsid w:val="003B112C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7BFB"/>
    <w:rsid w:val="0041152F"/>
    <w:rsid w:val="004129A9"/>
    <w:rsid w:val="0041608F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E0AFC"/>
    <w:rsid w:val="004E131D"/>
    <w:rsid w:val="004E1399"/>
    <w:rsid w:val="004E13B6"/>
    <w:rsid w:val="004E2C6B"/>
    <w:rsid w:val="004E7AD5"/>
    <w:rsid w:val="004E7CA5"/>
    <w:rsid w:val="004F1348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FC9"/>
    <w:rsid w:val="005543A1"/>
    <w:rsid w:val="00563954"/>
    <w:rsid w:val="00566AA6"/>
    <w:rsid w:val="00566B5D"/>
    <w:rsid w:val="00567AE3"/>
    <w:rsid w:val="0057687A"/>
    <w:rsid w:val="00581B9A"/>
    <w:rsid w:val="00584370"/>
    <w:rsid w:val="005846B9"/>
    <w:rsid w:val="00586D72"/>
    <w:rsid w:val="005904EE"/>
    <w:rsid w:val="005905AE"/>
    <w:rsid w:val="00593298"/>
    <w:rsid w:val="0059474B"/>
    <w:rsid w:val="005A496D"/>
    <w:rsid w:val="005C0F84"/>
    <w:rsid w:val="005C6378"/>
    <w:rsid w:val="005C67C4"/>
    <w:rsid w:val="005C6F10"/>
    <w:rsid w:val="005C76E1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36D8D"/>
    <w:rsid w:val="00636DD7"/>
    <w:rsid w:val="00641AB2"/>
    <w:rsid w:val="00641AB7"/>
    <w:rsid w:val="00641EFE"/>
    <w:rsid w:val="00655845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804FA"/>
    <w:rsid w:val="00682C03"/>
    <w:rsid w:val="00684778"/>
    <w:rsid w:val="0068551E"/>
    <w:rsid w:val="00687A1C"/>
    <w:rsid w:val="00690A22"/>
    <w:rsid w:val="006910CA"/>
    <w:rsid w:val="00691CEB"/>
    <w:rsid w:val="00691F9F"/>
    <w:rsid w:val="0069386E"/>
    <w:rsid w:val="006B145F"/>
    <w:rsid w:val="006B214B"/>
    <w:rsid w:val="006B6469"/>
    <w:rsid w:val="006C2E05"/>
    <w:rsid w:val="006C4797"/>
    <w:rsid w:val="006C5248"/>
    <w:rsid w:val="006C5760"/>
    <w:rsid w:val="006D0DA5"/>
    <w:rsid w:val="006D4A0D"/>
    <w:rsid w:val="006D7AD2"/>
    <w:rsid w:val="006E122A"/>
    <w:rsid w:val="006F338C"/>
    <w:rsid w:val="006F33A5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7C05"/>
    <w:rsid w:val="00771116"/>
    <w:rsid w:val="00772CC9"/>
    <w:rsid w:val="00775660"/>
    <w:rsid w:val="00782DDE"/>
    <w:rsid w:val="00791D9C"/>
    <w:rsid w:val="007A0801"/>
    <w:rsid w:val="007A580A"/>
    <w:rsid w:val="007B5629"/>
    <w:rsid w:val="007D1969"/>
    <w:rsid w:val="007D1D43"/>
    <w:rsid w:val="007E7C1D"/>
    <w:rsid w:val="007F37F2"/>
    <w:rsid w:val="00800B2D"/>
    <w:rsid w:val="00807472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E4E"/>
    <w:rsid w:val="00863202"/>
    <w:rsid w:val="00876CD9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4D14"/>
    <w:rsid w:val="008C0484"/>
    <w:rsid w:val="008C6F1F"/>
    <w:rsid w:val="008C71C1"/>
    <w:rsid w:val="008D4C3D"/>
    <w:rsid w:val="008E3522"/>
    <w:rsid w:val="008F0E7C"/>
    <w:rsid w:val="008F4F55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63DA"/>
    <w:rsid w:val="009B223E"/>
    <w:rsid w:val="009B23AF"/>
    <w:rsid w:val="009B2554"/>
    <w:rsid w:val="009B56A3"/>
    <w:rsid w:val="009C0EE3"/>
    <w:rsid w:val="009C106E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795B"/>
    <w:rsid w:val="00A40901"/>
    <w:rsid w:val="00A41D00"/>
    <w:rsid w:val="00A542C1"/>
    <w:rsid w:val="00A5503C"/>
    <w:rsid w:val="00A55C9A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B3654"/>
    <w:rsid w:val="00AB5780"/>
    <w:rsid w:val="00AB7B5C"/>
    <w:rsid w:val="00AC4D97"/>
    <w:rsid w:val="00AD0B79"/>
    <w:rsid w:val="00AE14FA"/>
    <w:rsid w:val="00AE44BF"/>
    <w:rsid w:val="00AE4FB7"/>
    <w:rsid w:val="00AF62C4"/>
    <w:rsid w:val="00AF651D"/>
    <w:rsid w:val="00AF65B1"/>
    <w:rsid w:val="00AF76B1"/>
    <w:rsid w:val="00B00D7C"/>
    <w:rsid w:val="00B11554"/>
    <w:rsid w:val="00B11ACC"/>
    <w:rsid w:val="00B13316"/>
    <w:rsid w:val="00B13B13"/>
    <w:rsid w:val="00B21FC1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734EB"/>
    <w:rsid w:val="00B7761B"/>
    <w:rsid w:val="00B90A3C"/>
    <w:rsid w:val="00B929F1"/>
    <w:rsid w:val="00B92ED3"/>
    <w:rsid w:val="00B96F1D"/>
    <w:rsid w:val="00BA7658"/>
    <w:rsid w:val="00BB13F8"/>
    <w:rsid w:val="00BB26AA"/>
    <w:rsid w:val="00BB5D57"/>
    <w:rsid w:val="00BB6F85"/>
    <w:rsid w:val="00BC2E7C"/>
    <w:rsid w:val="00BC752C"/>
    <w:rsid w:val="00BC7554"/>
    <w:rsid w:val="00BC7D0F"/>
    <w:rsid w:val="00BC7E66"/>
    <w:rsid w:val="00BD25FD"/>
    <w:rsid w:val="00BE311B"/>
    <w:rsid w:val="00BE5815"/>
    <w:rsid w:val="00BF014C"/>
    <w:rsid w:val="00BF13A6"/>
    <w:rsid w:val="00BF7DB9"/>
    <w:rsid w:val="00C03A1E"/>
    <w:rsid w:val="00C148CF"/>
    <w:rsid w:val="00C158E8"/>
    <w:rsid w:val="00C17E5A"/>
    <w:rsid w:val="00C17F1B"/>
    <w:rsid w:val="00C25F1D"/>
    <w:rsid w:val="00C32CCF"/>
    <w:rsid w:val="00C4380F"/>
    <w:rsid w:val="00C44C5A"/>
    <w:rsid w:val="00C458F3"/>
    <w:rsid w:val="00C47CCE"/>
    <w:rsid w:val="00C50294"/>
    <w:rsid w:val="00C51AA1"/>
    <w:rsid w:val="00C5443E"/>
    <w:rsid w:val="00C66164"/>
    <w:rsid w:val="00C67677"/>
    <w:rsid w:val="00C74782"/>
    <w:rsid w:val="00C74CF8"/>
    <w:rsid w:val="00C75B36"/>
    <w:rsid w:val="00C82FB7"/>
    <w:rsid w:val="00C8342D"/>
    <w:rsid w:val="00C83EAF"/>
    <w:rsid w:val="00C9401F"/>
    <w:rsid w:val="00C970E3"/>
    <w:rsid w:val="00C97FD1"/>
    <w:rsid w:val="00CA54B4"/>
    <w:rsid w:val="00CA5A7E"/>
    <w:rsid w:val="00CB1CFD"/>
    <w:rsid w:val="00CB219C"/>
    <w:rsid w:val="00CC48EF"/>
    <w:rsid w:val="00CC4FA7"/>
    <w:rsid w:val="00CC6AEE"/>
    <w:rsid w:val="00CD15A1"/>
    <w:rsid w:val="00CE594D"/>
    <w:rsid w:val="00CE6617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D16"/>
    <w:rsid w:val="00D77983"/>
    <w:rsid w:val="00D77A1F"/>
    <w:rsid w:val="00D8234D"/>
    <w:rsid w:val="00D82F3D"/>
    <w:rsid w:val="00D853DB"/>
    <w:rsid w:val="00D86D4A"/>
    <w:rsid w:val="00D87ABD"/>
    <w:rsid w:val="00D97DF6"/>
    <w:rsid w:val="00DB0BC1"/>
    <w:rsid w:val="00DB18B3"/>
    <w:rsid w:val="00DB4817"/>
    <w:rsid w:val="00DC18AF"/>
    <w:rsid w:val="00DC22CD"/>
    <w:rsid w:val="00DD66B6"/>
    <w:rsid w:val="00DE51DF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89E"/>
    <w:rsid w:val="00EA7460"/>
    <w:rsid w:val="00EB13E4"/>
    <w:rsid w:val="00EB7A9F"/>
    <w:rsid w:val="00EC2E04"/>
    <w:rsid w:val="00EC42EA"/>
    <w:rsid w:val="00EC4758"/>
    <w:rsid w:val="00ED3A3C"/>
    <w:rsid w:val="00ED7202"/>
    <w:rsid w:val="00EE0CC3"/>
    <w:rsid w:val="00EE513F"/>
    <w:rsid w:val="00EF05FA"/>
    <w:rsid w:val="00EF5CC2"/>
    <w:rsid w:val="00EF6138"/>
    <w:rsid w:val="00F05E0E"/>
    <w:rsid w:val="00F12DC7"/>
    <w:rsid w:val="00F134BA"/>
    <w:rsid w:val="00F22412"/>
    <w:rsid w:val="00F22683"/>
    <w:rsid w:val="00F24C14"/>
    <w:rsid w:val="00F24C7F"/>
    <w:rsid w:val="00F24F18"/>
    <w:rsid w:val="00F27374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8094D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E6E16"/>
    <w:rsid w:val="00FF272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BAB0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BA96B4-8102-43A3-B676-199902845967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8adf55b2-e31d-42df-b888-bc8005a32aed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29B5D01-A801-4EA4-93C5-D2175D783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6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Raghuveer, Anjana (HC/SC)</cp:lastModifiedBy>
  <cp:revision>47</cp:revision>
  <dcterms:created xsi:type="dcterms:W3CDTF">2020-12-03T16:07:00Z</dcterms:created>
  <dcterms:modified xsi:type="dcterms:W3CDTF">2021-11-01T18:31:00Z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