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B48A4">
        <w:rPr>
          <w:b/>
          <w:color w:val="4472C4" w:themeColor="accent1"/>
        </w:rPr>
        <w:t>MAY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</w:t>
      </w:r>
      <w:r w:rsidR="00EB48A4">
        <w:rPr>
          <w:color w:val="FF0000"/>
        </w:rPr>
        <w:t>502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405F2C" w:rsidP="00C97FD1">
            <w:r>
              <w:t>A.Raghuveer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405F2C" w:rsidP="00EB48A4">
            <w:r>
              <w:t>J.Hutsul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405F2C" w:rsidRPr="00E40790" w:rsidTr="00400BD7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8002179</w:t>
            </w:r>
          </w:p>
        </w:tc>
        <w:tc>
          <w:tcPr>
            <w:tcW w:w="7701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camphor and eucalyptol and guaiacol</w:t>
            </w:r>
          </w:p>
        </w:tc>
      </w:tr>
      <w:tr w:rsidR="00405F2C" w:rsidRPr="00E40790" w:rsidTr="001651E2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8001487</w:t>
            </w:r>
          </w:p>
        </w:tc>
        <w:tc>
          <w:tcPr>
            <w:tcW w:w="7701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levocabastine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F82BD6" w:rsidRPr="00D86E2B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F35E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4A2312" w:rsidP="004A23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A2312">
              <w:rPr>
                <w:rFonts w:cstheme="minorHAnsi"/>
                <w:szCs w:val="20"/>
              </w:rPr>
              <w:t>NONE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B05264" w:rsidRDefault="00F82BD6" w:rsidP="00F35EE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D86E2B" w:rsidRDefault="00B7203A" w:rsidP="00F35EEB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</w:t>
            </w:r>
            <w:r w:rsidR="00D86E2B">
              <w:rPr>
                <w:rFonts w:cstheme="minorHAnsi"/>
                <w:lang w:val="fr-CA"/>
              </w:rPr>
              <w:t>eprec</w:t>
            </w:r>
          </w:p>
        </w:tc>
      </w:tr>
    </w:tbl>
    <w:p w:rsidR="004E7CA5" w:rsidRPr="00D86E2B" w:rsidRDefault="004E7CA5" w:rsidP="004E7CA5">
      <w:pPr>
        <w:rPr>
          <w:lang w:val="fr-CA"/>
        </w:rPr>
      </w:pPr>
    </w:p>
    <w:p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137A31" w:rsidP="005724AF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9001777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camphor 20 mg and eucalyptol 185 mg and guaiacol 90 mg and guaiacol carbonate 100 mg suppository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9002063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camphor 40 mg and eucalyptol 370 mg and guaiacol 180 mg and guaiacol carbonate 200 mg suppository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9013540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collagenase clostridium histolyticum 0.9 mg per vial powder for solution for injection with diluent solution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9000246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erythromycin 250 mg oral tablet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9013697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levocabastine (levocabastine hydrochloride) 0.05 mg per actuation nasal spray</w:t>
            </w:r>
          </w:p>
        </w:tc>
      </w:tr>
      <w:tr w:rsidR="00405F2C" w:rsidRPr="00E442DB" w:rsidTr="007801AB">
        <w:trPr>
          <w:trHeight w:val="315"/>
        </w:trPr>
        <w:tc>
          <w:tcPr>
            <w:tcW w:w="1083" w:type="dxa"/>
            <w:vAlign w:val="bottom"/>
          </w:tcPr>
          <w:p w:rsidR="00405F2C" w:rsidRDefault="00405F2C" w:rsidP="00405F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9013992</w:t>
            </w:r>
          </w:p>
        </w:tc>
        <w:tc>
          <w:tcPr>
            <w:tcW w:w="7843" w:type="dxa"/>
            <w:vAlign w:val="bottom"/>
          </w:tcPr>
          <w:p w:rsidR="00405F2C" w:rsidRDefault="00405F2C" w:rsidP="00405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suvorexant 15 mg oral tablet</w:t>
            </w:r>
          </w:p>
        </w:tc>
      </w:tr>
    </w:tbl>
    <w:p w:rsidR="008A469B" w:rsidRPr="004F6FB6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lastRenderedPageBreak/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:rsidR="00221352" w:rsidRPr="00F35EEB" w:rsidRDefault="00221352" w:rsidP="00221352">
      <w:pPr>
        <w:rPr>
          <w:lang w:val="en-CA"/>
        </w:rPr>
      </w:pPr>
    </w:p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  <w:bookmarkStart w:id="0" w:name="_GoBack"/>
      <w:bookmarkEnd w:id="0"/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9C2C28" w:rsidRPr="008138B1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nil"/>
            </w:tcBorders>
            <w:vAlign w:val="bottom"/>
          </w:tcPr>
          <w:p w:rsidR="009C2C28" w:rsidRPr="00B05264" w:rsidRDefault="009C2C28" w:rsidP="009C2C28">
            <w:pPr>
              <w:jc w:val="right"/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101427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C2C28" w:rsidRPr="00B05264" w:rsidRDefault="008765C4" w:rsidP="009C2C28">
            <w:pPr>
              <w:jc w:val="right"/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0</w:t>
            </w:r>
            <w:r w:rsidR="009C2C28" w:rsidRPr="00B05264">
              <w:rPr>
                <w:rFonts w:cstheme="minorHAnsi"/>
                <w:szCs w:val="20"/>
              </w:rPr>
              <w:t>2525267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C2C28" w:rsidRPr="00B05264" w:rsidRDefault="009C2C28" w:rsidP="009C2C28">
            <w:pPr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BIMZELX (bimekizumab 160 mg per 1 mL solution for injection syringe) UCB CANADA INC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C2C28" w:rsidRPr="00B05264" w:rsidRDefault="009C2C28" w:rsidP="009C2C28">
            <w:pPr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PRE-FILLED SYRINGE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C2C28" w:rsidRPr="00B05264" w:rsidRDefault="009C2C28" w:rsidP="009C2C28">
            <w:pPr>
              <w:rPr>
                <w:rFonts w:cstheme="minorHAnsi"/>
                <w:szCs w:val="20"/>
                <w:lang w:val="en-CA"/>
              </w:rPr>
            </w:pPr>
            <w:r w:rsidRPr="00B05264">
              <w:rPr>
                <w:rFonts w:cstheme="minorHAnsi"/>
                <w:szCs w:val="20"/>
              </w:rPr>
              <w:t>SERINGUE PRÉREMPLIE</w:t>
            </w:r>
          </w:p>
        </w:tc>
      </w:tr>
      <w:tr w:rsidR="009C2C28" w:rsidRPr="008138B1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9C2C28" w:rsidRPr="00B05264" w:rsidRDefault="009C2C28" w:rsidP="009C2C28">
            <w:pPr>
              <w:jc w:val="right"/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101428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vAlign w:val="bottom"/>
          </w:tcPr>
          <w:p w:rsidR="009C2C28" w:rsidRPr="00B05264" w:rsidRDefault="008765C4" w:rsidP="009C2C28">
            <w:pPr>
              <w:jc w:val="right"/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0</w:t>
            </w:r>
            <w:r w:rsidR="009C2C28" w:rsidRPr="00B05264">
              <w:rPr>
                <w:rFonts w:cstheme="minorHAnsi"/>
                <w:szCs w:val="20"/>
              </w:rPr>
              <w:t>2525275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vAlign w:val="bottom"/>
          </w:tcPr>
          <w:p w:rsidR="009C2C28" w:rsidRPr="00B05264" w:rsidRDefault="009C2C28" w:rsidP="009C2C28">
            <w:pPr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BIMZELX (bimekizumab 160 mg per 1 mL solution for injection syringe) UCB CANADA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9C2C28" w:rsidRPr="00B05264" w:rsidRDefault="009C2C28" w:rsidP="009C2C28">
            <w:pPr>
              <w:rPr>
                <w:rFonts w:cstheme="minorHAnsi"/>
                <w:szCs w:val="20"/>
              </w:rPr>
            </w:pPr>
            <w:r w:rsidRPr="00B05264">
              <w:rPr>
                <w:rFonts w:cstheme="minorHAnsi"/>
                <w:szCs w:val="20"/>
              </w:rPr>
              <w:t>AUTOINJECTOR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C2C28" w:rsidRPr="00B05264" w:rsidRDefault="009C2C28" w:rsidP="009C2C28">
            <w:pPr>
              <w:rPr>
                <w:rFonts w:cstheme="minorHAnsi"/>
                <w:szCs w:val="20"/>
                <w:lang w:val="en-CA"/>
              </w:rPr>
            </w:pPr>
            <w:r w:rsidRPr="00B05264">
              <w:rPr>
                <w:rFonts w:cstheme="minorHAnsi"/>
                <w:szCs w:val="20"/>
              </w:rPr>
              <w:t>AUTOINJECTEUR</w:t>
            </w: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2122286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AFTERBURN (lidocaine hydrochloride 0.5 % cutaneous gel) TENDER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476242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ANUGESIC-HC SUPPOSITORIES (hydrocortisone acetate 10 mg and pramoxine hydrochloride 20 mg and zinc sulfate 10 mg suppository) MCNEIL CONSUMER HEALTHCARE DIVISION OF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2022.04.07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755877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APO-PINDOL TAB 5MG (pindolol 5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2022.03.19</w:t>
            </w:r>
          </w:p>
        </w:tc>
      </w:tr>
      <w:tr w:rsidR="00B05264" w:rsidRPr="00B05264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73941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2254514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Pr="0055297C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5297C">
              <w:rPr>
                <w:rFonts w:ascii="Arial" w:hAnsi="Arial" w:cs="Arial"/>
                <w:sz w:val="20"/>
                <w:szCs w:val="20"/>
                <w:lang w:val="fr-CA"/>
              </w:rPr>
              <w:t>APO-QUININE (quinine sulfate 200 mg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2022.04.17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BACITRACIN USP (bacitracin 50000 unit per vial powder for solution for injection)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97390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2483521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BELSOMRA (suvorexant 15 mg oral tablet)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2022.04.07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319716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DEMO-CINEOL ADULTES/ADULTS (camphor 40 mg and eucalyptol 370 mg and guaiacol 180 mg and guaiacol carbonate 200 mg suppository) LABORATOIRES CONFAB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2021.06.23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319724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DEMO-CINEOL ENFANTS/CHILDREN (camphor 20 mg and eucalyptol 185 mg and guaiacol 90 mg and guaiacol carbonate 100 mg suppository) LABORATOIRES CONFAB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2021.06.23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2445999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CD (diltiazem hydrochloride 120 mg prolonged-release oral capsule)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2022.04.20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2446006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CD (diltiazem hydrochloride 180 mg prolonged-release oral capsule)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2022.04.06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2446014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CD (diltiazem hydrochloride 240 mg prolonged-release oral capsule)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682020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ERYTHRO-BASE (erythromycin 250 mg oral tablet) AA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2022.02.19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2439727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IBUPROFEN CAPLETS (ibuprofen 200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2022.03.16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2020017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LIVOSTIN SUS NAS 0.5MG/ML (levocabastine (levocabastine hydrochloride) 0.05 mg per actuation nasal spray)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2063662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MACROBID (nitrofurantoin 100 mg oral capsule)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90845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2423758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MIDAZOLAM INJECTION (midazolam 5 mg per 5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81124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2325896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PEPTO-BISMOL WITH INSTACOOL (bismuth subsalicylate 262 mg chewable tablet) PROCTER &amp; GAMBLE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66260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2242513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SOLUPREP AQ (chlorhexidine gluconate 2 % cutaneous solution) 3M CANADA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2022.04.05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91136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2426803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TRAMADOL/ACET (acetaminophen 325 mg and tramadol hydrochloride 37.5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584223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TRANSDERM-NITRO 0.2 (nitroglycerin 0.2 mg per hour transdermal patch)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852384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TRANSDERM-NITRO 0.4 (nitroglycerin 0.4 mg per hour transdermal patch)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2046156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TRANSDERM-NITRO 0.6 (nitroglycerin 0.6 mg per hour transdermal patch)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2022.02.28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2163918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TYLENOL WITH CODEINE NO. 4 (acetaminophen 300 mg and codeine phosphate 60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05264" w:rsidRPr="000F72B0" w:rsidTr="0055297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87384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2388316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XIAFLEX (collagenase clostridium histolyticum 0.9 mg per vial powder for solution for injection with diluent solution) ENDO VENTURES LTD.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05264" w:rsidRDefault="00B05264" w:rsidP="00B052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</w:tbl>
    <w:p w:rsidR="001B7235" w:rsidRPr="0055297C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4569E">
        <w:t>APRIL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0C6A87" w:rsidRPr="008A281D" w:rsidTr="00B44F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6212D5" w:rsidRDefault="000C6A87" w:rsidP="000C6A87">
            <w:r w:rsidRPr="006212D5">
              <w:t>aef2643d2c66d371824e97d329e08e3c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Default="000C6A87" w:rsidP="000C6A87">
            <w:r w:rsidRPr="006212D5">
              <w:t>arsenic trioxide 10 mg per 10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9651F1" w:rsidRDefault="000C6A87" w:rsidP="000C6A87">
            <w:r w:rsidRPr="009651F1">
              <w:t>100263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9651F1" w:rsidRDefault="000C6A87" w:rsidP="000C6A87">
            <w:r>
              <w:t>0</w:t>
            </w:r>
            <w:r w:rsidRPr="009651F1">
              <w:t>2513420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Default="000C6A87" w:rsidP="000C6A87">
            <w:pPr>
              <w:spacing w:after="0"/>
            </w:pPr>
            <w:r w:rsidRPr="009651F1">
              <w:t>ARSENIC TRIOXIDE FOR INJECTION (arsenic trioxide 10 mg per 10 mL solution for injection) SANDOZ CANADA INCORPORATED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6A87" w:rsidRDefault="00C040F3" w:rsidP="000C6A8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C040F3" w:rsidRPr="008A281D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lastRenderedPageBreak/>
              <w:t>bc3e335a15d2a8f90bfd53688810dd22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tralokinumab 150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101050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AD2D3E" w:rsidP="00B05264">
            <w:pPr>
              <w:spacing w:after="0"/>
            </w:pPr>
            <w:r>
              <w:t>0</w:t>
            </w:r>
            <w:r w:rsidR="00C040F3" w:rsidRPr="00C040F3">
              <w:t>2521288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ADTRALZA (tralokinumab 150 mg per mL solution for injection) LEO PHARMA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040F3" w:rsidRDefault="00C040F3" w:rsidP="00C040F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C040F3" w:rsidRPr="008A281D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39da151b771d94be51484350d657374e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medroxyprogesterone acetate 150 mg per mL suspension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101256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AD2D3E" w:rsidP="00B05264">
            <w:pPr>
              <w:spacing w:after="0"/>
            </w:pPr>
            <w:r>
              <w:t>0</w:t>
            </w:r>
            <w:r w:rsidR="00C040F3" w:rsidRPr="00C040F3">
              <w:t>2523493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DEPO-PROVERA (medroxyprogesterone acetate 150 mg per mL suspension for injection)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040F3" w:rsidRDefault="00C040F3" w:rsidP="00B05264">
            <w:pPr>
              <w:spacing w:after="0"/>
            </w:pPr>
            <w:r w:rsidRPr="004958CF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C040F3" w:rsidRPr="008A281D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6212D5" w:rsidRDefault="00C040F3" w:rsidP="00B05264">
            <w:pPr>
              <w:spacing w:after="0"/>
            </w:pPr>
            <w:r w:rsidRPr="00C040F3">
              <w:t>6a04a25064accba5a5c7c418fc45e177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6212D5" w:rsidRDefault="00C040F3" w:rsidP="00B05264">
            <w:pPr>
              <w:spacing w:after="0"/>
            </w:pPr>
            <w:r w:rsidRPr="00C040F3">
              <w:t>glecaprevir 50 mg per sachet and pibrentasvir 20 mg per sachet granules for oral suspension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101158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AD2D3E" w:rsidP="00B05264">
            <w:pPr>
              <w:spacing w:after="0"/>
            </w:pPr>
            <w:r>
              <w:t>0</w:t>
            </w:r>
            <w:r w:rsidR="00C040F3" w:rsidRPr="00C040F3">
              <w:t>2522470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F3" w:rsidRPr="00C040F3" w:rsidRDefault="00C040F3" w:rsidP="00B05264">
            <w:pPr>
              <w:spacing w:after="0"/>
            </w:pPr>
            <w:r w:rsidRPr="00C040F3">
              <w:t>MAVIRET (glecaprevir 50 mg per sachet and pibrentasvir 20 mg per sachet granules for oral suspension) ABBVIE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040F3" w:rsidRDefault="00C040F3" w:rsidP="00B05264">
            <w:pPr>
              <w:spacing w:after="0"/>
            </w:pPr>
            <w:r w:rsidRPr="004958CF"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2312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297C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D5B0B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32CCF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6E2B"/>
    <w:rsid w:val="00D87ABD"/>
    <w:rsid w:val="00D97DF6"/>
    <w:rsid w:val="00DB0BC1"/>
    <w:rsid w:val="00DB18B3"/>
    <w:rsid w:val="00DB4817"/>
    <w:rsid w:val="00DC18AF"/>
    <w:rsid w:val="00DC22CD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48A4"/>
    <w:rsid w:val="00EB7A9F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954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adf55b2-e31d-42df-b888-bc8005a32ae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47589-C9F6-4C42-9070-FDF338A7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2</cp:revision>
  <dcterms:created xsi:type="dcterms:W3CDTF">2022-05-03T14:53:00Z</dcterms:created>
  <dcterms:modified xsi:type="dcterms:W3CDTF">2022-05-03T14:53:00Z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