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36705613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B2137E">
        <w:rPr>
          <w:b/>
          <w:color w:val="4472C4" w:themeColor="accent1"/>
        </w:rPr>
        <w:t>JULY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14:paraId="16E1B331" w14:textId="385C87C1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20</w:t>
      </w:r>
      <w:r w:rsidR="00B2137E">
        <w:rPr>
          <w:color w:val="FF0000"/>
        </w:rPr>
        <w:t>7</w:t>
      </w:r>
      <w:r w:rsidR="00766C92">
        <w:rPr>
          <w:color w:val="FF0000"/>
        </w:rPr>
        <w:t>0</w:t>
      </w:r>
      <w:r w:rsidR="00B2137E">
        <w:rPr>
          <w:color w:val="FF0000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3511EF28" w:rsidR="00C97FD1" w:rsidRDefault="00D849DE" w:rsidP="00C97FD1">
            <w:r>
              <w:t>Jo-Anne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50D0C8DC" w:rsidR="00C97FD1" w:rsidRDefault="00C97FD1" w:rsidP="00EB48A4"/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77777777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77777777"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77777777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797A16" w:rsidRPr="00E40790" w14:paraId="6B7A012A" w14:textId="77777777" w:rsidTr="00766C07">
        <w:trPr>
          <w:trHeight w:val="315"/>
        </w:trPr>
        <w:tc>
          <w:tcPr>
            <w:tcW w:w="1083" w:type="dxa"/>
          </w:tcPr>
          <w:p w14:paraId="13B297FA" w14:textId="4248EA1E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A6B9F">
              <w:t>8001267</w:t>
            </w:r>
          </w:p>
        </w:tc>
        <w:tc>
          <w:tcPr>
            <w:tcW w:w="7701" w:type="dxa"/>
          </w:tcPr>
          <w:p w14:paraId="457D1ACD" w14:textId="024A45C3" w:rsidR="00797A16" w:rsidRPr="00C27DEA" w:rsidRDefault="00797A16" w:rsidP="00797A16">
            <w:pPr>
              <w:rPr>
                <w:rFonts w:cstheme="minorHAnsi"/>
                <w:sz w:val="20"/>
                <w:szCs w:val="20"/>
              </w:rPr>
            </w:pPr>
            <w:r w:rsidRPr="00DA6B9F">
              <w:t>etidronate</w:t>
            </w:r>
          </w:p>
        </w:tc>
      </w:tr>
      <w:tr w:rsidR="00797A16" w:rsidRPr="00E40790" w14:paraId="0050645D" w14:textId="77777777" w:rsidTr="00766C07">
        <w:trPr>
          <w:trHeight w:val="315"/>
        </w:trPr>
        <w:tc>
          <w:tcPr>
            <w:tcW w:w="1083" w:type="dxa"/>
          </w:tcPr>
          <w:p w14:paraId="779C34A1" w14:textId="7662FA8A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A6B9F">
              <w:t>8002121</w:t>
            </w:r>
          </w:p>
        </w:tc>
        <w:tc>
          <w:tcPr>
            <w:tcW w:w="7701" w:type="dxa"/>
          </w:tcPr>
          <w:p w14:paraId="3E9BF69B" w14:textId="4E3282E2" w:rsidR="00797A16" w:rsidRPr="00C27DEA" w:rsidRDefault="00797A16" w:rsidP="00797A16">
            <w:pPr>
              <w:rPr>
                <w:rFonts w:cstheme="minorHAnsi"/>
                <w:sz w:val="20"/>
                <w:szCs w:val="20"/>
              </w:rPr>
            </w:pPr>
            <w:r w:rsidRPr="00DA6B9F">
              <w:t>gentian violet</w:t>
            </w:r>
          </w:p>
        </w:tc>
      </w:tr>
      <w:tr w:rsidR="00797A16" w:rsidRPr="00E40790" w14:paraId="22CCDE69" w14:textId="77777777" w:rsidTr="00766C07">
        <w:trPr>
          <w:trHeight w:val="315"/>
        </w:trPr>
        <w:tc>
          <w:tcPr>
            <w:tcW w:w="1083" w:type="dxa"/>
          </w:tcPr>
          <w:p w14:paraId="2F658F6C" w14:textId="4E5DE3F9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754A2">
              <w:t>8000892</w:t>
            </w:r>
          </w:p>
        </w:tc>
        <w:tc>
          <w:tcPr>
            <w:tcW w:w="7701" w:type="dxa"/>
          </w:tcPr>
          <w:p w14:paraId="663BE4FE" w14:textId="02FFB874" w:rsidR="00797A16" w:rsidRPr="00C27DEA" w:rsidRDefault="00797A16" w:rsidP="00797A16">
            <w:pPr>
              <w:rPr>
                <w:rFonts w:cstheme="minorHAnsi"/>
                <w:sz w:val="20"/>
                <w:szCs w:val="20"/>
              </w:rPr>
            </w:pPr>
            <w:r w:rsidRPr="00C754A2">
              <w:t>sodium citrate and sodium lauryl sulfoacetate and sorbitol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5D73EE" w:rsidRPr="005D73EE" w14:paraId="4304342B" w14:textId="77777777" w:rsidTr="00B05264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4B8915EB" w:rsidR="005D73EE" w:rsidRDefault="005D73EE" w:rsidP="005D73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071AAC91" w:rsidR="005D73EE" w:rsidRDefault="00B2137E" w:rsidP="005D73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18641443" w:rsidR="005D73EE" w:rsidRPr="00B05264" w:rsidRDefault="005D73EE" w:rsidP="005D73E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4B68047" w:rsidR="005D73EE" w:rsidRPr="00D86E2B" w:rsidRDefault="005D73EE" w:rsidP="005D73EE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3F594A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3F59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3F594A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625190DA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3F59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Pr="00B2137E" w:rsidRDefault="00854821" w:rsidP="003F594A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27DB5163" w14:textId="77777777" w:rsidTr="003F594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3F594A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3F59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Pr="00B2137E" w:rsidRDefault="00854821" w:rsidP="003F594A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14:paraId="7B48C344" w14:textId="77777777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F9E" w14:textId="3EA47C3F" w:rsidR="004F6FB6" w:rsidRPr="002C59B8" w:rsidRDefault="00797A16" w:rsidP="005724AF">
            <w:pPr>
              <w:spacing w:after="0"/>
            </w:pPr>
            <w:r w:rsidRPr="00797A16">
              <w:t>9014432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67D8" w14:textId="4528D1AF" w:rsidR="004F6FB6" w:rsidRPr="00782C17" w:rsidRDefault="00797A16" w:rsidP="00797A16">
            <w:pPr>
              <w:spacing w:after="0"/>
            </w:pPr>
            <w:r w:rsidRPr="00797A16">
              <w:t>elasomeran 0.2 mg per mL dispersion for injection 5 mL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7BF8" w14:textId="716743E9" w:rsidR="004F6FB6" w:rsidRPr="006D32E7" w:rsidRDefault="00797A16" w:rsidP="005724AF">
            <w:pPr>
              <w:spacing w:after="0"/>
            </w:pPr>
            <w:r w:rsidRPr="00797A16">
              <w:t>0ea5c07d6f8ef11b246883f884a5348f</w:t>
            </w: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797A16" w:rsidRPr="00E442DB" w14:paraId="2E8CC684" w14:textId="77777777" w:rsidTr="004E03E5">
        <w:trPr>
          <w:trHeight w:val="315"/>
        </w:trPr>
        <w:tc>
          <w:tcPr>
            <w:tcW w:w="1083" w:type="dxa"/>
          </w:tcPr>
          <w:p w14:paraId="0FF7DD40" w14:textId="5B1C1E99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D15EA">
              <w:t>9003335</w:t>
            </w:r>
          </w:p>
        </w:tc>
        <w:tc>
          <w:tcPr>
            <w:tcW w:w="7843" w:type="dxa"/>
          </w:tcPr>
          <w:p w14:paraId="32EFA4A9" w14:textId="60CEAEC5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9D15EA">
              <w:t>desmopressin acetate 150 mcg per actuation nasal spray</w:t>
            </w:r>
          </w:p>
        </w:tc>
      </w:tr>
      <w:tr w:rsidR="00797A16" w:rsidRPr="00E442DB" w14:paraId="34659909" w14:textId="77777777" w:rsidTr="004E03E5">
        <w:trPr>
          <w:trHeight w:val="315"/>
        </w:trPr>
        <w:tc>
          <w:tcPr>
            <w:tcW w:w="1083" w:type="dxa"/>
          </w:tcPr>
          <w:p w14:paraId="78FDED03" w14:textId="3361DAEC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77BE">
              <w:t>9003971</w:t>
            </w:r>
          </w:p>
        </w:tc>
        <w:tc>
          <w:tcPr>
            <w:tcW w:w="7843" w:type="dxa"/>
          </w:tcPr>
          <w:p w14:paraId="407A719E" w14:textId="4C18696C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4E77BE">
              <w:t>etidronate disodium 200 mg oral tablet</w:t>
            </w:r>
          </w:p>
        </w:tc>
      </w:tr>
      <w:tr w:rsidR="00797A16" w:rsidRPr="00E442DB" w14:paraId="5049B77D" w14:textId="77777777" w:rsidTr="004E03E5">
        <w:trPr>
          <w:trHeight w:val="315"/>
        </w:trPr>
        <w:tc>
          <w:tcPr>
            <w:tcW w:w="1083" w:type="dxa"/>
          </w:tcPr>
          <w:p w14:paraId="1553D5C6" w14:textId="5F913E55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77BE">
              <w:t>9013820</w:t>
            </w:r>
          </w:p>
        </w:tc>
        <w:tc>
          <w:tcPr>
            <w:tcW w:w="7843" w:type="dxa"/>
          </w:tcPr>
          <w:p w14:paraId="4C3CB71D" w14:textId="62112482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4E77BE">
              <w:t>gentian violet 1 % cutaneous solution</w:t>
            </w:r>
          </w:p>
        </w:tc>
      </w:tr>
      <w:tr w:rsidR="00797A16" w:rsidRPr="00E442DB" w14:paraId="32113F40" w14:textId="77777777" w:rsidTr="004E03E5">
        <w:trPr>
          <w:trHeight w:val="315"/>
        </w:trPr>
        <w:tc>
          <w:tcPr>
            <w:tcW w:w="1083" w:type="dxa"/>
          </w:tcPr>
          <w:p w14:paraId="1A6EE9DA" w14:textId="46B28311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77BE">
              <w:t>9013578</w:t>
            </w:r>
          </w:p>
        </w:tc>
        <w:tc>
          <w:tcPr>
            <w:tcW w:w="7843" w:type="dxa"/>
          </w:tcPr>
          <w:p w14:paraId="2C0E0CE4" w14:textId="495AF5F9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4E77BE">
              <w:t>methylene blue 50 mg per 5 mL solution for injection ampoule</w:t>
            </w:r>
          </w:p>
        </w:tc>
      </w:tr>
      <w:tr w:rsidR="00797A16" w:rsidRPr="00E442DB" w14:paraId="3736FF86" w14:textId="77777777" w:rsidTr="004E03E5">
        <w:trPr>
          <w:trHeight w:val="315"/>
        </w:trPr>
        <w:tc>
          <w:tcPr>
            <w:tcW w:w="1083" w:type="dxa"/>
          </w:tcPr>
          <w:p w14:paraId="362307A9" w14:textId="419B2048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77BE">
              <w:t>9000739</w:t>
            </w:r>
          </w:p>
        </w:tc>
        <w:tc>
          <w:tcPr>
            <w:tcW w:w="7843" w:type="dxa"/>
          </w:tcPr>
          <w:p w14:paraId="78E9AA4B" w14:textId="7732474A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4E77BE">
              <w:t>morphine sulfate 30 mg suppository</w:t>
            </w:r>
          </w:p>
        </w:tc>
      </w:tr>
      <w:tr w:rsidR="00797A16" w:rsidRPr="00E442DB" w14:paraId="7A6F295F" w14:textId="77777777" w:rsidTr="004E03E5">
        <w:trPr>
          <w:trHeight w:val="315"/>
        </w:trPr>
        <w:tc>
          <w:tcPr>
            <w:tcW w:w="1083" w:type="dxa"/>
          </w:tcPr>
          <w:p w14:paraId="54E7610C" w14:textId="5EE5D99E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77BE">
              <w:t>9002216</w:t>
            </w:r>
          </w:p>
        </w:tc>
        <w:tc>
          <w:tcPr>
            <w:tcW w:w="7843" w:type="dxa"/>
          </w:tcPr>
          <w:p w14:paraId="4B82F7F4" w14:textId="32DA666E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4E77BE">
              <w:t>prednisolone acetate 0.2 % and sulfacetamide sodium 10 % ophthalmic drops</w:t>
            </w:r>
          </w:p>
        </w:tc>
      </w:tr>
      <w:tr w:rsidR="00797A16" w:rsidRPr="00E442DB" w14:paraId="45C0336B" w14:textId="77777777" w:rsidTr="004E03E5">
        <w:trPr>
          <w:trHeight w:val="315"/>
        </w:trPr>
        <w:tc>
          <w:tcPr>
            <w:tcW w:w="1083" w:type="dxa"/>
          </w:tcPr>
          <w:p w14:paraId="63881949" w14:textId="7F98503D" w:rsidR="00797A16" w:rsidRDefault="00797A16" w:rsidP="00797A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77BE">
              <w:t>9013838</w:t>
            </w:r>
          </w:p>
        </w:tc>
        <w:tc>
          <w:tcPr>
            <w:tcW w:w="7843" w:type="dxa"/>
          </w:tcPr>
          <w:p w14:paraId="773EF815" w14:textId="114B42E7" w:rsidR="00797A16" w:rsidRPr="00DD6695" w:rsidRDefault="00797A16" w:rsidP="00797A16">
            <w:pPr>
              <w:rPr>
                <w:rFonts w:cstheme="minorHAnsi"/>
                <w:szCs w:val="20"/>
              </w:rPr>
            </w:pPr>
            <w:r w:rsidRPr="004E77BE">
              <w:t>sodium citrate 450 mg per 5 mL and sodium lauryl sulfoacetate 45 mg per 5 mL and sorbitol 3125 mg per 5 mL rectal solution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Default="00221352" w:rsidP="00221352">
      <w:pPr>
        <w:rPr>
          <w:lang w:val="en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3F594A">
            <w:pPr>
              <w:rPr>
                <w:b/>
              </w:rPr>
            </w:pPr>
            <w:r w:rsidRPr="00A75047">
              <w:rPr>
                <w:b/>
              </w:rPr>
              <w:lastRenderedPageBreak/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3F594A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3F594A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3F594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B05264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5C78FF" w:rsidRPr="008138B1" w14:paraId="22CD38CF" w14:textId="77777777" w:rsidTr="00797A16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nil"/>
            </w:tcBorders>
          </w:tcPr>
          <w:p w14:paraId="226B9501" w14:textId="0063C7C5" w:rsidR="005C78FF" w:rsidRPr="00B05264" w:rsidRDefault="005C78FF" w:rsidP="005C78FF">
            <w:pPr>
              <w:rPr>
                <w:rFonts w:cstheme="minorHAnsi"/>
                <w:szCs w:val="20"/>
              </w:rPr>
            </w:pPr>
            <w:r w:rsidRPr="009B16B7">
              <w:t>101706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400183" w14:textId="16F6A118" w:rsidR="005C78FF" w:rsidRPr="00B05264" w:rsidRDefault="005C78FF" w:rsidP="005C78FF">
            <w:pPr>
              <w:rPr>
                <w:rFonts w:cstheme="minorHAnsi"/>
                <w:szCs w:val="20"/>
              </w:rPr>
            </w:pPr>
            <w:r>
              <w:t>0</w:t>
            </w:r>
            <w:r w:rsidRPr="009B16B7">
              <w:t>2527863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86B044" w14:textId="22B06D5E" w:rsidR="005C78FF" w:rsidRPr="00B05264" w:rsidRDefault="00797A16" w:rsidP="005C78FF">
            <w:pPr>
              <w:rPr>
                <w:rFonts w:cstheme="minorHAnsi"/>
                <w:szCs w:val="20"/>
              </w:rPr>
            </w:pPr>
            <w:r w:rsidRPr="00797A16">
              <w:rPr>
                <w:rFonts w:cstheme="minorHAnsi"/>
                <w:szCs w:val="20"/>
              </w:rPr>
              <w:t>COMIRNATY (tozinameran 30 mcg per 0.3 mL suspension for injection 1.8 mL vial) BIONTECH MANUFACTURING GMBH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8250AF4" w14:textId="2C4A4859" w:rsidR="005C78FF" w:rsidRPr="00B05264" w:rsidRDefault="005C78FF" w:rsidP="005C78FF">
            <w:pPr>
              <w:rPr>
                <w:rFonts w:cstheme="minorHAnsi"/>
                <w:szCs w:val="20"/>
              </w:rPr>
            </w:pPr>
            <w:r w:rsidRPr="005C78FF">
              <w:rPr>
                <w:rFonts w:cstheme="minorHAnsi"/>
                <w:szCs w:val="20"/>
              </w:rPr>
              <w:t>GREY CAP VIAL (12+ YEARS) DO NOT DILUTE CONTAINS 6 DOSES OF 0.3 ML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21FBFF" w14:textId="5C578952" w:rsidR="005C78FF" w:rsidRPr="00B05264" w:rsidRDefault="005C78FF" w:rsidP="005C78FF">
            <w:pPr>
              <w:rPr>
                <w:rFonts w:cstheme="minorHAnsi"/>
                <w:szCs w:val="20"/>
                <w:lang w:val="en-CA"/>
              </w:rPr>
            </w:pPr>
            <w:r w:rsidRPr="005C78FF">
              <w:rPr>
                <w:rFonts w:cstheme="minorHAnsi"/>
                <w:szCs w:val="20"/>
                <w:lang w:val="fr-CA"/>
              </w:rPr>
              <w:t xml:space="preserve">FIOLE À CAPUCHON GRIS (AGÉES DE 12ANS ET PLUS) NE PAS DILUER. </w:t>
            </w:r>
            <w:r w:rsidRPr="005C78FF">
              <w:rPr>
                <w:rFonts w:cstheme="minorHAnsi"/>
                <w:szCs w:val="20"/>
                <w:lang w:val="en-CA"/>
              </w:rPr>
              <w:t>CONTIENT 6 DOSES DE 0,3ML</w:t>
            </w:r>
          </w:p>
        </w:tc>
      </w:tr>
      <w:tr w:rsidR="009C2C28" w:rsidRPr="005C78FF" w14:paraId="3D9C8D7D" w14:textId="77777777" w:rsidTr="00FF475B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092881" w14:textId="4FCFE721" w:rsidR="009C2C28" w:rsidRPr="00B05264" w:rsidRDefault="005C78FF" w:rsidP="005C78FF">
            <w:pPr>
              <w:rPr>
                <w:rFonts w:cstheme="minorHAnsi"/>
                <w:szCs w:val="20"/>
              </w:rPr>
            </w:pPr>
            <w:r w:rsidRPr="005C78FF">
              <w:rPr>
                <w:rFonts w:cstheme="minorHAnsi"/>
                <w:szCs w:val="20"/>
              </w:rPr>
              <w:t>99852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1863A566" w14:textId="7361705A" w:rsidR="009C2C28" w:rsidRPr="00B05264" w:rsidRDefault="005C78FF" w:rsidP="005C78FF">
            <w:pPr>
              <w:rPr>
                <w:rFonts w:cstheme="minorHAnsi"/>
                <w:szCs w:val="20"/>
              </w:rPr>
            </w:pPr>
            <w:r w:rsidRPr="005C78FF">
              <w:rPr>
                <w:rFonts w:cstheme="minorHAnsi"/>
                <w:szCs w:val="20"/>
              </w:rPr>
              <w:t>02509210</w:t>
            </w:r>
            <w:bookmarkStart w:id="0" w:name="_GoBack"/>
            <w:bookmarkEnd w:id="0"/>
          </w:p>
        </w:tc>
        <w:tc>
          <w:tcPr>
            <w:tcW w:w="30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41CCE6F0" w14:textId="27FDDBF5" w:rsidR="009C2C28" w:rsidRPr="00B05264" w:rsidRDefault="00FF475B" w:rsidP="009C2C28">
            <w:pPr>
              <w:rPr>
                <w:rFonts w:cstheme="minorHAnsi"/>
                <w:szCs w:val="20"/>
              </w:rPr>
            </w:pPr>
            <w:r w:rsidRPr="00FF475B">
              <w:rPr>
                <w:rFonts w:cstheme="minorHAnsi"/>
                <w:szCs w:val="20"/>
              </w:rPr>
              <w:t>COMIRNATY (tozinameran 30 mcg per 0.3 mL suspension for injection 1.8 mL vial) BIONTECH MANUFACTURING GMBH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14:paraId="6CC45775" w14:textId="2BC5450C" w:rsidR="009C2C28" w:rsidRPr="00B05264" w:rsidRDefault="005C78FF" w:rsidP="009C2C28">
            <w:pPr>
              <w:rPr>
                <w:rFonts w:cstheme="minorHAnsi"/>
                <w:szCs w:val="20"/>
              </w:rPr>
            </w:pPr>
            <w:r w:rsidRPr="005C78FF">
              <w:rPr>
                <w:rFonts w:cstheme="minorHAnsi"/>
                <w:szCs w:val="20"/>
              </w:rPr>
              <w:t>PURPLE CAP VIAL (12+ YEARS) AFTER DILUTION CONTAINS 6 DOSES OF 0.3 ML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5C0E47" w14:textId="05BDB976" w:rsidR="009C2C28" w:rsidRPr="005C78FF" w:rsidRDefault="005C78FF" w:rsidP="009C2C28">
            <w:pPr>
              <w:rPr>
                <w:rFonts w:cstheme="minorHAnsi"/>
                <w:szCs w:val="20"/>
                <w:lang w:val="fr-CA"/>
              </w:rPr>
            </w:pPr>
            <w:r w:rsidRPr="005C78FF">
              <w:rPr>
                <w:rFonts w:cstheme="minorHAnsi"/>
                <w:szCs w:val="20"/>
                <w:lang w:val="fr-CA"/>
              </w:rPr>
              <w:t>FIOLE À CAPUCHON VIOLET (AGÉES DE 12 ANS ET PLUS) CHAQUE FIOLE CONTIENT 6 DOSES DE 0,3 ML APRÈS LA DILUTION</w:t>
            </w:r>
          </w:p>
        </w:tc>
      </w:tr>
      <w:tr w:rsidR="00EA6016" w:rsidRPr="005C78FF" w14:paraId="53A55BC9" w14:textId="77777777" w:rsidTr="00FF475B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FCAC51" w14:textId="057A72DE" w:rsidR="00EA6016" w:rsidRPr="005C78FF" w:rsidRDefault="00EA6016" w:rsidP="00EA6016">
            <w:pPr>
              <w:rPr>
                <w:rFonts w:cstheme="minorHAnsi"/>
                <w:szCs w:val="20"/>
              </w:rPr>
            </w:pPr>
            <w:r w:rsidRPr="008540C1">
              <w:t>101299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016B5E25" w14:textId="498AE34C" w:rsidR="00EA6016" w:rsidRPr="005C78FF" w:rsidRDefault="00EA6016" w:rsidP="00EA6016">
            <w:pPr>
              <w:rPr>
                <w:rFonts w:cstheme="minorHAnsi"/>
                <w:szCs w:val="20"/>
              </w:rPr>
            </w:pPr>
            <w:r>
              <w:t>0</w:t>
            </w:r>
            <w:r w:rsidRPr="008540C1">
              <w:t>2523949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0F076632" w14:textId="117199D0" w:rsidR="00EA6016" w:rsidRPr="00FF475B" w:rsidRDefault="00EA6016" w:rsidP="00EA6016">
            <w:pPr>
              <w:rPr>
                <w:rFonts w:cstheme="minorHAnsi"/>
                <w:szCs w:val="20"/>
              </w:rPr>
            </w:pPr>
            <w:r w:rsidRPr="008540C1">
              <w:t>SIMLANDI (adalimumab 40 mg per 0.4 mL solution for injection syringe) JAMP PHARMA CORPORATION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14:paraId="29E83AD9" w14:textId="36D2A5BC" w:rsidR="00EA6016" w:rsidRPr="005C78FF" w:rsidRDefault="00EA6016" w:rsidP="00EA6016">
            <w:pPr>
              <w:rPr>
                <w:rFonts w:cstheme="minorHAnsi"/>
                <w:szCs w:val="20"/>
              </w:rPr>
            </w:pPr>
            <w:r w:rsidRPr="00EA6016">
              <w:rPr>
                <w:rFonts w:cstheme="minorHAnsi"/>
                <w:szCs w:val="20"/>
              </w:rPr>
              <w:t>PREFILLED SYRINGE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265C07" w14:textId="782AB2AF" w:rsidR="00EA6016" w:rsidRPr="005C78FF" w:rsidRDefault="00EA6016" w:rsidP="00EA6016">
            <w:pPr>
              <w:rPr>
                <w:rFonts w:cstheme="minorHAnsi"/>
                <w:szCs w:val="20"/>
                <w:lang w:val="fr-CA"/>
              </w:rPr>
            </w:pPr>
            <w:r w:rsidRPr="00EA6016">
              <w:rPr>
                <w:rFonts w:cstheme="minorHAnsi"/>
                <w:szCs w:val="20"/>
                <w:lang w:val="fr-CA"/>
              </w:rPr>
              <w:t>SERINGUE PRÉREMPLIE</w:t>
            </w:r>
          </w:p>
        </w:tc>
      </w:tr>
      <w:tr w:rsidR="00EA6016" w:rsidRPr="005C78FF" w14:paraId="01A4830C" w14:textId="77777777" w:rsidTr="00FF475B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6A44CE" w14:textId="7A4DFDD8" w:rsidR="00EA6016" w:rsidRPr="005C78FF" w:rsidRDefault="00CC123A" w:rsidP="00EA6016">
            <w:pPr>
              <w:rPr>
                <w:rFonts w:cstheme="minorHAnsi"/>
                <w:szCs w:val="20"/>
              </w:rPr>
            </w:pPr>
            <w:r w:rsidRPr="00CC123A">
              <w:rPr>
                <w:rFonts w:cstheme="minorHAnsi"/>
                <w:szCs w:val="20"/>
              </w:rPr>
              <w:t>101300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06DE5198" w14:textId="59E87F93" w:rsidR="00EA6016" w:rsidRPr="005C78FF" w:rsidRDefault="00EA6016" w:rsidP="00EA6016">
            <w:pPr>
              <w:rPr>
                <w:rFonts w:cstheme="minorHAnsi"/>
                <w:szCs w:val="20"/>
              </w:rPr>
            </w:pPr>
            <w:r>
              <w:t>0</w:t>
            </w:r>
            <w:r w:rsidRPr="00C000CD">
              <w:t>2523957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14:paraId="19ECD946" w14:textId="3044C93A" w:rsidR="00EA6016" w:rsidRPr="00FF475B" w:rsidRDefault="00EA6016" w:rsidP="00EA6016">
            <w:pPr>
              <w:rPr>
                <w:rFonts w:cstheme="minorHAnsi"/>
                <w:szCs w:val="20"/>
              </w:rPr>
            </w:pPr>
            <w:r w:rsidRPr="00C000CD">
              <w:t>SIMLANDI (adalimumab 40 mg per 0.4 mL solution for injection syringe) JAMP PHARMA CORPORATION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14:paraId="2E58123C" w14:textId="31888607" w:rsidR="00EA6016" w:rsidRPr="005C78FF" w:rsidRDefault="00EA6016" w:rsidP="00EA6016">
            <w:pPr>
              <w:rPr>
                <w:rFonts w:cstheme="minorHAnsi"/>
                <w:szCs w:val="20"/>
              </w:rPr>
            </w:pPr>
            <w:r w:rsidRPr="00EA6016">
              <w:rPr>
                <w:rFonts w:cstheme="minorHAnsi"/>
                <w:szCs w:val="20"/>
              </w:rPr>
              <w:t>AUTO-INJECTOR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C041AF" w14:textId="0EE62F88" w:rsidR="00EA6016" w:rsidRPr="005C78FF" w:rsidRDefault="00EA6016" w:rsidP="00EA6016">
            <w:pPr>
              <w:rPr>
                <w:rFonts w:cstheme="minorHAnsi"/>
                <w:szCs w:val="20"/>
                <w:lang w:val="fr-CA"/>
              </w:rPr>
            </w:pPr>
            <w:r w:rsidRPr="00EA6016">
              <w:rPr>
                <w:rFonts w:cstheme="minorHAnsi"/>
                <w:szCs w:val="20"/>
                <w:lang w:val="fr-CA"/>
              </w:rPr>
              <w:t>AUTO-INJECTEUR</w:t>
            </w:r>
          </w:p>
        </w:tc>
      </w:tr>
    </w:tbl>
    <w:p w14:paraId="39ECCA21" w14:textId="77777777" w:rsidR="00540D7F" w:rsidRPr="005C78FF" w:rsidRDefault="00540D7F" w:rsidP="00221352">
      <w:pPr>
        <w:pStyle w:val="Heading3"/>
        <w:rPr>
          <w:b/>
          <w:color w:val="5B9BD5" w:themeColor="accent5"/>
          <w:lang w:val="fr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714609" w:rsidRPr="000F72B0" w14:paraId="1E1D7190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3500F0AB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88256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001D92E3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2397625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0998BBE0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ACT DONEPEZIL ODT (donepezil hydrochloride (donepezil hydrochloride monohydrate) 10 mg orodispersible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436C36B3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2022.05.30</w:t>
            </w:r>
          </w:p>
        </w:tc>
      </w:tr>
      <w:tr w:rsidR="00714609" w:rsidRPr="000F72B0" w14:paraId="1322F7F9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5C1" w14:textId="297B4D55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88255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46227" w14:textId="7A52780A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2397617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6415E" w14:textId="48D40062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ACT DONEPEZIL ODT (donepezil hydrochloride (donepezil hydrochloride monohydrate) 5 mg orodispersible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68CC4" w14:textId="081F870C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2022.05.30</w:t>
            </w:r>
          </w:p>
        </w:tc>
      </w:tr>
      <w:tr w:rsidR="00714609" w:rsidRPr="000F72B0" w14:paraId="2A4B4AE4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8FCAD9" w14:textId="3C8C89D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73050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5CAF1" w14:textId="7691A718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2248686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7266F" w14:textId="4CC42C51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ACT ETIDRONATE (etidronate disodium 200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A7AF1" w14:textId="1CE50F25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2022.05.30</w:t>
            </w:r>
          </w:p>
        </w:tc>
      </w:tr>
      <w:tr w:rsidR="00714609" w:rsidRPr="00B05264" w14:paraId="3CE990B6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84D06A" w14:textId="1A82D19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88945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3C4633" w14:textId="27B03F57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2404656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E0E9B" w14:textId="2F7AB523" w:rsidR="00714609" w:rsidRPr="00714609" w:rsidRDefault="00714609" w:rsidP="00714609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MOXIFLOXACIN (moxifloxacin (moxifloxacin hydrochloride) 0.5 % ophthalmic drops)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348B8" w14:textId="1183D2F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2022.05.27</w:t>
            </w:r>
          </w:p>
        </w:tc>
      </w:tr>
      <w:tr w:rsidR="00714609" w:rsidRPr="000F72B0" w14:paraId="4B9144FA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17619" w14:textId="0940F9A4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95309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C9113" w14:textId="1CB5CCF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2464896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564046" w14:textId="0585D989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 HONEY WORKS (dextromethorphan hydrobromide 5 mg per 5 mL syrup) LIFELAB HEALTH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C8403" w14:textId="7AF7052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2022.06.27</w:t>
            </w:r>
          </w:p>
        </w:tc>
      </w:tr>
      <w:tr w:rsidR="00714609" w:rsidRPr="000F72B0" w14:paraId="53D9F64A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0FF527" w14:textId="718DA5B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72851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3C93D6" w14:textId="621A99AB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2248499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005B33" w14:textId="318626A3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APO-QUINAPRIL (quinapril (quinapril hydrochloride) 5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780EF" w14:textId="02851C2D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2022.04.10</w:t>
            </w:r>
          </w:p>
        </w:tc>
      </w:tr>
      <w:tr w:rsidR="00714609" w:rsidRPr="000F72B0" w14:paraId="0C8A7092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CA47D3" w14:textId="47969F7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10169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26CC7" w14:textId="7870B67A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807788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83E357" w14:textId="17156F24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BLEPHAMIDE (prednisolone acetate 0.2 % and sulfacetamide sodium 10 % ophthalmic drops)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53A4C" w14:textId="2C5585A1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3F797B1E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D474A" w14:textId="67F44B40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79728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4A8D7" w14:textId="21F7C75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2311739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7E1A78" w14:textId="39A64BF0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CANESORAL COMBI (clotrimazole 1 % cutaneous cream with fluconazole 150 mg oral capsule)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A49AE" w14:textId="3BBC040A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5AB7B6B8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4FEBF" w14:textId="36F3C2E8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94364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DBEDA" w14:textId="40891ED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2456656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6F8664" w14:textId="6771E34B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CELL MEDICATED ACNE LOTION (benzoyl peroxide 5 % lotion) IMAGE INTERNATIONAL MANUFACTURING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371F5" w14:textId="17299A60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3D535248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98E47" w14:textId="32141E75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96706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04270A" w14:textId="48E13037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2476134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A7E06" w14:textId="0203934A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DICLOFENAC SODIUM SOLUTION (diclofenac sodium 1.5 % cutaneous solution)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1B2C1" w14:textId="5E36212C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2022.04.30</w:t>
            </w:r>
          </w:p>
        </w:tc>
      </w:tr>
      <w:tr w:rsidR="00714609" w:rsidRPr="000F72B0" w14:paraId="777A4AF1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886887" w14:textId="5DA38407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65129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ECAC0" w14:textId="650CF8BA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2241489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54FB12" w14:textId="3DAEDEE6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DM-DECONGESTANT-EXPECTORANT (EXTRA STRENGTH) SYRUP (dextromethorphan hydrobromide 15 mg per 5 mL and guaifenesin 200 mg per 5 mL and pseudoephedrine hydrochloride 30 mg per 5 mL syrup) TRILLIUM HEALTH CARE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0BAC7" w14:textId="78A9E389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7BDF73AF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99F9E9" w14:textId="288AF1A3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65131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152AF3" w14:textId="7564BF3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2241491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1D74CF" w14:textId="3508D2B6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DM-EXPECTORANT SYRUP (dextromethorphan hydrobromide 15 mg per 5 mL and guaifenesin 100 mg per 5 mL syrup) TRILLIUM HEALTH CARE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6FC72" w14:textId="2E886443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63E6B6D5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5EB59" w14:textId="417B3781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66724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028907" w14:textId="2F0D2F8C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2242892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FA743" w14:textId="27E5E5FA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EXPECTORANT (EXTRA STRENGTH) SYRUP (guaifenesin 200 mg per 5 mL syrup) TRILLIUM HEALTH CARE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08764" w14:textId="39B472AD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13FE53D4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0E95D" w14:textId="5AA01BEE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89839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5626A" w14:textId="4B5C656F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2413760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D36E0" w14:textId="32AC2359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 3 (tolnaftate 1 % cutaneous solution) THE TETRA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F1C52" w14:textId="10D4E6E0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2022.06.13</w:t>
            </w:r>
          </w:p>
        </w:tc>
      </w:tr>
      <w:tr w:rsidR="00714609" w:rsidRPr="000F72B0" w14:paraId="79128BD0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29DEC" w14:textId="52A9D52C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11928" w14:textId="5863E2DB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50857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F1D19" w14:textId="0B02DEA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GENTIANE VIOLET LIQ TOP (gentian violet 1 % cutaneous solution) LABORATOIRE ATLAS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C34CE" w14:textId="08246026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6AA78F6B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8AA79E" w14:textId="76893D1C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95310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4D3861" w14:textId="09FA5AEE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2464918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78D53B" w14:textId="647F0465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KIDS HONEY WORKS (dextromethorphan hydrobromide 5 mg per 5 mL syrup) LIFELAB HEALTH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8F2CE" w14:textId="77D88FC6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2022.06.27</w:t>
            </w:r>
          </w:p>
        </w:tc>
      </w:tr>
      <w:tr w:rsidR="00714609" w:rsidRPr="000F72B0" w14:paraId="05F17037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35D9C2" w14:textId="4A108D26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94517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EFB1CE" w14:textId="7803CC2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2458128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850CDE" w14:textId="44BB32AE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LIDOCAINE HYDROCHLORIDE TOPICAL SOLUTION USP (lidocaine hydrochloride 4 % cutaneous solution)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4B831A" w14:textId="5C9420A4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2022.06.01</w:t>
            </w:r>
          </w:p>
        </w:tc>
      </w:tr>
      <w:tr w:rsidR="00714609" w:rsidRPr="000F72B0" w14:paraId="21FAE04B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A9372" w14:textId="39B50ED7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87433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A74F5D" w14:textId="72073115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2388812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9C592E" w14:textId="18F2F0D0" w:rsidR="00714609" w:rsidRPr="00714609" w:rsidRDefault="00714609" w:rsidP="00714609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714609">
              <w:rPr>
                <w:rFonts w:ascii="Arial" w:hAnsi="Arial" w:cs="Arial"/>
                <w:sz w:val="20"/>
                <w:szCs w:val="20"/>
                <w:lang w:val="fr-CA"/>
              </w:rPr>
              <w:t>LOSARTAN (losartan potassium 100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634F8" w14:textId="3B0D0A8B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2022.05.27</w:t>
            </w:r>
          </w:p>
        </w:tc>
      </w:tr>
      <w:tr w:rsidR="00714609" w:rsidRPr="000F72B0" w14:paraId="0FAB88D0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7B5AB0" w14:textId="7E5A4C10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87431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52E9AF" w14:textId="6924EC4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2388790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B8697" w14:textId="48898AB4" w:rsidR="00714609" w:rsidRPr="00714609" w:rsidRDefault="00714609" w:rsidP="00714609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714609">
              <w:rPr>
                <w:rFonts w:ascii="Arial" w:hAnsi="Arial" w:cs="Arial"/>
                <w:sz w:val="20"/>
                <w:szCs w:val="20"/>
                <w:lang w:val="fr-CA"/>
              </w:rPr>
              <w:t>LOSARTAN (losartan potassium 25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7022F" w14:textId="5F9B019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2022.05.27</w:t>
            </w:r>
          </w:p>
        </w:tc>
      </w:tr>
      <w:tr w:rsidR="00714609" w:rsidRPr="000F72B0" w14:paraId="6726D23C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C4ED5" w14:textId="5898F4C4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87432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90EDA" w14:textId="7EF2E727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2388804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BBA5A" w14:textId="479ACF35" w:rsidR="00714609" w:rsidRPr="00714609" w:rsidRDefault="00714609" w:rsidP="00714609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714609">
              <w:rPr>
                <w:rFonts w:ascii="Arial" w:hAnsi="Arial" w:cs="Arial"/>
                <w:sz w:val="20"/>
                <w:szCs w:val="20"/>
                <w:lang w:val="fr-CA"/>
              </w:rPr>
              <w:t>LOSARTAN (losartan potassium 50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4903E3" w14:textId="190C10D4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2022.05.27</w:t>
            </w:r>
          </w:p>
        </w:tc>
      </w:tr>
      <w:tr w:rsidR="00714609" w:rsidRPr="000F72B0" w14:paraId="49E74851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C54652" w14:textId="7EEE500E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92084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79646" w14:textId="17822E63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2436507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BCD724" w14:textId="783A44D5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MEROPENEM FOR INJECTION USP (meropenem (meropenem trihydrate) 1 g per vial powder for solution for injection)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66681" w14:textId="6E6F9A69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2022.06.21</w:t>
            </w:r>
          </w:p>
        </w:tc>
      </w:tr>
      <w:tr w:rsidR="00714609" w:rsidRPr="000F72B0" w14:paraId="5393DE20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9877B5" w14:textId="4A8391E0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91597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538DD" w14:textId="34800F3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2431548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D35586" w14:textId="2FD4D72C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METHYLENE BLUE INJECTION USP (methylene blue 50 mg per 5 mL solution for injection ampoule) HIKMA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4A3FC" w14:textId="134F882E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2022.06.06</w:t>
            </w:r>
          </w:p>
        </w:tc>
      </w:tr>
      <w:tr w:rsidR="00714609" w:rsidRPr="000F72B0" w14:paraId="7F532CA1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E023D" w14:textId="6D281457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18290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89DC7" w14:textId="35A1405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2063905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996F1" w14:textId="062D673A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MICROLAX MICRO ENEMA (sodium citrate 450 mg per 5 mL and sodium lauryl sulfoacetate 45 mg per 5 mL and sorbitol 3125 mg per 5 mL rectal solution) MCNEIL CONSUMER HEALTHCARE DIVISION OF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103F23" w14:textId="16DDE2F5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7863F44A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24E34" w14:textId="59587E0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61220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9EDB55" w14:textId="32E7FF7B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2237860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513FCB" w14:textId="0940CDDB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OCTOSTIM SPRAY (desmopressin acetate 150 mcg per actuation nasal spray)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092883" w14:textId="1625F891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43C8105B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B1EBD" w14:textId="49BD9A6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63235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71ECB" w14:textId="09D874E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2239753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4F4F7" w14:textId="500A5AF9" w:rsidR="00714609" w:rsidRPr="00714609" w:rsidRDefault="00714609" w:rsidP="00714609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714609">
              <w:rPr>
                <w:rFonts w:ascii="Arial" w:hAnsi="Arial" w:cs="Arial"/>
                <w:sz w:val="20"/>
                <w:szCs w:val="20"/>
                <w:lang w:val="fr-CA"/>
              </w:rPr>
              <w:t>PMS-DICLOFENAC K (diclofenac potassium 50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66972" w14:textId="3850E91C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2020.01.31</w:t>
            </w:r>
          </w:p>
        </w:tc>
      </w:tr>
      <w:tr w:rsidR="00714609" w:rsidRPr="000F72B0" w14:paraId="4DD107D9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543F1" w14:textId="130BAB2B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88333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AC1AC4" w14:textId="41B25BD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2398389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8B9D1A" w14:textId="727A7BC1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PMS-GALANTAMINE ER (galantamine (galantamine hydrobromide) 16 mg prolonged-release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6EEBA" w14:textId="5FEA98D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2021.01.17</w:t>
            </w:r>
          </w:p>
        </w:tc>
      </w:tr>
      <w:tr w:rsidR="00714609" w:rsidRPr="000F72B0" w14:paraId="6BF6EF4C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9F6B0" w14:textId="45F66884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88334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987D1" w14:textId="191465D3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2398397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2C3A82" w14:textId="3E930946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PMS-GALANTAMINE ER (galantamine (galantamine hydrobromide) 24 mg prolonged-release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D8868" w14:textId="29D7900F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2021.01.25</w:t>
            </w:r>
          </w:p>
        </w:tc>
      </w:tr>
      <w:tr w:rsidR="00714609" w:rsidRPr="000F72B0" w14:paraId="74ABC872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8D7CE" w14:textId="4DBE49D1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88332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BE069" w14:textId="1822C3E0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2398370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4D0F88" w14:textId="08C11FE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PMS-GALANTAMINE ER (galantamine (galantamine hydrobromide) 8 mg prolonged-release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59CA1F" w14:textId="73F184E1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2021.05.15</w:t>
            </w:r>
          </w:p>
        </w:tc>
      </w:tr>
      <w:tr w:rsidR="00714609" w:rsidRPr="000F72B0" w14:paraId="2DFB530A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D2FF4" w14:textId="1383B323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80626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5588A" w14:textId="3E7C01E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2320851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2891E" w14:textId="36610F79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PMS-OMEPRAZOLE (omeprazole 20 mg gastro-resistant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32F55A" w14:textId="449B5CAA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2021.07.24</w:t>
            </w:r>
          </w:p>
        </w:tc>
      </w:tr>
      <w:tr w:rsidR="00714609" w:rsidRPr="000F72B0" w14:paraId="60F07E0B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AEC73" w14:textId="173EB915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80202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CDDB5C" w14:textId="5C4F0D81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2316536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651B42" w14:textId="5FC5F483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PRO-SOTALOL (sotalol hydrochloride 160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38DB7" w14:textId="48423FF3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25929BA3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39A82" w14:textId="309C1882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87583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FB54A0" w14:textId="6F64F4C9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2390396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A7170" w14:textId="0F0FC0C1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PROACTIV TREAT (benzoyl peroxide 2.5 % cutaneous gel) THE PROACTIV COMPANY,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EC46E" w14:textId="6A6257CB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Administrative change</w:t>
            </w:r>
          </w:p>
        </w:tc>
      </w:tr>
      <w:tr w:rsidR="00714609" w:rsidRPr="000F72B0" w14:paraId="49646EEC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A04786" w14:textId="59CF02FA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91361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E4B207" w14:textId="75B210C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2429160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E81EC" w14:textId="4B3B7C76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SANDOZ ALENDRONATE/CHOLECALCIFEROL (alendronic acid (alendronate sodium trihydrate) 70 mg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and cholecalciferol 5600 unit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B0A3C" w14:textId="44229B9A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2022.06.02</w:t>
            </w:r>
          </w:p>
        </w:tc>
      </w:tr>
      <w:tr w:rsidR="00714609" w:rsidRPr="000F72B0" w14:paraId="2C468C31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1C528" w14:textId="7EB82986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51392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56CF8" w14:textId="7A1DFDE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639389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22CF9" w14:textId="6BA35DDD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STATEX SUPPOSITORIES 30MG (morphine sulfate 30 mg suppository)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444637" w14:textId="7554CF5C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50101468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9C4777" w14:textId="51A3E1C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19249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E86E3" w14:textId="171A462C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2163926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39603F" w14:textId="6602D183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TYLENOL WITH CODEINE NO. 3 - TAB (acetaminophen 300 mg and caffeine 15 mg and codeine phosphate 30 mg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E2A0D" w14:textId="152C6C07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  <w:tr w:rsidR="00714609" w:rsidRPr="000F72B0" w14:paraId="57C33E12" w14:textId="77777777" w:rsidTr="0018050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39305" w14:textId="64390F6C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83476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C005B" w14:textId="7C119BFD" w:rsidR="00714609" w:rsidRPr="00DD6695" w:rsidRDefault="00714609" w:rsidP="00714609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2349469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67F39" w14:textId="4A9A3F7B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ULTRAM (tramadol hydrochloride 50 mg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B7138" w14:textId="1A823438" w:rsidR="00714609" w:rsidRPr="00DD6695" w:rsidRDefault="00714609" w:rsidP="0071460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2022.06.30</w:t>
            </w:r>
          </w:p>
        </w:tc>
      </w:tr>
    </w:tbl>
    <w:p w14:paraId="56C22413" w14:textId="77777777" w:rsidR="001B7235" w:rsidRPr="0055297C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7697F00F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27DEA">
        <w:t>JUNE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287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93D4" w14:textId="77777777"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D3E" w14:textId="77777777"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E31A" w14:textId="77777777"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C9763D" w:rsidRPr="008A281D" w14:paraId="552C96F4" w14:textId="77777777" w:rsidTr="00B44F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740F" w14:textId="713CD69A" w:rsidR="00C9763D" w:rsidRPr="006212D5" w:rsidRDefault="00714609" w:rsidP="00C9763D">
            <w:r>
              <w:rPr>
                <w:rFonts w:ascii="Arial" w:hAnsi="Arial" w:cs="Arial"/>
                <w:sz w:val="20"/>
                <w:szCs w:val="20"/>
              </w:rPr>
              <w:t>9014692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2683" w14:textId="3D425779" w:rsidR="00C9763D" w:rsidRDefault="00C9763D" w:rsidP="00C9763D">
            <w:r w:rsidRPr="005E21A7">
              <w:t>elexacaftor 50 mg and ivacaftor 37.5 mg and tezacaftor 25 mg oral tablet with ivacaftor 75 mg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38DF" w14:textId="250D3609" w:rsidR="00C9763D" w:rsidRPr="009651F1" w:rsidRDefault="00C9763D" w:rsidP="00C9763D">
            <w:r w:rsidRPr="00B03C69">
              <w:t>101574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8F37" w14:textId="46B6C2A3" w:rsidR="00C9763D" w:rsidRPr="009651F1" w:rsidRDefault="00B2137E" w:rsidP="00C9763D">
            <w:r>
              <w:t>0</w:t>
            </w:r>
            <w:r w:rsidR="00C9763D" w:rsidRPr="00B03C69">
              <w:t>2526670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0068" w14:textId="2749330F" w:rsidR="00C9763D" w:rsidRDefault="00C9763D" w:rsidP="00C9763D">
            <w:pPr>
              <w:spacing w:after="0"/>
            </w:pPr>
            <w:r w:rsidRPr="00B03C69">
              <w:t>TRIKAFTA (elexacaftor 50 mg and ivacaftor 37.5 mg and tezacaftor 25 mg oral tablet with ivacaftor 75 mg oral tablet) VERTEX PHARMACEUTICALS (CANADA) INCORPORATED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37C5DF1" w14:textId="549D2846" w:rsidR="00C9763D" w:rsidRDefault="00714609" w:rsidP="00C9763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714609" w:rsidRPr="008A281D" w14:paraId="37212701" w14:textId="77777777" w:rsidTr="00C040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585" w14:textId="598FD5D7" w:rsidR="00714609" w:rsidRPr="00C040F3" w:rsidRDefault="00714609" w:rsidP="00714609">
            <w:pPr>
              <w:spacing w:after="0"/>
            </w:pPr>
            <w:r w:rsidRPr="00B308F5">
              <w:t>4936fd6e0640753b316938b892137e95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B1DB" w14:textId="7E0B8BE4" w:rsidR="00714609" w:rsidRPr="00C040F3" w:rsidRDefault="00714609" w:rsidP="00714609">
            <w:pPr>
              <w:spacing w:after="0"/>
            </w:pPr>
            <w:r w:rsidRPr="00B308F5">
              <w:t>dupilumab 200 mg per 1.14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DD6D" w14:textId="59690FE6" w:rsidR="00714609" w:rsidRPr="00C040F3" w:rsidRDefault="00714609" w:rsidP="00714609">
            <w:pPr>
              <w:spacing w:after="0"/>
            </w:pPr>
            <w:r w:rsidRPr="00BC25AA">
              <w:t>101328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148" w14:textId="2E93DACC" w:rsidR="00714609" w:rsidRPr="00C040F3" w:rsidRDefault="00714609" w:rsidP="00714609">
            <w:pPr>
              <w:spacing w:after="0"/>
            </w:pPr>
            <w:r w:rsidRPr="00BC25AA">
              <w:t>2524252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FA52" w14:textId="793DA1B1" w:rsidR="00714609" w:rsidRPr="00C040F3" w:rsidRDefault="00714609" w:rsidP="00714609">
            <w:pPr>
              <w:spacing w:after="0"/>
            </w:pPr>
            <w:r w:rsidRPr="00BC25AA">
              <w:t>DUPIXENT (dupilumab 200 mg per 1.14 mL solution for injection) SANOFI-AVENTIS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2C1EDFB8" w:rsidR="00714609" w:rsidRDefault="00714609" w:rsidP="00714609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966F7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297C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C78FF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63202"/>
    <w:rsid w:val="00871D37"/>
    <w:rsid w:val="008765C4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63D"/>
    <w:rsid w:val="00C97FD1"/>
    <w:rsid w:val="00CA1235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7DF6"/>
    <w:rsid w:val="00DB0BC1"/>
    <w:rsid w:val="00DB18B3"/>
    <w:rsid w:val="00DB4817"/>
    <w:rsid w:val="00DC18AF"/>
    <w:rsid w:val="00DC22CD"/>
    <w:rsid w:val="00DD6695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6FC3-872F-4223-A399-6C61949F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17</cp:revision>
  <dcterms:created xsi:type="dcterms:W3CDTF">2022-05-03T14:48:00Z</dcterms:created>
  <dcterms:modified xsi:type="dcterms:W3CDTF">2022-07-04T18:31:00Z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