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70DD9D07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BE1357">
        <w:rPr>
          <w:b/>
          <w:color w:val="4472C4" w:themeColor="accent1"/>
        </w:rPr>
        <w:t>FEBRUARY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CD711F">
        <w:rPr>
          <w:b/>
          <w:color w:val="4472C4" w:themeColor="accent1"/>
        </w:rPr>
        <w:t>4</w:t>
      </w:r>
    </w:p>
    <w:p w14:paraId="16E1B331" w14:textId="43B7F9F7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9A2650">
        <w:rPr>
          <w:color w:val="FF0000"/>
        </w:rPr>
        <w:t>4</w:t>
      </w:r>
      <w:r w:rsidR="00976B04">
        <w:rPr>
          <w:color w:val="FF0000"/>
        </w:rPr>
        <w:t>-0</w:t>
      </w:r>
      <w:r w:rsidR="00CD711F">
        <w:rPr>
          <w:color w:val="FF0000"/>
        </w:rPr>
        <w:t>2</w:t>
      </w:r>
      <w:r w:rsidR="00976B04">
        <w:rPr>
          <w:color w:val="FF0000"/>
        </w:rPr>
        <w:t>-0</w:t>
      </w:r>
      <w:r w:rsidR="00CD711F">
        <w:rPr>
          <w:color w:val="FF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3AE91769" w:rsidR="00C97FD1" w:rsidRDefault="00B930E7" w:rsidP="009A2650">
            <w:proofErr w:type="spellStart"/>
            <w:r>
              <w:t>J.Hutsul</w:t>
            </w:r>
            <w:proofErr w:type="spellEnd"/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0369E4C3" w:rsidR="00C97FD1" w:rsidRDefault="00C97FD1" w:rsidP="00404093"/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35D75AE6" w:rsidR="006B145F" w:rsidRPr="00990B61" w:rsidRDefault="006B145F" w:rsidP="00601A33">
            <w:pPr>
              <w:jc w:val="both"/>
              <w:rPr>
                <w:rFonts w:ascii="Calibri" w:hAnsi="Calibri" w:cs="Calibri"/>
                <w:bCs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126105B0" w:rsidR="006B145F" w:rsidRPr="001B7235" w:rsidRDefault="002F3DD8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087916F2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1B7235" w:rsidRDefault="009A6248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B930E7" w:rsidRPr="00E40790" w14:paraId="1E9DDC4A" w14:textId="77777777" w:rsidTr="004F1D43">
        <w:trPr>
          <w:trHeight w:val="315"/>
        </w:trPr>
        <w:tc>
          <w:tcPr>
            <w:tcW w:w="1083" w:type="dxa"/>
          </w:tcPr>
          <w:p w14:paraId="63AFB1BC" w14:textId="4937A552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61A3A">
              <w:t>8002453</w:t>
            </w:r>
          </w:p>
        </w:tc>
        <w:tc>
          <w:tcPr>
            <w:tcW w:w="7701" w:type="dxa"/>
          </w:tcPr>
          <w:p w14:paraId="66427560" w14:textId="76CE2123" w:rsidR="00B930E7" w:rsidRDefault="00B930E7" w:rsidP="00B930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1A3A">
              <w:t>davesomeran</w:t>
            </w:r>
            <w:proofErr w:type="spellEnd"/>
            <w:r w:rsidRPr="00361A3A">
              <w:t xml:space="preserve"> and </w:t>
            </w:r>
            <w:proofErr w:type="spellStart"/>
            <w:r w:rsidRPr="00361A3A">
              <w:t>elasomeran</w:t>
            </w:r>
            <w:proofErr w:type="spellEnd"/>
          </w:p>
        </w:tc>
      </w:tr>
      <w:tr w:rsidR="00B930E7" w:rsidRPr="00E40790" w14:paraId="0E3C54C8" w14:textId="77777777" w:rsidTr="004F1D43">
        <w:trPr>
          <w:trHeight w:val="315"/>
        </w:trPr>
        <w:tc>
          <w:tcPr>
            <w:tcW w:w="1083" w:type="dxa"/>
          </w:tcPr>
          <w:p w14:paraId="6F4BF3B0" w14:textId="5CDA4090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61A3A">
              <w:t>8002455</w:t>
            </w:r>
          </w:p>
        </w:tc>
        <w:tc>
          <w:tcPr>
            <w:tcW w:w="7701" w:type="dxa"/>
          </w:tcPr>
          <w:p w14:paraId="4FD0899E" w14:textId="3BEBB01A" w:rsidR="00B930E7" w:rsidRDefault="00B930E7" w:rsidP="00B930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1A3A">
              <w:t>elasomeran</w:t>
            </w:r>
            <w:proofErr w:type="spellEnd"/>
            <w:r w:rsidRPr="00361A3A">
              <w:t xml:space="preserve"> and </w:t>
            </w:r>
            <w:proofErr w:type="spellStart"/>
            <w:r w:rsidRPr="00361A3A">
              <w:t>imelasomeran</w:t>
            </w:r>
            <w:proofErr w:type="spellEnd"/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5D123A" w:rsidRPr="005D123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7A0F4041" w:rsidR="005D123A" w:rsidRDefault="005D123A" w:rsidP="00DF67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701C8951" w:rsidR="005D123A" w:rsidRPr="00B85190" w:rsidRDefault="00976B04" w:rsidP="005D123A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593C0E23" w:rsidR="005D123A" w:rsidRPr="00B05264" w:rsidRDefault="005D123A" w:rsidP="005D123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FE2044B" w:rsidR="005D123A" w:rsidRPr="00D86E2B" w:rsidRDefault="005D123A" w:rsidP="005D123A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t>Deprec</w:t>
            </w:r>
            <w:proofErr w:type="spellEnd"/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lastRenderedPageBreak/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B930E7" w:rsidRPr="00E442DB" w14:paraId="2E8CC684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0FF7DD40" w14:textId="4828D9C3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9014444</w:t>
            </w:r>
          </w:p>
        </w:tc>
        <w:tc>
          <w:tcPr>
            <w:tcW w:w="7843" w:type="dxa"/>
            <w:vAlign w:val="bottom"/>
          </w:tcPr>
          <w:p w14:paraId="32EFA4A9" w14:textId="6236EA13" w:rsidR="00B930E7" w:rsidRPr="00DD6695" w:rsidRDefault="00B930E7" w:rsidP="00B930E7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arsenic trioxide 12 mg per 6 mL solution for injection vial</w:t>
            </w:r>
          </w:p>
        </w:tc>
      </w:tr>
      <w:tr w:rsidR="00B930E7" w:rsidRPr="00BD3F44" w14:paraId="56D6F777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4667699D" w14:textId="6FBECBBE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9013953</w:t>
            </w:r>
          </w:p>
        </w:tc>
        <w:tc>
          <w:tcPr>
            <w:tcW w:w="7843" w:type="dxa"/>
            <w:vAlign w:val="bottom"/>
          </w:tcPr>
          <w:p w14:paraId="084B9670" w14:textId="059B26FF" w:rsidR="00B930E7" w:rsidRPr="00BD3F44" w:rsidRDefault="00B930E7" w:rsidP="00B930E7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dacomitinib 15 mg oral tablet</w:t>
            </w:r>
          </w:p>
        </w:tc>
      </w:tr>
      <w:tr w:rsidR="00B930E7" w:rsidRPr="00BD3F44" w14:paraId="4AA2F781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470B25AB" w14:textId="2C33B890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9014818</w:t>
            </w:r>
          </w:p>
        </w:tc>
        <w:tc>
          <w:tcPr>
            <w:tcW w:w="7843" w:type="dxa"/>
            <w:vAlign w:val="bottom"/>
          </w:tcPr>
          <w:p w14:paraId="11B0E738" w14:textId="573C416E" w:rsidR="00B930E7" w:rsidRPr="00AC13D6" w:rsidRDefault="00B930E7" w:rsidP="00B930E7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davesomeran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mg per mL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elasomeran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mg per mL dispersion for injection 2.5 mL vial</w:t>
            </w:r>
          </w:p>
        </w:tc>
      </w:tr>
      <w:tr w:rsidR="00B930E7" w:rsidRPr="00BD3F44" w14:paraId="6B628DE1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52C09D38" w14:textId="3DA6FFFD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9014811</w:t>
            </w:r>
          </w:p>
        </w:tc>
        <w:tc>
          <w:tcPr>
            <w:tcW w:w="7843" w:type="dxa"/>
            <w:vAlign w:val="bottom"/>
          </w:tcPr>
          <w:p w14:paraId="425C562B" w14:textId="4AB75D62" w:rsidR="00B930E7" w:rsidRPr="00AC13D6" w:rsidRDefault="00B930E7" w:rsidP="00B930E7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elasomeran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mg per mL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imelasomeran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mg per mL dispersion for injection 2.5 mL vial</w:t>
            </w:r>
          </w:p>
        </w:tc>
      </w:tr>
      <w:tr w:rsidR="00B930E7" w:rsidRPr="00BD3F44" w14:paraId="76D0F874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679D9EDF" w14:textId="77865596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9014758</w:t>
            </w:r>
          </w:p>
        </w:tc>
        <w:tc>
          <w:tcPr>
            <w:tcW w:w="7843" w:type="dxa"/>
            <w:vAlign w:val="bottom"/>
          </w:tcPr>
          <w:p w14:paraId="24E4C11B" w14:textId="778E454A" w:rsidR="00B930E7" w:rsidRPr="00AC13D6" w:rsidRDefault="00B930E7" w:rsidP="00B930E7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elasomeran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0.1 mg per mL dispersion for injection 2.5 mL vial</w:t>
            </w:r>
          </w:p>
        </w:tc>
      </w:tr>
      <w:tr w:rsidR="00B930E7" w:rsidRPr="00BD3F44" w14:paraId="17A99F2E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6102A770" w14:textId="28051402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9005265</w:t>
            </w:r>
          </w:p>
        </w:tc>
        <w:tc>
          <w:tcPr>
            <w:tcW w:w="7843" w:type="dxa"/>
            <w:vAlign w:val="bottom"/>
          </w:tcPr>
          <w:p w14:paraId="3DDE63DB" w14:textId="65DD4865" w:rsidR="00B930E7" w:rsidRPr="00AC13D6" w:rsidRDefault="00B930E7" w:rsidP="00B930E7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etravirine 25 mg oral tablet</w:t>
            </w:r>
          </w:p>
        </w:tc>
      </w:tr>
      <w:tr w:rsidR="00B930E7" w:rsidRPr="00BD3F44" w14:paraId="2B8DF8DE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127F14E2" w14:textId="752F4951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9001848</w:t>
            </w:r>
          </w:p>
        </w:tc>
        <w:tc>
          <w:tcPr>
            <w:tcW w:w="7843" w:type="dxa"/>
            <w:vAlign w:val="bottom"/>
          </w:tcPr>
          <w:p w14:paraId="3050EC82" w14:textId="321CA795" w:rsidR="00B930E7" w:rsidRPr="00AC13D6" w:rsidRDefault="00B930E7" w:rsidP="00B930E7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hydrocortisone acetate 1 %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pramoxine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hydrochloride 1 % rectal foam</w:t>
            </w:r>
          </w:p>
        </w:tc>
      </w:tr>
      <w:tr w:rsidR="00B930E7" w:rsidRPr="00BD3F44" w14:paraId="06C9FAAA" w14:textId="77777777" w:rsidTr="007F2840">
        <w:trPr>
          <w:trHeight w:val="315"/>
        </w:trPr>
        <w:tc>
          <w:tcPr>
            <w:tcW w:w="1083" w:type="dxa"/>
            <w:vAlign w:val="bottom"/>
          </w:tcPr>
          <w:p w14:paraId="52831262" w14:textId="1055BC0D" w:rsidR="00B930E7" w:rsidRDefault="00B930E7" w:rsidP="00B930E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9003176</w:t>
            </w:r>
          </w:p>
        </w:tc>
        <w:tc>
          <w:tcPr>
            <w:tcW w:w="7843" w:type="dxa"/>
            <w:vAlign w:val="bottom"/>
          </w:tcPr>
          <w:p w14:paraId="09651B03" w14:textId="441BE5AF" w:rsidR="00B930E7" w:rsidRPr="00AC13D6" w:rsidRDefault="00B930E7" w:rsidP="00B930E7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lidocaine 2 % cutaneous cream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0F500E6D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="009F6617">
        <w:t>The product has been transferred from DPD to LNHPD.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90B61" w14:paraId="60F490F8" w14:textId="77777777" w:rsidTr="00E72032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FD80A" w14:textId="6ECDE876" w:rsidR="00990B61" w:rsidRPr="00960174" w:rsidRDefault="00990B61" w:rsidP="00990B61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CDDF" w14:textId="7B8BA12B" w:rsidR="00990B61" w:rsidRPr="00960174" w:rsidRDefault="00976B04" w:rsidP="00990B6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11CCCAFF" w:rsidR="00990B61" w:rsidRPr="009F6617" w:rsidRDefault="00990B61" w:rsidP="00990B61">
            <w:pPr>
              <w:spacing w:after="0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90B61" w:rsidRDefault="00990B61" w:rsidP="00990B61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212B46" w:rsidRDefault="00221352" w:rsidP="00221352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990B61" w:rsidRDefault="0083314F" w:rsidP="00736790">
      <w:pPr>
        <w:pStyle w:val="Heading3"/>
        <w:rPr>
          <w:b/>
          <w:lang w:val="en-CA"/>
        </w:rPr>
      </w:pPr>
    </w:p>
    <w:p w14:paraId="37C566CD" w14:textId="77777777" w:rsidR="00736790" w:rsidRPr="00212B46" w:rsidRDefault="00736790" w:rsidP="00736790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B930E7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1C6F6D1C" w:rsidR="00B930E7" w:rsidRPr="00DD6695" w:rsidRDefault="00B930E7" w:rsidP="00B930E7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96289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79B98E01" w:rsidR="00B930E7" w:rsidRPr="00DD6695" w:rsidRDefault="00B930E7" w:rsidP="00B930E7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2473496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5E89BD77" w:rsidR="00B930E7" w:rsidRPr="00DD6695" w:rsidRDefault="00B930E7" w:rsidP="00B930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APO-TELMISARTAN-AMLODIPINE (amlodipine (amlodipine besylate) 10 mg and telmisartan 80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653656DE" w:rsidR="00B930E7" w:rsidRPr="00550D7E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70AF7E47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50944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178C5EC2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2231578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7F1C00C7" w:rsidR="00B930E7" w:rsidRPr="00E3256A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BIKINI ZONE (lidocaine 2 % cutaneous cream) CCA INDUSTRIES,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7056DD5B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(UNRETURNED ANNUAL)</w:t>
            </w:r>
          </w:p>
        </w:tc>
      </w:tr>
      <w:tr w:rsidR="00B930E7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4F76F10E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43394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210A8FD0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2224127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2D3BDD5B" w:rsidR="00B930E7" w:rsidRPr="00E3256A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DICLOFENAC-SR (diclofenac sodium 100 mg prolonged-release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6CA7A7C6" w:rsidR="00B930E7" w:rsidRPr="004C4498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2024.01.31</w:t>
            </w:r>
          </w:p>
        </w:tc>
      </w:tr>
      <w:tr w:rsidR="00B930E7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76DC4E36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16124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7CB17469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2042266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3ECBD7A8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INDERAL-LA (propranolol hydrochloride 120 mg prolonged-release oral capsule)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2D1D1715" w:rsidR="00B930E7" w:rsidRPr="004C4498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500B4C4E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16579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5C7B37B5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2042274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7E14FFC1" w:rsidR="00B930E7" w:rsidRPr="00700DF3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INDERAL-LA (propranolol hydrochloride 160 mg prolonged-release oral capsule)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06A489A0" w:rsidR="00B930E7" w:rsidRPr="004C4498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71407200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17780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506250A7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2042231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66BCEACF" w:rsidR="00B930E7" w:rsidRPr="00E3256A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INDERAL-LA (propranolol hydrochloride 60 mg prolonged-release oral capsule)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788906B9" w:rsidR="00B930E7" w:rsidRPr="004C4498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3BD3ED41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16123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4C41AECE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2042258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0EDBE6A9" w:rsidR="00B930E7" w:rsidRPr="00E3256A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INDERAL-LA (propranolol hydrochloride 80 mg prolonged-release oral capsule)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252CA25C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3C5D6968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88177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66A18748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2396750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5DCFC074" w:rsidR="00B930E7" w:rsidRPr="00E3256A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INTELENCE (etravirine 25 mg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0617002E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034C482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3D7A4" w14:textId="3B6E969D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73527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468CC" w14:textId="1C94DDD4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2250470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5391F" w14:textId="160ECADC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LEVITRA (vardenafil (vardenafil hydrochloride) 10 mg oral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D1A06" w14:textId="50892047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284158F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5D1BD" w14:textId="37A83323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73528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BEF52" w14:textId="4ABE9C68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2250489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8BDFB" w14:textId="0D8321B1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LEVITRA (vardenafil (vardenafil hydrochloride) 20 mg oral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31EF" w14:textId="7AB049F4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41F5308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4E044" w14:textId="581220DB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70224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C8B23" w14:textId="4A835E47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2246089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28FE9" w14:textId="2CC4B923" w:rsidR="00B930E7" w:rsidRPr="00B930E7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LIFE -SHAMPOOING ET REVITALISANT ANTIPELLICULAIRE CLASSIQUE - 2 EN 1 (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pyrithione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 zinc 1 % 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shampoo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) LE GROUPE ULTRAPAC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7C173" w14:textId="11FF4A69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(UNRETURNED ANNUAL)</w:t>
            </w:r>
          </w:p>
        </w:tc>
      </w:tr>
      <w:tr w:rsidR="00B930E7" w:rsidRPr="00CC205E" w14:paraId="33C0829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6EA09" w14:textId="09D657B1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69880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D169C" w14:textId="7EEEE7F4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2245769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9597A" w14:textId="2E4586DC" w:rsidR="00B930E7" w:rsidRPr="00B930E7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LIFE DANDRUFF SHAMPOO (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pyrithione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 zinc 1 % 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shampoo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) LE GROUPE ULTRAPAC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A9270" w14:textId="3C536C48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(UNRETURNED ANNUAL)</w:t>
            </w:r>
          </w:p>
        </w:tc>
      </w:tr>
      <w:tr w:rsidR="00B930E7" w:rsidRPr="00CC205E" w14:paraId="0D8F0AB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C6BADD" w14:textId="676DCF22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101099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FB8EB1" w14:textId="7AB04867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E1768" w14:textId="57D69DB0" w:rsidR="00B930E7" w:rsidRPr="00B930E7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NRA-CETIRIZINE (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cetirizine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 20 mg oral 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F4DB55" w14:textId="5F6C55F5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2024.01.31</w:t>
            </w:r>
          </w:p>
        </w:tc>
      </w:tr>
      <w:tr w:rsidR="00B930E7" w:rsidRPr="00CC205E" w14:paraId="6D5BF5C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2EF80" w14:textId="5A2A7CDB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95769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AF1AC" w14:textId="2B04CA22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2469049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D60F5A" w14:textId="71CB3564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PHARMA-AMLODIPINE (amlodipine (amlodipine besylate) 10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17CE8E" w14:textId="1BCC42A1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2024.01.11</w:t>
            </w:r>
          </w:p>
        </w:tc>
      </w:tr>
      <w:tr w:rsidR="00B930E7" w:rsidRPr="00CC205E" w14:paraId="2CFF7A9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EE564" w14:textId="0624D35D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1936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2E4DA" w14:textId="4DCD4517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299405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24987" w14:textId="56E066EF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PRED MILD (prednisolone acetate 0.12 % ophthalmic drops)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B7AB7" w14:textId="79D9C805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2024.01.31</w:t>
            </w:r>
          </w:p>
        </w:tc>
      </w:tr>
      <w:tr w:rsidR="00B930E7" w:rsidRPr="00CC205E" w14:paraId="1E3A391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9B173" w14:textId="32DB68EB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3492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0962C5" w14:textId="2654D803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363014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ED8CF" w14:textId="1FEFC05C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PROCTOFOAM HC (hydrocortisone acetate 1 %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pramoxine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hydrochloride 1 % rectal foam) DUCHESNAY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074B6" w14:textId="4BB35805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2023.07.20</w:t>
            </w:r>
          </w:p>
        </w:tc>
      </w:tr>
      <w:tr w:rsidR="00B930E7" w:rsidRPr="00CC205E" w14:paraId="6D6A2A8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98BAC" w14:textId="3A44A669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74361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40174E" w14:textId="76B0E7E0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2258404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AF2AA" w14:textId="7BBC857E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PYRITHIONE ZINC DANDRUFF SHAMPOO CLASSIC CLEAN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pyrithione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zinc 1 % shampoo) LE GROUPE ULTRAPAC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C29BF" w14:textId="0A5A1C33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(UNRETURNED ANNUAL)</w:t>
            </w:r>
          </w:p>
        </w:tc>
      </w:tr>
      <w:tr w:rsidR="00B930E7" w:rsidRPr="00CC205E" w14:paraId="4F93681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59F01" w14:textId="3DF899E2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74079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1C200" w14:textId="05344647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2255618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C75A1" w14:textId="4178B6BC" w:rsidR="00B930E7" w:rsidRPr="00B930E7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SHAMPOOING 2 EN 1 ANTIPELLICULAIRE (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pyrithione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 zinc 1 % 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shampoo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) LE GROUPE ULTRAPAC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79969A" w14:textId="4F0712D4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(UNRETURNED ANNUAL)</w:t>
            </w:r>
          </w:p>
        </w:tc>
      </w:tr>
      <w:tr w:rsidR="00B930E7" w:rsidRPr="00CC205E" w14:paraId="16F6CEC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EA363D" w14:textId="5D6A2242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101673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F8119" w14:textId="4BB1369C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2527685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88C1B" w14:textId="6888E971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SPIKEVAX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elasomeran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0.1 mg per mL dispersion for injection 2.5 mL vial) MODERNA BIOPHARMA CANADA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38A20" w14:textId="67708E08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2024-01-19</w:t>
            </w:r>
          </w:p>
        </w:tc>
      </w:tr>
      <w:tr w:rsidR="00B930E7" w:rsidRPr="00CC205E" w14:paraId="57E80A7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608DD" w14:textId="6405BE04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101943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0EF135" w14:textId="4B579BFC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2530252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485FCF" w14:textId="7B07E809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SPIKEVAX BIVALENT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elasomeran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mg per mL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imelasomeran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mg per mL dispersion for injection 2.5 mL vial) MODERNA BIOPHARMA CANADA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907513" w14:textId="795DAB22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2024-01-19</w:t>
            </w:r>
          </w:p>
        </w:tc>
      </w:tr>
      <w:tr w:rsidR="00B930E7" w:rsidRPr="00CC205E" w14:paraId="7FC3BD1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2747CD" w14:textId="197B3FF3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102139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FA4B2E" w14:textId="285105DA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2532352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22F709" w14:textId="475A34FE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SPIKEVAX BIVALENT (ORIGINAL / OMICRON BA.4/5)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davesomeran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mg per mL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elasomeran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mg per mL dispersion for injection 2.5 mL vial) MODERNA BIOPHARMA CANADA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BC725" w14:textId="6AAFC1F9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2024-01-19</w:t>
            </w:r>
          </w:p>
        </w:tc>
      </w:tr>
      <w:tr w:rsidR="00B930E7" w:rsidRPr="00CC205E" w14:paraId="284547E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45740B" w14:textId="73B15528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80801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81AF60" w14:textId="751CC85A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2322560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31C693" w14:textId="6C3F2964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TOPICAINE 5 (lidocaine 5 % cutaneous gel) ESBA LABORATORIES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9BC0EE" w14:textId="4E23D58B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(UNRETURNED ANNUAL)</w:t>
            </w:r>
          </w:p>
        </w:tc>
      </w:tr>
      <w:tr w:rsidR="00B930E7" w:rsidRPr="00CC205E" w14:paraId="5A086F8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753AA4" w14:textId="4FC404D8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97091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796A5" w14:textId="2DFABA05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2480387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3B1573" w14:textId="06BF2CB5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TRISENOX (arsenic trioxide 12 mg per 6 mL solution for injection vial)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B2D0FF" w14:textId="6F22DBE4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2024.01.31</w:t>
            </w:r>
          </w:p>
        </w:tc>
      </w:tr>
      <w:tr w:rsidR="00B930E7" w:rsidRPr="00CC205E" w14:paraId="721E038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655F4" w14:textId="275AA640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97625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C7152" w14:textId="5BA8B8CB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2486024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41E0B" w14:textId="72C631E3" w:rsidR="00B930E7" w:rsidRPr="00451DDF" w:rsidRDefault="00B930E7" w:rsidP="00B930E7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VIZIMPRO (dacomitinib (dacomitinib monohydrate) 15 mg oral tablet)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1823B" w14:textId="3874D21E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  <w:tr w:rsidR="00B930E7" w:rsidRPr="00CC205E" w14:paraId="1569F59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4B0251" w14:textId="74AD9E17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43117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A4B372" w14:textId="4396C65A" w:rsidR="00B930E7" w:rsidRPr="00CC205E" w:rsidRDefault="00B930E7" w:rsidP="00B930E7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2213575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84E3FA" w14:textId="0A44370D" w:rsidR="00B930E7" w:rsidRPr="00B930E7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ZOFRAN (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ondansetron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ondansetron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dihydrate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 xml:space="preserve">) 8 mg oral </w:t>
            </w:r>
            <w:proofErr w:type="spellStart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tablet</w:t>
            </w:r>
            <w:proofErr w:type="spellEnd"/>
            <w:r w:rsidRPr="00B930E7">
              <w:rPr>
                <w:rFonts w:ascii="Arial" w:hAnsi="Arial" w:cs="Arial"/>
                <w:sz w:val="20"/>
                <w:szCs w:val="20"/>
                <w:lang w:val="fr-CA"/>
              </w:rPr>
              <w:t>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2A8CD7" w14:textId="7600A4B8" w:rsidR="00B930E7" w:rsidRPr="00CC205E" w:rsidRDefault="00B930E7" w:rsidP="00B930E7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2024-01-31</w:t>
            </w:r>
          </w:p>
        </w:tc>
      </w:tr>
    </w:tbl>
    <w:p w14:paraId="7D22F62D" w14:textId="77777777" w:rsidR="005F763A" w:rsidRDefault="005F763A"/>
    <w:p w14:paraId="6133B3FB" w14:textId="6E54CD03" w:rsidR="00212B46" w:rsidRPr="00212B46" w:rsidRDefault="00CD711F" w:rsidP="00212B46">
      <w:pPr>
        <w:pStyle w:val="Heading2"/>
        <w:rPr>
          <w:b/>
          <w:color w:val="4472C4" w:themeColor="accent1"/>
        </w:rPr>
      </w:pPr>
      <w:r>
        <w:rPr>
          <w:b/>
          <w:color w:val="4472C4" w:themeColor="accent1"/>
        </w:rPr>
        <w:t>Exclusion L</w:t>
      </w:r>
      <w:r w:rsidR="00212B46" w:rsidRPr="00212B46">
        <w:rPr>
          <w:b/>
          <w:color w:val="4472C4" w:themeColor="accent1"/>
        </w:rPr>
        <w:t>ist (on GitHub)</w:t>
      </w:r>
    </w:p>
    <w:p w14:paraId="148D2A37" w14:textId="0BEAEA04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CD711F">
        <w:t>FEBRUARY 2024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51C5901C" w:rsidR="00987C22" w:rsidRDefault="00987C22">
      <w:r>
        <w:t xml:space="preserve">Changes </w:t>
      </w:r>
      <w:r w:rsidR="004D2C08">
        <w:t xml:space="preserve">that have been made </w:t>
      </w:r>
      <w:r w:rsidR="005E1E4F">
        <w:t xml:space="preserve">to the </w:t>
      </w:r>
      <w:r w:rsidR="00CD711F">
        <w:t>Exclusion List</w:t>
      </w:r>
      <w:r w:rsidR="005E1E4F">
        <w:t xml:space="preserve">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CE3A57" w:rsidRPr="008A281D" w14:paraId="6396763D" w14:textId="77777777" w:rsidTr="00CE3A5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5C4A7" w14:textId="5B202CA6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44a1744d2ba75a755d8e0e4e41394a38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6121D" w14:textId="7C5DD084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acetaminophen 100 mg per 10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19509" w14:textId="150F24E3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102456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F6472" w14:textId="0106D0BD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2535734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2BBA" w14:textId="7D82A5F1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ACETAMINOPHEN INJECTION (acetaminophen 100 mg per 10 mL solution for injection) B. BRAUN MELSUNGEN AG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6234EE5" w14:textId="028E752F" w:rsidR="00CE3A57" w:rsidRDefault="00A31142" w:rsidP="00CE3A5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CE3A57" w:rsidRPr="008A281D" w14:paraId="7CC4B92D" w14:textId="77777777" w:rsidTr="00CE3A5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8F624" w14:textId="36154D97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7ce2e3168e31af9a2eadd5428529079e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76792" w14:textId="6A4E7A96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acetaminophen 500 mg per 50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D1120" w14:textId="1825131A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102457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BE3B" w14:textId="615A97E5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2535742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D3D2" w14:textId="6B822905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ACETAMINOPHEN INJECTION (acetaminophen 500 mg per 50 mL solution for injection) B. BRAUN MELSUNGEN AG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B46F8D4" w14:textId="4EB28DCB" w:rsidR="00CE3A57" w:rsidRDefault="00A31142" w:rsidP="00CE3A5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CE3A57" w:rsidRPr="008A281D" w14:paraId="4C65BD6B" w14:textId="77777777" w:rsidTr="00CE3A5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CF5E5" w14:textId="5FC1B970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9014249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22B8B" w14:textId="25F3DB93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6F5C">
              <w:t>sapropterin</w:t>
            </w:r>
            <w:proofErr w:type="spellEnd"/>
            <w:r w:rsidRPr="00A56F5C">
              <w:t xml:space="preserve"> dihydrochloride 500 mg per sachet oral powder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D516B" w14:textId="7B6C962E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102895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956D4" w14:textId="0FCA5C2C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2540258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DE80" w14:textId="613EC864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OZEMPIC (</w:t>
            </w:r>
            <w:proofErr w:type="spellStart"/>
            <w:r w:rsidRPr="00386394">
              <w:t>semaglutide</w:t>
            </w:r>
            <w:proofErr w:type="spellEnd"/>
            <w:r w:rsidRPr="00386394">
              <w:t xml:space="preserve"> 0.68 mg per mL solution for injection) NOVO NORDISK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18CC63" w14:textId="56A759E4" w:rsidR="00CE3A57" w:rsidRDefault="00A31142" w:rsidP="00CE3A5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CE3A57" w:rsidRPr="008A281D" w14:paraId="43F7B8BE" w14:textId="77777777" w:rsidTr="00CE3A5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D9D70" w14:textId="173B60BC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6F5C">
              <w:t>5e13f3f6358b9465f4ef5dab9bcbb2f1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DAAB4" w14:textId="5BFAC6F7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6F5C">
              <w:t>semaglutide</w:t>
            </w:r>
            <w:proofErr w:type="spellEnd"/>
            <w:r w:rsidRPr="00A56F5C">
              <w:t xml:space="preserve"> 0.68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A8D22" w14:textId="409A9E50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102445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55812" w14:textId="06B831D1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2535610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9B27" w14:textId="635BCEBA" w:rsidR="00CE3A57" w:rsidRDefault="00CE3A57" w:rsidP="00CE3A5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86394">
              <w:t>REDDY-SAPROPTERIN (</w:t>
            </w:r>
            <w:proofErr w:type="spellStart"/>
            <w:r w:rsidRPr="00386394">
              <w:t>sapropterin</w:t>
            </w:r>
            <w:proofErr w:type="spellEnd"/>
            <w:r w:rsidRPr="00386394">
              <w:t xml:space="preserve"> dihydrochloride 500 mg per sachet oral powder) </w:t>
            </w:r>
            <w:r w:rsidRPr="00386394">
              <w:lastRenderedPageBreak/>
              <w:t>DR REDDY'S LABORATORIES LTD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D4D27AB" w14:textId="2430D978" w:rsidR="00CE3A57" w:rsidRDefault="00A31142" w:rsidP="00CE3A5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REMOVE</w:t>
            </w:r>
          </w:p>
        </w:tc>
      </w:tr>
      <w:tr w:rsidR="00A31142" w:rsidRPr="008A281D" w14:paraId="38EC337B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CADD5" w14:textId="75804D11" w:rsidR="00A31142" w:rsidRPr="00A56F5C" w:rsidRDefault="00A31142" w:rsidP="00A31142">
            <w:pPr>
              <w:spacing w:after="0" w:line="240" w:lineRule="auto"/>
            </w:pPr>
            <w:r w:rsidRPr="00A31142">
              <w:t>9000965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5BC09" w14:textId="29CC5EDB" w:rsidR="00A31142" w:rsidRPr="00A31142" w:rsidRDefault="00A31142" w:rsidP="00A31142">
            <w:pPr>
              <w:spacing w:after="0" w:line="240" w:lineRule="auto"/>
              <w:rPr>
                <w:lang w:val="en-CA"/>
              </w:rPr>
            </w:pPr>
            <w:r w:rsidRPr="00A31142">
              <w:rPr>
                <w:lang w:val="en-CA"/>
              </w:rPr>
              <w:t>ketorolac tromethamine 30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BA89F" w14:textId="72C6CD8F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101242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09F45" w14:textId="4FC8D71E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2523310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B0D29" w14:textId="66F17097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KETOROLAC TROMETHAMINE INJECTION USP (ketorolac tromethamine 30 mg per mL solution for injection)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4F4A861" w14:textId="7A6E550B" w:rsidR="00A31142" w:rsidRDefault="00A31142" w:rsidP="00A3114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A31142" w:rsidRPr="008A281D" w14:paraId="29E39775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0ED1B" w14:textId="6A07970B" w:rsidR="00A31142" w:rsidRPr="00A56F5C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9014308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4EE04" w14:textId="403A791B" w:rsidR="00A31142" w:rsidRPr="00A56F5C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filgrastim 300 mcg per 0.5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D4B0" w14:textId="577930C3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101023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B377B" w14:textId="5F5095DC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2520990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C57D4" w14:textId="3191FDC7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NYPOZI (filgrastim 300 mcg per 0.5 mL solution for injection) TANVEX BIOPHARMA USA,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E23A4E" w14:textId="4E85B242" w:rsidR="00A31142" w:rsidRDefault="00A31142" w:rsidP="00A3114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A31142" w:rsidRPr="008A281D" w14:paraId="54B10CBF" w14:textId="77777777" w:rsidTr="00CA765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51F1" w14:textId="1E44E12B" w:rsidR="00A31142" w:rsidRPr="00A56F5C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9014309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E6777" w14:textId="537EF8B9" w:rsidR="00A31142" w:rsidRPr="00A56F5C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filgrastim 480 mcg per 0.8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3FCB2" w14:textId="48C18180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101024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228E8" w14:textId="4291ECE8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2521008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829DD" w14:textId="733A5F36" w:rsidR="00A31142" w:rsidRPr="00386394" w:rsidRDefault="00A31142" w:rsidP="00A3114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NYPOZI (filgrastim 480 mcg per 0.8 mL solution for injection) TANVEX BIOPHARMA USA,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6AFE77" w14:textId="6A0ED6D9" w:rsidR="00A31142" w:rsidRDefault="00A31142" w:rsidP="00A3114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7B09"/>
    <w:multiLevelType w:val="hybridMultilevel"/>
    <w:tmpl w:val="754ED0D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  <w:num w:numId="9" w16cid:durableId="153684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3B0D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2F3DD8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00DF3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76B04"/>
    <w:rsid w:val="0098005D"/>
    <w:rsid w:val="00981E92"/>
    <w:rsid w:val="009862E2"/>
    <w:rsid w:val="00987C22"/>
    <w:rsid w:val="00990B61"/>
    <w:rsid w:val="00995FF4"/>
    <w:rsid w:val="009A2650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617"/>
    <w:rsid w:val="009F6757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31142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30E7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1357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D711F"/>
    <w:rsid w:val="00CE3A57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6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94</cp:revision>
  <dcterms:created xsi:type="dcterms:W3CDTF">2022-05-03T14:48:00Z</dcterms:created>
  <dcterms:modified xsi:type="dcterms:W3CDTF">2024-02-01T20:01:00Z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