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7F292" w14:textId="5D18295B" w:rsidR="00EC2E04" w:rsidRPr="00AA1E7A" w:rsidRDefault="00EC2E04" w:rsidP="004C0E3B">
      <w:pPr>
        <w:pStyle w:val="Heading1"/>
        <w:jc w:val="center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 xml:space="preserve">Data Changes for the CCDD </w:t>
      </w:r>
      <w:r w:rsidR="00916DA5">
        <w:rPr>
          <w:b/>
          <w:color w:val="4472C4" w:themeColor="accent1"/>
        </w:rPr>
        <w:t>SEPTEMBER</w:t>
      </w:r>
      <w:r w:rsidR="00E61C2C" w:rsidRPr="00AA1E7A">
        <w:rPr>
          <w:b/>
          <w:color w:val="4472C4" w:themeColor="accent1"/>
        </w:rPr>
        <w:t xml:space="preserve"> </w:t>
      </w:r>
      <w:r w:rsidRPr="00AA1E7A">
        <w:rPr>
          <w:b/>
          <w:color w:val="4472C4" w:themeColor="accent1"/>
        </w:rPr>
        <w:t xml:space="preserve">Release Candidate </w:t>
      </w:r>
      <w:r w:rsidR="008138B1" w:rsidRPr="00AA1E7A">
        <w:rPr>
          <w:b/>
          <w:color w:val="4472C4" w:themeColor="accent1"/>
        </w:rPr>
        <w:t>202</w:t>
      </w:r>
      <w:r w:rsidR="00CD711F" w:rsidRPr="00AA1E7A">
        <w:rPr>
          <w:b/>
          <w:color w:val="4472C4" w:themeColor="accent1"/>
        </w:rPr>
        <w:t>4</w:t>
      </w:r>
    </w:p>
    <w:p w14:paraId="16E1B331" w14:textId="6A82FF80" w:rsidR="004C0E3B" w:rsidRPr="00AA1E7A" w:rsidRDefault="004C0E3B" w:rsidP="004C0E3B">
      <w:pPr>
        <w:pStyle w:val="Heading2"/>
        <w:jc w:val="center"/>
        <w:rPr>
          <w:b/>
          <w:color w:val="FF0000"/>
        </w:rPr>
      </w:pPr>
      <w:r w:rsidRPr="00AA1E7A">
        <w:rPr>
          <w:b/>
          <w:color w:val="4472C4" w:themeColor="accent1"/>
        </w:rPr>
        <w:t>Based on the QA Release</w:t>
      </w:r>
      <w:r w:rsidR="00D06EAE" w:rsidRPr="00AA1E7A">
        <w:rPr>
          <w:b/>
          <w:color w:val="4472C4" w:themeColor="accent1"/>
        </w:rPr>
        <w:t xml:space="preserve"> Generation</w:t>
      </w:r>
      <w:r w:rsidRPr="00AA1E7A">
        <w:rPr>
          <w:b/>
          <w:color w:val="4472C4" w:themeColor="accent1"/>
        </w:rPr>
        <w:t xml:space="preserve"> </w:t>
      </w:r>
      <w:r w:rsidR="000A2908" w:rsidRPr="00AA1E7A">
        <w:rPr>
          <w:b/>
          <w:color w:val="FF0000"/>
        </w:rPr>
        <w:t>202</w:t>
      </w:r>
      <w:r w:rsidR="009A2650" w:rsidRPr="00AA1E7A">
        <w:rPr>
          <w:b/>
          <w:color w:val="FF0000"/>
        </w:rPr>
        <w:t>4</w:t>
      </w:r>
      <w:r w:rsidR="00976B04" w:rsidRPr="00AA1E7A">
        <w:rPr>
          <w:b/>
          <w:color w:val="FF0000"/>
        </w:rPr>
        <w:t>-</w:t>
      </w:r>
      <w:r w:rsidR="00296CC9">
        <w:rPr>
          <w:b/>
          <w:color w:val="FF0000"/>
        </w:rPr>
        <w:t>10-01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:rsidRPr="00AA1E7A" w14:paraId="78C812B8" w14:textId="77777777" w:rsidTr="00ED7202">
        <w:tc>
          <w:tcPr>
            <w:tcW w:w="1980" w:type="dxa"/>
          </w:tcPr>
          <w:p w14:paraId="6BA424B5" w14:textId="77777777" w:rsidR="00C97FD1" w:rsidRPr="00AA1E7A" w:rsidRDefault="00C97FD1" w:rsidP="00C97FD1">
            <w:pPr>
              <w:rPr>
                <w:b/>
              </w:rPr>
            </w:pPr>
            <w:r w:rsidRPr="00AA1E7A">
              <w:rPr>
                <w:b/>
              </w:rPr>
              <w:t>Data entered by</w:t>
            </w:r>
          </w:p>
        </w:tc>
        <w:tc>
          <w:tcPr>
            <w:tcW w:w="7036" w:type="dxa"/>
          </w:tcPr>
          <w:p w14:paraId="13211FA7" w14:textId="17F1AA0B" w:rsidR="00C97FD1" w:rsidRPr="00AA1E7A" w:rsidRDefault="002D3B2E" w:rsidP="009A2650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A.Raghuveer</w:t>
            </w:r>
            <w:proofErr w:type="spellEnd"/>
          </w:p>
        </w:tc>
      </w:tr>
      <w:tr w:rsidR="00C97FD1" w:rsidRPr="00AA1E7A" w14:paraId="07390F77" w14:textId="77777777" w:rsidTr="00ED7202">
        <w:tc>
          <w:tcPr>
            <w:tcW w:w="1980" w:type="dxa"/>
          </w:tcPr>
          <w:p w14:paraId="2E8320DE" w14:textId="77777777" w:rsidR="00C97FD1" w:rsidRPr="00AA1E7A" w:rsidRDefault="00C97FD1" w:rsidP="00C97FD1">
            <w:pPr>
              <w:rPr>
                <w:b/>
              </w:rPr>
            </w:pPr>
            <w:r w:rsidRPr="00AA1E7A">
              <w:rPr>
                <w:b/>
              </w:rPr>
              <w:t>Data checked by</w:t>
            </w:r>
          </w:p>
        </w:tc>
        <w:tc>
          <w:tcPr>
            <w:tcW w:w="7036" w:type="dxa"/>
          </w:tcPr>
          <w:p w14:paraId="7790C095" w14:textId="10CF500C" w:rsidR="00C97FD1" w:rsidRPr="00AA1E7A" w:rsidRDefault="003B20E9" w:rsidP="00404093">
            <w:pPr>
              <w:rPr>
                <w:b/>
              </w:rPr>
            </w:pPr>
            <w:proofErr w:type="spellStart"/>
            <w:r>
              <w:rPr>
                <w:b/>
              </w:rPr>
              <w:t>M.Taylor</w:t>
            </w:r>
            <w:proofErr w:type="spellEnd"/>
          </w:p>
        </w:tc>
      </w:tr>
    </w:tbl>
    <w:p w14:paraId="3312FB1C" w14:textId="77777777" w:rsidR="00584370" w:rsidRPr="00AA1E7A" w:rsidRDefault="00584370" w:rsidP="00EC2E04">
      <w:pPr>
        <w:pStyle w:val="Heading2"/>
        <w:rPr>
          <w:b/>
          <w:color w:val="4472C4" w:themeColor="accent1"/>
        </w:rPr>
      </w:pPr>
    </w:p>
    <w:p w14:paraId="7A382175" w14:textId="77777777" w:rsidR="00EC2E04" w:rsidRPr="00AA1E7A" w:rsidRDefault="00EC2E04" w:rsidP="00EC2E04">
      <w:pPr>
        <w:pStyle w:val="Heading2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TM File</w:t>
      </w:r>
    </w:p>
    <w:p w14:paraId="56687FDC" w14:textId="77777777" w:rsidR="008F4F55" w:rsidRPr="00AA1E7A" w:rsidRDefault="00B245A8" w:rsidP="00B245A8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Deprecation</w:t>
      </w:r>
    </w:p>
    <w:p w14:paraId="01FE0C98" w14:textId="77777777" w:rsidR="006B145F" w:rsidRPr="00AA1E7A" w:rsidRDefault="006B145F" w:rsidP="006B145F">
      <w:pPr>
        <w:rPr>
          <w:b/>
        </w:rPr>
      </w:pPr>
      <w:r w:rsidRPr="00AA1E7A">
        <w:rPr>
          <w:b/>
        </w:rPr>
        <w:t xml:space="preserve">The following </w:t>
      </w:r>
      <w:r w:rsidR="00360696" w:rsidRPr="00AA1E7A">
        <w:rPr>
          <w:b/>
        </w:rPr>
        <w:t xml:space="preserve">TM </w:t>
      </w:r>
      <w:r w:rsidRPr="00AA1E7A">
        <w:rPr>
          <w:b/>
        </w:rPr>
        <w:t>concept(s) needs to be added back into the TM File with a status of deprecated.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:rsidRPr="00AA1E7A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Pr="00AA1E7A" w:rsidRDefault="006B145F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tm_code</w:t>
            </w:r>
            <w:proofErr w:type="spellEnd"/>
            <w:r w:rsidRPr="00AA1E7A">
              <w:rPr>
                <w:b/>
              </w:rPr>
              <w:t xml:space="preserve">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Pr="00AA1E7A" w:rsidRDefault="006B145F" w:rsidP="00601A33">
            <w:pPr>
              <w:rPr>
                <w:b/>
              </w:rPr>
            </w:pPr>
            <w:r w:rsidRPr="00AA1E7A">
              <w:rPr>
                <w:b/>
              </w:rPr>
              <w:t>tm _</w:t>
            </w:r>
            <w:proofErr w:type="spellStart"/>
            <w:r w:rsidRPr="00AA1E7A">
              <w:rPr>
                <w:b/>
              </w:rPr>
              <w:t>formal_name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Pr="00AA1E7A" w:rsidRDefault="006B145F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tm_status</w:t>
            </w:r>
            <w:proofErr w:type="spellEnd"/>
          </w:p>
        </w:tc>
      </w:tr>
      <w:tr w:rsidR="006B145F" w:rsidRPr="00AA1E7A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35D75AE6" w:rsidR="006B145F" w:rsidRPr="00AA1E7A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126105B0" w:rsidR="006B145F" w:rsidRPr="00AA1E7A" w:rsidRDefault="002F3DD8" w:rsidP="00601A33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AA1E7A">
              <w:rPr>
                <w:rFonts w:ascii="Calibri" w:hAnsi="Calibri" w:cs="Calibri"/>
                <w:b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087916F2" w:rsidR="006B145F" w:rsidRPr="00AA1E7A" w:rsidRDefault="006B145F" w:rsidP="00601A33">
            <w:pPr>
              <w:jc w:val="both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14:paraId="4FC16D95" w14:textId="77777777" w:rsidR="00094CAA" w:rsidRPr="00AA1E7A" w:rsidRDefault="00094CAA" w:rsidP="00094CAA">
      <w:pPr>
        <w:rPr>
          <w:b/>
        </w:rPr>
      </w:pPr>
    </w:p>
    <w:p w14:paraId="4A95D0DC" w14:textId="77777777" w:rsidR="009C7069" w:rsidRPr="00AA1E7A" w:rsidRDefault="009C7069" w:rsidP="009C7069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Code permanence – name changes</w:t>
      </w:r>
    </w:p>
    <w:p w14:paraId="707A58B1" w14:textId="77777777" w:rsidR="00124A55" w:rsidRPr="00AA1E7A" w:rsidRDefault="00124A55" w:rsidP="00124A55">
      <w:pPr>
        <w:rPr>
          <w:b/>
        </w:rPr>
      </w:pPr>
      <w:r w:rsidRPr="00AA1E7A">
        <w:rPr>
          <w:b/>
        </w:rPr>
        <w:t xml:space="preserve">The following </w:t>
      </w:r>
      <w:r w:rsidR="00360696" w:rsidRPr="00AA1E7A">
        <w:rPr>
          <w:b/>
        </w:rPr>
        <w:t xml:space="preserve">TM </w:t>
      </w:r>
      <w:r w:rsidRPr="00AA1E7A">
        <w:rPr>
          <w:b/>
        </w:rPr>
        <w:t>concept</w:t>
      </w:r>
      <w:r w:rsidR="00255E92" w:rsidRPr="00AA1E7A">
        <w:rPr>
          <w:b/>
        </w:rPr>
        <w:t>(s)</w:t>
      </w:r>
      <w:r w:rsidRPr="00AA1E7A">
        <w:rPr>
          <w:b/>
        </w:rPr>
        <w:t xml:space="preserve"> need to keep </w:t>
      </w:r>
      <w:r w:rsidR="00360696" w:rsidRPr="00AA1E7A">
        <w:rPr>
          <w:b/>
        </w:rPr>
        <w:t>its/</w:t>
      </w:r>
      <w:r w:rsidRPr="00AA1E7A">
        <w:rPr>
          <w:b/>
        </w:rPr>
        <w:t xml:space="preserve">their existing </w:t>
      </w:r>
      <w:proofErr w:type="spellStart"/>
      <w:r w:rsidRPr="00AA1E7A">
        <w:rPr>
          <w:b/>
        </w:rPr>
        <w:t>tm_code</w:t>
      </w:r>
      <w:proofErr w:type="spellEnd"/>
      <w:r w:rsidRPr="00AA1E7A">
        <w:rPr>
          <w:b/>
        </w:rPr>
        <w:t xml:space="preserve"> even though their formal name has changed.  </w:t>
      </w:r>
      <w:r w:rsidR="00D13A17" w:rsidRPr="00AA1E7A">
        <w:rPr>
          <w:b/>
        </w:rPr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:rsidRPr="00AA1E7A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Pr="00AA1E7A" w:rsidRDefault="00124A55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tm_code</w:t>
            </w:r>
            <w:proofErr w:type="spellEnd"/>
            <w:r w:rsidRPr="00AA1E7A">
              <w:rPr>
                <w:b/>
              </w:rPr>
              <w:t xml:space="preserve">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Pr="00AA1E7A" w:rsidRDefault="00124A55" w:rsidP="00601A33">
            <w:pPr>
              <w:rPr>
                <w:b/>
              </w:rPr>
            </w:pPr>
            <w:r w:rsidRPr="00AA1E7A">
              <w:rPr>
                <w:b/>
              </w:rPr>
              <w:t>tm _</w:t>
            </w:r>
            <w:proofErr w:type="spellStart"/>
            <w:r w:rsidRPr="00AA1E7A">
              <w:rPr>
                <w:b/>
              </w:rPr>
              <w:t>formal_name</w:t>
            </w:r>
            <w:proofErr w:type="spellEnd"/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Pr="00AA1E7A" w:rsidRDefault="00124A55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tm_code</w:t>
            </w:r>
            <w:proofErr w:type="spellEnd"/>
            <w:r w:rsidRPr="00AA1E7A">
              <w:rPr>
                <w:b/>
              </w:rPr>
              <w:t xml:space="preserve"> in QA Release was </w:t>
            </w:r>
          </w:p>
        </w:tc>
      </w:tr>
      <w:tr w:rsidR="00F54FBE" w:rsidRPr="00AA1E7A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0490C3A4" w:rsidR="00F54FBE" w:rsidRPr="00AA1E7A" w:rsidRDefault="00F54FBE" w:rsidP="00F54FBE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6FF5A820" w:rsidR="00F54FBE" w:rsidRPr="00AA1E7A" w:rsidRDefault="009A6248" w:rsidP="00F54FBE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AA1E7A">
              <w:rPr>
                <w:rFonts w:ascii="Calibri" w:hAnsi="Calibri" w:cs="Calibri"/>
                <w:b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3A30A9DE" w:rsidR="00F54FBE" w:rsidRPr="00AA1E7A" w:rsidRDefault="00F54FBE" w:rsidP="00F54FBE">
            <w:pPr>
              <w:jc w:val="both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14:paraId="0CB8E04B" w14:textId="77777777" w:rsidR="00B245A8" w:rsidRPr="00AA1E7A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AA1E7A" w:rsidRDefault="00B245A8" w:rsidP="00B245A8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Concept permanence</w:t>
      </w:r>
      <w:r w:rsidR="00BF13A6" w:rsidRPr="00AA1E7A">
        <w:rPr>
          <w:b/>
          <w:color w:val="4472C4" w:themeColor="accent1"/>
        </w:rPr>
        <w:t xml:space="preserve"> - returns</w:t>
      </w:r>
    </w:p>
    <w:p w14:paraId="1B0E1A5D" w14:textId="77777777" w:rsidR="00502F3C" w:rsidRPr="00AA1E7A" w:rsidRDefault="000B7640" w:rsidP="00502F3C">
      <w:pPr>
        <w:rPr>
          <w:b/>
        </w:rPr>
      </w:pPr>
      <w:r w:rsidRPr="00AA1E7A">
        <w:rPr>
          <w:b/>
        </w:rPr>
        <w:t>T</w:t>
      </w:r>
      <w:r w:rsidR="00502F3C" w:rsidRPr="00AA1E7A">
        <w:rPr>
          <w:b/>
        </w:rPr>
        <w:t xml:space="preserve">he </w:t>
      </w:r>
      <w:r w:rsidR="00DC18AF" w:rsidRPr="00AA1E7A">
        <w:rPr>
          <w:b/>
        </w:rPr>
        <w:t>following</w:t>
      </w:r>
      <w:r w:rsidR="00360696" w:rsidRPr="00AA1E7A">
        <w:rPr>
          <w:b/>
        </w:rPr>
        <w:t xml:space="preserve"> TM </w:t>
      </w:r>
      <w:r w:rsidR="00502F3C" w:rsidRPr="00AA1E7A">
        <w:rPr>
          <w:b/>
        </w:rPr>
        <w:t>concept</w:t>
      </w:r>
      <w:r w:rsidR="00360696" w:rsidRPr="00AA1E7A">
        <w:rPr>
          <w:b/>
        </w:rPr>
        <w:t>(s)</w:t>
      </w:r>
      <w:r w:rsidR="00502F3C" w:rsidRPr="00AA1E7A">
        <w:rPr>
          <w:b/>
        </w:rPr>
        <w:t xml:space="preserve"> </w:t>
      </w:r>
      <w:r w:rsidR="00D50BC5" w:rsidRPr="00AA1E7A">
        <w:rPr>
          <w:b/>
        </w:rPr>
        <w:t>is</w:t>
      </w:r>
      <w:r w:rsidR="00360696" w:rsidRPr="00AA1E7A">
        <w:rPr>
          <w:b/>
        </w:rPr>
        <w:t>/are</w:t>
      </w:r>
      <w:r w:rsidR="00502F3C" w:rsidRPr="00AA1E7A">
        <w:rPr>
          <w:b/>
        </w:rPr>
        <w:t xml:space="preserve"> “missing” from the QA Release, but should come back ‘automatically’ in the Release Candidate with a status of “inactive”, when </w:t>
      </w:r>
      <w:r w:rsidR="00D50BC5" w:rsidRPr="00AA1E7A">
        <w:rPr>
          <w:b/>
        </w:rPr>
        <w:t>its</w:t>
      </w:r>
      <w:r w:rsidR="00360696" w:rsidRPr="00AA1E7A">
        <w:rPr>
          <w:b/>
        </w:rPr>
        <w:t>/their</w:t>
      </w:r>
      <w:r w:rsidR="00502F3C" w:rsidRPr="00AA1E7A">
        <w:rPr>
          <w:b/>
        </w:rPr>
        <w:t xml:space="preserve"> supporting NTPs and MPs will be on the “Whitelist”</w:t>
      </w:r>
      <w:r w:rsidR="00E75AEE" w:rsidRPr="00AA1E7A">
        <w:rPr>
          <w:b/>
        </w:rPr>
        <w:t>,</w:t>
      </w:r>
      <w:r w:rsidR="00502F3C" w:rsidRPr="00AA1E7A">
        <w:rPr>
          <w:b/>
        </w:rPr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:rsidRPr="00AA1E7A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Pr="00AA1E7A" w:rsidRDefault="00502F3C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tm_code</w:t>
            </w:r>
            <w:proofErr w:type="spellEnd"/>
            <w:r w:rsidRPr="00AA1E7A">
              <w:rPr>
                <w:b/>
              </w:rPr>
              <w:t xml:space="preserve">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Pr="00AA1E7A" w:rsidRDefault="00502F3C" w:rsidP="00601A33">
            <w:pPr>
              <w:rPr>
                <w:b/>
              </w:rPr>
            </w:pPr>
            <w:r w:rsidRPr="00AA1E7A">
              <w:rPr>
                <w:b/>
              </w:rPr>
              <w:t>tm _</w:t>
            </w:r>
            <w:proofErr w:type="spellStart"/>
            <w:r w:rsidRPr="00AA1E7A">
              <w:rPr>
                <w:b/>
              </w:rPr>
              <w:t>formal_name</w:t>
            </w:r>
            <w:proofErr w:type="spellEnd"/>
          </w:p>
        </w:tc>
      </w:tr>
      <w:tr w:rsidR="00296CC9" w:rsidRPr="00AA1E7A" w14:paraId="1E9DDC4A" w14:textId="77777777" w:rsidTr="0020572F">
        <w:trPr>
          <w:trHeight w:val="315"/>
        </w:trPr>
        <w:tc>
          <w:tcPr>
            <w:tcW w:w="1083" w:type="dxa"/>
            <w:vAlign w:val="bottom"/>
          </w:tcPr>
          <w:p w14:paraId="63AFB1BC" w14:textId="43BC32D9" w:rsidR="00296CC9" w:rsidRPr="00AA1E7A" w:rsidRDefault="00296CC9" w:rsidP="00296CC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8001673</w:t>
            </w:r>
          </w:p>
        </w:tc>
        <w:tc>
          <w:tcPr>
            <w:tcW w:w="7701" w:type="dxa"/>
            <w:vAlign w:val="bottom"/>
          </w:tcPr>
          <w:p w14:paraId="66427560" w14:textId="21C7BCBD" w:rsidR="00296CC9" w:rsidRPr="00AA1E7A" w:rsidRDefault="00296CC9" w:rsidP="00296CC9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nilutamide</w:t>
            </w:r>
            <w:proofErr w:type="spellEnd"/>
          </w:p>
        </w:tc>
      </w:tr>
    </w:tbl>
    <w:p w14:paraId="124AAEAA" w14:textId="77777777" w:rsidR="002977B9" w:rsidRPr="00AA1E7A" w:rsidRDefault="002977B9" w:rsidP="00094CAA">
      <w:pPr>
        <w:rPr>
          <w:b/>
        </w:rPr>
      </w:pPr>
    </w:p>
    <w:p w14:paraId="561B78BD" w14:textId="77777777" w:rsidR="00EC2E04" w:rsidRPr="00AA1E7A" w:rsidRDefault="00EC2E04" w:rsidP="00EC2E04">
      <w:pPr>
        <w:pStyle w:val="Heading2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NTP File</w:t>
      </w:r>
    </w:p>
    <w:p w14:paraId="76F3C159" w14:textId="77777777" w:rsidR="00005782" w:rsidRPr="00AA1E7A" w:rsidRDefault="00005782" w:rsidP="00005782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Deprecation</w:t>
      </w:r>
    </w:p>
    <w:p w14:paraId="004D799C" w14:textId="59753E9B" w:rsidR="004E7CA5" w:rsidRPr="00AA1E7A" w:rsidRDefault="003613A0" w:rsidP="004E7CA5">
      <w:pPr>
        <w:rPr>
          <w:b/>
          <w:color w:val="FF0000"/>
        </w:rPr>
      </w:pPr>
      <w:r w:rsidRPr="00AA1E7A">
        <w:rPr>
          <w:b/>
        </w:rPr>
        <w:t xml:space="preserve">The following </w:t>
      </w:r>
      <w:r w:rsidR="00360696" w:rsidRPr="00AA1E7A">
        <w:rPr>
          <w:b/>
        </w:rPr>
        <w:t xml:space="preserve">NTP </w:t>
      </w:r>
      <w:r w:rsidRPr="00AA1E7A">
        <w:rPr>
          <w:b/>
        </w:rPr>
        <w:t>concept</w:t>
      </w:r>
      <w:r w:rsidR="0029353C" w:rsidRPr="00AA1E7A">
        <w:rPr>
          <w:b/>
        </w:rPr>
        <w:t>(</w:t>
      </w:r>
      <w:r w:rsidR="000F474E" w:rsidRPr="00AA1E7A">
        <w:rPr>
          <w:b/>
        </w:rPr>
        <w:t>s</w:t>
      </w:r>
      <w:r w:rsidR="0029353C" w:rsidRPr="00AA1E7A">
        <w:rPr>
          <w:b/>
        </w:rPr>
        <w:t>)</w:t>
      </w:r>
      <w:r w:rsidRPr="00AA1E7A">
        <w:rPr>
          <w:b/>
        </w:rPr>
        <w:t xml:space="preserve"> need</w:t>
      </w:r>
      <w:r w:rsidR="00C904DF" w:rsidRPr="00AA1E7A">
        <w:rPr>
          <w:b/>
        </w:rPr>
        <w:t>s</w:t>
      </w:r>
      <w:r w:rsidRPr="00AA1E7A">
        <w:rPr>
          <w:b/>
        </w:rPr>
        <w:t xml:space="preserve"> to be added back into the NTP File with status of deprecated.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142"/>
        <w:gridCol w:w="3425"/>
        <w:gridCol w:w="1275"/>
      </w:tblGrid>
      <w:tr w:rsidR="00F134BA" w:rsidRPr="00AA1E7A" w14:paraId="73311D43" w14:textId="77777777" w:rsidTr="00CC205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Pr="00AA1E7A" w:rsidRDefault="00F134BA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ntp_code</w:t>
            </w:r>
            <w:proofErr w:type="spellEnd"/>
            <w:r w:rsidRPr="00AA1E7A"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Pr="00AA1E7A" w:rsidRDefault="00F134BA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</w:t>
            </w:r>
            <w:proofErr w:type="spellEnd"/>
            <w:r w:rsidRPr="00AA1E7A">
              <w:rPr>
                <w:b/>
              </w:rPr>
              <w:t xml:space="preserve"> _</w:t>
            </w:r>
            <w:proofErr w:type="spellStart"/>
            <w:r w:rsidRPr="00AA1E7A">
              <w:rPr>
                <w:b/>
              </w:rPr>
              <w:t>formal_name</w:t>
            </w:r>
            <w:proofErr w:type="spellEnd"/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Pr="00AA1E7A" w:rsidRDefault="00F134BA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Pr="00AA1E7A" w:rsidRDefault="00F134BA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ntp_status</w:t>
            </w:r>
            <w:proofErr w:type="spellEnd"/>
          </w:p>
        </w:tc>
      </w:tr>
      <w:tr w:rsidR="008E3279" w:rsidRPr="00AA1E7A" w14:paraId="4304342B" w14:textId="77777777" w:rsidTr="001F3E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9411" w14:textId="1BB9C536" w:rsidR="008E3279" w:rsidRPr="00AA1E7A" w:rsidRDefault="008E3279" w:rsidP="008E327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2C6A" w14:textId="7988F2A1" w:rsidR="008E3279" w:rsidRPr="00AA1E7A" w:rsidRDefault="0096552F" w:rsidP="008E3279">
            <w:pPr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AA1E7A">
              <w:rPr>
                <w:rFonts w:ascii="Arial" w:hAnsi="Arial" w:cs="Arial"/>
                <w:b/>
                <w:sz w:val="20"/>
                <w:szCs w:val="20"/>
                <w:lang w:val="en-CA"/>
              </w:rPr>
              <w:t>[NONE]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A8FD" w14:textId="4A67A336" w:rsidR="008E3279" w:rsidRPr="00AA1E7A" w:rsidRDefault="008E3279" w:rsidP="008E3279">
            <w:pPr>
              <w:rPr>
                <w:rFonts w:ascii="Arial" w:hAnsi="Arial" w:cs="Arial"/>
                <w:b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72733FE8" w:rsidR="008E3279" w:rsidRPr="00AA1E7A" w:rsidRDefault="008E3279" w:rsidP="008E3279">
            <w:pPr>
              <w:spacing w:after="0"/>
              <w:jc w:val="both"/>
              <w:rPr>
                <w:rFonts w:cstheme="minorHAnsi"/>
                <w:b/>
                <w:lang w:val="fr-CA"/>
              </w:rPr>
            </w:pPr>
          </w:p>
        </w:tc>
      </w:tr>
    </w:tbl>
    <w:p w14:paraId="712B8746" w14:textId="77777777" w:rsidR="004E7CA5" w:rsidRPr="00AA1E7A" w:rsidRDefault="004E7CA5" w:rsidP="004E7CA5">
      <w:pPr>
        <w:rPr>
          <w:b/>
          <w:lang w:val="fr-CA"/>
        </w:rPr>
      </w:pPr>
    </w:p>
    <w:p w14:paraId="12DE7A35" w14:textId="1CA6E46A" w:rsidR="008F69E4" w:rsidRPr="00AA1E7A" w:rsidRDefault="008F69E4" w:rsidP="00854821">
      <w:pPr>
        <w:pStyle w:val="Heading3"/>
        <w:rPr>
          <w:b/>
          <w:color w:val="4472C4" w:themeColor="accent1"/>
          <w:lang w:val="fr-CA"/>
        </w:rPr>
      </w:pPr>
      <w:proofErr w:type="spellStart"/>
      <w:r w:rsidRPr="00AA1E7A">
        <w:rPr>
          <w:b/>
          <w:color w:val="4472C4" w:themeColor="accent1"/>
          <w:lang w:val="fr-CA"/>
        </w:rPr>
        <w:lastRenderedPageBreak/>
        <w:t>Status</w:t>
      </w:r>
      <w:proofErr w:type="spellEnd"/>
      <w:r w:rsidRPr="00AA1E7A">
        <w:rPr>
          <w:b/>
          <w:color w:val="4472C4" w:themeColor="accent1"/>
          <w:lang w:val="fr-CA"/>
        </w:rPr>
        <w:t xml:space="preserve"> update </w:t>
      </w:r>
      <w:r w:rsidR="00854821" w:rsidRPr="00AA1E7A">
        <w:rPr>
          <w:b/>
          <w:color w:val="4472C4" w:themeColor="accent1"/>
          <w:lang w:val="fr-CA"/>
        </w:rPr>
        <w:t>–</w:t>
      </w:r>
      <w:r w:rsidRPr="00AA1E7A">
        <w:rPr>
          <w:b/>
          <w:color w:val="4472C4" w:themeColor="accent1"/>
          <w:lang w:val="fr-CA"/>
        </w:rPr>
        <w:t xml:space="preserve"> Inactive</w:t>
      </w:r>
    </w:p>
    <w:p w14:paraId="0FDC5F22" w14:textId="028BF74C" w:rsidR="00854821" w:rsidRPr="00AA1E7A" w:rsidRDefault="00854821" w:rsidP="00854821">
      <w:pPr>
        <w:rPr>
          <w:b/>
          <w:lang w:val="en-CA"/>
        </w:rPr>
      </w:pPr>
      <w:r w:rsidRPr="00AA1E7A">
        <w:rPr>
          <w:b/>
        </w:rPr>
        <w:t xml:space="preserve">The following NTP concept(s) are generating as Active but need to be set to inactive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:rsidRPr="00AA1E7A" w14:paraId="7D6B8E1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Pr="00AA1E7A" w:rsidRDefault="008F69E4" w:rsidP="006A1677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ntp_code</w:t>
            </w:r>
            <w:proofErr w:type="spellEnd"/>
            <w:r w:rsidRPr="00AA1E7A">
              <w:rPr>
                <w:b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Pr="00AA1E7A" w:rsidRDefault="008F69E4" w:rsidP="006A1677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</w:t>
            </w:r>
            <w:proofErr w:type="spellEnd"/>
            <w:r w:rsidRPr="00AA1E7A">
              <w:rPr>
                <w:b/>
              </w:rPr>
              <w:t xml:space="preserve"> _</w:t>
            </w:r>
            <w:proofErr w:type="spellStart"/>
            <w:r w:rsidRPr="00AA1E7A">
              <w:rPr>
                <w:b/>
              </w:rPr>
              <w:t>formal_name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Pr="00AA1E7A" w:rsidRDefault="008F69E4" w:rsidP="006A1677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Pr="00AA1E7A" w:rsidRDefault="008F69E4" w:rsidP="006A1677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ntp_status</w:t>
            </w:r>
            <w:proofErr w:type="spellEnd"/>
          </w:p>
        </w:tc>
      </w:tr>
      <w:tr w:rsidR="008F69E4" w:rsidRPr="00AA1E7A" w14:paraId="65451902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063AABB7" w:rsidR="008F69E4" w:rsidRPr="00AA1E7A" w:rsidRDefault="008F69E4" w:rsidP="006A16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53978D45" w:rsidR="008F69E4" w:rsidRPr="00AA1E7A" w:rsidRDefault="00D75B2F" w:rsidP="006A16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E7A">
              <w:rPr>
                <w:rFonts w:ascii="Arial" w:hAnsi="Arial" w:cs="Arial"/>
                <w:b/>
                <w:sz w:val="20"/>
                <w:szCs w:val="20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386D6DA8" w:rsidR="008F69E4" w:rsidRPr="00AA1E7A" w:rsidRDefault="008F69E4" w:rsidP="006A1677">
            <w:pPr>
              <w:rPr>
                <w:rFonts w:ascii="Arial" w:hAnsi="Arial" w:cs="Arial"/>
                <w:b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AA1E7A" w:rsidRDefault="00854821" w:rsidP="006A1677">
            <w:pPr>
              <w:spacing w:after="0"/>
              <w:jc w:val="both"/>
              <w:rPr>
                <w:rFonts w:cstheme="minorHAnsi"/>
                <w:b/>
                <w:lang w:val="fr-CA"/>
              </w:rPr>
            </w:pPr>
            <w:r w:rsidRPr="00AA1E7A">
              <w:rPr>
                <w:rFonts w:cstheme="minorHAnsi"/>
                <w:b/>
                <w:lang w:val="fr-CA"/>
              </w:rPr>
              <w:t>Inactive</w:t>
            </w:r>
          </w:p>
        </w:tc>
      </w:tr>
    </w:tbl>
    <w:p w14:paraId="2DF183FD" w14:textId="77777777" w:rsidR="00EF6138" w:rsidRPr="00AA1E7A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2561489E" w14:textId="77777777" w:rsidR="00005782" w:rsidRPr="00AA1E7A" w:rsidRDefault="00005782" w:rsidP="00005782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Code permanence – name changes</w:t>
      </w:r>
    </w:p>
    <w:p w14:paraId="202BA8B9" w14:textId="77777777" w:rsidR="008F4F55" w:rsidRPr="00AA1E7A" w:rsidRDefault="008F4F55" w:rsidP="008F4F55">
      <w:pPr>
        <w:rPr>
          <w:b/>
        </w:rPr>
      </w:pPr>
      <w:r w:rsidRPr="00AA1E7A">
        <w:rPr>
          <w:b/>
        </w:rPr>
        <w:t xml:space="preserve">The following </w:t>
      </w:r>
      <w:r w:rsidR="00360696" w:rsidRPr="00AA1E7A">
        <w:rPr>
          <w:b/>
        </w:rPr>
        <w:t xml:space="preserve">NTP </w:t>
      </w:r>
      <w:r w:rsidRPr="00AA1E7A">
        <w:rPr>
          <w:b/>
        </w:rPr>
        <w:t>concept</w:t>
      </w:r>
      <w:r w:rsidR="00CA54B4" w:rsidRPr="00AA1E7A">
        <w:rPr>
          <w:b/>
        </w:rPr>
        <w:t>s</w:t>
      </w:r>
      <w:r w:rsidRPr="00AA1E7A">
        <w:rPr>
          <w:b/>
        </w:rPr>
        <w:t xml:space="preserve"> need to keep their existing </w:t>
      </w:r>
      <w:proofErr w:type="spellStart"/>
      <w:r w:rsidR="00005782" w:rsidRPr="00AA1E7A">
        <w:rPr>
          <w:b/>
        </w:rPr>
        <w:t>ntp</w:t>
      </w:r>
      <w:r w:rsidRPr="00AA1E7A">
        <w:rPr>
          <w:b/>
        </w:rPr>
        <w:t>_code</w:t>
      </w:r>
      <w:proofErr w:type="spellEnd"/>
      <w:r w:rsidRPr="00AA1E7A">
        <w:rPr>
          <w:b/>
        </w:rPr>
        <w:t xml:space="preserve"> even though </w:t>
      </w:r>
      <w:r w:rsidR="00CA54B4" w:rsidRPr="00AA1E7A">
        <w:rPr>
          <w:b/>
        </w:rPr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:rsidRPr="00AA1E7A" w14:paraId="74F6B965" w14:textId="77777777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47415" w14:textId="77777777" w:rsidR="008F4F55" w:rsidRPr="00AA1E7A" w:rsidRDefault="00005782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</w:t>
            </w:r>
            <w:r w:rsidR="008F4F55" w:rsidRPr="00AA1E7A">
              <w:rPr>
                <w:b/>
              </w:rPr>
              <w:t>_code</w:t>
            </w:r>
            <w:proofErr w:type="spellEnd"/>
            <w:r w:rsidR="008F4F55" w:rsidRPr="00AA1E7A">
              <w:rPr>
                <w:b/>
              </w:rPr>
              <w:t xml:space="preserve">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163048" w14:textId="77777777" w:rsidR="008F4F55" w:rsidRPr="00AA1E7A" w:rsidRDefault="00005782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</w:t>
            </w:r>
            <w:proofErr w:type="spellEnd"/>
            <w:r w:rsidR="008F4F55" w:rsidRPr="00AA1E7A">
              <w:rPr>
                <w:b/>
              </w:rPr>
              <w:t xml:space="preserve"> _</w:t>
            </w:r>
            <w:proofErr w:type="spellStart"/>
            <w:r w:rsidR="008F4F55" w:rsidRPr="00AA1E7A">
              <w:rPr>
                <w:b/>
              </w:rPr>
              <w:t>formal_name</w:t>
            </w:r>
            <w:proofErr w:type="spellEnd"/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470E27" w14:textId="77777777" w:rsidR="008F4F55" w:rsidRPr="00AA1E7A" w:rsidRDefault="00005782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</w:t>
            </w:r>
            <w:r w:rsidR="008F4F55" w:rsidRPr="00AA1E7A">
              <w:rPr>
                <w:b/>
              </w:rPr>
              <w:t>_code</w:t>
            </w:r>
            <w:proofErr w:type="spellEnd"/>
            <w:r w:rsidR="008F4F55" w:rsidRPr="00AA1E7A">
              <w:rPr>
                <w:b/>
              </w:rPr>
              <w:t xml:space="preserve"> in QA Release was </w:t>
            </w:r>
          </w:p>
        </w:tc>
      </w:tr>
      <w:tr w:rsidR="00D963BA" w:rsidRPr="00AA1E7A" w14:paraId="7B48C344" w14:textId="77777777" w:rsidTr="007D3931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3F9E" w14:textId="21D22F06" w:rsidR="00D963BA" w:rsidRPr="00AA1E7A" w:rsidRDefault="00D963BA" w:rsidP="00D963BA">
            <w:pPr>
              <w:spacing w:after="0"/>
              <w:rPr>
                <w:b/>
              </w:rPr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C67D8" w14:textId="067905A6" w:rsidR="00D963BA" w:rsidRPr="00AA1E7A" w:rsidRDefault="00A430D3" w:rsidP="00D963BA">
            <w:pPr>
              <w:spacing w:after="0"/>
              <w:rPr>
                <w:b/>
              </w:rPr>
            </w:pPr>
            <w:r>
              <w:rPr>
                <w:b/>
              </w:rP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7BF8" w14:textId="50E33221" w:rsidR="00D963BA" w:rsidRPr="00AA1E7A" w:rsidRDefault="00D963BA" w:rsidP="00D963BA">
            <w:pPr>
              <w:spacing w:after="0"/>
              <w:rPr>
                <w:b/>
              </w:rPr>
            </w:pPr>
          </w:p>
        </w:tc>
      </w:tr>
    </w:tbl>
    <w:p w14:paraId="3177F04E" w14:textId="77777777" w:rsidR="00EF6138" w:rsidRPr="00AA1E7A" w:rsidRDefault="00EF6138" w:rsidP="00EF6138">
      <w:pPr>
        <w:rPr>
          <w:b/>
        </w:rPr>
      </w:pPr>
    </w:p>
    <w:p w14:paraId="614AA9B0" w14:textId="77777777" w:rsidR="00BF13A6" w:rsidRPr="00AA1E7A" w:rsidRDefault="00BF13A6" w:rsidP="00BF13A6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 xml:space="preserve">Concept permanence </w:t>
      </w:r>
      <w:r w:rsidR="00736790" w:rsidRPr="00AA1E7A">
        <w:rPr>
          <w:b/>
          <w:color w:val="4472C4" w:themeColor="accent1"/>
        </w:rPr>
        <w:t>–</w:t>
      </w:r>
      <w:r w:rsidRPr="00AA1E7A">
        <w:rPr>
          <w:b/>
          <w:color w:val="4472C4" w:themeColor="accent1"/>
        </w:rPr>
        <w:t xml:space="preserve"> returns</w:t>
      </w:r>
      <w:r w:rsidR="00736790" w:rsidRPr="00AA1E7A">
        <w:rPr>
          <w:b/>
          <w:color w:val="4472C4" w:themeColor="accent1"/>
        </w:rPr>
        <w:t xml:space="preserve"> check</w:t>
      </w:r>
    </w:p>
    <w:p w14:paraId="085CBE7A" w14:textId="77777777" w:rsidR="005C76E1" w:rsidRPr="00AA1E7A" w:rsidRDefault="005C76E1" w:rsidP="005C76E1">
      <w:pPr>
        <w:rPr>
          <w:b/>
        </w:rPr>
      </w:pPr>
      <w:r w:rsidRPr="00AA1E7A">
        <w:rPr>
          <w:b/>
        </w:rPr>
        <w:t xml:space="preserve">The following </w:t>
      </w:r>
      <w:r w:rsidR="00360696" w:rsidRPr="00AA1E7A">
        <w:rPr>
          <w:b/>
        </w:rPr>
        <w:t xml:space="preserve">NTP </w:t>
      </w:r>
      <w:r w:rsidRPr="00AA1E7A">
        <w:rPr>
          <w:b/>
        </w:rPr>
        <w:t>concepts are “missing” from the QA Release, but should come back ‘automatically’ in the Release Candidate, when their supporting MPs will be on the “Whitelist”</w:t>
      </w:r>
      <w:r w:rsidR="00CD15A1" w:rsidRPr="00AA1E7A">
        <w:rPr>
          <w:b/>
        </w:rPr>
        <w:t>,</w:t>
      </w:r>
      <w:r w:rsidRPr="00AA1E7A">
        <w:rPr>
          <w:b/>
        </w:rPr>
        <w:t xml:space="preserve"> as the</w:t>
      </w:r>
      <w:r w:rsidR="006D7AD2" w:rsidRPr="00AA1E7A">
        <w:rPr>
          <w:b/>
        </w:rPr>
        <w:t>ir</w:t>
      </w:r>
      <w:r w:rsidRPr="00AA1E7A">
        <w:rPr>
          <w:b/>
        </w:rPr>
        <w:t xml:space="preserve"> DIN</w:t>
      </w:r>
      <w:r w:rsidR="006D7AD2" w:rsidRPr="00AA1E7A">
        <w:rPr>
          <w:b/>
        </w:rPr>
        <w:t>s</w:t>
      </w:r>
      <w:r w:rsidRPr="00AA1E7A">
        <w:rPr>
          <w:b/>
        </w:rPr>
        <w:t xml:space="preserve"> ha</w:t>
      </w:r>
      <w:r w:rsidR="006D7AD2" w:rsidRPr="00AA1E7A">
        <w:rPr>
          <w:b/>
        </w:rPr>
        <w:t>ve</w:t>
      </w:r>
      <w:r w:rsidRPr="00AA1E7A">
        <w:rPr>
          <w:b/>
        </w:rPr>
        <w:t xml:space="preserve"> been Cancelled Post Market</w:t>
      </w:r>
      <w:r w:rsidR="00F22683" w:rsidRPr="00AA1E7A">
        <w:rPr>
          <w:b/>
        </w:rPr>
        <w:t xml:space="preserve"> or are Dormant</w:t>
      </w:r>
      <w:r w:rsidR="00E74C72" w:rsidRPr="00AA1E7A">
        <w:rPr>
          <w:b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:rsidRPr="00AA1E7A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Pr="00AA1E7A" w:rsidRDefault="006D7AD2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ntp_code</w:t>
            </w:r>
            <w:proofErr w:type="spellEnd"/>
            <w:r w:rsidRPr="00AA1E7A">
              <w:rPr>
                <w:b/>
              </w:rPr>
              <w:t xml:space="preserve">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Pr="00AA1E7A" w:rsidRDefault="006D7AD2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</w:t>
            </w:r>
            <w:proofErr w:type="spellEnd"/>
            <w:r w:rsidRPr="00AA1E7A">
              <w:rPr>
                <w:b/>
              </w:rPr>
              <w:t xml:space="preserve"> _</w:t>
            </w:r>
            <w:proofErr w:type="spellStart"/>
            <w:r w:rsidRPr="00AA1E7A">
              <w:rPr>
                <w:b/>
              </w:rPr>
              <w:t>formal_name</w:t>
            </w:r>
            <w:proofErr w:type="spellEnd"/>
          </w:p>
        </w:tc>
      </w:tr>
      <w:tr w:rsidR="00296CC9" w:rsidRPr="00AA1E7A" w14:paraId="2E8CC684" w14:textId="77777777" w:rsidTr="002F047B">
        <w:trPr>
          <w:trHeight w:val="315"/>
        </w:trPr>
        <w:tc>
          <w:tcPr>
            <w:tcW w:w="1083" w:type="dxa"/>
            <w:vAlign w:val="bottom"/>
          </w:tcPr>
          <w:p w14:paraId="0FF7DD40" w14:textId="497DAF49" w:rsidR="00296CC9" w:rsidRPr="00AA1E7A" w:rsidRDefault="00296CC9" w:rsidP="00296CC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9005019</w:t>
            </w:r>
          </w:p>
        </w:tc>
        <w:tc>
          <w:tcPr>
            <w:tcW w:w="7843" w:type="dxa"/>
            <w:vAlign w:val="bottom"/>
          </w:tcPr>
          <w:p w14:paraId="32EFA4A9" w14:textId="09F2ABAE" w:rsidR="00296CC9" w:rsidRPr="00AA1E7A" w:rsidRDefault="00296CC9" w:rsidP="00296CC9">
            <w:pPr>
              <w:rPr>
                <w:rFonts w:cstheme="minorHAnsi"/>
                <w:b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darunavir 150 mg oral tablet</w:t>
            </w:r>
          </w:p>
        </w:tc>
      </w:tr>
      <w:tr w:rsidR="00296CC9" w:rsidRPr="00AA1E7A" w14:paraId="7F91E9FD" w14:textId="77777777" w:rsidTr="002F047B">
        <w:trPr>
          <w:trHeight w:val="315"/>
        </w:trPr>
        <w:tc>
          <w:tcPr>
            <w:tcW w:w="1083" w:type="dxa"/>
            <w:vAlign w:val="bottom"/>
          </w:tcPr>
          <w:p w14:paraId="45809BB2" w14:textId="499E7D9F" w:rsidR="00296CC9" w:rsidRPr="00AA1E7A" w:rsidRDefault="00296CC9" w:rsidP="00296CC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9003139</w:t>
            </w:r>
          </w:p>
        </w:tc>
        <w:tc>
          <w:tcPr>
            <w:tcW w:w="7843" w:type="dxa"/>
            <w:vAlign w:val="bottom"/>
          </w:tcPr>
          <w:p w14:paraId="71E1D414" w14:textId="7D64D207" w:rsidR="00296CC9" w:rsidRPr="00AA1E7A" w:rsidRDefault="00296CC9" w:rsidP="00296CC9">
            <w:pPr>
              <w:rPr>
                <w:rFonts w:cstheme="minorHAnsi"/>
                <w:b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nilutamide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50 mg oral tablet</w:t>
            </w:r>
          </w:p>
        </w:tc>
      </w:tr>
      <w:tr w:rsidR="00296CC9" w:rsidRPr="00AA1E7A" w14:paraId="0B3E7B38" w14:textId="77777777" w:rsidTr="002F047B">
        <w:trPr>
          <w:trHeight w:val="315"/>
        </w:trPr>
        <w:tc>
          <w:tcPr>
            <w:tcW w:w="1083" w:type="dxa"/>
            <w:vAlign w:val="bottom"/>
          </w:tcPr>
          <w:p w14:paraId="00914C51" w14:textId="12AC9843" w:rsidR="00296CC9" w:rsidRPr="00AA1E7A" w:rsidRDefault="00296CC9" w:rsidP="00296CC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9013486</w:t>
            </w:r>
          </w:p>
        </w:tc>
        <w:tc>
          <w:tcPr>
            <w:tcW w:w="7843" w:type="dxa"/>
            <w:vAlign w:val="bottom"/>
          </w:tcPr>
          <w:p w14:paraId="61295F6B" w14:textId="521DEEBE" w:rsidR="00296CC9" w:rsidRPr="00AA1E7A" w:rsidRDefault="00296CC9" w:rsidP="00296CC9">
            <w:pPr>
              <w:rPr>
                <w:rFonts w:cstheme="minorHAnsi"/>
                <w:b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oxytocin 10 unit per 1 mL solution for injection ampoule</w:t>
            </w:r>
          </w:p>
        </w:tc>
      </w:tr>
      <w:tr w:rsidR="00296CC9" w:rsidRPr="00AA1E7A" w14:paraId="4C3B592E" w14:textId="77777777" w:rsidTr="002F047B">
        <w:trPr>
          <w:trHeight w:val="315"/>
        </w:trPr>
        <w:tc>
          <w:tcPr>
            <w:tcW w:w="1083" w:type="dxa"/>
            <w:vAlign w:val="bottom"/>
          </w:tcPr>
          <w:p w14:paraId="2059298D" w14:textId="3E9E59F4" w:rsidR="00296CC9" w:rsidRPr="00AA1E7A" w:rsidRDefault="00296CC9" w:rsidP="00296CC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9013489</w:t>
            </w:r>
          </w:p>
        </w:tc>
        <w:tc>
          <w:tcPr>
            <w:tcW w:w="7843" w:type="dxa"/>
            <w:vAlign w:val="bottom"/>
          </w:tcPr>
          <w:p w14:paraId="179BBA00" w14:textId="4A2B2B1D" w:rsidR="00296CC9" w:rsidRPr="00AA1E7A" w:rsidRDefault="00296CC9" w:rsidP="00296CC9">
            <w:pPr>
              <w:rPr>
                <w:rFonts w:cstheme="minorHAnsi"/>
                <w:b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oxytocin 50 unit per 5 mL solution for injection ampoule</w:t>
            </w:r>
          </w:p>
        </w:tc>
      </w:tr>
    </w:tbl>
    <w:p w14:paraId="0E584E47" w14:textId="77777777" w:rsidR="008A469B" w:rsidRPr="00AA1E7A" w:rsidRDefault="008A469B" w:rsidP="001B7235">
      <w:pPr>
        <w:rPr>
          <w:b/>
          <w:lang w:val="en-CA"/>
        </w:rPr>
      </w:pPr>
    </w:p>
    <w:p w14:paraId="6CBFBA14" w14:textId="77777777" w:rsidR="001B7235" w:rsidRPr="00AA1E7A" w:rsidRDefault="001B7235" w:rsidP="001B7235">
      <w:pPr>
        <w:pStyle w:val="Heading2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MP File</w:t>
      </w:r>
    </w:p>
    <w:p w14:paraId="12528BA0" w14:textId="77777777" w:rsidR="00221352" w:rsidRPr="00AA1E7A" w:rsidRDefault="00221352" w:rsidP="00221352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Deprecation (very rare)</w:t>
      </w:r>
    </w:p>
    <w:p w14:paraId="03C3446F" w14:textId="77777777" w:rsidR="00221352" w:rsidRPr="00AA1E7A" w:rsidRDefault="00221352" w:rsidP="00221352">
      <w:pPr>
        <w:rPr>
          <w:b/>
        </w:rPr>
      </w:pPr>
      <w:r w:rsidRPr="00AA1E7A">
        <w:rPr>
          <w:b/>
        </w:rPr>
        <w:t>No new deprecated concepts</w:t>
      </w:r>
      <w:r w:rsidR="00960174" w:rsidRPr="00AA1E7A">
        <w:rPr>
          <w:b/>
        </w:rPr>
        <w:t>.</w:t>
      </w:r>
    </w:p>
    <w:p w14:paraId="7524F87D" w14:textId="77777777" w:rsidR="00221352" w:rsidRPr="00AA1E7A" w:rsidRDefault="00221352" w:rsidP="00221352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Deprecation – manual return</w:t>
      </w:r>
    </w:p>
    <w:p w14:paraId="265DCD05" w14:textId="0F500E6D" w:rsidR="00221352" w:rsidRPr="00AA1E7A" w:rsidRDefault="00221352" w:rsidP="00221352">
      <w:pPr>
        <w:rPr>
          <w:b/>
        </w:rPr>
      </w:pPr>
      <w:r w:rsidRPr="00AA1E7A">
        <w:rPr>
          <w:b/>
        </w:rPr>
        <w:t xml:space="preserve">The following </w:t>
      </w:r>
      <w:r w:rsidR="00360696" w:rsidRPr="00AA1E7A">
        <w:rPr>
          <w:b/>
        </w:rPr>
        <w:t xml:space="preserve">MP </w:t>
      </w:r>
      <w:r w:rsidRPr="00AA1E7A">
        <w:rPr>
          <w:b/>
        </w:rPr>
        <w:t xml:space="preserve">concepts need to be added back into the MP File with status of deprecated.  </w:t>
      </w:r>
      <w:r w:rsidR="009F6617" w:rsidRPr="00AA1E7A">
        <w:rPr>
          <w:b/>
        </w:rPr>
        <w:t>The product has been transferred from DPD to LNHPD.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:rsidRPr="00AA1E7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Pr="00AA1E7A" w:rsidRDefault="00F134BA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mp_code</w:t>
            </w:r>
            <w:proofErr w:type="spellEnd"/>
            <w:r w:rsidRPr="00AA1E7A">
              <w:rPr>
                <w:b/>
              </w:rPr>
              <w:t xml:space="preserve">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Pr="00AA1E7A" w:rsidRDefault="00F134BA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</w:t>
            </w:r>
            <w:proofErr w:type="spellEnd"/>
            <w:r w:rsidRPr="00AA1E7A">
              <w:rPr>
                <w:b/>
              </w:rPr>
              <w:t xml:space="preserve"> _</w:t>
            </w:r>
            <w:proofErr w:type="spellStart"/>
            <w:r w:rsidRPr="00AA1E7A">
              <w:rPr>
                <w:b/>
              </w:rPr>
              <w:t>formal_name</w:t>
            </w:r>
            <w:proofErr w:type="spellEnd"/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Pr="00AA1E7A" w:rsidRDefault="00F134BA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mp_fr_description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Pr="00AA1E7A" w:rsidRDefault="00F134BA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mp_status</w:t>
            </w:r>
            <w:proofErr w:type="spellEnd"/>
          </w:p>
        </w:tc>
      </w:tr>
      <w:tr w:rsidR="00990B61" w:rsidRPr="00AA1E7A" w14:paraId="60F490F8" w14:textId="77777777" w:rsidTr="00E72032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FD80A" w14:textId="6ECDE876" w:rsidR="00990B61" w:rsidRPr="00AA1E7A" w:rsidRDefault="00990B61" w:rsidP="00990B61">
            <w:pPr>
              <w:spacing w:after="0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CA" w:eastAsia="en-CA"/>
              </w:rPr>
            </w:pP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FCDDF" w14:textId="7B8BA12B" w:rsidR="00990B61" w:rsidRPr="00AA1E7A" w:rsidRDefault="00976B04" w:rsidP="00990B61">
            <w:pPr>
              <w:spacing w:after="0"/>
              <w:rPr>
                <w:rFonts w:ascii="Arial" w:eastAsia="Times New Roman" w:hAnsi="Arial" w:cs="Arial"/>
                <w:b/>
                <w:sz w:val="20"/>
                <w:szCs w:val="20"/>
                <w:lang w:val="en-CA" w:eastAsia="en-CA"/>
              </w:rPr>
            </w:pPr>
            <w:r w:rsidRPr="00AA1E7A">
              <w:rPr>
                <w:rFonts w:ascii="Arial" w:eastAsia="Times New Roman" w:hAnsi="Arial" w:cs="Arial"/>
                <w:b/>
                <w:sz w:val="20"/>
                <w:szCs w:val="20"/>
                <w:lang w:val="en-CA" w:eastAsia="en-CA"/>
              </w:rPr>
              <w:t>[NONE]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9E6D6" w14:textId="11CCCAFF" w:rsidR="00990B61" w:rsidRPr="00AA1E7A" w:rsidRDefault="00990B61" w:rsidP="00990B61">
            <w:pPr>
              <w:spacing w:after="0"/>
              <w:rPr>
                <w:rFonts w:eastAsia="Times New Roman" w:cstheme="minorHAnsi"/>
                <w:b/>
                <w:sz w:val="20"/>
                <w:szCs w:val="20"/>
                <w:lang w:val="en-CA" w:eastAsia="en-CA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97F48" w14:textId="77777777" w:rsidR="00990B61" w:rsidRPr="00AA1E7A" w:rsidRDefault="00990B61" w:rsidP="00990B61">
            <w:pPr>
              <w:spacing w:after="0"/>
              <w:jc w:val="both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AA1E7A">
              <w:rPr>
                <w:rFonts w:ascii="Calibri" w:hAnsi="Calibri" w:cs="Calibri"/>
                <w:b/>
                <w:color w:val="000000"/>
              </w:rPr>
              <w:t>Deprec</w:t>
            </w:r>
            <w:proofErr w:type="spellEnd"/>
          </w:p>
        </w:tc>
      </w:tr>
    </w:tbl>
    <w:p w14:paraId="664DE3B2" w14:textId="77777777" w:rsidR="00221352" w:rsidRPr="00AA1E7A" w:rsidRDefault="00221352" w:rsidP="00221352">
      <w:pPr>
        <w:rPr>
          <w:b/>
          <w:lang w:val="fr-CA"/>
        </w:rPr>
      </w:pPr>
    </w:p>
    <w:p w14:paraId="552510D5" w14:textId="77777777" w:rsidR="00EB3D43" w:rsidRPr="00AA1E7A" w:rsidRDefault="00EB3D43" w:rsidP="00EB3D43">
      <w:pPr>
        <w:pStyle w:val="Heading3"/>
        <w:rPr>
          <w:b/>
          <w:lang w:val="en-CA"/>
        </w:rPr>
      </w:pPr>
      <w:r w:rsidRPr="00AA1E7A">
        <w:rPr>
          <w:b/>
          <w:color w:val="4472C4" w:themeColor="accent1"/>
          <w:lang w:val="en-CA"/>
        </w:rPr>
        <w:t>Status update – deprecation</w:t>
      </w:r>
    </w:p>
    <w:p w14:paraId="0A03AE2C" w14:textId="06D392F7" w:rsidR="00221352" w:rsidRPr="00AA1E7A" w:rsidRDefault="00221352" w:rsidP="00221352">
      <w:pPr>
        <w:rPr>
          <w:b/>
        </w:rPr>
      </w:pPr>
      <w:r w:rsidRPr="00AA1E7A">
        <w:rPr>
          <w:b/>
        </w:rPr>
        <w:t xml:space="preserve">The following </w:t>
      </w:r>
      <w:r w:rsidR="00360696" w:rsidRPr="00AA1E7A">
        <w:rPr>
          <w:b/>
        </w:rPr>
        <w:t xml:space="preserve">MP </w:t>
      </w:r>
      <w:r w:rsidRPr="00AA1E7A">
        <w:rPr>
          <w:b/>
        </w:rPr>
        <w:t xml:space="preserve">concepts are generating as active but need to be set to deprecated. </w:t>
      </w:r>
      <w:r w:rsidR="00A56AAB" w:rsidRPr="00AA1E7A">
        <w:rPr>
          <w:b/>
        </w:rPr>
        <w:t>Some of these products have been assigned a new DIN, others have been 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A1E7A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A1E7A" w:rsidRDefault="00221352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mp_code</w:t>
            </w:r>
            <w:proofErr w:type="spellEnd"/>
            <w:r w:rsidRPr="00AA1E7A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A1E7A" w:rsidRDefault="00221352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</w:t>
            </w:r>
            <w:proofErr w:type="spellEnd"/>
            <w:r w:rsidRPr="00AA1E7A">
              <w:rPr>
                <w:b/>
              </w:rPr>
              <w:t xml:space="preserve"> _</w:t>
            </w:r>
            <w:proofErr w:type="spellStart"/>
            <w:r w:rsidRPr="00AA1E7A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A1E7A" w:rsidRDefault="00221352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mp_status</w:t>
            </w:r>
            <w:proofErr w:type="spellEnd"/>
          </w:p>
        </w:tc>
      </w:tr>
      <w:tr w:rsidR="00221352" w:rsidRPr="00AA1E7A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34550DCB" w:rsidR="00221352" w:rsidRPr="00AA1E7A" w:rsidRDefault="00221352" w:rsidP="005724AF">
            <w:pPr>
              <w:spacing w:after="0"/>
              <w:jc w:val="both"/>
              <w:rPr>
                <w:rFonts w:cstheme="minorHAnsi"/>
                <w:b/>
                <w:color w:val="000000"/>
                <w:lang w:val="en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04EDE1DB" w:rsidR="00221352" w:rsidRPr="00AA1E7A" w:rsidRDefault="00D75B2F" w:rsidP="005724AF">
            <w:pPr>
              <w:spacing w:after="0"/>
              <w:jc w:val="both"/>
              <w:rPr>
                <w:rFonts w:cstheme="minorHAnsi"/>
                <w:b/>
                <w:color w:val="000000"/>
              </w:rPr>
            </w:pPr>
            <w:r w:rsidRPr="00AA1E7A">
              <w:rPr>
                <w:rFonts w:cstheme="minorHAnsi"/>
                <w:b/>
                <w:color w:val="000000"/>
              </w:rP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AA1E7A" w:rsidRDefault="00221352" w:rsidP="005724AF">
            <w:pPr>
              <w:spacing w:after="0"/>
              <w:jc w:val="both"/>
              <w:rPr>
                <w:rFonts w:cstheme="minorHAnsi"/>
                <w:b/>
                <w:color w:val="000000"/>
              </w:rPr>
            </w:pPr>
            <w:proofErr w:type="spellStart"/>
            <w:r w:rsidRPr="00AA1E7A">
              <w:rPr>
                <w:rFonts w:cstheme="minorHAnsi"/>
                <w:b/>
                <w:color w:val="000000"/>
              </w:rPr>
              <w:t>Deprec</w:t>
            </w:r>
            <w:proofErr w:type="spellEnd"/>
          </w:p>
        </w:tc>
      </w:tr>
    </w:tbl>
    <w:p w14:paraId="32509B00" w14:textId="77777777" w:rsidR="00D8234D" w:rsidRPr="00AA1E7A" w:rsidRDefault="00D8234D" w:rsidP="00D8234D">
      <w:pPr>
        <w:pStyle w:val="Heading3"/>
        <w:rPr>
          <w:b/>
        </w:rPr>
      </w:pPr>
    </w:p>
    <w:p w14:paraId="59570E8A" w14:textId="77777777" w:rsidR="00EB3D43" w:rsidRPr="00AA1E7A" w:rsidRDefault="00EB3D43" w:rsidP="00EB3D43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Status update – Inactive</w:t>
      </w:r>
    </w:p>
    <w:p w14:paraId="7BD59F2B" w14:textId="0A9164C5" w:rsidR="00EB3D43" w:rsidRPr="00AA1E7A" w:rsidRDefault="00EB3D43" w:rsidP="00EB3D43">
      <w:pPr>
        <w:rPr>
          <w:b/>
        </w:rPr>
      </w:pPr>
      <w:r w:rsidRPr="00AA1E7A">
        <w:rPr>
          <w:b/>
        </w:rPr>
        <w:t>The following MP concepts are generating as active but need to be set to inactivated. The DIN is still active but these particular presentations have been 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A1E7A" w14:paraId="0683BFAC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A1E7A" w:rsidRDefault="00EB3D43" w:rsidP="006A1677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mp_code</w:t>
            </w:r>
            <w:proofErr w:type="spellEnd"/>
            <w:r w:rsidRPr="00AA1E7A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A1E7A" w:rsidRDefault="00EB3D43" w:rsidP="006A1677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</w:t>
            </w:r>
            <w:proofErr w:type="spellEnd"/>
            <w:r w:rsidRPr="00AA1E7A">
              <w:rPr>
                <w:b/>
              </w:rPr>
              <w:t xml:space="preserve"> _</w:t>
            </w:r>
            <w:proofErr w:type="spellStart"/>
            <w:r w:rsidRPr="00AA1E7A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A1E7A" w:rsidRDefault="00EB3D43" w:rsidP="006A1677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mp_status</w:t>
            </w:r>
            <w:proofErr w:type="spellEnd"/>
          </w:p>
        </w:tc>
      </w:tr>
      <w:tr w:rsidR="00EB3D43" w:rsidRPr="00AA1E7A" w14:paraId="1B361319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1680843E" w:rsidR="00EB3D43" w:rsidRPr="00AA1E7A" w:rsidRDefault="00EB3D43" w:rsidP="00EB3D43">
            <w:pPr>
              <w:spacing w:after="0"/>
              <w:jc w:val="both"/>
              <w:rPr>
                <w:b/>
                <w:lang w:val="fr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2B67F217" w:rsidR="00EB3D43" w:rsidRPr="00AA1E7A" w:rsidRDefault="00D75B2F" w:rsidP="00EB3D43">
            <w:pPr>
              <w:spacing w:after="0"/>
              <w:jc w:val="both"/>
              <w:rPr>
                <w:b/>
              </w:rPr>
            </w:pPr>
            <w:r w:rsidRPr="00AA1E7A">
              <w:rPr>
                <w:b/>
              </w:rP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Pr="00AA1E7A" w:rsidRDefault="00EB3D43" w:rsidP="00EB3D43">
            <w:pPr>
              <w:spacing w:after="0"/>
              <w:rPr>
                <w:b/>
              </w:rPr>
            </w:pPr>
            <w:r w:rsidRPr="00AA1E7A">
              <w:rPr>
                <w:b/>
              </w:rPr>
              <w:t>Inactive</w:t>
            </w:r>
          </w:p>
        </w:tc>
      </w:tr>
    </w:tbl>
    <w:p w14:paraId="6514C666" w14:textId="77777777" w:rsidR="00EB3D43" w:rsidRPr="00AA1E7A" w:rsidRDefault="00EB3D43" w:rsidP="00EB3D43">
      <w:pPr>
        <w:rPr>
          <w:b/>
        </w:rPr>
      </w:pPr>
    </w:p>
    <w:p w14:paraId="690C3262" w14:textId="77777777" w:rsidR="00D8234D" w:rsidRPr="00AA1E7A" w:rsidRDefault="00D8234D" w:rsidP="00D8234D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DPD descriptors</w:t>
      </w:r>
    </w:p>
    <w:p w14:paraId="13F5D90F" w14:textId="77777777" w:rsidR="00D8234D" w:rsidRPr="00AA1E7A" w:rsidRDefault="00D8234D" w:rsidP="00D8234D">
      <w:pPr>
        <w:rPr>
          <w:b/>
        </w:rPr>
      </w:pPr>
      <w:r w:rsidRPr="00AA1E7A">
        <w:rPr>
          <w:b/>
        </w:rPr>
        <w:t>The following concept</w:t>
      </w:r>
      <w:r w:rsidR="008138B1" w:rsidRPr="00AA1E7A">
        <w:rPr>
          <w:b/>
        </w:rPr>
        <w:t>(</w:t>
      </w:r>
      <w:r w:rsidRPr="00AA1E7A">
        <w:rPr>
          <w:b/>
        </w:rPr>
        <w:t>s</w:t>
      </w:r>
      <w:r w:rsidR="008138B1" w:rsidRPr="00AA1E7A">
        <w:rPr>
          <w:b/>
        </w:rPr>
        <w:t>)</w:t>
      </w:r>
      <w:r w:rsidRPr="00AA1E7A">
        <w:rPr>
          <w:b/>
        </w:rPr>
        <w:t xml:space="preserve"> needs to have the DPD descriptor added to the brand name to allow differentiation between duplicate </w:t>
      </w:r>
      <w:proofErr w:type="spellStart"/>
      <w:r w:rsidRPr="00AA1E7A">
        <w:rPr>
          <w:b/>
        </w:rPr>
        <w:t>mp_formal</w:t>
      </w:r>
      <w:proofErr w:type="spellEnd"/>
      <w:r w:rsidRPr="00AA1E7A">
        <w:rPr>
          <w:b/>
        </w:rPr>
        <w:t xml:space="preserve"> names.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A1E7A" w14:paraId="51B4DC13" w14:textId="77777777" w:rsidTr="003D20A9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Pr="00AA1E7A" w:rsidRDefault="00A76501" w:rsidP="00601A33">
            <w:pPr>
              <w:rPr>
                <w:b/>
              </w:rPr>
            </w:pPr>
            <w:r w:rsidRPr="00AA1E7A">
              <w:rPr>
                <w:b/>
              </w:rPr>
              <w:t>drug_</w:t>
            </w:r>
          </w:p>
          <w:p w14:paraId="3B9B82B6" w14:textId="77777777" w:rsidR="00A76501" w:rsidRPr="00AA1E7A" w:rsidRDefault="00A76501" w:rsidP="00601A33">
            <w:pPr>
              <w:rPr>
                <w:b/>
              </w:rPr>
            </w:pPr>
            <w:r w:rsidRPr="00AA1E7A">
              <w:rPr>
                <w:b/>
              </w:rPr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A1E7A" w:rsidRDefault="00A76501" w:rsidP="00601A33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AA1E7A">
              <w:rPr>
                <w:b/>
              </w:rPr>
              <w:t>mp_code</w:t>
            </w:r>
            <w:proofErr w:type="spellEnd"/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A1E7A" w:rsidRDefault="00A76501" w:rsidP="00601A33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AA1E7A">
              <w:rPr>
                <w:b/>
              </w:rPr>
              <w:t>mp_formal_name</w:t>
            </w:r>
            <w:proofErr w:type="spellEnd"/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A1E7A" w:rsidRDefault="00A76501" w:rsidP="00601A33">
            <w:pPr>
              <w:rPr>
                <w:b/>
              </w:rPr>
            </w:pPr>
            <w:r w:rsidRPr="00AA1E7A">
              <w:rPr>
                <w:b/>
              </w:rPr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A1E7A" w:rsidRDefault="00A76501" w:rsidP="00601A33">
            <w:pPr>
              <w:rPr>
                <w:b/>
              </w:rPr>
            </w:pPr>
            <w:r w:rsidRPr="00AA1E7A">
              <w:rPr>
                <w:b/>
              </w:rPr>
              <w:t>DPD descriptor - FR</w:t>
            </w:r>
          </w:p>
        </w:tc>
      </w:tr>
      <w:tr w:rsidR="001E184A" w:rsidRPr="00AA1E7A" w14:paraId="01A4830C" w14:textId="77777777" w:rsidTr="005A5D4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44CE" w14:textId="1284FFF2" w:rsidR="001E184A" w:rsidRPr="00A2564F" w:rsidRDefault="001E184A" w:rsidP="001E184A">
            <w:pPr>
              <w:rPr>
                <w:rFonts w:cstheme="minorHAnsi"/>
                <w:bCs/>
                <w:szCs w:val="20"/>
                <w:lang w:val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DE5198" w14:textId="0E6D4F39" w:rsidR="001E184A" w:rsidRPr="00AA1E7A" w:rsidRDefault="001E184A" w:rsidP="001E184A">
            <w:pPr>
              <w:rPr>
                <w:rFonts w:cstheme="minorHAnsi"/>
                <w:b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CD946" w14:textId="46D868FC" w:rsidR="001E184A" w:rsidRPr="00AA1E7A" w:rsidRDefault="00296CC9" w:rsidP="001E184A">
            <w:pPr>
              <w:rPr>
                <w:rFonts w:cstheme="minorHAnsi"/>
                <w:b/>
                <w:szCs w:val="20"/>
              </w:rPr>
            </w:pPr>
            <w:r w:rsidRPr="00AA1E7A">
              <w:rPr>
                <w:b/>
              </w:rPr>
              <w:t>[NONE]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8123C" w14:textId="01CCD961" w:rsidR="001E184A" w:rsidRPr="00A2564F" w:rsidRDefault="001E184A" w:rsidP="001E18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41AF" w14:textId="75ACD0A2" w:rsidR="001E184A" w:rsidRPr="001E184A" w:rsidRDefault="001E184A" w:rsidP="001E184A">
            <w:pPr>
              <w:rPr>
                <w:rFonts w:cstheme="minorHAnsi"/>
                <w:b/>
                <w:szCs w:val="20"/>
                <w:lang w:val="en-CA"/>
              </w:rPr>
            </w:pPr>
          </w:p>
        </w:tc>
      </w:tr>
    </w:tbl>
    <w:p w14:paraId="39ECCA21" w14:textId="77777777" w:rsidR="00540D7F" w:rsidRPr="00AA1E7A" w:rsidRDefault="00540D7F" w:rsidP="00221352">
      <w:pPr>
        <w:pStyle w:val="Heading3"/>
        <w:rPr>
          <w:b/>
          <w:color w:val="5B9BD5" w:themeColor="accent5"/>
          <w:lang w:val="en-CA"/>
        </w:rPr>
      </w:pPr>
    </w:p>
    <w:p w14:paraId="4C132609" w14:textId="77777777" w:rsidR="00221352" w:rsidRPr="00AA1E7A" w:rsidRDefault="00221352" w:rsidP="00221352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:rsidRPr="00AA1E7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Pr="00AA1E7A" w:rsidRDefault="00F134BA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drug_code</w:t>
            </w:r>
            <w:proofErr w:type="spellEnd"/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Pr="00AA1E7A" w:rsidRDefault="00F134BA" w:rsidP="00601A33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AA1E7A">
              <w:rPr>
                <w:b/>
              </w:rPr>
              <w:t>mp_code</w:t>
            </w:r>
            <w:proofErr w:type="spellEnd"/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Pr="00AA1E7A" w:rsidRDefault="00F134BA" w:rsidP="00601A33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AA1E7A">
              <w:rPr>
                <w:b/>
              </w:rPr>
              <w:t>mp_formal_name</w:t>
            </w:r>
            <w:proofErr w:type="spellEnd"/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Pr="00AA1E7A" w:rsidRDefault="00F134BA" w:rsidP="00601A3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mp_fr_description</w:t>
            </w:r>
            <w:proofErr w:type="spellEnd"/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Pr="00AA1E7A" w:rsidRDefault="00F134BA" w:rsidP="00601A33">
            <w:pPr>
              <w:rPr>
                <w:b/>
              </w:rPr>
            </w:pPr>
            <w:r w:rsidRPr="00AA1E7A">
              <w:rPr>
                <w:b/>
              </w:rPr>
              <w:t>CCDD status</w:t>
            </w:r>
          </w:p>
        </w:tc>
      </w:tr>
      <w:tr w:rsidR="00F134BA" w:rsidRPr="00AA1E7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Pr="00AA1E7A" w:rsidRDefault="00F134BA" w:rsidP="00601A33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AA1E7A" w:rsidRDefault="00065F2B" w:rsidP="00601A33">
            <w:pPr>
              <w:rPr>
                <w:b/>
              </w:rPr>
            </w:pPr>
            <w:r w:rsidRPr="00AA1E7A">
              <w:rPr>
                <w:b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AA1E7A" w:rsidRDefault="00F134BA" w:rsidP="00601A33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Pr="00AA1E7A" w:rsidRDefault="00F134BA" w:rsidP="00F134BA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Pr="00AA1E7A" w:rsidRDefault="00F134BA" w:rsidP="00601A3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14:paraId="1D6145F4" w14:textId="77777777" w:rsidR="0083314F" w:rsidRPr="00AA1E7A" w:rsidRDefault="0083314F" w:rsidP="00736790">
      <w:pPr>
        <w:pStyle w:val="Heading3"/>
        <w:rPr>
          <w:b/>
          <w:lang w:val="en-CA"/>
        </w:rPr>
      </w:pPr>
    </w:p>
    <w:p w14:paraId="60AEA1C9" w14:textId="77777777" w:rsidR="00FD5568" w:rsidRPr="00AA1E7A" w:rsidRDefault="00FD5568" w:rsidP="00FD5568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Code permanence – name changes</w:t>
      </w:r>
    </w:p>
    <w:p w14:paraId="26818346" w14:textId="4969BC59" w:rsidR="00FD5568" w:rsidRPr="00AA1E7A" w:rsidRDefault="00FD5568" w:rsidP="00FD5568">
      <w:pPr>
        <w:rPr>
          <w:b/>
        </w:rPr>
      </w:pPr>
      <w:r w:rsidRPr="00AA1E7A">
        <w:rPr>
          <w:b/>
        </w:rPr>
        <w:t xml:space="preserve">The following MP concept(s) need to keep its/their existing </w:t>
      </w:r>
      <w:proofErr w:type="spellStart"/>
      <w:r w:rsidRPr="00AA1E7A">
        <w:rPr>
          <w:b/>
        </w:rPr>
        <w:t>mp_code</w:t>
      </w:r>
      <w:proofErr w:type="spellEnd"/>
      <w:r w:rsidRPr="00AA1E7A">
        <w:rPr>
          <w:b/>
        </w:rPr>
        <w:t xml:space="preserve"> even though their formal name has changed.  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4312"/>
        <w:gridCol w:w="3621"/>
      </w:tblGrid>
      <w:tr w:rsidR="00FD5568" w:rsidRPr="00AA1E7A" w14:paraId="1267A26F" w14:textId="77777777" w:rsidTr="00FD556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195D372" w14:textId="4D2305B1" w:rsidR="00FD5568" w:rsidRPr="00AA1E7A" w:rsidRDefault="00FD5568" w:rsidP="002B6481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mp_code</w:t>
            </w:r>
            <w:proofErr w:type="spellEnd"/>
            <w:r w:rsidRPr="00AA1E7A">
              <w:rPr>
                <w:b/>
              </w:rPr>
              <w:t xml:space="preserve"> (to keep)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DD8D09" w14:textId="4F0671D2" w:rsidR="00FD5568" w:rsidRPr="00AA1E7A" w:rsidRDefault="00FD5568" w:rsidP="002B6481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</w:t>
            </w:r>
            <w:proofErr w:type="spellEnd"/>
            <w:r w:rsidRPr="00AA1E7A">
              <w:rPr>
                <w:b/>
              </w:rPr>
              <w:t xml:space="preserve"> _</w:t>
            </w:r>
            <w:proofErr w:type="spellStart"/>
            <w:r w:rsidRPr="00AA1E7A">
              <w:rPr>
                <w:b/>
              </w:rPr>
              <w:t>formal_name</w:t>
            </w:r>
            <w:proofErr w:type="spellEnd"/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D787D30" w14:textId="4D813C6D" w:rsidR="00FD5568" w:rsidRPr="00AA1E7A" w:rsidRDefault="00FD5568" w:rsidP="002B6481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mp_code</w:t>
            </w:r>
            <w:proofErr w:type="spellEnd"/>
            <w:r w:rsidRPr="00AA1E7A">
              <w:rPr>
                <w:b/>
              </w:rPr>
              <w:t xml:space="preserve"> in QA Release was </w:t>
            </w:r>
          </w:p>
        </w:tc>
      </w:tr>
      <w:tr w:rsidR="00FD5568" w:rsidRPr="00AA1E7A" w14:paraId="1145592C" w14:textId="77777777" w:rsidTr="00FD556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49E0" w14:textId="10016871" w:rsidR="00FD5568" w:rsidRPr="00AA1E7A" w:rsidRDefault="00FD5568" w:rsidP="002B6481">
            <w:pPr>
              <w:jc w:val="both"/>
              <w:rPr>
                <w:rFonts w:cstheme="minorHAnsi"/>
                <w:b/>
                <w:color w:val="00008B"/>
              </w:rPr>
            </w:pP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1F024" w14:textId="2B2B2C2C" w:rsidR="00FD5568" w:rsidRPr="00AA1E7A" w:rsidRDefault="0096552F" w:rsidP="002B6481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AA1E7A">
              <w:rPr>
                <w:rFonts w:ascii="Calibri" w:hAnsi="Calibri" w:cs="Calibri"/>
                <w:b/>
                <w:color w:val="000000"/>
              </w:rPr>
              <w:t>[NONE]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5FC9" w14:textId="1766C1F5" w:rsidR="00FD5568" w:rsidRPr="00AA1E7A" w:rsidRDefault="00FD5568" w:rsidP="002B6481">
            <w:pPr>
              <w:jc w:val="both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14:paraId="0E515175" w14:textId="77777777" w:rsidR="00FD5568" w:rsidRPr="00AA1E7A" w:rsidRDefault="00FD5568" w:rsidP="00FD5568">
      <w:pPr>
        <w:rPr>
          <w:b/>
          <w:lang w:val="en-CA"/>
        </w:rPr>
      </w:pPr>
    </w:p>
    <w:p w14:paraId="37C566CD" w14:textId="77777777" w:rsidR="00736790" w:rsidRPr="00AA1E7A" w:rsidRDefault="00736790" w:rsidP="00736790">
      <w:pPr>
        <w:pStyle w:val="Heading3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Concept permanence – returns check</w:t>
      </w:r>
    </w:p>
    <w:p w14:paraId="2B05930D" w14:textId="4B3C8E83" w:rsidR="00751B6A" w:rsidRPr="00AA1E7A" w:rsidRDefault="001B7235">
      <w:pPr>
        <w:rPr>
          <w:b/>
        </w:rPr>
      </w:pPr>
      <w:r w:rsidRPr="00AA1E7A">
        <w:rPr>
          <w:b/>
        </w:rPr>
        <w:t xml:space="preserve">The following MPs need to be added to the </w:t>
      </w:r>
      <w:r w:rsidR="00AC13D6" w:rsidRPr="00AA1E7A">
        <w:rPr>
          <w:b/>
        </w:rPr>
        <w:t>Inclusion list</w:t>
      </w:r>
      <w:r w:rsidRPr="00AA1E7A">
        <w:rPr>
          <w:b/>
        </w:rPr>
        <w:t xml:space="preserve">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AA1E7A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AA1E7A" w:rsidRDefault="002462BD" w:rsidP="002462BD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drug_code</w:t>
            </w:r>
            <w:proofErr w:type="spellEnd"/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AA1E7A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AA1E7A">
              <w:rPr>
                <w:b/>
              </w:rPr>
              <w:t>mp_code</w:t>
            </w:r>
            <w:proofErr w:type="spellEnd"/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AA1E7A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AA1E7A">
              <w:rPr>
                <w:b/>
              </w:rPr>
              <w:t>mp_formal_name</w:t>
            </w:r>
            <w:proofErr w:type="spellEnd"/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AA1E7A" w:rsidRDefault="002462BD" w:rsidP="002462BD">
            <w:pPr>
              <w:rPr>
                <w:b/>
              </w:rPr>
            </w:pPr>
            <w:r w:rsidRPr="00AA1E7A">
              <w:rPr>
                <w:b/>
              </w:rPr>
              <w:t>DPD status</w:t>
            </w:r>
          </w:p>
        </w:tc>
      </w:tr>
      <w:tr w:rsidR="00296CC9" w:rsidRPr="00AA1E7A" w14:paraId="1E1D719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7D4B8" w14:textId="2B363E1D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43312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87495" w14:textId="5AF9AE2F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2221861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D3485" w14:textId="379C1E23" w:rsidR="00296CC9" w:rsidRPr="00AA1E7A" w:rsidRDefault="00296CC9" w:rsidP="00296CC9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ANANDRON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nilutamide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50 mg oral tablet) CHEPLAPHARM ARZNEIMITTEL GMBH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6466CF77" w:rsidR="00296CC9" w:rsidRPr="00AA1E7A" w:rsidRDefault="00296CC9" w:rsidP="00296CC9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2024.08.03</w:t>
            </w:r>
          </w:p>
        </w:tc>
      </w:tr>
      <w:tr w:rsidR="00296CC9" w:rsidRPr="00AA1E7A" w14:paraId="2DE279D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98501" w14:textId="7B3CEF1E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76584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06CB5" w14:textId="6BAE39E6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2280167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6FA1A" w14:textId="15F00AE4" w:rsidR="00296CC9" w:rsidRPr="00AA1E7A" w:rsidRDefault="00296CC9" w:rsidP="00296CC9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ASATAB 80 MG CHEWABLE TABLETS (acetylsalicylic acid 80 mg chewable tablet) ODAN LABORATORIES LTD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58094" w14:textId="5731F09B" w:rsidR="00296CC9" w:rsidRPr="00AA1E7A" w:rsidRDefault="00296CC9" w:rsidP="00296CC9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2024.08.11</w:t>
            </w:r>
          </w:p>
        </w:tc>
      </w:tr>
      <w:tr w:rsidR="00296CC9" w:rsidRPr="00AA1E7A" w14:paraId="2E5922F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C6B3A" w14:textId="7E4B53F0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75311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7AD7" w14:textId="2AE00FEE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2267691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78417" w14:textId="70CFED1B" w:rsidR="00296CC9" w:rsidRPr="00AA1E7A" w:rsidRDefault="00296CC9" w:rsidP="00296CC9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MEDI-WHITE PETROLATUM OINTMENT (white petrolatum 100 % cutaneous ointment) MEDISCA PHARMACEUTIQUE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3351A" w14:textId="14BD774B" w:rsidR="00296CC9" w:rsidRPr="00AA1E7A" w:rsidRDefault="00296CC9" w:rsidP="00296CC9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2024.09.30</w:t>
            </w:r>
          </w:p>
        </w:tc>
      </w:tr>
      <w:tr w:rsidR="00296CC9" w:rsidRPr="00AA1E7A" w14:paraId="2C8E08D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EE0986" w14:textId="73C8283B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02EF3" w14:textId="60BC5059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77700912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5EEE0" w14:textId="33635C58" w:rsidR="00296CC9" w:rsidRPr="00AA1E7A" w:rsidRDefault="00296CC9" w:rsidP="00296CC9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OXYTOCIN INJECTION USP (oxytocin 10 unit per 1 mL solution for injection ampoule)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F5F8" w14:textId="439636A9" w:rsidR="00296CC9" w:rsidRPr="00AA1E7A" w:rsidRDefault="00296CC9" w:rsidP="00296CC9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2024.09.25</w:t>
            </w:r>
          </w:p>
        </w:tc>
      </w:tr>
      <w:tr w:rsidR="00296CC9" w:rsidRPr="00AA1E7A" w14:paraId="0AD365C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F66D2" w14:textId="05DA7909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8490E" w14:textId="2961F250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77700913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74B7E" w14:textId="2D99A8B3" w:rsidR="00296CC9" w:rsidRPr="00AA1E7A" w:rsidRDefault="00296CC9" w:rsidP="00296CC9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OXYTOCIN INJECTION USP (oxytocin 50 unit per 5 mL solution for injection ampoule)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7FD75" w14:textId="74BBD6FF" w:rsidR="00296CC9" w:rsidRPr="00AA1E7A" w:rsidRDefault="00296CC9" w:rsidP="00296CC9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2024.09.25</w:t>
            </w:r>
          </w:p>
        </w:tc>
      </w:tr>
      <w:tr w:rsidR="00296CC9" w:rsidRPr="00296CC9" w14:paraId="0F24F15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DE223" w14:textId="7AE9B95C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85467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94D87" w14:textId="7378F28F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2369753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6014B4" w14:textId="01FE46C6" w:rsidR="00296CC9" w:rsidRPr="00296CC9" w:rsidRDefault="00296CC9" w:rsidP="00296CC9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 w:rsidRPr="00296CC9">
              <w:rPr>
                <w:rFonts w:ascii="Arial" w:hAnsi="Arial" w:cs="Arial"/>
                <w:sz w:val="20"/>
                <w:szCs w:val="20"/>
                <w:lang w:val="fr-CA"/>
              </w:rPr>
              <w:t>PREZISTA (</w:t>
            </w:r>
            <w:proofErr w:type="spellStart"/>
            <w:r w:rsidRPr="00296CC9">
              <w:rPr>
                <w:rFonts w:ascii="Arial" w:hAnsi="Arial" w:cs="Arial"/>
                <w:sz w:val="20"/>
                <w:szCs w:val="20"/>
                <w:lang w:val="fr-CA"/>
              </w:rPr>
              <w:t>darunavir</w:t>
            </w:r>
            <w:proofErr w:type="spellEnd"/>
            <w:r w:rsidRPr="00296CC9">
              <w:rPr>
                <w:rFonts w:ascii="Arial" w:hAnsi="Arial" w:cs="Arial"/>
                <w:sz w:val="20"/>
                <w:szCs w:val="20"/>
                <w:lang w:val="fr-CA"/>
              </w:rPr>
              <w:t xml:space="preserve"> (</w:t>
            </w:r>
            <w:proofErr w:type="spellStart"/>
            <w:r w:rsidRPr="00296CC9">
              <w:rPr>
                <w:rFonts w:ascii="Arial" w:hAnsi="Arial" w:cs="Arial"/>
                <w:sz w:val="20"/>
                <w:szCs w:val="20"/>
                <w:lang w:val="fr-CA"/>
              </w:rPr>
              <w:t>darunavir</w:t>
            </w:r>
            <w:proofErr w:type="spellEnd"/>
            <w:r w:rsidRPr="00296CC9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296CC9">
              <w:rPr>
                <w:rFonts w:ascii="Arial" w:hAnsi="Arial" w:cs="Arial"/>
                <w:sz w:val="20"/>
                <w:szCs w:val="20"/>
                <w:lang w:val="fr-CA"/>
              </w:rPr>
              <w:t>ethanolate</w:t>
            </w:r>
            <w:proofErr w:type="spellEnd"/>
            <w:r w:rsidRPr="00296CC9">
              <w:rPr>
                <w:rFonts w:ascii="Arial" w:hAnsi="Arial" w:cs="Arial"/>
                <w:sz w:val="20"/>
                <w:szCs w:val="20"/>
                <w:lang w:val="fr-CA"/>
              </w:rPr>
              <w:t xml:space="preserve">) 150 mg oral </w:t>
            </w:r>
            <w:proofErr w:type="spellStart"/>
            <w:r w:rsidRPr="00296CC9">
              <w:rPr>
                <w:rFonts w:ascii="Arial" w:hAnsi="Arial" w:cs="Arial"/>
                <w:sz w:val="20"/>
                <w:szCs w:val="20"/>
                <w:lang w:val="fr-CA"/>
              </w:rPr>
              <w:t>tablet</w:t>
            </w:r>
            <w:proofErr w:type="spellEnd"/>
            <w:r w:rsidRPr="00296CC9">
              <w:rPr>
                <w:rFonts w:ascii="Arial" w:hAnsi="Arial" w:cs="Arial"/>
                <w:sz w:val="20"/>
                <w:szCs w:val="20"/>
                <w:lang w:val="fr-CA"/>
              </w:rPr>
              <w:t>) JANSSEN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6FD02" w14:textId="6533DA2A" w:rsidR="00296CC9" w:rsidRPr="00296CC9" w:rsidRDefault="00296CC9" w:rsidP="00296CC9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2024.09.30</w:t>
            </w:r>
          </w:p>
        </w:tc>
      </w:tr>
      <w:tr w:rsidR="00296CC9" w:rsidRPr="00296CC9" w14:paraId="609869B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8BD7B" w14:textId="4F08BD92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74816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9F9D6" w14:textId="1D5D5C63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2262800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28500" w14:textId="21AE0D58" w:rsidR="00296CC9" w:rsidRPr="00296CC9" w:rsidRDefault="00296CC9" w:rsidP="00296CC9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STRATTERA (atomoxetine (atomoxetine hydrochloride) 10 mg oral capsule) ELI LILLY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506F2" w14:textId="12D42703" w:rsidR="00296CC9" w:rsidRPr="00AA1E7A" w:rsidRDefault="00296CC9" w:rsidP="00296CC9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2024.09.16</w:t>
            </w:r>
          </w:p>
        </w:tc>
      </w:tr>
      <w:tr w:rsidR="00296CC9" w:rsidRPr="00296CC9" w14:paraId="6511643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8A615" w14:textId="2D42B878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85556" w14:textId="73ABA2B7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77700982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E98B0" w14:textId="1A8E3F7E" w:rsidR="00296CC9" w:rsidRPr="00296CC9" w:rsidRDefault="00296CC9" w:rsidP="00296CC9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TARO-OXALIPLATIN (oxaliplatin 100 mg per 20 mL solution for injection vial) TARO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669D" w14:textId="6FE9596E" w:rsidR="00296CC9" w:rsidRPr="00AA1E7A" w:rsidRDefault="00296CC9" w:rsidP="00296CC9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2017.10.31</w:t>
            </w:r>
          </w:p>
        </w:tc>
      </w:tr>
      <w:tr w:rsidR="00296CC9" w:rsidRPr="00296CC9" w14:paraId="034C482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E3D7A4" w14:textId="5E2685BC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D468CC" w14:textId="06E569A6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77700983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C5391F" w14:textId="2A12AB72" w:rsidR="00296CC9" w:rsidRPr="00A72D60" w:rsidRDefault="00296CC9" w:rsidP="00296CC9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TARO-OXALIPLATIN (oxaliplatin 200 mg per 40 mL solution for injection vial) TARO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2D1A06" w14:textId="6618CBC4" w:rsidR="00296CC9" w:rsidRPr="00296CC9" w:rsidRDefault="00296CC9" w:rsidP="00296CC9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2017.10.31</w:t>
            </w:r>
          </w:p>
        </w:tc>
      </w:tr>
      <w:tr w:rsidR="00296CC9" w:rsidRPr="00296CC9" w14:paraId="284158F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05D1BD" w14:textId="2947F95A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4BEF52" w14:textId="4935A95E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77700984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28BDFB" w14:textId="2AAF536A" w:rsidR="00296CC9" w:rsidRPr="00296CC9" w:rsidRDefault="00296CC9" w:rsidP="00296CC9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TARO-OXALIPLATIN (oxaliplatin 50 mg per 10 mL solution for injection vial) TARO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0D31EF" w14:textId="604E1350" w:rsidR="00296CC9" w:rsidRPr="00296CC9" w:rsidRDefault="00296CC9" w:rsidP="00296CC9">
            <w:pPr>
              <w:spacing w:after="0" w:line="240" w:lineRule="auto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2017.10.31</w:t>
            </w:r>
          </w:p>
        </w:tc>
      </w:tr>
      <w:tr w:rsidR="00296CC9" w:rsidRPr="00296CC9" w14:paraId="41F5308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C4E044" w14:textId="231FE24D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73019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DC8B23" w14:textId="193960D1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2248657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D28FE9" w14:textId="4943F849" w:rsidR="00296CC9" w:rsidRPr="00296CC9" w:rsidRDefault="00296CC9" w:rsidP="00296CC9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VISINE FOR RED EYE TRIPLE ACTION (dextran 70 0.1 % and polyethylene glycol 400 1 % and povidone 1 % and tetrahydrozoline hydrochloride 0.05 % ophthalmic drops) JOHNSON &amp; JOHNSON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E7C173" w14:textId="2E47E098" w:rsidR="00296CC9" w:rsidRPr="00296CC9" w:rsidRDefault="00296CC9" w:rsidP="00296CC9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2024.09.30</w:t>
            </w:r>
          </w:p>
        </w:tc>
      </w:tr>
      <w:tr w:rsidR="00296CC9" w:rsidRPr="00296CC9" w14:paraId="33C08291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D6EA09" w14:textId="4F98D180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92041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DD169C" w14:textId="34A9F231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2436086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B9597A" w14:textId="76BD21B5" w:rsidR="00296CC9" w:rsidRPr="00296CC9" w:rsidRDefault="00296CC9" w:rsidP="00296CC9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VISINE FOR RED EYE WORKPLACE (dextran 70 0.1 % and polyethylene glycol 400 1 % and povidone 1 % and tetrahydrozoline hydrochloride 0.05 % ophthalmic drops) JOHNSON &amp; JOHNSON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AA9270" w14:textId="167FFCB7" w:rsidR="00296CC9" w:rsidRPr="00296CC9" w:rsidRDefault="00296CC9" w:rsidP="00296CC9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2024.09.30</w:t>
            </w:r>
          </w:p>
        </w:tc>
      </w:tr>
      <w:tr w:rsidR="00296CC9" w:rsidRPr="00296CC9" w14:paraId="0D8F0AB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C6BADD" w14:textId="50C309C6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61874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FB8EB1" w14:textId="655AD5DB" w:rsidR="00296CC9" w:rsidRPr="00AA1E7A" w:rsidRDefault="00296CC9" w:rsidP="00296CC9">
            <w:pPr>
              <w:spacing w:after="0" w:line="240" w:lineRule="auto"/>
              <w:jc w:val="right"/>
              <w:rPr>
                <w:rFonts w:cstheme="minorHAnsi"/>
                <w:b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2238454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9E1768" w14:textId="68CB2619" w:rsidR="00296CC9" w:rsidRPr="00296CC9" w:rsidRDefault="00296CC9" w:rsidP="00296CC9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XELODA (capecitabine 500 mg oral tablet) CHEPLAPHARM ARZNEIMITTEL GMBH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F4DB55" w14:textId="470EB59F" w:rsidR="00296CC9" w:rsidRPr="00296CC9" w:rsidRDefault="00296CC9" w:rsidP="00296CC9">
            <w:pPr>
              <w:spacing w:after="0" w:line="240" w:lineRule="auto"/>
              <w:rPr>
                <w:rFonts w:cstheme="minorHAnsi"/>
                <w:b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2024.09.30</w:t>
            </w:r>
          </w:p>
        </w:tc>
      </w:tr>
    </w:tbl>
    <w:p w14:paraId="7D22F62D" w14:textId="77777777" w:rsidR="005F763A" w:rsidRPr="00296CC9" w:rsidRDefault="005F763A">
      <w:pPr>
        <w:rPr>
          <w:b/>
          <w:lang w:val="en-CA"/>
        </w:rPr>
      </w:pPr>
    </w:p>
    <w:p w14:paraId="6133B3FB" w14:textId="6E54CD03" w:rsidR="00212B46" w:rsidRPr="00AA1E7A" w:rsidRDefault="00CD711F" w:rsidP="00212B46">
      <w:pPr>
        <w:pStyle w:val="Heading2"/>
        <w:rPr>
          <w:b/>
          <w:color w:val="4472C4" w:themeColor="accent1"/>
        </w:rPr>
      </w:pPr>
      <w:r w:rsidRPr="00AA1E7A">
        <w:rPr>
          <w:b/>
          <w:color w:val="4472C4" w:themeColor="accent1"/>
        </w:rPr>
        <w:t>Exclusion L</w:t>
      </w:r>
      <w:r w:rsidR="00212B46" w:rsidRPr="00AA1E7A">
        <w:rPr>
          <w:b/>
          <w:color w:val="4472C4" w:themeColor="accent1"/>
        </w:rPr>
        <w:t>ist (on GitHub)</w:t>
      </w:r>
    </w:p>
    <w:p w14:paraId="148D2A37" w14:textId="1031698C" w:rsidR="001B7235" w:rsidRPr="00AA1E7A" w:rsidRDefault="00F56E2D">
      <w:pPr>
        <w:rPr>
          <w:b/>
        </w:rPr>
      </w:pPr>
      <w:r w:rsidRPr="00AA1E7A">
        <w:rPr>
          <w:b/>
        </w:rPr>
        <w:t>The following</w:t>
      </w:r>
      <w:r w:rsidR="008A281D" w:rsidRPr="00AA1E7A">
        <w:rPr>
          <w:b/>
        </w:rPr>
        <w:t xml:space="preserve"> changes</w:t>
      </w:r>
      <w:r w:rsidR="003E3BF3" w:rsidRPr="00AA1E7A">
        <w:rPr>
          <w:b/>
        </w:rPr>
        <w:t xml:space="preserve"> </w:t>
      </w:r>
      <w:r w:rsidR="005846B9" w:rsidRPr="00AA1E7A">
        <w:rPr>
          <w:b/>
        </w:rPr>
        <w:t xml:space="preserve">have been made </w:t>
      </w:r>
      <w:r w:rsidR="001B7235" w:rsidRPr="00AA1E7A">
        <w:rPr>
          <w:b/>
        </w:rPr>
        <w:t xml:space="preserve">to the </w:t>
      </w:r>
      <w:r w:rsidR="00A14D2C" w:rsidRPr="00AA1E7A">
        <w:rPr>
          <w:b/>
        </w:rPr>
        <w:t>Exclusion List</w:t>
      </w:r>
      <w:r w:rsidR="001B7235" w:rsidRPr="00AA1E7A">
        <w:rPr>
          <w:b/>
        </w:rPr>
        <w:t xml:space="preserve"> for the </w:t>
      </w:r>
      <w:r w:rsidR="00296CC9">
        <w:rPr>
          <w:b/>
        </w:rPr>
        <w:t>OC</w:t>
      </w:r>
      <w:r w:rsidR="00966BBD">
        <w:rPr>
          <w:b/>
        </w:rPr>
        <w:t>T</w:t>
      </w:r>
      <w:r w:rsidR="00CD711F" w:rsidRPr="00AA1E7A">
        <w:rPr>
          <w:b/>
        </w:rPr>
        <w:t xml:space="preserve"> 2024</w:t>
      </w:r>
      <w:r w:rsidR="001B7235" w:rsidRPr="00AA1E7A">
        <w:rPr>
          <w:b/>
        </w:rPr>
        <w:t xml:space="preserve"> Release Candidate</w:t>
      </w:r>
      <w:r w:rsidR="00025B10" w:rsidRPr="00AA1E7A">
        <w:rPr>
          <w:b/>
        </w:rPr>
        <w:t xml:space="preserve">.  The </w:t>
      </w:r>
      <w:r w:rsidR="003E3BF3" w:rsidRPr="00AA1E7A">
        <w:rPr>
          <w:b/>
        </w:rPr>
        <w:t>list as it is on Gi</w:t>
      </w:r>
      <w:r w:rsidR="001B7235" w:rsidRPr="00AA1E7A">
        <w:rPr>
          <w:b/>
        </w:rPr>
        <w:t>tHub</w:t>
      </w:r>
      <w:r w:rsidR="003E3BF3" w:rsidRPr="00AA1E7A">
        <w:rPr>
          <w:b/>
        </w:rPr>
        <w:t xml:space="preserve"> should be used.</w:t>
      </w:r>
    </w:p>
    <w:p w14:paraId="069931F6" w14:textId="51C5901C" w:rsidR="00987C22" w:rsidRPr="00AA1E7A" w:rsidRDefault="00987C22">
      <w:pPr>
        <w:rPr>
          <w:b/>
        </w:rPr>
      </w:pPr>
      <w:r w:rsidRPr="00AA1E7A">
        <w:rPr>
          <w:b/>
        </w:rPr>
        <w:t xml:space="preserve">Changes </w:t>
      </w:r>
      <w:r w:rsidR="004D2C08" w:rsidRPr="00AA1E7A">
        <w:rPr>
          <w:b/>
        </w:rPr>
        <w:t xml:space="preserve">that have been made </w:t>
      </w:r>
      <w:r w:rsidR="005E1E4F" w:rsidRPr="00AA1E7A">
        <w:rPr>
          <w:b/>
        </w:rPr>
        <w:t xml:space="preserve">to the </w:t>
      </w:r>
      <w:r w:rsidR="00CD711F" w:rsidRPr="00AA1E7A">
        <w:rPr>
          <w:b/>
        </w:rPr>
        <w:t>Exclusion List</w:t>
      </w:r>
      <w:r w:rsidR="005E1E4F" w:rsidRPr="00AA1E7A">
        <w:rPr>
          <w:b/>
        </w:rPr>
        <w:t xml:space="preserve"> are as follows</w:t>
      </w:r>
      <w:r w:rsidR="00CC48EF" w:rsidRPr="00AA1E7A">
        <w:rPr>
          <w:b/>
        </w:rPr>
        <w:t>:</w:t>
      </w:r>
      <w:r w:rsidR="00CC48EF" w:rsidRPr="00AA1E7A">
        <w:rPr>
          <w:b/>
        </w:rPr>
        <w:br/>
        <w:t>ACTION</w:t>
      </w:r>
      <w:r w:rsidR="0001441A" w:rsidRPr="00AA1E7A">
        <w:rPr>
          <w:b/>
        </w:rPr>
        <w:t xml:space="preserve"> is either</w:t>
      </w:r>
      <w:r w:rsidR="00EF5CC2" w:rsidRPr="00AA1E7A">
        <w:rPr>
          <w:b/>
        </w:rPr>
        <w:t>:</w:t>
      </w:r>
    </w:p>
    <w:p w14:paraId="3E1E63C3" w14:textId="03633067" w:rsidR="00EF5CC2" w:rsidRPr="00AA1E7A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/>
        </w:rPr>
      </w:pPr>
      <w:r w:rsidRPr="00AA1E7A">
        <w:rPr>
          <w:rFonts w:ascii="Calibri" w:hAnsi="Calibri" w:cs="Calibri"/>
          <w:b/>
          <w:color w:val="000000"/>
        </w:rPr>
        <w:t xml:space="preserve">STAY on </w:t>
      </w:r>
      <w:r w:rsidR="00A14D2C" w:rsidRPr="00AA1E7A">
        <w:rPr>
          <w:rFonts w:ascii="Calibri" w:hAnsi="Calibri" w:cs="Calibri"/>
          <w:b/>
          <w:color w:val="000000"/>
        </w:rPr>
        <w:t>Exclusion List</w:t>
      </w:r>
    </w:p>
    <w:p w14:paraId="2EE60EED" w14:textId="4073FE5F" w:rsidR="00EF5CC2" w:rsidRPr="00AA1E7A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/>
        </w:rPr>
      </w:pPr>
      <w:r w:rsidRPr="00AA1E7A">
        <w:rPr>
          <w:rFonts w:ascii="Calibri" w:hAnsi="Calibri" w:cs="Calibri"/>
          <w:b/>
          <w:color w:val="000000"/>
        </w:rPr>
        <w:t xml:space="preserve">ADD to </w:t>
      </w:r>
      <w:r w:rsidR="00A14D2C" w:rsidRPr="00AA1E7A">
        <w:rPr>
          <w:rFonts w:ascii="Calibri" w:hAnsi="Calibri" w:cs="Calibri"/>
          <w:b/>
          <w:color w:val="000000"/>
        </w:rPr>
        <w:t>Exclusion List</w:t>
      </w:r>
    </w:p>
    <w:p w14:paraId="4AD760D4" w14:textId="7071ED2A" w:rsidR="00EF5CC2" w:rsidRPr="00AA1E7A" w:rsidRDefault="00EF5CC2" w:rsidP="00EF5CC2">
      <w:pPr>
        <w:pStyle w:val="ListParagraph"/>
        <w:numPr>
          <w:ilvl w:val="0"/>
          <w:numId w:val="1"/>
        </w:numPr>
        <w:rPr>
          <w:b/>
        </w:rPr>
      </w:pPr>
      <w:r w:rsidRPr="00AA1E7A">
        <w:rPr>
          <w:rFonts w:ascii="Calibri" w:hAnsi="Calibri"/>
          <w:b/>
          <w:color w:val="000000"/>
        </w:rPr>
        <w:t xml:space="preserve">REMOVE from </w:t>
      </w:r>
      <w:r w:rsidR="00A14D2C" w:rsidRPr="00AA1E7A">
        <w:rPr>
          <w:rFonts w:ascii="Calibri" w:hAnsi="Calibri"/>
          <w:b/>
          <w:color w:val="000000"/>
        </w:rPr>
        <w:t>Exclusion 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AA1E7A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AA1E7A" w:rsidRDefault="002D01B3" w:rsidP="002D01B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ntp_code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AA1E7A" w:rsidRDefault="002D01B3" w:rsidP="002D01B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ntp_formal_name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AA1E7A" w:rsidRDefault="002D01B3" w:rsidP="002D01B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drug_code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AA1E7A" w:rsidRDefault="002D01B3" w:rsidP="002D01B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mp_code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AA1E7A" w:rsidRDefault="002D01B3" w:rsidP="002D01B3">
            <w:pPr>
              <w:rPr>
                <w:b/>
              </w:rPr>
            </w:pPr>
            <w:proofErr w:type="spellStart"/>
            <w:r w:rsidRPr="00AA1E7A">
              <w:rPr>
                <w:b/>
              </w:rPr>
              <w:t>mp_formal_name</w:t>
            </w:r>
            <w:proofErr w:type="spellEnd"/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AA1E7A" w:rsidRDefault="002D01B3" w:rsidP="002D01B3">
            <w:pPr>
              <w:rPr>
                <w:b/>
              </w:rPr>
            </w:pPr>
            <w:r w:rsidRPr="00AA1E7A">
              <w:rPr>
                <w:b/>
              </w:rPr>
              <w:t>ACTION</w:t>
            </w:r>
          </w:p>
        </w:tc>
      </w:tr>
      <w:tr w:rsidR="00ED6738" w:rsidRPr="00AA1E7A" w14:paraId="775C1531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DCA42" w14:textId="77E92ADB" w:rsidR="00ED6738" w:rsidRPr="00966BBD" w:rsidRDefault="00ED6738" w:rsidP="00FE2D6D">
            <w:pPr>
              <w:spacing w:after="0" w:line="240" w:lineRule="auto"/>
              <w:rPr>
                <w:rFonts w:cstheme="minorHAnsi"/>
                <w:bCs/>
              </w:rPr>
            </w:pPr>
            <w:r w:rsidRPr="00966BBD">
              <w:rPr>
                <w:rFonts w:cstheme="minorHAnsi"/>
                <w:bCs/>
              </w:rPr>
              <w:t>63c8f110ed79d2e861bae01cb8891ce7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4F7CE" w14:textId="471E01DA" w:rsidR="00ED6738" w:rsidRPr="00966BBD" w:rsidRDefault="00ED6738" w:rsidP="00FE2D6D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cytarabine 100 mg and daunorubicin 44 mg powder for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36BA8" w14:textId="6539F06B" w:rsidR="00ED6738" w:rsidRPr="00966BBD" w:rsidRDefault="00ED6738" w:rsidP="00FE2D6D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100489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F35B" w14:textId="369964E0" w:rsidR="00ED6738" w:rsidRPr="00966BBD" w:rsidRDefault="00C904DF" w:rsidP="00FE2D6D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="00ED6738" w:rsidRPr="00966BBD">
              <w:rPr>
                <w:rFonts w:ascii="Arial" w:hAnsi="Arial" w:cs="Arial"/>
                <w:bCs/>
                <w:sz w:val="20"/>
                <w:szCs w:val="20"/>
              </w:rPr>
              <w:t>2515490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5D669" w14:textId="12AE15F3" w:rsidR="00ED6738" w:rsidRPr="00966BBD" w:rsidRDefault="00ED6738" w:rsidP="00FE2D6D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6BBD">
              <w:rPr>
                <w:rFonts w:ascii="Arial" w:hAnsi="Arial" w:cs="Arial"/>
                <w:bCs/>
                <w:sz w:val="20"/>
                <w:szCs w:val="20"/>
              </w:rPr>
              <w:t>VYXEOS (cytarabine 100 mg and daunorubicin 44 mg powder for solution for injection) JAZZ PHARMACEUTICALS IRELAND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0F206E" w14:textId="3B8CD4C8" w:rsidR="00ED6738" w:rsidRPr="00966BBD" w:rsidRDefault="00ED6738" w:rsidP="00FE2D6D">
            <w:pPr>
              <w:spacing w:after="0" w:line="240" w:lineRule="auto"/>
              <w:rPr>
                <w:rFonts w:cstheme="minorHAnsi"/>
                <w:bCs/>
              </w:rPr>
            </w:pPr>
            <w:r w:rsidRPr="00966BBD">
              <w:rPr>
                <w:rFonts w:cstheme="minorHAnsi"/>
                <w:bCs/>
              </w:rPr>
              <w:t>STAY</w:t>
            </w:r>
          </w:p>
        </w:tc>
      </w:tr>
      <w:tr w:rsidR="000218C4" w:rsidRPr="00AA1E7A" w14:paraId="1594DCEB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9DBF0" w14:textId="4111F5A0" w:rsidR="000218C4" w:rsidRPr="00966BBD" w:rsidRDefault="000218C4" w:rsidP="000218C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bb936839bada78f721f72cfd99081f0c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575889" w14:textId="6908C12E" w:rsidR="000218C4" w:rsidRPr="00966BBD" w:rsidRDefault="000218C4" w:rsidP="000218C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methylphenidate hydrochloride 5 mg per mL 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C4B25" w14:textId="0FE7FB8C" w:rsidR="000218C4" w:rsidRPr="00966BBD" w:rsidRDefault="000218C4" w:rsidP="000218C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103027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0BC04E" w14:textId="51A9EAAC" w:rsidR="000218C4" w:rsidRPr="00966BBD" w:rsidRDefault="000218C4" w:rsidP="000218C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2541637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DD3F75" w14:textId="7E9CA6E4" w:rsidR="000218C4" w:rsidRPr="00966BBD" w:rsidRDefault="000218C4" w:rsidP="000218C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QUILLIVANT ER ORAL SUSPENSION (methylphenidate hydrochloride 5 mg per mL NA) KYE PHARMACEUTICALS INC.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1D86483" w14:textId="140D2D75" w:rsidR="000218C4" w:rsidRPr="00966BBD" w:rsidRDefault="000218C4" w:rsidP="000218C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REMOVE</w:t>
            </w:r>
          </w:p>
        </w:tc>
      </w:tr>
      <w:tr w:rsidR="000218C4" w:rsidRPr="00AA1E7A" w14:paraId="23C60ACA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DC4E2F" w14:textId="6DB91908" w:rsidR="000218C4" w:rsidRPr="00966BBD" w:rsidRDefault="000218C4" w:rsidP="000218C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68828ecaf415824f635c90a9874551ec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05D3B" w14:textId="710239F2" w:rsidR="000218C4" w:rsidRPr="00966BBD" w:rsidRDefault="000218C4" w:rsidP="000218C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inebilizumab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 mg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57974" w14:textId="3A34A213" w:rsidR="000218C4" w:rsidRPr="00966BBD" w:rsidRDefault="000218C4" w:rsidP="000218C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10286" w14:textId="103A9789" w:rsidR="000218C4" w:rsidRPr="00966BBD" w:rsidRDefault="000218C4" w:rsidP="000218C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2549123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AAF09" w14:textId="32D41413" w:rsidR="000218C4" w:rsidRPr="00966BBD" w:rsidRDefault="000218C4" w:rsidP="000218C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EBGLYSS (lebrikizumab 250 mg per 2 mL solution for injection) ELI LILLY CANADA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1E9DCBD" w14:textId="25A83B76" w:rsidR="000218C4" w:rsidRPr="00966BBD" w:rsidRDefault="000218C4" w:rsidP="000218C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ADD</w:t>
            </w:r>
          </w:p>
        </w:tc>
      </w:tr>
      <w:tr w:rsidR="000218C4" w:rsidRPr="00AA1E7A" w14:paraId="0863314F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B029E" w14:textId="07146F93" w:rsidR="000218C4" w:rsidRPr="00966BBD" w:rsidRDefault="000218C4" w:rsidP="000218C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3b1049efd181b7d24799389eb57b9729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0547F" w14:textId="3608FF91" w:rsidR="000218C4" w:rsidRPr="00966BBD" w:rsidRDefault="000218C4" w:rsidP="000218C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ondansetron 4 mg per 5 mL oral solution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65198" w14:textId="66AA8000" w:rsidR="000218C4" w:rsidRPr="00966BBD" w:rsidRDefault="000218C4" w:rsidP="000218C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101313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51CAA" w14:textId="35FD6A8D" w:rsidR="000218C4" w:rsidRPr="00966BBD" w:rsidRDefault="000218C4" w:rsidP="000218C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2524090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9ADE8" w14:textId="55ED61F0" w:rsidR="000218C4" w:rsidRPr="00966BBD" w:rsidRDefault="000218C4" w:rsidP="000218C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MINT-ONDANSETRON SOLUTION (ondansetron 4 mg per 5 mL oral solution) MINT PHARMACEUTICALS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B215268" w14:textId="20B3F325" w:rsidR="000218C4" w:rsidRPr="00966BBD" w:rsidRDefault="000218C4" w:rsidP="000218C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ADD</w:t>
            </w:r>
          </w:p>
        </w:tc>
      </w:tr>
      <w:tr w:rsidR="000218C4" w:rsidRPr="00AA1E7A" w14:paraId="0D2BAA28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4B1A8B" w14:textId="4050FDDA" w:rsidR="000218C4" w:rsidRPr="00966BBD" w:rsidRDefault="000218C4" w:rsidP="000218C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7f1a3b8d79949556ea625be09688f733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4613E6" w14:textId="7E276111" w:rsidR="000218C4" w:rsidRPr="00966BBD" w:rsidRDefault="000218C4" w:rsidP="000218C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lebrikizumab 250 mg per 2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62A61" w14:textId="0ED30F4E" w:rsidR="000218C4" w:rsidRPr="00966BBD" w:rsidRDefault="000218C4" w:rsidP="000218C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103236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4C48C" w14:textId="51FED204" w:rsidR="000218C4" w:rsidRPr="00966BBD" w:rsidRDefault="000218C4" w:rsidP="000218C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2543931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350B9F" w14:textId="37CBC383" w:rsidR="000218C4" w:rsidRPr="00966BBD" w:rsidRDefault="000218C4" w:rsidP="000218C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UPLIZNA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inebilizumab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 mg per mL solution for injection) HORIZON THERAPEUTICS IRELAND DAC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F0BA7A8" w14:textId="0A3B4521" w:rsidR="000218C4" w:rsidRPr="00966BBD" w:rsidRDefault="000218C4" w:rsidP="000218C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ADD</w:t>
            </w:r>
          </w:p>
        </w:tc>
      </w:tr>
      <w:tr w:rsidR="006466AC" w:rsidRPr="00AA1E7A" w14:paraId="259DEF92" w14:textId="77777777" w:rsidTr="00F34A9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623D5" w14:textId="77777777" w:rsidR="006466AC" w:rsidRDefault="006466AC" w:rsidP="006466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99E88" w14:textId="77777777" w:rsidR="006466AC" w:rsidRDefault="006466AC" w:rsidP="006466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C6DC" w14:textId="2863B681" w:rsidR="006466AC" w:rsidRDefault="006466AC" w:rsidP="006466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466AC">
              <w:rPr>
                <w:rFonts w:ascii="Arial" w:hAnsi="Arial" w:cs="Arial"/>
                <w:sz w:val="20"/>
                <w:szCs w:val="20"/>
              </w:rPr>
              <w:t>89896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BEB7" w14:textId="145D3541" w:rsidR="006466AC" w:rsidRDefault="006466AC" w:rsidP="006466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466AC">
              <w:rPr>
                <w:rFonts w:ascii="Arial" w:hAnsi="Arial" w:cs="Arial"/>
                <w:sz w:val="20"/>
                <w:szCs w:val="20"/>
              </w:rPr>
              <w:t>2414309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12F53" w14:textId="56D0AF8A" w:rsidR="006466AC" w:rsidRDefault="006466AC" w:rsidP="006466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6C82">
              <w:t>DUAL INTENSIVE ACNE TREATMENT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AF14982" w14:textId="5E230922" w:rsidR="006466AC" w:rsidRDefault="006466AC" w:rsidP="006466A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ADD</w:t>
            </w:r>
          </w:p>
        </w:tc>
      </w:tr>
      <w:tr w:rsidR="006466AC" w:rsidRPr="00AA1E7A" w14:paraId="5B956ABE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65E787" w14:textId="77777777" w:rsidR="006466AC" w:rsidRDefault="006466AC" w:rsidP="006466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FD21B" w14:textId="77777777" w:rsidR="006466AC" w:rsidRDefault="006466AC" w:rsidP="006466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DC01CB" w14:textId="61F70D58" w:rsidR="006466AC" w:rsidRDefault="006466AC" w:rsidP="006466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95852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3D9420" w14:textId="5DC7D324" w:rsidR="006466AC" w:rsidRDefault="006466AC" w:rsidP="006466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2469707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86A96" w14:textId="55FBF4AD" w:rsidR="006466AC" w:rsidRDefault="006466AC" w:rsidP="006466A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RODAN+FIELDS SPOTLESS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9CDE9F7" w14:textId="2A4A4AA0" w:rsidR="006466AC" w:rsidRDefault="006466AC" w:rsidP="006466A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ADD</w:t>
            </w:r>
          </w:p>
        </w:tc>
      </w:tr>
    </w:tbl>
    <w:p w14:paraId="43E581A9" w14:textId="77777777" w:rsidR="002C7139" w:rsidRPr="00AA1E7A" w:rsidRDefault="002C7139">
      <w:pPr>
        <w:rPr>
          <w:b/>
        </w:rPr>
      </w:pPr>
    </w:p>
    <w:sectPr w:rsidR="002C7139" w:rsidRPr="00AA1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CE1B1" w14:textId="77777777" w:rsidR="008570BD" w:rsidRDefault="008570BD" w:rsidP="00B11ACC">
      <w:pPr>
        <w:spacing w:after="0" w:line="240" w:lineRule="auto"/>
      </w:pPr>
      <w:r>
        <w:separator/>
      </w:r>
    </w:p>
  </w:endnote>
  <w:endnote w:type="continuationSeparator" w:id="0">
    <w:p w14:paraId="5D9F9C59" w14:textId="77777777" w:rsidR="008570BD" w:rsidRDefault="008570B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6CC7B" w14:textId="77777777" w:rsidR="008570BD" w:rsidRDefault="008570BD" w:rsidP="00B11ACC">
      <w:pPr>
        <w:spacing w:after="0" w:line="240" w:lineRule="auto"/>
      </w:pPr>
      <w:r>
        <w:separator/>
      </w:r>
    </w:p>
  </w:footnote>
  <w:footnote w:type="continuationSeparator" w:id="0">
    <w:p w14:paraId="76FA5359" w14:textId="77777777" w:rsidR="008570BD" w:rsidRDefault="008570B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6855"/>
    <w:multiLevelType w:val="hybridMultilevel"/>
    <w:tmpl w:val="40ECFE5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13828"/>
    <w:multiLevelType w:val="hybridMultilevel"/>
    <w:tmpl w:val="91609F7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C7B09"/>
    <w:multiLevelType w:val="hybridMultilevel"/>
    <w:tmpl w:val="754ED0D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77126">
    <w:abstractNumId w:val="6"/>
  </w:num>
  <w:num w:numId="2" w16cid:durableId="1435515707">
    <w:abstractNumId w:val="2"/>
  </w:num>
  <w:num w:numId="3" w16cid:durableId="1690135968">
    <w:abstractNumId w:val="0"/>
  </w:num>
  <w:num w:numId="4" w16cid:durableId="586772959">
    <w:abstractNumId w:val="3"/>
  </w:num>
  <w:num w:numId="5" w16cid:durableId="542250971">
    <w:abstractNumId w:val="4"/>
  </w:num>
  <w:num w:numId="6" w16cid:durableId="9186211">
    <w:abstractNumId w:val="1"/>
  </w:num>
  <w:num w:numId="7" w16cid:durableId="2141000109">
    <w:abstractNumId w:val="5"/>
  </w:num>
  <w:num w:numId="8" w16cid:durableId="684282173">
    <w:abstractNumId w:val="7"/>
  </w:num>
  <w:num w:numId="9" w16cid:durableId="15368421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18C4"/>
    <w:rsid w:val="0002365A"/>
    <w:rsid w:val="00025B10"/>
    <w:rsid w:val="00031D1F"/>
    <w:rsid w:val="000343FF"/>
    <w:rsid w:val="0003504C"/>
    <w:rsid w:val="0004012D"/>
    <w:rsid w:val="00041463"/>
    <w:rsid w:val="0004371B"/>
    <w:rsid w:val="000445B3"/>
    <w:rsid w:val="0005427F"/>
    <w:rsid w:val="00055EC3"/>
    <w:rsid w:val="00057DCB"/>
    <w:rsid w:val="00064D47"/>
    <w:rsid w:val="00065F2B"/>
    <w:rsid w:val="00073B0D"/>
    <w:rsid w:val="00075AED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3B9D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29C"/>
    <w:rsid w:val="00124A55"/>
    <w:rsid w:val="001257E3"/>
    <w:rsid w:val="0012783E"/>
    <w:rsid w:val="001300C0"/>
    <w:rsid w:val="00131EAF"/>
    <w:rsid w:val="00135485"/>
    <w:rsid w:val="00136C1C"/>
    <w:rsid w:val="00136F72"/>
    <w:rsid w:val="00137334"/>
    <w:rsid w:val="00137A31"/>
    <w:rsid w:val="00140F96"/>
    <w:rsid w:val="00142334"/>
    <w:rsid w:val="00145B7B"/>
    <w:rsid w:val="00156A6D"/>
    <w:rsid w:val="001618EF"/>
    <w:rsid w:val="00165C19"/>
    <w:rsid w:val="0017208A"/>
    <w:rsid w:val="00176167"/>
    <w:rsid w:val="001868F6"/>
    <w:rsid w:val="00191334"/>
    <w:rsid w:val="00194AA6"/>
    <w:rsid w:val="00196A9D"/>
    <w:rsid w:val="001A0B48"/>
    <w:rsid w:val="001A2E8E"/>
    <w:rsid w:val="001A3B5F"/>
    <w:rsid w:val="001A795C"/>
    <w:rsid w:val="001B4218"/>
    <w:rsid w:val="001B5312"/>
    <w:rsid w:val="001B7235"/>
    <w:rsid w:val="001C32A1"/>
    <w:rsid w:val="001D090E"/>
    <w:rsid w:val="001D32F5"/>
    <w:rsid w:val="001D5B71"/>
    <w:rsid w:val="001E107F"/>
    <w:rsid w:val="001E184A"/>
    <w:rsid w:val="001E3061"/>
    <w:rsid w:val="001F0D3C"/>
    <w:rsid w:val="001F3D2E"/>
    <w:rsid w:val="001F3EEE"/>
    <w:rsid w:val="001F65B8"/>
    <w:rsid w:val="001F664A"/>
    <w:rsid w:val="002032A1"/>
    <w:rsid w:val="002033DD"/>
    <w:rsid w:val="002118B5"/>
    <w:rsid w:val="00212B46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74614"/>
    <w:rsid w:val="0028020E"/>
    <w:rsid w:val="00287382"/>
    <w:rsid w:val="0029353C"/>
    <w:rsid w:val="00294FDE"/>
    <w:rsid w:val="00295AA9"/>
    <w:rsid w:val="00296086"/>
    <w:rsid w:val="00296CC9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B2E"/>
    <w:rsid w:val="002D3F36"/>
    <w:rsid w:val="002D4661"/>
    <w:rsid w:val="002E00B2"/>
    <w:rsid w:val="002E0F7B"/>
    <w:rsid w:val="002F250C"/>
    <w:rsid w:val="002F3DD8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6794A"/>
    <w:rsid w:val="00387FB6"/>
    <w:rsid w:val="0039083E"/>
    <w:rsid w:val="00392EC7"/>
    <w:rsid w:val="00393455"/>
    <w:rsid w:val="003966F7"/>
    <w:rsid w:val="003A36E7"/>
    <w:rsid w:val="003A5CB4"/>
    <w:rsid w:val="003A6143"/>
    <w:rsid w:val="003B112C"/>
    <w:rsid w:val="003B20E9"/>
    <w:rsid w:val="003B3266"/>
    <w:rsid w:val="003B508C"/>
    <w:rsid w:val="003B7DA1"/>
    <w:rsid w:val="003B7E0A"/>
    <w:rsid w:val="003C385E"/>
    <w:rsid w:val="003C46AF"/>
    <w:rsid w:val="003C62D1"/>
    <w:rsid w:val="003C6A02"/>
    <w:rsid w:val="003C72BA"/>
    <w:rsid w:val="003D20A9"/>
    <w:rsid w:val="003D2235"/>
    <w:rsid w:val="003D4957"/>
    <w:rsid w:val="003D660D"/>
    <w:rsid w:val="003D6E9F"/>
    <w:rsid w:val="003D7714"/>
    <w:rsid w:val="003E3BF3"/>
    <w:rsid w:val="003E3F72"/>
    <w:rsid w:val="003F0B2A"/>
    <w:rsid w:val="003F3965"/>
    <w:rsid w:val="003F6EDB"/>
    <w:rsid w:val="00400F62"/>
    <w:rsid w:val="00404093"/>
    <w:rsid w:val="00405F2C"/>
    <w:rsid w:val="004069F1"/>
    <w:rsid w:val="00407BFB"/>
    <w:rsid w:val="0041152F"/>
    <w:rsid w:val="004129A9"/>
    <w:rsid w:val="0041608F"/>
    <w:rsid w:val="00416CB2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1DD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77E4D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C449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D7E"/>
    <w:rsid w:val="00550FC9"/>
    <w:rsid w:val="0055297C"/>
    <w:rsid w:val="005543A1"/>
    <w:rsid w:val="00563954"/>
    <w:rsid w:val="00566AA6"/>
    <w:rsid w:val="00566B5D"/>
    <w:rsid w:val="00567287"/>
    <w:rsid w:val="00567AE3"/>
    <w:rsid w:val="005724AF"/>
    <w:rsid w:val="0057687A"/>
    <w:rsid w:val="00581B9A"/>
    <w:rsid w:val="00583F5D"/>
    <w:rsid w:val="00584370"/>
    <w:rsid w:val="005846B9"/>
    <w:rsid w:val="00586D72"/>
    <w:rsid w:val="00587BDB"/>
    <w:rsid w:val="005904EE"/>
    <w:rsid w:val="005905AE"/>
    <w:rsid w:val="00593298"/>
    <w:rsid w:val="005936A4"/>
    <w:rsid w:val="0059474B"/>
    <w:rsid w:val="005A496D"/>
    <w:rsid w:val="005C0F84"/>
    <w:rsid w:val="005C6378"/>
    <w:rsid w:val="005C67C4"/>
    <w:rsid w:val="005C6F10"/>
    <w:rsid w:val="005C76E1"/>
    <w:rsid w:val="005C78FF"/>
    <w:rsid w:val="005D123A"/>
    <w:rsid w:val="005D5126"/>
    <w:rsid w:val="005D5B0B"/>
    <w:rsid w:val="005D73EE"/>
    <w:rsid w:val="005E070C"/>
    <w:rsid w:val="005E1E4F"/>
    <w:rsid w:val="005E3995"/>
    <w:rsid w:val="005E5848"/>
    <w:rsid w:val="005E6A5F"/>
    <w:rsid w:val="005F01D7"/>
    <w:rsid w:val="005F1096"/>
    <w:rsid w:val="005F42A4"/>
    <w:rsid w:val="005F763A"/>
    <w:rsid w:val="00601A33"/>
    <w:rsid w:val="00601E02"/>
    <w:rsid w:val="00605EBC"/>
    <w:rsid w:val="0061072C"/>
    <w:rsid w:val="00636D8D"/>
    <w:rsid w:val="00636DD7"/>
    <w:rsid w:val="00636F5D"/>
    <w:rsid w:val="00641AB2"/>
    <w:rsid w:val="00641AB7"/>
    <w:rsid w:val="00641EFE"/>
    <w:rsid w:val="006430C6"/>
    <w:rsid w:val="006466AC"/>
    <w:rsid w:val="0065020C"/>
    <w:rsid w:val="00655845"/>
    <w:rsid w:val="006563A4"/>
    <w:rsid w:val="00657A13"/>
    <w:rsid w:val="006624F5"/>
    <w:rsid w:val="006647B1"/>
    <w:rsid w:val="00665A33"/>
    <w:rsid w:val="006666D8"/>
    <w:rsid w:val="00666DE3"/>
    <w:rsid w:val="0066797D"/>
    <w:rsid w:val="00671EBD"/>
    <w:rsid w:val="0067249E"/>
    <w:rsid w:val="00673EFB"/>
    <w:rsid w:val="00674279"/>
    <w:rsid w:val="006760C4"/>
    <w:rsid w:val="00677D0F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A1677"/>
    <w:rsid w:val="006B145F"/>
    <w:rsid w:val="006B214B"/>
    <w:rsid w:val="006B6469"/>
    <w:rsid w:val="006C177E"/>
    <w:rsid w:val="006C2E05"/>
    <w:rsid w:val="006C409C"/>
    <w:rsid w:val="006C45C0"/>
    <w:rsid w:val="006C4797"/>
    <w:rsid w:val="006C4CC3"/>
    <w:rsid w:val="006C5248"/>
    <w:rsid w:val="006C5760"/>
    <w:rsid w:val="006C786D"/>
    <w:rsid w:val="006D0DA5"/>
    <w:rsid w:val="006D4A0D"/>
    <w:rsid w:val="006D7AD2"/>
    <w:rsid w:val="006D7B77"/>
    <w:rsid w:val="006E122A"/>
    <w:rsid w:val="006F338C"/>
    <w:rsid w:val="006F33A5"/>
    <w:rsid w:val="00700DF3"/>
    <w:rsid w:val="00714609"/>
    <w:rsid w:val="007241D4"/>
    <w:rsid w:val="007269B2"/>
    <w:rsid w:val="0073017C"/>
    <w:rsid w:val="0073249C"/>
    <w:rsid w:val="00736281"/>
    <w:rsid w:val="00736790"/>
    <w:rsid w:val="007374E0"/>
    <w:rsid w:val="00743B16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54B"/>
    <w:rsid w:val="00772CC9"/>
    <w:rsid w:val="00775660"/>
    <w:rsid w:val="00782DDE"/>
    <w:rsid w:val="00791D9C"/>
    <w:rsid w:val="00797A16"/>
    <w:rsid w:val="007A0801"/>
    <w:rsid w:val="007A580A"/>
    <w:rsid w:val="007B5629"/>
    <w:rsid w:val="007D1969"/>
    <w:rsid w:val="007D1D43"/>
    <w:rsid w:val="007D3931"/>
    <w:rsid w:val="007D596E"/>
    <w:rsid w:val="007E2607"/>
    <w:rsid w:val="007E29E6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4A2B"/>
    <w:rsid w:val="008353D4"/>
    <w:rsid w:val="008366DE"/>
    <w:rsid w:val="00837329"/>
    <w:rsid w:val="00840AFF"/>
    <w:rsid w:val="00844B70"/>
    <w:rsid w:val="0085339A"/>
    <w:rsid w:val="00854821"/>
    <w:rsid w:val="00854E4E"/>
    <w:rsid w:val="008570BD"/>
    <w:rsid w:val="00861039"/>
    <w:rsid w:val="00863202"/>
    <w:rsid w:val="00871D37"/>
    <w:rsid w:val="008765C4"/>
    <w:rsid w:val="00876CD9"/>
    <w:rsid w:val="0087782F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0415"/>
    <w:rsid w:val="008D4C3D"/>
    <w:rsid w:val="008E3279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16DA5"/>
    <w:rsid w:val="00921823"/>
    <w:rsid w:val="00921A89"/>
    <w:rsid w:val="0092616A"/>
    <w:rsid w:val="009315B4"/>
    <w:rsid w:val="0094024F"/>
    <w:rsid w:val="0094372B"/>
    <w:rsid w:val="00960174"/>
    <w:rsid w:val="0096552F"/>
    <w:rsid w:val="009658A0"/>
    <w:rsid w:val="00966BBD"/>
    <w:rsid w:val="009719C1"/>
    <w:rsid w:val="0097490A"/>
    <w:rsid w:val="009763F7"/>
    <w:rsid w:val="00976B04"/>
    <w:rsid w:val="0098005D"/>
    <w:rsid w:val="00981E92"/>
    <w:rsid w:val="009862E2"/>
    <w:rsid w:val="00987C22"/>
    <w:rsid w:val="00990B61"/>
    <w:rsid w:val="00995FF4"/>
    <w:rsid w:val="009A2650"/>
    <w:rsid w:val="009A444A"/>
    <w:rsid w:val="009A6248"/>
    <w:rsid w:val="009A63DA"/>
    <w:rsid w:val="009B223E"/>
    <w:rsid w:val="009B23AF"/>
    <w:rsid w:val="009B2554"/>
    <w:rsid w:val="009B4F3C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1750"/>
    <w:rsid w:val="009F2021"/>
    <w:rsid w:val="009F6617"/>
    <w:rsid w:val="009F6757"/>
    <w:rsid w:val="00A014E0"/>
    <w:rsid w:val="00A0329F"/>
    <w:rsid w:val="00A0529A"/>
    <w:rsid w:val="00A07410"/>
    <w:rsid w:val="00A1222B"/>
    <w:rsid w:val="00A127B7"/>
    <w:rsid w:val="00A14B71"/>
    <w:rsid w:val="00A14D2C"/>
    <w:rsid w:val="00A226F8"/>
    <w:rsid w:val="00A23D14"/>
    <w:rsid w:val="00A2521A"/>
    <w:rsid w:val="00A2564F"/>
    <w:rsid w:val="00A2795B"/>
    <w:rsid w:val="00A31142"/>
    <w:rsid w:val="00A40901"/>
    <w:rsid w:val="00A41D00"/>
    <w:rsid w:val="00A430D3"/>
    <w:rsid w:val="00A542C1"/>
    <w:rsid w:val="00A54A82"/>
    <w:rsid w:val="00A5503C"/>
    <w:rsid w:val="00A55C9A"/>
    <w:rsid w:val="00A56AAB"/>
    <w:rsid w:val="00A60BE7"/>
    <w:rsid w:val="00A63DB7"/>
    <w:rsid w:val="00A64A68"/>
    <w:rsid w:val="00A707E8"/>
    <w:rsid w:val="00A708F5"/>
    <w:rsid w:val="00A72D60"/>
    <w:rsid w:val="00A73B30"/>
    <w:rsid w:val="00A76501"/>
    <w:rsid w:val="00A76DD7"/>
    <w:rsid w:val="00A81EAE"/>
    <w:rsid w:val="00A86C85"/>
    <w:rsid w:val="00A87BBF"/>
    <w:rsid w:val="00A9490D"/>
    <w:rsid w:val="00A9505B"/>
    <w:rsid w:val="00A953E5"/>
    <w:rsid w:val="00A95A5A"/>
    <w:rsid w:val="00AA11B7"/>
    <w:rsid w:val="00AA1E7A"/>
    <w:rsid w:val="00AA4305"/>
    <w:rsid w:val="00AB3654"/>
    <w:rsid w:val="00AB5780"/>
    <w:rsid w:val="00AB7B5C"/>
    <w:rsid w:val="00AC13D6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37E"/>
    <w:rsid w:val="00B21FC1"/>
    <w:rsid w:val="00B23CFC"/>
    <w:rsid w:val="00B2408F"/>
    <w:rsid w:val="00B245A8"/>
    <w:rsid w:val="00B34644"/>
    <w:rsid w:val="00B37D38"/>
    <w:rsid w:val="00B401EE"/>
    <w:rsid w:val="00B41D5D"/>
    <w:rsid w:val="00B46555"/>
    <w:rsid w:val="00B5000D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85190"/>
    <w:rsid w:val="00B90A3C"/>
    <w:rsid w:val="00B91380"/>
    <w:rsid w:val="00B929F1"/>
    <w:rsid w:val="00B92ED3"/>
    <w:rsid w:val="00B930E7"/>
    <w:rsid w:val="00B96F1D"/>
    <w:rsid w:val="00BA4BA7"/>
    <w:rsid w:val="00BA7658"/>
    <w:rsid w:val="00BB13F8"/>
    <w:rsid w:val="00BB26AA"/>
    <w:rsid w:val="00BB566D"/>
    <w:rsid w:val="00BB5D57"/>
    <w:rsid w:val="00BB6F85"/>
    <w:rsid w:val="00BC2C1A"/>
    <w:rsid w:val="00BC2E7C"/>
    <w:rsid w:val="00BC752C"/>
    <w:rsid w:val="00BC7554"/>
    <w:rsid w:val="00BC7D0F"/>
    <w:rsid w:val="00BC7E66"/>
    <w:rsid w:val="00BD25FD"/>
    <w:rsid w:val="00BD3F44"/>
    <w:rsid w:val="00BD7466"/>
    <w:rsid w:val="00BE1357"/>
    <w:rsid w:val="00BE311B"/>
    <w:rsid w:val="00BE5815"/>
    <w:rsid w:val="00BF014C"/>
    <w:rsid w:val="00BF13A6"/>
    <w:rsid w:val="00BF7DB9"/>
    <w:rsid w:val="00C008F0"/>
    <w:rsid w:val="00C03A1E"/>
    <w:rsid w:val="00C040F3"/>
    <w:rsid w:val="00C13653"/>
    <w:rsid w:val="00C148CF"/>
    <w:rsid w:val="00C158E8"/>
    <w:rsid w:val="00C17E5A"/>
    <w:rsid w:val="00C17F1B"/>
    <w:rsid w:val="00C25F1D"/>
    <w:rsid w:val="00C27DEA"/>
    <w:rsid w:val="00C32CCF"/>
    <w:rsid w:val="00C37505"/>
    <w:rsid w:val="00C4380F"/>
    <w:rsid w:val="00C44C5A"/>
    <w:rsid w:val="00C4569E"/>
    <w:rsid w:val="00C458F3"/>
    <w:rsid w:val="00C45D62"/>
    <w:rsid w:val="00C47CCE"/>
    <w:rsid w:val="00C50294"/>
    <w:rsid w:val="00C51AA1"/>
    <w:rsid w:val="00C53963"/>
    <w:rsid w:val="00C5443E"/>
    <w:rsid w:val="00C66164"/>
    <w:rsid w:val="00C67677"/>
    <w:rsid w:val="00C71474"/>
    <w:rsid w:val="00C74782"/>
    <w:rsid w:val="00C74CF8"/>
    <w:rsid w:val="00C75B36"/>
    <w:rsid w:val="00C817E4"/>
    <w:rsid w:val="00C82FB7"/>
    <w:rsid w:val="00C8342D"/>
    <w:rsid w:val="00C83EAF"/>
    <w:rsid w:val="00C8766D"/>
    <w:rsid w:val="00C904DF"/>
    <w:rsid w:val="00C9401F"/>
    <w:rsid w:val="00C96998"/>
    <w:rsid w:val="00C970E3"/>
    <w:rsid w:val="00C9763D"/>
    <w:rsid w:val="00C97FD1"/>
    <w:rsid w:val="00CA1235"/>
    <w:rsid w:val="00CA2BF1"/>
    <w:rsid w:val="00CA54B4"/>
    <w:rsid w:val="00CA5A7E"/>
    <w:rsid w:val="00CB1CFD"/>
    <w:rsid w:val="00CB219C"/>
    <w:rsid w:val="00CC0971"/>
    <w:rsid w:val="00CC123A"/>
    <w:rsid w:val="00CC205E"/>
    <w:rsid w:val="00CC48EF"/>
    <w:rsid w:val="00CC4FA7"/>
    <w:rsid w:val="00CC6AEE"/>
    <w:rsid w:val="00CD15A1"/>
    <w:rsid w:val="00CD1A1F"/>
    <w:rsid w:val="00CD3A89"/>
    <w:rsid w:val="00CD711F"/>
    <w:rsid w:val="00CE3A57"/>
    <w:rsid w:val="00CE594D"/>
    <w:rsid w:val="00CE6617"/>
    <w:rsid w:val="00CF396E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431C7"/>
    <w:rsid w:val="00D50BC5"/>
    <w:rsid w:val="00D52FE3"/>
    <w:rsid w:val="00D537A0"/>
    <w:rsid w:val="00D55685"/>
    <w:rsid w:val="00D6015B"/>
    <w:rsid w:val="00D61A43"/>
    <w:rsid w:val="00D63454"/>
    <w:rsid w:val="00D676C0"/>
    <w:rsid w:val="00D75B2F"/>
    <w:rsid w:val="00D75D16"/>
    <w:rsid w:val="00D774E2"/>
    <w:rsid w:val="00D77983"/>
    <w:rsid w:val="00D77A1F"/>
    <w:rsid w:val="00D8234D"/>
    <w:rsid w:val="00D82F3D"/>
    <w:rsid w:val="00D849DE"/>
    <w:rsid w:val="00D853DB"/>
    <w:rsid w:val="00D86D4A"/>
    <w:rsid w:val="00D86D57"/>
    <w:rsid w:val="00D86E2B"/>
    <w:rsid w:val="00D87ABD"/>
    <w:rsid w:val="00D956EF"/>
    <w:rsid w:val="00D963BA"/>
    <w:rsid w:val="00D97DF6"/>
    <w:rsid w:val="00DB0BC1"/>
    <w:rsid w:val="00DB18B3"/>
    <w:rsid w:val="00DB4817"/>
    <w:rsid w:val="00DC0DE9"/>
    <w:rsid w:val="00DC18AF"/>
    <w:rsid w:val="00DC22CD"/>
    <w:rsid w:val="00DD6695"/>
    <w:rsid w:val="00DD66B6"/>
    <w:rsid w:val="00DE126E"/>
    <w:rsid w:val="00DE2671"/>
    <w:rsid w:val="00DE51DF"/>
    <w:rsid w:val="00DF5349"/>
    <w:rsid w:val="00DF6717"/>
    <w:rsid w:val="00DF7DF2"/>
    <w:rsid w:val="00E20DD0"/>
    <w:rsid w:val="00E21132"/>
    <w:rsid w:val="00E2655E"/>
    <w:rsid w:val="00E26F5F"/>
    <w:rsid w:val="00E31D2C"/>
    <w:rsid w:val="00E3256A"/>
    <w:rsid w:val="00E35B5D"/>
    <w:rsid w:val="00E40790"/>
    <w:rsid w:val="00E41217"/>
    <w:rsid w:val="00E41E5E"/>
    <w:rsid w:val="00E423FC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3693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016"/>
    <w:rsid w:val="00EA689E"/>
    <w:rsid w:val="00EA7460"/>
    <w:rsid w:val="00EB13E4"/>
    <w:rsid w:val="00EB3D43"/>
    <w:rsid w:val="00EB48A4"/>
    <w:rsid w:val="00EB7A9F"/>
    <w:rsid w:val="00EC0C83"/>
    <w:rsid w:val="00EC103E"/>
    <w:rsid w:val="00EC2E04"/>
    <w:rsid w:val="00EC3CE4"/>
    <w:rsid w:val="00EC42EA"/>
    <w:rsid w:val="00EC4758"/>
    <w:rsid w:val="00EC5955"/>
    <w:rsid w:val="00EC5BEB"/>
    <w:rsid w:val="00ED3A3C"/>
    <w:rsid w:val="00ED6139"/>
    <w:rsid w:val="00ED6738"/>
    <w:rsid w:val="00ED7202"/>
    <w:rsid w:val="00EE0CC3"/>
    <w:rsid w:val="00EE513F"/>
    <w:rsid w:val="00EF05FA"/>
    <w:rsid w:val="00EF21DB"/>
    <w:rsid w:val="00EF5CC2"/>
    <w:rsid w:val="00EF6138"/>
    <w:rsid w:val="00F01C05"/>
    <w:rsid w:val="00F05E0E"/>
    <w:rsid w:val="00F12DC7"/>
    <w:rsid w:val="00F13148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470DE"/>
    <w:rsid w:val="00F50BD2"/>
    <w:rsid w:val="00F50BF2"/>
    <w:rsid w:val="00F54FBE"/>
    <w:rsid w:val="00F56E2D"/>
    <w:rsid w:val="00F63AE5"/>
    <w:rsid w:val="00F646A7"/>
    <w:rsid w:val="00F671B5"/>
    <w:rsid w:val="00F71C26"/>
    <w:rsid w:val="00F80386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A6FE2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D5568"/>
    <w:rsid w:val="00FD5DDC"/>
    <w:rsid w:val="00FE2D6D"/>
    <w:rsid w:val="00FE490E"/>
    <w:rsid w:val="00FE69FD"/>
    <w:rsid w:val="00FE6E16"/>
    <w:rsid w:val="00FF272B"/>
    <w:rsid w:val="00FF475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735009-AAD7-434C-8E42-3C0968EADB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adf55b2-e31d-42df-b888-bc8005a32aed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5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Raghuveer, Anjana (HC/SC)</cp:lastModifiedBy>
  <cp:revision>125</cp:revision>
  <dcterms:created xsi:type="dcterms:W3CDTF">2022-05-03T14:48:00Z</dcterms:created>
  <dcterms:modified xsi:type="dcterms:W3CDTF">2024-10-01T19:07:00Z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