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0F01" w14:textId="77777777" w:rsidR="00F81E58" w:rsidRDefault="00000000">
      <w:pPr>
        <w:spacing w:after="80"/>
        <w:jc w:val="center"/>
      </w:pPr>
      <w:r>
        <w:rPr>
          <w:b/>
        </w:rPr>
        <w:t>CMPE 249 Project Proposal</w:t>
      </w:r>
    </w:p>
    <w:p w14:paraId="7FB36377" w14:textId="77777777" w:rsidR="00F81E58" w:rsidRDefault="00000000">
      <w:pPr>
        <w:spacing w:after="80"/>
        <w:jc w:val="center"/>
      </w:pPr>
      <w:r>
        <w:rPr>
          <w:b/>
        </w:rPr>
        <w:t>Operating Points in 3D Semantic Occupancy: A Pre-Registered Measurement Study</w:t>
      </w:r>
    </w:p>
    <w:p w14:paraId="1FFBBEB9" w14:textId="77777777" w:rsidR="00F81E58" w:rsidRDefault="00000000">
      <w:pPr>
        <w:spacing w:after="40"/>
      </w:pPr>
      <w:r>
        <w:rPr>
          <w:b/>
        </w:rPr>
        <w:t>Team:</w:t>
      </w:r>
      <w:r>
        <w:t xml:space="preserve"> Hriday Ampavatina, Aditya Hegde, Pramod Yadav</w:t>
      </w:r>
    </w:p>
    <w:p w14:paraId="17D087AA" w14:textId="77777777" w:rsidR="00F81E58" w:rsidRDefault="00000000">
      <w:pPr>
        <w:spacing w:after="40"/>
      </w:pPr>
      <w:r>
        <w:rPr>
          <w:b/>
        </w:rPr>
        <w:t>Track:</w:t>
      </w:r>
      <w:r>
        <w:t xml:space="preserve"> Research, with a System deliverable</w:t>
      </w:r>
    </w:p>
    <w:p w14:paraId="35F15109" w14:textId="56D91E1D" w:rsidR="00F81E58" w:rsidRDefault="00000000">
      <w:pPr>
        <w:spacing w:after="40"/>
      </w:pPr>
      <w:r>
        <w:rPr>
          <w:b/>
        </w:rPr>
        <w:t>Repository:</w:t>
      </w:r>
      <w:r>
        <w:t xml:space="preserve"> </w:t>
      </w:r>
      <w:hyperlink r:id="rId6" w:history="1">
        <w:r w:rsidR="00DB2A2C" w:rsidRPr="005D17AA">
          <w:rPr>
            <w:rStyle w:val="Hyperlink"/>
          </w:rPr>
          <w:t>https://github.com/hriday1231/</w:t>
        </w:r>
        <w:r w:rsidR="00DB2A2C" w:rsidRPr="005D17AA">
          <w:rPr>
            <w:rStyle w:val="Hyperlink"/>
          </w:rPr>
          <w:t>C</w:t>
        </w:r>
        <w:r w:rsidR="00DB2A2C" w:rsidRPr="005D17AA">
          <w:rPr>
            <w:rStyle w:val="Hyperlink"/>
          </w:rPr>
          <w:t>MPE-249-Project</w:t>
        </w:r>
      </w:hyperlink>
      <w:r w:rsidR="00DB2A2C">
        <w:t xml:space="preserve"> </w:t>
      </w:r>
    </w:p>
    <w:p w14:paraId="05BE9CAA" w14:textId="77777777" w:rsidR="00F81E58" w:rsidRDefault="00000000">
      <w:pPr>
        <w:spacing w:before="240" w:after="80"/>
      </w:pPr>
      <w:r>
        <w:rPr>
          <w:b/>
        </w:rPr>
        <w:t>1. Problem Formulation</w:t>
      </w:r>
    </w:p>
    <w:p w14:paraId="7C8CE9CA" w14:textId="77777777" w:rsidR="00F81E58" w:rsidRDefault="00000000">
      <w:pPr>
        <w:spacing w:before="200" w:after="80"/>
      </w:pPr>
      <w:r>
        <w:rPr>
          <w:b/>
        </w:rPr>
        <w:t>1.1 Domain problem</w:t>
      </w:r>
    </w:p>
    <w:p w14:paraId="44F1E7E3" w14:textId="77777777" w:rsidR="00F81E58" w:rsidRDefault="00000000">
      <w:r>
        <w:t>3D semantic occupancy prediction produces, for each voxel in a grid around the ego vehicle, a prediction of what occupies it. Models are ranked on Occ3D-nuScenes by mIoU and, since 2024, by RayIoU.</w:t>
      </w:r>
    </w:p>
    <w:p w14:paraId="0F59D2E6" w14:textId="77777777" w:rsidR="00F81E58" w:rsidRDefault="00000000">
      <w:r>
        <w:t>Both metrics are computed after a decision step that converts continuous per-voxel model outputs into a discrete occupied set. For models that expose an occupancy or objectness score, that decision step contains a free scalar, an operating point, which is selected at inference time, is not fixed by the benchmark protocol, and is not reported in published results.</w:t>
      </w:r>
    </w:p>
    <w:p w14:paraId="03FC7675" w14:textId="77777777" w:rsidR="00F81E58" w:rsidRDefault="00000000">
      <w:r>
        <w:t>Two questions follow, and we have not found either answered on held-out data. First, how far does the operating point move the reported metrics, relative to the differences between published methods? Second, do the metrics agree with each other, and with a safety-side quantity, about where the operating point should sit?</w:t>
      </w:r>
    </w:p>
    <w:p w14:paraId="07592320" w14:textId="77777777" w:rsidR="00F81E58" w:rsidRDefault="00000000">
      <w:r>
        <w:t>The second question matters because both metrics weight all voxels equally. A voxel 40 m behind the vehicle at 3 m elevation counts as much as a voxel 5 m ahead in the travel lane. For a scoring function that is defensible. For a driving system it is not.</w:t>
      </w:r>
    </w:p>
    <w:p w14:paraId="01A53415" w14:textId="77777777" w:rsidR="00F81E58" w:rsidRDefault="00000000">
      <w:pPr>
        <w:spacing w:before="200" w:after="80"/>
      </w:pPr>
      <w:r>
        <w:rPr>
          <w:b/>
        </w:rPr>
        <w:t>1.2 Research question</w:t>
      </w:r>
    </w:p>
    <w:p w14:paraId="39CBB89C" w14:textId="77777777" w:rsidR="00F81E58" w:rsidRDefault="00000000">
      <w:r>
        <w:t>For two or three pre-specified, score-compatible frozen semantic-occupancy models, how do (a) post-hoc probability calibration and (b) output-geometry perturbation change held-out mIoU, RayIoU, and a pre-registered ego-corridor false-negative proxy, and do those three quantities select different operating points?</w:t>
      </w:r>
    </w:p>
    <w:p w14:paraId="57760E3D" w14:textId="77777777" w:rsidR="00F81E58" w:rsidRDefault="00000000">
      <w:r>
        <w:t>We have narrowed this wording deliberately. It drops "any model" and "nobody has", it separates calibration from geometric stress testing, it limits scope to checkpoints we have shown to be compatible, it frames the corridor result as an offline proxy, and it lets a negative result stand as a result.</w:t>
      </w:r>
    </w:p>
    <w:p w14:paraId="670D3018" w14:textId="77777777" w:rsidR="00F81E58" w:rsidRDefault="00000000">
      <w:pPr>
        <w:spacing w:before="200" w:after="80"/>
      </w:pPr>
      <w:r>
        <w:rPr>
          <w:b/>
        </w:rPr>
        <w:t>1.3 Input and output specifications</w:t>
      </w:r>
    </w:p>
    <w:p w14:paraId="7FFB052C" w14:textId="05AE0DE2" w:rsidR="00F81E58" w:rsidRDefault="00000000">
      <w:r>
        <w:rPr>
          <w:b/>
        </w:rPr>
        <w:t>Inputs</w:t>
      </w:r>
      <w:r w:rsidR="00DB2A2C">
        <w:rPr>
          <w:b/>
        </w:rPr>
        <w:t>:</w:t>
      </w:r>
      <w:r>
        <w:t xml:space="preserve"> Pre-argmax per-voxel scores from frozen public Occ3D-nuScenes checkpoints, over scene-disjoint calibration and test partitions of the validation split, together with nuScenes ego pose and velocity for corridor construction.</w:t>
      </w:r>
    </w:p>
    <w:p w14:paraId="5C025DDF" w14:textId="77777777" w:rsidR="00F81E58" w:rsidRDefault="00000000">
      <w:r>
        <w:rPr>
          <w:b/>
        </w:rPr>
        <w:lastRenderedPageBreak/>
        <w:t>Outputs.</w:t>
      </w:r>
    </w:p>
    <w:p w14:paraId="61D81BA3" w14:textId="77777777" w:rsidR="00F81E58" w:rsidRDefault="00000000">
      <w:pPr>
        <w:spacing w:after="60"/>
        <w:ind w:left="360" w:hanging="360"/>
      </w:pPr>
      <w:r>
        <w:t>1. An operating-point sensitivity report: held-out mIoU, RayIoU and corridor false-negative rate as functions of the calibration parameter and of the geometry-perturbation parameter, with bootstrap confidence intervals.</w:t>
      </w:r>
    </w:p>
    <w:p w14:paraId="3AA91E12" w14:textId="77777777" w:rsidR="00F81E58" w:rsidRDefault="00000000">
      <w:pPr>
        <w:spacing w:after="60"/>
        <w:ind w:left="360" w:hanging="360"/>
      </w:pPr>
      <w:r>
        <w:t>2. The location of each metric's preferred operating point, with a test for whether they coincide.</w:t>
      </w:r>
    </w:p>
    <w:p w14:paraId="04F37AED" w14:textId="77777777" w:rsidR="00F81E58" w:rsidRDefault="00000000">
      <w:pPr>
        <w:spacing w:after="60"/>
        <w:ind w:left="360" w:hanging="360"/>
      </w:pPr>
      <w:r>
        <w:t>3. occ-recalibrate, a CPU-only evaluator that ingests cached model outputs and emits the report, released together with the cached outputs so that the analysis reproduces without a GPU.</w:t>
      </w:r>
    </w:p>
    <w:p w14:paraId="0BBF762C" w14:textId="77777777" w:rsidR="00F81E58" w:rsidRDefault="00000000">
      <w:pPr>
        <w:spacing w:before="200" w:after="80"/>
      </w:pPr>
      <w:r>
        <w:rPr>
          <w:b/>
        </w:rPr>
        <w:t>1.4 Target metrics and success criteria</w:t>
      </w:r>
    </w:p>
    <w:tbl>
      <w:tblPr>
        <w:tblStyle w:val="TableGrid"/>
        <w:tblW w:w="0" w:type="auto"/>
        <w:jc w:val="center"/>
        <w:tblLayout w:type="fixed"/>
        <w:tblLook w:val="04A0" w:firstRow="1" w:lastRow="0" w:firstColumn="1" w:lastColumn="0" w:noHBand="0" w:noVBand="1"/>
      </w:tblPr>
      <w:tblGrid>
        <w:gridCol w:w="1470"/>
        <w:gridCol w:w="4091"/>
        <w:gridCol w:w="3799"/>
      </w:tblGrid>
      <w:tr w:rsidR="00F81E58" w14:paraId="5733E023" w14:textId="77777777">
        <w:trPr>
          <w:jc w:val="center"/>
        </w:trPr>
        <w:tc>
          <w:tcPr>
            <w:tcW w:w="1470" w:type="dxa"/>
          </w:tcPr>
          <w:p w14:paraId="4B251F92" w14:textId="77777777" w:rsidR="00F81E58" w:rsidRDefault="00000000">
            <w:pPr>
              <w:spacing w:before="60" w:after="60" w:line="240" w:lineRule="auto"/>
            </w:pPr>
            <w:r>
              <w:rPr>
                <w:b/>
              </w:rPr>
              <w:t>Question</w:t>
            </w:r>
          </w:p>
        </w:tc>
        <w:tc>
          <w:tcPr>
            <w:tcW w:w="4091" w:type="dxa"/>
          </w:tcPr>
          <w:p w14:paraId="6A38F69C" w14:textId="77777777" w:rsidR="00F81E58" w:rsidRDefault="00000000">
            <w:pPr>
              <w:spacing w:before="60" w:after="60" w:line="240" w:lineRule="auto"/>
            </w:pPr>
            <w:r>
              <w:rPr>
                <w:b/>
              </w:rPr>
              <w:t>Metric</w:t>
            </w:r>
          </w:p>
        </w:tc>
        <w:tc>
          <w:tcPr>
            <w:tcW w:w="3799" w:type="dxa"/>
          </w:tcPr>
          <w:p w14:paraId="26599EF5" w14:textId="77777777" w:rsidR="00F81E58" w:rsidRDefault="00000000">
            <w:pPr>
              <w:spacing w:before="60" w:after="60" w:line="240" w:lineRule="auto"/>
            </w:pPr>
            <w:r>
              <w:rPr>
                <w:b/>
              </w:rPr>
              <w:t>Criterion</w:t>
            </w:r>
          </w:p>
        </w:tc>
      </w:tr>
      <w:tr w:rsidR="00F81E58" w14:paraId="68B893FA" w14:textId="77777777">
        <w:trPr>
          <w:jc w:val="center"/>
        </w:trPr>
        <w:tc>
          <w:tcPr>
            <w:tcW w:w="1470" w:type="dxa"/>
          </w:tcPr>
          <w:p w14:paraId="7C2A9553" w14:textId="77777777" w:rsidR="00F81E58" w:rsidRDefault="00000000">
            <w:pPr>
              <w:spacing w:before="60" w:after="60" w:line="240" w:lineRule="auto"/>
            </w:pPr>
            <w:r>
              <w:t>RQ1, sensitivity</w:t>
            </w:r>
          </w:p>
        </w:tc>
        <w:tc>
          <w:tcPr>
            <w:tcW w:w="4091" w:type="dxa"/>
          </w:tcPr>
          <w:p w14:paraId="08AF7F9A" w14:textId="77777777" w:rsidR="00F81E58" w:rsidRDefault="00000000">
            <w:pPr>
              <w:spacing w:before="60" w:after="60" w:line="240" w:lineRule="auto"/>
            </w:pPr>
            <w:r>
              <w:t>Change in held-out mIoU and RayIoU across the swept operating range</w:t>
            </w:r>
          </w:p>
        </w:tc>
        <w:tc>
          <w:tcPr>
            <w:tcW w:w="3799" w:type="dxa"/>
          </w:tcPr>
          <w:p w14:paraId="4FBEE088" w14:textId="77777777" w:rsidR="00F81E58" w:rsidRDefault="00000000">
            <w:pPr>
              <w:spacing w:before="60" w:after="60" w:line="240" w:lineRule="auto"/>
            </w:pPr>
            <w:r>
              <w:t>Reported as measured. A small range is a valid finding.</w:t>
            </w:r>
          </w:p>
        </w:tc>
      </w:tr>
      <w:tr w:rsidR="00F81E58" w14:paraId="51EFCB57" w14:textId="77777777">
        <w:trPr>
          <w:jc w:val="center"/>
        </w:trPr>
        <w:tc>
          <w:tcPr>
            <w:tcW w:w="1470" w:type="dxa"/>
          </w:tcPr>
          <w:p w14:paraId="0C11BE1B" w14:textId="77777777" w:rsidR="00F81E58" w:rsidRDefault="00000000">
            <w:pPr>
              <w:spacing w:before="60" w:after="60" w:line="240" w:lineRule="auto"/>
            </w:pPr>
            <w:r>
              <w:t>RQ2, metric contrast</w:t>
            </w:r>
          </w:p>
        </w:tc>
        <w:tc>
          <w:tcPr>
            <w:tcW w:w="4091" w:type="dxa"/>
          </w:tcPr>
          <w:p w14:paraId="1FB6D4F2" w14:textId="77777777" w:rsidR="00F81E58" w:rsidRDefault="00000000">
            <w:pPr>
              <w:spacing w:before="60" w:after="60" w:line="240" w:lineRule="auto"/>
            </w:pPr>
            <w:r>
              <w:t>Ratio of RayIoU change to mIoU change</w:t>
            </w:r>
          </w:p>
        </w:tc>
        <w:tc>
          <w:tcPr>
            <w:tcW w:w="3799" w:type="dxa"/>
          </w:tcPr>
          <w:p w14:paraId="4414182A" w14:textId="77777777" w:rsidR="00F81E58" w:rsidRDefault="00000000">
            <w:pPr>
              <w:spacing w:before="60" w:after="60" w:line="240" w:lineRule="auto"/>
            </w:pPr>
            <w:r>
              <w:t>Primary result. Reported either way.</w:t>
            </w:r>
          </w:p>
        </w:tc>
      </w:tr>
      <w:tr w:rsidR="00F81E58" w14:paraId="6BD57CA7" w14:textId="77777777">
        <w:trPr>
          <w:jc w:val="center"/>
        </w:trPr>
        <w:tc>
          <w:tcPr>
            <w:tcW w:w="1470" w:type="dxa"/>
          </w:tcPr>
          <w:p w14:paraId="77589867" w14:textId="77777777" w:rsidR="00F81E58" w:rsidRDefault="00000000">
            <w:pPr>
              <w:spacing w:before="60" w:after="60" w:line="240" w:lineRule="auto"/>
            </w:pPr>
            <w:r>
              <w:t>RQ3, operating-point disagreement</w:t>
            </w:r>
          </w:p>
        </w:tc>
        <w:tc>
          <w:tcPr>
            <w:tcW w:w="4091" w:type="dxa"/>
          </w:tcPr>
          <w:p w14:paraId="1CDB926B" w14:textId="77777777" w:rsidR="00F81E58" w:rsidRDefault="00000000">
            <w:pPr>
              <w:spacing w:before="60" w:after="60" w:line="240" w:lineRule="auto"/>
            </w:pPr>
            <w:r>
              <w:t>Position of the mIoU-preferred, RayIoU-preferred and corridor-preferred points, with BCa bootstrap intervals over held-out scenes</w:t>
            </w:r>
          </w:p>
        </w:tc>
        <w:tc>
          <w:tcPr>
            <w:tcW w:w="3799" w:type="dxa"/>
          </w:tcPr>
          <w:p w14:paraId="2E8CD509" w14:textId="77777777" w:rsidR="00F81E58" w:rsidRDefault="00000000">
            <w:pPr>
              <w:spacing w:before="60" w:after="60" w:line="240" w:lineRule="auto"/>
            </w:pPr>
            <w:r>
              <w:t>Disagreement claimed only if the corridor-preferred point falls outside the 95% interval of both metric-preferred points</w:t>
            </w:r>
          </w:p>
        </w:tc>
      </w:tr>
      <w:tr w:rsidR="00F81E58" w14:paraId="1D6B74D3" w14:textId="77777777">
        <w:trPr>
          <w:jc w:val="center"/>
        </w:trPr>
        <w:tc>
          <w:tcPr>
            <w:tcW w:w="1470" w:type="dxa"/>
          </w:tcPr>
          <w:p w14:paraId="781C1052" w14:textId="77777777" w:rsidR="00F81E58" w:rsidRDefault="00000000">
            <w:pPr>
              <w:spacing w:before="60" w:after="60" w:line="240" w:lineRule="auto"/>
            </w:pPr>
            <w:r>
              <w:t>RQ4, cost of the safety point</w:t>
            </w:r>
          </w:p>
        </w:tc>
        <w:tc>
          <w:tcPr>
            <w:tcW w:w="4091" w:type="dxa"/>
          </w:tcPr>
          <w:p w14:paraId="67AB0B27" w14:textId="77777777" w:rsidR="00F81E58" w:rsidRDefault="00000000">
            <w:pPr>
              <w:spacing w:before="60" w:after="60" w:line="240" w:lineRule="auto"/>
            </w:pPr>
            <w:r>
              <w:t>Held-out mIoU and RayIoU at the corridor-preferred point</w:t>
            </w:r>
          </w:p>
        </w:tc>
        <w:tc>
          <w:tcPr>
            <w:tcW w:w="3799" w:type="dxa"/>
          </w:tcPr>
          <w:p w14:paraId="27D7D0A1" w14:textId="77777777" w:rsidR="00F81E58" w:rsidRDefault="00000000">
            <w:pPr>
              <w:spacing w:before="60" w:after="60" w:line="240" w:lineRule="auto"/>
            </w:pPr>
            <w:r>
              <w:t>Reported as a trade-off curve, not as a recommendation</w:t>
            </w:r>
          </w:p>
        </w:tc>
      </w:tr>
    </w:tbl>
    <w:p w14:paraId="3E6D8F4E" w14:textId="77777777" w:rsidR="00F81E58" w:rsidRDefault="00F81E58">
      <w:pPr>
        <w:spacing w:after="80"/>
      </w:pPr>
    </w:p>
    <w:p w14:paraId="0C1F7636" w14:textId="0B6AB1BC" w:rsidR="00F81E58" w:rsidRDefault="00000000">
      <w:r>
        <w:rPr>
          <w:b/>
        </w:rPr>
        <w:t>Statistical protocol</w:t>
      </w:r>
      <w:r w:rsidR="00DB2A2C">
        <w:rPr>
          <w:b/>
        </w:rPr>
        <w:t>:</w:t>
      </w:r>
      <w:r>
        <w:t xml:space="preserve"> We bootstrap at the scene level, because frames within a scene are correlated and scenes are the honest resampling unit. We use BCa intervals. All operating-point selection happens on the calibration partition, and every number we report comes from the held-out test partition.</w:t>
      </w:r>
    </w:p>
    <w:p w14:paraId="2E06A50C" w14:textId="5791E271" w:rsidR="00F81E58" w:rsidRDefault="00000000">
      <w:r>
        <w:rPr>
          <w:b/>
        </w:rPr>
        <w:t>Pre-registration</w:t>
      </w:r>
      <w:r w:rsidR="00DB2A2C">
        <w:rPr>
          <w:b/>
        </w:rPr>
        <w:t>:</w:t>
      </w:r>
      <w:r>
        <w:t xml:space="preserve"> We commit to the following before collecting data, so that a null result is a finding rather than a failure.</w:t>
      </w:r>
    </w:p>
    <w:p w14:paraId="4FF69660" w14:textId="776C400F" w:rsidR="00F81E58" w:rsidRDefault="00000000">
      <w:pPr>
        <w:pStyle w:val="ListBullet"/>
        <w:spacing w:after="60"/>
      </w:pPr>
      <w:r>
        <w:t>We expect RQ2 to split</w:t>
      </w:r>
      <w:r w:rsidR="00DB2A2C">
        <w:t>.</w:t>
      </w:r>
      <w:r>
        <w:t xml:space="preserve"> RayIoU scores the depth of the first occupied voxel along each ray, so both thickening and thinning move that depth away from the truth. RayIoU should therefore have a genuine optimum at the true surface and should resist the operating point far more than voxel mIoU does. If the measured RayIoU change is small, our headline becomes "RayIoU is robust to the operating point and voxel mIoU is not", which is a partial vindication of RayIoU and a useful number to publish.</w:t>
      </w:r>
    </w:p>
    <w:p w14:paraId="41F3B29F" w14:textId="77777777" w:rsidR="00F81E58" w:rsidRDefault="00000000">
      <w:pPr>
        <w:pStyle w:val="ListBullet"/>
        <w:spacing w:after="60"/>
      </w:pPr>
      <w:r>
        <w:t>We expect the corridor result to be small or noisy. If it is, we report it as such and lean on RQ1 and RQ2.</w:t>
      </w:r>
    </w:p>
    <w:p w14:paraId="3D185E1F" w14:textId="77777777" w:rsidR="00F81E58" w:rsidRDefault="00000000">
      <w:pPr>
        <w:pStyle w:val="ListBullet"/>
        <w:spacing w:after="60"/>
      </w:pPr>
      <w:r>
        <w:t>We will not re-select the operating point after seeing test results.</w:t>
      </w:r>
    </w:p>
    <w:p w14:paraId="6ADF955D" w14:textId="77777777" w:rsidR="00F81E58" w:rsidRDefault="00000000">
      <w:pPr>
        <w:spacing w:before="240" w:after="80"/>
      </w:pPr>
      <w:r>
        <w:rPr>
          <w:b/>
        </w:rPr>
        <w:lastRenderedPageBreak/>
        <w:t>2. Proposed Technical Approach</w:t>
      </w:r>
    </w:p>
    <w:p w14:paraId="1E720347" w14:textId="77777777" w:rsidR="00F81E58" w:rsidRDefault="00000000">
      <w:pPr>
        <w:spacing w:before="200" w:after="80"/>
      </w:pPr>
      <w:r>
        <w:rPr>
          <w:b/>
        </w:rPr>
        <w:t>2.1 High-level architecture</w:t>
      </w:r>
    </w:p>
    <w:p w14:paraId="16F48340" w14:textId="77777777" w:rsidR="00F81E58" w:rsidRDefault="00000000">
      <w:r>
        <w:t>We train nothing. The pipeline runs in five stages.</w:t>
      </w:r>
    </w:p>
    <w:p w14:paraId="3D5BFA87" w14:textId="77777777" w:rsidR="00F81E58" w:rsidRDefault="00000000">
      <w:pPr>
        <w:spacing w:after="60"/>
        <w:ind w:left="360" w:hanging="360"/>
      </w:pPr>
      <w:r>
        <w:t>1. Load a frozen public checkpoint and capture pre-argmax per-voxel scores.</w:t>
      </w:r>
    </w:p>
    <w:p w14:paraId="0CA6E370" w14:textId="77777777" w:rsidR="00F81E58" w:rsidRDefault="00000000">
      <w:pPr>
        <w:spacing w:after="60"/>
        <w:ind w:left="360" w:hanging="360"/>
      </w:pPr>
      <w:r>
        <w:t>2. Cache those scores as argmax plus top-3 classes and their probabilities.</w:t>
      </w:r>
    </w:p>
    <w:p w14:paraId="797003B8" w14:textId="77777777" w:rsidR="00F81E58" w:rsidRDefault="00000000">
      <w:pPr>
        <w:spacing w:after="60"/>
        <w:ind w:left="360" w:hanging="360"/>
      </w:pPr>
      <w:r>
        <w:t>3. Calibration arm: fit a temperature or monotonic calibrator on the calibration scenes only.</w:t>
      </w:r>
    </w:p>
    <w:p w14:paraId="594BA759" w14:textId="77777777" w:rsidR="00F81E58" w:rsidRDefault="00000000">
      <w:pPr>
        <w:spacing w:after="60"/>
        <w:ind w:left="360" w:hanging="360"/>
      </w:pPr>
      <w:r>
        <w:t>4. Stress arm: apply morphological dilation or erosion with a distance-dependent radius.</w:t>
      </w:r>
    </w:p>
    <w:p w14:paraId="465FE4C3" w14:textId="77777777" w:rsidR="00F81E58" w:rsidRDefault="00000000">
      <w:pPr>
        <w:spacing w:after="60"/>
        <w:ind w:left="360" w:hanging="360"/>
      </w:pPr>
      <w:r>
        <w:t>5. Recompute mIoU, RayIoU and corridor false-negative rate on held-out scenes, and emit the operating-point report.</w:t>
      </w:r>
    </w:p>
    <w:p w14:paraId="67D7E81A" w14:textId="77777777" w:rsidR="00F81E58" w:rsidRDefault="00000000">
      <w:r>
        <w:t>We keep the two arms separate and label them differently. Temperature scaling is calibration: it is monotonic, it does not move geometry, and it is the standard post-hoc method. Dilation and erosion change geometry, so we report them as an output-perturbation stress test and never as calibration. Conflating the two was a defect in our earlier draft and we have corrected it here.</w:t>
      </w:r>
    </w:p>
    <w:p w14:paraId="60F0106D" w14:textId="77777777" w:rsidR="00F81E58" w:rsidRDefault="00000000">
      <w:pPr>
        <w:spacing w:before="200" w:after="80"/>
      </w:pPr>
      <w:r>
        <w:rPr>
          <w:b/>
        </w:rPr>
        <w:t>2.2 Chosen models</w:t>
      </w:r>
    </w:p>
    <w:p w14:paraId="74B2FD69" w14:textId="77777777" w:rsidR="00F81E58" w:rsidRDefault="00000000">
      <w:r>
        <w:t>We audited the public Occ3D-nuScenes checkpoints. Only three exist in usable form.</w:t>
      </w:r>
    </w:p>
    <w:tbl>
      <w:tblPr>
        <w:tblStyle w:val="TableGrid"/>
        <w:tblW w:w="0" w:type="auto"/>
        <w:jc w:val="center"/>
        <w:tblLayout w:type="fixed"/>
        <w:tblLook w:val="04A0" w:firstRow="1" w:lastRow="0" w:firstColumn="1" w:lastColumn="0" w:noHBand="0" w:noVBand="1"/>
      </w:tblPr>
      <w:tblGrid>
        <w:gridCol w:w="2006"/>
        <w:gridCol w:w="7354"/>
      </w:tblGrid>
      <w:tr w:rsidR="00F81E58" w14:paraId="6582232F" w14:textId="77777777">
        <w:trPr>
          <w:jc w:val="center"/>
        </w:trPr>
        <w:tc>
          <w:tcPr>
            <w:tcW w:w="2006" w:type="dxa"/>
          </w:tcPr>
          <w:p w14:paraId="11B0A0DB" w14:textId="77777777" w:rsidR="00F81E58" w:rsidRDefault="00000000">
            <w:pPr>
              <w:spacing w:before="60" w:after="60" w:line="240" w:lineRule="auto"/>
            </w:pPr>
            <w:r>
              <w:rPr>
                <w:b/>
              </w:rPr>
              <w:t>Model</w:t>
            </w:r>
          </w:p>
        </w:tc>
        <w:tc>
          <w:tcPr>
            <w:tcW w:w="7354" w:type="dxa"/>
          </w:tcPr>
          <w:p w14:paraId="4017A0D7" w14:textId="77777777" w:rsidR="00F81E58" w:rsidRDefault="00000000">
            <w:pPr>
              <w:spacing w:before="60" w:after="60" w:line="240" w:lineRule="auto"/>
            </w:pPr>
            <w:r>
              <w:rPr>
                <w:b/>
              </w:rPr>
              <w:t>Status</w:t>
            </w:r>
          </w:p>
        </w:tc>
      </w:tr>
      <w:tr w:rsidR="00F81E58" w14:paraId="01798D63" w14:textId="77777777">
        <w:trPr>
          <w:jc w:val="center"/>
        </w:trPr>
        <w:tc>
          <w:tcPr>
            <w:tcW w:w="2006" w:type="dxa"/>
          </w:tcPr>
          <w:p w14:paraId="4C8C9C10" w14:textId="77777777" w:rsidR="00F81E58" w:rsidRDefault="00000000">
            <w:pPr>
              <w:spacing w:before="60" w:after="60" w:line="240" w:lineRule="auto"/>
            </w:pPr>
            <w:r>
              <w:t>FB-OCC</w:t>
            </w:r>
          </w:p>
        </w:tc>
        <w:tc>
          <w:tcPr>
            <w:tcW w:w="7354" w:type="dxa"/>
          </w:tcPr>
          <w:p w14:paraId="494BF16C" w14:textId="77777777" w:rsidR="00F81E58" w:rsidRDefault="00000000">
            <w:pPr>
              <w:spacing w:before="60" w:after="60" w:line="240" w:lineRule="auto"/>
            </w:pPr>
            <w:r>
              <w:t>Public release, IoU 39.1</w:t>
            </w:r>
          </w:p>
        </w:tc>
      </w:tr>
      <w:tr w:rsidR="00F81E58" w14:paraId="71E0B5F3" w14:textId="77777777">
        <w:trPr>
          <w:jc w:val="center"/>
        </w:trPr>
        <w:tc>
          <w:tcPr>
            <w:tcW w:w="2006" w:type="dxa"/>
          </w:tcPr>
          <w:p w14:paraId="2F31B794" w14:textId="77777777" w:rsidR="00F81E58" w:rsidRDefault="00000000">
            <w:pPr>
              <w:spacing w:before="60" w:after="60" w:line="240" w:lineRule="auto"/>
            </w:pPr>
            <w:r>
              <w:t>SparseOcc</w:t>
            </w:r>
          </w:p>
        </w:tc>
        <w:tc>
          <w:tcPr>
            <w:tcW w:w="7354" w:type="dxa"/>
          </w:tcPr>
          <w:p w14:paraId="215C6D7A" w14:textId="77777777" w:rsidR="00F81E58" w:rsidRDefault="00000000">
            <w:pPr>
              <w:spacing w:before="60" w:after="60" w:line="240" w:lineRule="auto"/>
            </w:pPr>
            <w:r>
              <w:t>Public releases, RayIoU 36.8 and 37.7</w:t>
            </w:r>
          </w:p>
        </w:tc>
      </w:tr>
      <w:tr w:rsidR="00F81E58" w14:paraId="2B60751E" w14:textId="77777777">
        <w:trPr>
          <w:jc w:val="center"/>
        </w:trPr>
        <w:tc>
          <w:tcPr>
            <w:tcW w:w="2006" w:type="dxa"/>
          </w:tcPr>
          <w:p w14:paraId="54B11E8E" w14:textId="77777777" w:rsidR="00F81E58" w:rsidRDefault="00000000">
            <w:pPr>
              <w:spacing w:before="60" w:after="60" w:line="240" w:lineRule="auto"/>
            </w:pPr>
            <w:r>
              <w:t>OPUS</w:t>
            </w:r>
          </w:p>
        </w:tc>
        <w:tc>
          <w:tcPr>
            <w:tcW w:w="7354" w:type="dxa"/>
          </w:tcPr>
          <w:p w14:paraId="29EE05C7" w14:textId="77777777" w:rsidR="00F81E58" w:rsidRDefault="00000000">
            <w:pPr>
              <w:spacing w:before="60" w:after="60" w:line="240" w:lineRule="auto"/>
            </w:pPr>
            <w:r>
              <w:t>Available on HuggingFace, 38.6 mIoU</w:t>
            </w:r>
          </w:p>
        </w:tc>
      </w:tr>
      <w:tr w:rsidR="00F81E58" w14:paraId="6AF2B791" w14:textId="77777777">
        <w:trPr>
          <w:jc w:val="center"/>
        </w:trPr>
        <w:tc>
          <w:tcPr>
            <w:tcW w:w="2006" w:type="dxa"/>
          </w:tcPr>
          <w:p w14:paraId="2E79C0DD" w14:textId="77777777" w:rsidR="00F81E58" w:rsidRDefault="00000000">
            <w:pPr>
              <w:spacing w:before="60" w:after="60" w:line="240" w:lineRule="auto"/>
            </w:pPr>
            <w:r>
              <w:t>BEVFormer</w:t>
            </w:r>
          </w:p>
        </w:tc>
        <w:tc>
          <w:tcPr>
            <w:tcW w:w="7354" w:type="dxa"/>
          </w:tcPr>
          <w:p w14:paraId="0FE8A445" w14:textId="77777777" w:rsidR="00F81E58" w:rsidRDefault="00000000">
            <w:pPr>
              <w:spacing w:before="60" w:after="60" w:line="240" w:lineRule="auto"/>
            </w:pPr>
            <w:r>
              <w:t>No occupancy checkpoint exists. The released weights are for 3D detection, and the leaderboard rows are third-party re-implementations with unreleased weights.</w:t>
            </w:r>
          </w:p>
        </w:tc>
      </w:tr>
      <w:tr w:rsidR="00F81E58" w14:paraId="76E8901C" w14:textId="77777777">
        <w:trPr>
          <w:jc w:val="center"/>
        </w:trPr>
        <w:tc>
          <w:tcPr>
            <w:tcW w:w="2006" w:type="dxa"/>
          </w:tcPr>
          <w:p w14:paraId="7C7920F8" w14:textId="77777777" w:rsidR="00F81E58" w:rsidRDefault="00000000">
            <w:pPr>
              <w:spacing w:before="60" w:after="60" w:line="240" w:lineRule="auto"/>
            </w:pPr>
            <w:r>
              <w:t>CTF-Occ</w:t>
            </w:r>
          </w:p>
        </w:tc>
        <w:tc>
          <w:tcPr>
            <w:tcW w:w="7354" w:type="dxa"/>
          </w:tcPr>
          <w:p w14:paraId="4DF2CE7E" w14:textId="77777777" w:rsidR="00F81E58" w:rsidRDefault="00000000">
            <w:pPr>
              <w:spacing w:before="60" w:after="60" w:line="240" w:lineRule="auto"/>
            </w:pPr>
            <w:r>
              <w:t>Never released</w:t>
            </w:r>
          </w:p>
        </w:tc>
      </w:tr>
      <w:tr w:rsidR="00F81E58" w14:paraId="78F13759" w14:textId="77777777">
        <w:trPr>
          <w:jc w:val="center"/>
        </w:trPr>
        <w:tc>
          <w:tcPr>
            <w:tcW w:w="2006" w:type="dxa"/>
          </w:tcPr>
          <w:p w14:paraId="52ED884B" w14:textId="77777777" w:rsidR="00F81E58" w:rsidRDefault="00000000">
            <w:pPr>
              <w:spacing w:before="60" w:after="60" w:line="240" w:lineRule="auto"/>
            </w:pPr>
            <w:r>
              <w:t>SurroundOcc</w:t>
            </w:r>
          </w:p>
        </w:tc>
        <w:tc>
          <w:tcPr>
            <w:tcW w:w="7354" w:type="dxa"/>
          </w:tcPr>
          <w:p w14:paraId="7D92847A" w14:textId="77777777" w:rsidR="00F81E58" w:rsidRDefault="00000000">
            <w:pPr>
              <w:spacing w:before="60" w:after="60" w:line="240" w:lineRule="auto"/>
            </w:pPr>
            <w:r>
              <w:t>Baidu Pan only, and it uses its own ground truth rather than Occ3D</w:t>
            </w:r>
          </w:p>
        </w:tc>
      </w:tr>
    </w:tbl>
    <w:p w14:paraId="58E55B6C" w14:textId="77777777" w:rsidR="00F81E58" w:rsidRDefault="00F81E58">
      <w:pPr>
        <w:spacing w:after="80"/>
      </w:pPr>
    </w:p>
    <w:p w14:paraId="71F13571" w14:textId="77777777" w:rsidR="00F81E58" w:rsidRDefault="00000000">
      <w:r>
        <w:t>Our earlier draft specified a five-model sweep, which is not buildable. We will use two or three models, and we admit a checkpoint into the study only after we have shown that it exposes recoverable pre-argmax scores and reproduces its published stock metric. A checkpoint that fails either test is excluded, and we report the exclusion.</w:t>
      </w:r>
    </w:p>
    <w:p w14:paraId="4D9C2FE1" w14:textId="77777777" w:rsidR="00F81E58" w:rsidRDefault="00000000">
      <w:r>
        <w:t>This is our first honest limitation. SparseOcc's standalone evaluator instructs users to save predictions as a np.uint8 semantic grid, so recovering raw scores means modifying inference code rather than reading released outputs. Whether that is tractable is a per-model question we answer empirically in week 1, before the rest of the study depends on the answer.</w:t>
      </w:r>
    </w:p>
    <w:p w14:paraId="7BE5A014" w14:textId="77777777" w:rsidR="00F81E58" w:rsidRDefault="00000000">
      <w:pPr>
        <w:spacing w:before="200" w:after="80"/>
      </w:pPr>
      <w:r>
        <w:rPr>
          <w:b/>
        </w:rPr>
        <w:t>2.3 Data sources and splits</w:t>
      </w:r>
    </w:p>
    <w:p w14:paraId="333B1B33" w14:textId="77777777" w:rsidR="00F81E58" w:rsidRDefault="00000000">
      <w:r>
        <w:lastRenderedPageBreak/>
        <w:t>We use the Occ3D-nuScenes validation split. Occ3D-nuScenes has no held-out test partition, so we construct one: we partition scenes disjointly into calibration and test sets, freeze the partition before any sweeping, and commit it to the repository as a hash-stamped manifest. Frames from one scene never appear in both partitions.</w:t>
      </w:r>
    </w:p>
    <w:p w14:paraId="7D8F37C9" w14:textId="77777777" w:rsidR="00F81E58" w:rsidRDefault="00000000">
      <w:r>
        <w:t>Occ3D's occluded-region labels come from multi-frame LiDAR aggregation and mesh reconstruction, and occupancy label noise is a documented problem, so we re-run the corridor result under (i) label perturbation and (ii) restriction to high-confidence label regions. If the corridor conclusion does not survive both, we say so.</w:t>
      </w:r>
    </w:p>
    <w:p w14:paraId="7A5C0610" w14:textId="77777777" w:rsidR="00F81E58" w:rsidRDefault="00000000">
      <w:r>
        <w:t>UniOcc provides simulator-derived occupancy and is an attractive secondary source, but it is not automatically an independent ground-truth check for Occ3D: the split, output representation and label mapping all have to be specified and validated first. We treat it as a stretch goal, not as a claimed control.</w:t>
      </w:r>
    </w:p>
    <w:p w14:paraId="37619151" w14:textId="77777777" w:rsidR="00F81E58" w:rsidRDefault="00000000">
      <w:pPr>
        <w:spacing w:before="200" w:after="80"/>
      </w:pPr>
      <w:r>
        <w:rPr>
          <w:b/>
        </w:rPr>
        <w:t>2.4 Intended technical modifications</w:t>
      </w:r>
    </w:p>
    <w:p w14:paraId="3510B3DB" w14:textId="22FA3366" w:rsidR="00F81E58" w:rsidRDefault="00000000">
      <w:r>
        <w:rPr>
          <w:b/>
        </w:rPr>
        <w:t>Post-hoc calibration</w:t>
      </w:r>
      <w:r w:rsidR="00DB2A2C">
        <w:rPr>
          <w:b/>
        </w:rPr>
        <w:t>:</w:t>
      </w:r>
      <w:r>
        <w:t xml:space="preserve"> Temperature scaling and an isotonic alternative, fitted on calibration scenes and applied to frozen model outputs. No retraining and no uncertainty module.</w:t>
      </w:r>
    </w:p>
    <w:p w14:paraId="5CD0B3D2" w14:textId="59BB0853" w:rsidR="00F81E58" w:rsidRDefault="00000000">
      <w:r>
        <w:rPr>
          <w:b/>
        </w:rPr>
        <w:t>Output-geometry perturbation</w:t>
      </w:r>
      <w:r w:rsidR="00DB2A2C">
        <w:rPr>
          <w:b/>
        </w:rPr>
        <w:t>:</w:t>
      </w:r>
      <w:r>
        <w:t xml:space="preserve"> Morphological dilation and erosion of the predicted occupied set with a radius that varies with distance from the ego vehicle, applied as a stress test to measure how far each metric can be moved without touching the model.</w:t>
      </w:r>
    </w:p>
    <w:p w14:paraId="4D8F6245" w14:textId="34B4B20D" w:rsidR="00F81E58" w:rsidRDefault="00000000">
      <w:r>
        <w:rPr>
          <w:b/>
        </w:rPr>
        <w:t>The ego-corridor proxy</w:t>
      </w:r>
      <w:r w:rsidR="00DB2A2C">
        <w:rPr>
          <w:b/>
        </w:rPr>
        <w:t>:</w:t>
      </w:r>
      <w:r>
        <w:t xml:space="preserve"> The ego corridor is the swept volume the vehicle occupies over a fixed forward horizon under a kinematic bicycle model at the recorded ego speed and yaw rate. Corridor false-negative rate is the fraction of ground-truth occupied voxels inside that volume which the prediction labels free. We declare corridor width, horizon and the voxel inclusion rule before use, and we run a sensitivity analysis over each.</w:t>
      </w:r>
    </w:p>
    <w:p w14:paraId="10B9C8E3" w14:textId="77777777" w:rsidR="00F81E58" w:rsidRDefault="00000000">
      <w:r>
        <w:t>We claim this narrowly. It is an offline risk-weighted error proxy. It is not closed-loop validation and it does not establish that any operating point produces safer driving. The nearest safety-weighted perception work operates on detection and tracking outputs rather than semantic voxels, and states plainly that such metrics are not substitutes for closed-loop safety validation. The same caveat binds our corridor proxy.</w:t>
      </w:r>
    </w:p>
    <w:p w14:paraId="425C5B72" w14:textId="4D7EF515" w:rsidR="00F81E58" w:rsidRDefault="00000000">
      <w:r>
        <w:rPr>
          <w:b/>
        </w:rPr>
        <w:t>The evaluator</w:t>
      </w:r>
      <w:r w:rsidR="00DB2A2C">
        <w:rPr>
          <w:b/>
        </w:rPr>
        <w:t>:</w:t>
      </w:r>
      <w:r>
        <w:t xml:space="preserve"> occ-recalibrate is the system deliverable</w:t>
      </w:r>
      <w:r w:rsidR="00DB2A2C">
        <w:t xml:space="preserve"> -</w:t>
      </w:r>
      <w:r>
        <w:t xml:space="preserve"> a CPU-only package that reads cached model outputs, applies either arm, recomputes all three quantities on the held-out partition, and produces the report with bootstrap intervals.</w:t>
      </w:r>
    </w:p>
    <w:p w14:paraId="6C2CF9FB" w14:textId="77777777" w:rsidR="00F81E58" w:rsidRDefault="00000000">
      <w:pPr>
        <w:spacing w:before="200" w:after="80"/>
      </w:pPr>
      <w:r>
        <w:rPr>
          <w:b/>
        </w:rPr>
        <w:t>2.5 Compute</w:t>
      </w:r>
    </w:p>
    <w:tbl>
      <w:tblPr>
        <w:tblStyle w:val="TableGrid"/>
        <w:tblW w:w="0" w:type="auto"/>
        <w:jc w:val="center"/>
        <w:tblLayout w:type="fixed"/>
        <w:tblLook w:val="04A0" w:firstRow="1" w:lastRow="0" w:firstColumn="1" w:lastColumn="0" w:noHBand="0" w:noVBand="1"/>
      </w:tblPr>
      <w:tblGrid>
        <w:gridCol w:w="3037"/>
        <w:gridCol w:w="4339"/>
        <w:gridCol w:w="1984"/>
      </w:tblGrid>
      <w:tr w:rsidR="00F81E58" w14:paraId="00727EA0" w14:textId="77777777">
        <w:trPr>
          <w:jc w:val="center"/>
        </w:trPr>
        <w:tc>
          <w:tcPr>
            <w:tcW w:w="3037" w:type="dxa"/>
          </w:tcPr>
          <w:p w14:paraId="147EFCA9" w14:textId="77777777" w:rsidR="00F81E58" w:rsidRDefault="00000000">
            <w:pPr>
              <w:spacing w:before="60" w:after="60" w:line="240" w:lineRule="auto"/>
            </w:pPr>
            <w:r>
              <w:rPr>
                <w:b/>
              </w:rPr>
              <w:t>Stage</w:t>
            </w:r>
          </w:p>
        </w:tc>
        <w:tc>
          <w:tcPr>
            <w:tcW w:w="4339" w:type="dxa"/>
          </w:tcPr>
          <w:p w14:paraId="66AF9737" w14:textId="77777777" w:rsidR="00F81E58" w:rsidRDefault="00000000">
            <w:pPr>
              <w:spacing w:before="60" w:after="60" w:line="240" w:lineRule="auto"/>
            </w:pPr>
            <w:r>
              <w:rPr>
                <w:b/>
              </w:rPr>
              <w:t>Where</w:t>
            </w:r>
          </w:p>
        </w:tc>
        <w:tc>
          <w:tcPr>
            <w:tcW w:w="1984" w:type="dxa"/>
          </w:tcPr>
          <w:p w14:paraId="7948FF2E" w14:textId="77777777" w:rsidR="00F81E58" w:rsidRDefault="00000000">
            <w:pPr>
              <w:spacing w:before="60" w:after="60" w:line="240" w:lineRule="auto"/>
            </w:pPr>
            <w:r>
              <w:rPr>
                <w:b/>
              </w:rPr>
              <w:t>Cost</w:t>
            </w:r>
          </w:p>
        </w:tc>
      </w:tr>
      <w:tr w:rsidR="00F81E58" w14:paraId="43E03566" w14:textId="77777777">
        <w:trPr>
          <w:jc w:val="center"/>
        </w:trPr>
        <w:tc>
          <w:tcPr>
            <w:tcW w:w="3037" w:type="dxa"/>
          </w:tcPr>
          <w:p w14:paraId="43707DCB" w14:textId="77777777" w:rsidR="00F81E58" w:rsidRDefault="00000000">
            <w:pPr>
              <w:spacing w:before="60" w:after="60" w:line="240" w:lineRule="auto"/>
            </w:pPr>
            <w:r>
              <w:t>Score capture, inference only</w:t>
            </w:r>
          </w:p>
        </w:tc>
        <w:tc>
          <w:tcPr>
            <w:tcW w:w="4339" w:type="dxa"/>
          </w:tcPr>
          <w:p w14:paraId="4D969B08" w14:textId="77777777" w:rsidR="00F81E58" w:rsidRDefault="00000000">
            <w:pPr>
              <w:spacing w:before="60" w:after="60" w:line="240" w:lineRule="auto"/>
            </w:pPr>
            <w:r>
              <w:t>Rented pre-Blackwell GPU on a CUDA 11.8 image</w:t>
            </w:r>
          </w:p>
        </w:tc>
        <w:tc>
          <w:tcPr>
            <w:tcW w:w="1984" w:type="dxa"/>
          </w:tcPr>
          <w:p w14:paraId="25C64F62" w14:textId="77777777" w:rsidR="00F81E58" w:rsidRDefault="00000000">
            <w:pPr>
              <w:spacing w:before="60" w:after="60" w:line="240" w:lineRule="auto"/>
            </w:pPr>
            <w:r>
              <w:t>About 1 GPU-hour, under $5</w:t>
            </w:r>
          </w:p>
        </w:tc>
      </w:tr>
      <w:tr w:rsidR="00F81E58" w14:paraId="3248096B" w14:textId="77777777">
        <w:trPr>
          <w:jc w:val="center"/>
        </w:trPr>
        <w:tc>
          <w:tcPr>
            <w:tcW w:w="3037" w:type="dxa"/>
          </w:tcPr>
          <w:p w14:paraId="0B6D58E2" w14:textId="77777777" w:rsidR="00F81E58" w:rsidRDefault="00000000">
            <w:pPr>
              <w:spacing w:before="60" w:after="60" w:line="240" w:lineRule="auto"/>
            </w:pPr>
            <w:r>
              <w:t>Everything else</w:t>
            </w:r>
          </w:p>
        </w:tc>
        <w:tc>
          <w:tcPr>
            <w:tcW w:w="4339" w:type="dxa"/>
          </w:tcPr>
          <w:p w14:paraId="7CF78CDF" w14:textId="77777777" w:rsidR="00F81E58" w:rsidRDefault="00000000">
            <w:pPr>
              <w:spacing w:before="60" w:after="60" w:line="240" w:lineRule="auto"/>
            </w:pPr>
            <w:r>
              <w:t>Local, CPU and NumPy</w:t>
            </w:r>
          </w:p>
        </w:tc>
        <w:tc>
          <w:tcPr>
            <w:tcW w:w="1984" w:type="dxa"/>
          </w:tcPr>
          <w:p w14:paraId="3FE43EBF" w14:textId="77777777" w:rsidR="00F81E58" w:rsidRDefault="00000000">
            <w:pPr>
              <w:spacing w:before="60" w:after="60" w:line="240" w:lineRule="auto"/>
            </w:pPr>
            <w:r>
              <w:t>$0</w:t>
            </w:r>
          </w:p>
        </w:tc>
      </w:tr>
    </w:tbl>
    <w:p w14:paraId="109E1428" w14:textId="77777777" w:rsidR="00F81E58" w:rsidRDefault="00F81E58">
      <w:pPr>
        <w:spacing w:after="80"/>
      </w:pPr>
    </w:p>
    <w:p w14:paraId="1B78048C" w14:textId="77777777" w:rsidR="00F81E58" w:rsidRDefault="00000000">
      <w:r>
        <w:t>The total sits well under $50. configs/local.yaml and configs/runpod.yaml differ only in paths, device and batch size.</w:t>
      </w:r>
    </w:p>
    <w:p w14:paraId="6653234F" w14:textId="77777777" w:rsidR="00F81E58" w:rsidRDefault="00000000">
      <w:r>
        <w:t>We design around the Blackwell constraint rather than ignoring it. The maintainer's RTX 5070 Ti is sm_120, and mmcv, mmdet3d and spconv pin CUDA 11.8 and emit no sm_120 kernels. The pure PyTorch fallback in mmcv fires only for CPU tensors, and FB-OCC's bev_pool_v2 has no fallback at all. That is why the pipeline runs inference once on rented hardware and caches, and why we cache argmax plus top-3 at roughly 35 GB for nuScenes validation rather than full fp16 logits at roughly 139 GB, which would be larger than the source images.</w:t>
      </w:r>
    </w:p>
    <w:p w14:paraId="1E7E6D3C" w14:textId="77777777" w:rsidR="00F81E58" w:rsidRDefault="00000000">
      <w:pPr>
        <w:spacing w:before="240" w:after="80"/>
      </w:pPr>
      <w:r>
        <w:rPr>
          <w:b/>
        </w:rPr>
        <w:t>3. Device Available and Maintainer</w:t>
      </w:r>
    </w:p>
    <w:tbl>
      <w:tblPr>
        <w:tblStyle w:val="TableGrid"/>
        <w:tblW w:w="0" w:type="auto"/>
        <w:jc w:val="center"/>
        <w:tblLayout w:type="fixed"/>
        <w:tblLook w:val="04A0" w:firstRow="1" w:lastRow="0" w:firstColumn="1" w:lastColumn="0" w:noHBand="0" w:noVBand="1"/>
      </w:tblPr>
      <w:tblGrid>
        <w:gridCol w:w="1551"/>
        <w:gridCol w:w="4540"/>
        <w:gridCol w:w="3269"/>
      </w:tblGrid>
      <w:tr w:rsidR="00F81E58" w14:paraId="7F322C46" w14:textId="77777777">
        <w:trPr>
          <w:jc w:val="center"/>
        </w:trPr>
        <w:tc>
          <w:tcPr>
            <w:tcW w:w="1551" w:type="dxa"/>
          </w:tcPr>
          <w:p w14:paraId="733160F9" w14:textId="77777777" w:rsidR="00F81E58" w:rsidRDefault="00000000">
            <w:pPr>
              <w:spacing w:before="60" w:after="60" w:line="240" w:lineRule="auto"/>
            </w:pPr>
            <w:r>
              <w:rPr>
                <w:b/>
              </w:rPr>
              <w:t>Resource</w:t>
            </w:r>
          </w:p>
        </w:tc>
        <w:tc>
          <w:tcPr>
            <w:tcW w:w="4540" w:type="dxa"/>
          </w:tcPr>
          <w:p w14:paraId="486229EA" w14:textId="77777777" w:rsidR="00F81E58" w:rsidRDefault="00000000">
            <w:pPr>
              <w:spacing w:before="60" w:after="60" w:line="240" w:lineRule="auto"/>
            </w:pPr>
            <w:r>
              <w:rPr>
                <w:b/>
              </w:rPr>
              <w:t>Specification</w:t>
            </w:r>
          </w:p>
        </w:tc>
        <w:tc>
          <w:tcPr>
            <w:tcW w:w="3269" w:type="dxa"/>
          </w:tcPr>
          <w:p w14:paraId="78EEE0C7" w14:textId="77777777" w:rsidR="00F81E58" w:rsidRDefault="00000000">
            <w:pPr>
              <w:spacing w:before="60" w:after="60" w:line="240" w:lineRule="auto"/>
            </w:pPr>
            <w:r>
              <w:rPr>
                <w:b/>
              </w:rPr>
              <w:t>Use</w:t>
            </w:r>
          </w:p>
        </w:tc>
      </w:tr>
      <w:tr w:rsidR="00F81E58" w14:paraId="6A2137A5" w14:textId="77777777">
        <w:trPr>
          <w:jc w:val="center"/>
        </w:trPr>
        <w:tc>
          <w:tcPr>
            <w:tcW w:w="1551" w:type="dxa"/>
          </w:tcPr>
          <w:p w14:paraId="42D96E8B" w14:textId="77777777" w:rsidR="00F81E58" w:rsidRDefault="00000000">
            <w:pPr>
              <w:spacing w:before="60" w:after="60" w:line="240" w:lineRule="auto"/>
            </w:pPr>
            <w:r>
              <w:t>Hriday Ampavatina, maintainer for Claude Code</w:t>
            </w:r>
          </w:p>
        </w:tc>
        <w:tc>
          <w:tcPr>
            <w:tcW w:w="4540" w:type="dxa"/>
          </w:tcPr>
          <w:p w14:paraId="2A72A0BD" w14:textId="77777777" w:rsidR="00F81E58" w:rsidRDefault="00000000">
            <w:pPr>
              <w:spacing w:before="60" w:after="60" w:line="240" w:lineRule="auto"/>
            </w:pPr>
            <w:r>
              <w:t>RTX 5070 Ti 16 GB (Blackwell sm_120), Ryzen 9 9900X, 64 GB RAM, 4 TB NVMe, Windows 11 with WSL2</w:t>
            </w:r>
          </w:p>
        </w:tc>
        <w:tc>
          <w:tcPr>
            <w:tcW w:w="3269" w:type="dxa"/>
          </w:tcPr>
          <w:p w14:paraId="0A8D4F20" w14:textId="77777777" w:rsidR="00F81E58" w:rsidRDefault="00000000">
            <w:pPr>
              <w:spacing w:before="60" w:after="60" w:line="240" w:lineRule="auto"/>
            </w:pPr>
            <w:r>
              <w:t>All CPU sweeps, statistics, tooling, cache hosting</w:t>
            </w:r>
          </w:p>
        </w:tc>
      </w:tr>
      <w:tr w:rsidR="00F81E58" w14:paraId="4B54ED61" w14:textId="77777777">
        <w:trPr>
          <w:jc w:val="center"/>
        </w:trPr>
        <w:tc>
          <w:tcPr>
            <w:tcW w:w="1551" w:type="dxa"/>
          </w:tcPr>
          <w:p w14:paraId="1760978D" w14:textId="77777777" w:rsidR="00F81E58" w:rsidRDefault="00000000">
            <w:pPr>
              <w:spacing w:before="60" w:after="60" w:line="240" w:lineRule="auto"/>
            </w:pPr>
            <w:r>
              <w:t>Aditya Hegde</w:t>
            </w:r>
          </w:p>
        </w:tc>
        <w:tc>
          <w:tcPr>
            <w:tcW w:w="4540" w:type="dxa"/>
          </w:tcPr>
          <w:p w14:paraId="6FA2B132" w14:textId="77777777" w:rsidR="00F81E58" w:rsidRDefault="00000000">
            <w:pPr>
              <w:spacing w:before="60" w:after="60" w:line="240" w:lineRule="auto"/>
            </w:pPr>
            <w:r>
              <w:t>RTX 5060 laptop GPU</w:t>
            </w:r>
          </w:p>
        </w:tc>
        <w:tc>
          <w:tcPr>
            <w:tcW w:w="3269" w:type="dxa"/>
          </w:tcPr>
          <w:p w14:paraId="4F74B51D" w14:textId="77777777" w:rsidR="00F81E58" w:rsidRDefault="00000000">
            <w:pPr>
              <w:spacing w:before="60" w:after="60" w:line="240" w:lineRule="auto"/>
            </w:pPr>
            <w:r>
              <w:t>Development and smoke tests</w:t>
            </w:r>
          </w:p>
        </w:tc>
      </w:tr>
      <w:tr w:rsidR="00F81E58" w14:paraId="5857528D" w14:textId="77777777">
        <w:trPr>
          <w:jc w:val="center"/>
        </w:trPr>
        <w:tc>
          <w:tcPr>
            <w:tcW w:w="1551" w:type="dxa"/>
          </w:tcPr>
          <w:p w14:paraId="142385E5" w14:textId="77777777" w:rsidR="00F81E58" w:rsidRDefault="00000000">
            <w:pPr>
              <w:spacing w:before="60" w:after="60" w:line="240" w:lineRule="auto"/>
            </w:pPr>
            <w:r>
              <w:t>Pramod Yadav</w:t>
            </w:r>
          </w:p>
        </w:tc>
        <w:tc>
          <w:tcPr>
            <w:tcW w:w="4540" w:type="dxa"/>
          </w:tcPr>
          <w:p w14:paraId="31D46BFF" w14:textId="77777777" w:rsidR="00F81E58" w:rsidRDefault="00000000">
            <w:pPr>
              <w:spacing w:before="60" w:after="60" w:line="240" w:lineRule="auto"/>
            </w:pPr>
            <w:r>
              <w:t>Colab Pro at 100 hours per month, plus an enterprise Colab account</w:t>
            </w:r>
          </w:p>
        </w:tc>
        <w:tc>
          <w:tcPr>
            <w:tcW w:w="3269" w:type="dxa"/>
          </w:tcPr>
          <w:p w14:paraId="3D3FEC41" w14:textId="77777777" w:rsidR="00F81E58" w:rsidRDefault="00000000">
            <w:pPr>
              <w:spacing w:before="60" w:after="60" w:line="240" w:lineRule="auto"/>
            </w:pPr>
            <w:r>
              <w:t>Parallel sweeps and backup inference</w:t>
            </w:r>
          </w:p>
        </w:tc>
      </w:tr>
      <w:tr w:rsidR="00F81E58" w14:paraId="1B2903FA" w14:textId="77777777">
        <w:trPr>
          <w:jc w:val="center"/>
        </w:trPr>
        <w:tc>
          <w:tcPr>
            <w:tcW w:w="1551" w:type="dxa"/>
          </w:tcPr>
          <w:p w14:paraId="2906DC5E" w14:textId="77777777" w:rsidR="00F81E58" w:rsidRDefault="00000000">
            <w:pPr>
              <w:spacing w:before="60" w:after="60" w:line="240" w:lineRule="auto"/>
            </w:pPr>
            <w:r>
              <w:t>Rented</w:t>
            </w:r>
          </w:p>
        </w:tc>
        <w:tc>
          <w:tcPr>
            <w:tcW w:w="4540" w:type="dxa"/>
          </w:tcPr>
          <w:p w14:paraId="0740C045" w14:textId="77777777" w:rsidR="00F81E58" w:rsidRDefault="00000000">
            <w:pPr>
              <w:spacing w:before="60" w:after="60" w:line="240" w:lineRule="auto"/>
            </w:pPr>
            <w:r>
              <w:t>RunPod RTX 4090 at roughly $0.29 to $0.34 per hour</w:t>
            </w:r>
          </w:p>
        </w:tc>
        <w:tc>
          <w:tcPr>
            <w:tcW w:w="3269" w:type="dxa"/>
          </w:tcPr>
          <w:p w14:paraId="5A1CBA6E" w14:textId="77777777" w:rsidR="00F81E58" w:rsidRDefault="00000000">
            <w:pPr>
              <w:spacing w:before="60" w:after="60" w:line="240" w:lineRule="auto"/>
            </w:pPr>
            <w:r>
              <w:t>The single CUDA 11.8 inference pass that produces the cache</w:t>
            </w:r>
          </w:p>
        </w:tc>
      </w:tr>
    </w:tbl>
    <w:p w14:paraId="0F8A4485" w14:textId="77777777" w:rsidR="00F81E58" w:rsidRDefault="00F81E58">
      <w:pPr>
        <w:spacing w:after="80"/>
      </w:pPr>
    </w:p>
    <w:p w14:paraId="46736CB8" w14:textId="77777777" w:rsidR="00F81E58" w:rsidRDefault="00000000">
      <w:pPr>
        <w:spacing w:after="40"/>
      </w:pPr>
      <w:r>
        <w:rPr>
          <w:b/>
        </w:rPr>
        <w:t>Maintainer for Claude Code:</w:t>
      </w:r>
      <w:r>
        <w:t xml:space="preserve"> Hriday Ampavatina.</w:t>
      </w:r>
    </w:p>
    <w:p w14:paraId="551EB6D8" w14:textId="77777777" w:rsidR="00F81E58" w:rsidRDefault="00000000">
      <w:r>
        <w:t>We need no physical hardware. We collaborate through GitHub, and we keep experiment logs, configs, split manifests and the released cache in the repository so that the analysis reproduces without a GPU.</w:t>
      </w:r>
    </w:p>
    <w:sectPr w:rsidR="00F81E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28906">
    <w:abstractNumId w:val="8"/>
  </w:num>
  <w:num w:numId="2" w16cid:durableId="1982925400">
    <w:abstractNumId w:val="6"/>
  </w:num>
  <w:num w:numId="3" w16cid:durableId="2003193293">
    <w:abstractNumId w:val="5"/>
  </w:num>
  <w:num w:numId="4" w16cid:durableId="399912417">
    <w:abstractNumId w:val="4"/>
  </w:num>
  <w:num w:numId="5" w16cid:durableId="456485091">
    <w:abstractNumId w:val="7"/>
  </w:num>
  <w:num w:numId="6" w16cid:durableId="2102410862">
    <w:abstractNumId w:val="3"/>
  </w:num>
  <w:num w:numId="7" w16cid:durableId="1805997486">
    <w:abstractNumId w:val="2"/>
  </w:num>
  <w:num w:numId="8" w16cid:durableId="1396198437">
    <w:abstractNumId w:val="1"/>
  </w:num>
  <w:num w:numId="9" w16cid:durableId="113849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071"/>
    <w:rsid w:val="00AA1D8D"/>
    <w:rsid w:val="00B47730"/>
    <w:rsid w:val="00CB0664"/>
    <w:rsid w:val="00DB2A2C"/>
    <w:rsid w:val="00F81E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2F86B"/>
  <w14:defaultImageDpi w14:val="300"/>
  <w15:docId w15:val="{371E731F-0456-4195-A88C-667F2327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2A2C"/>
    <w:rPr>
      <w:color w:val="0000FF" w:themeColor="hyperlink"/>
      <w:u w:val="single"/>
    </w:rPr>
  </w:style>
  <w:style w:type="character" w:styleId="UnresolvedMention">
    <w:name w:val="Unresolved Mention"/>
    <w:basedOn w:val="DefaultParagraphFont"/>
    <w:uiPriority w:val="99"/>
    <w:semiHidden/>
    <w:unhideWhenUsed/>
    <w:rsid w:val="00DB2A2C"/>
    <w:rPr>
      <w:color w:val="605E5C"/>
      <w:shd w:val="clear" w:color="auto" w:fill="E1DFDD"/>
    </w:rPr>
  </w:style>
  <w:style w:type="character" w:styleId="FollowedHyperlink">
    <w:name w:val="FollowedHyperlink"/>
    <w:basedOn w:val="DefaultParagraphFont"/>
    <w:uiPriority w:val="99"/>
    <w:semiHidden/>
    <w:unhideWhenUsed/>
    <w:rsid w:val="00DB2A2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riday1231/CMPE-249-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1660</Words>
  <Characters>9464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Hriday Ampavatina</cp:lastModifiedBy>
  <cp:revision>2</cp:revision>
  <dcterms:created xsi:type="dcterms:W3CDTF">2013-12-23T23:15:00Z</dcterms:created>
  <dcterms:modified xsi:type="dcterms:W3CDTF">2026-09-09T03:26:00Z</dcterms:modified>
  <cp:category/>
</cp:coreProperties>
</file>