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jc w:val="center"/>
      </w:pPr>
      <w:r>
        <w:rPr>
          <w:rFonts w:ascii="Arial" w:hAnsi="Arial"/>
          <w:b/>
          <w:color w:val="881337"/>
          <w:sz w:val="30"/>
        </w:rPr>
        <w:t>SHARDA UNIVERSITY INVENTION DISCLOSURE FORM</w:t>
      </w:r>
    </w:p>
    <w:p>
      <w:pPr>
        <w:spacing w:after="240"/>
        <w:jc w:val="center"/>
      </w:pPr>
      <w:r>
        <w:rPr>
          <w:rFonts w:ascii="Arial" w:hAnsi="Arial"/>
          <w:b/>
          <w:color w:val="E11D48"/>
          <w:sz w:val="20"/>
        </w:rPr>
        <w:t>CONFIDENTIAL &amp; PROPRIETARY</w:t>
      </w:r>
    </w:p>
    <w:p>
      <w:pPr>
        <w:spacing w:before="80" w:after="80"/>
      </w:pPr>
      <w:r>
        <w:rPr>
          <w:rFonts w:ascii="Arial" w:hAnsi="Arial"/>
          <w:i/>
          <w:color w:val="475569"/>
          <w:sz w:val="19"/>
        </w:rPr>
        <w:t>Please fill in the details with complete information.</w:t>
      </w:r>
    </w:p>
    <w:p>
      <w:pPr>
        <w:spacing w:before="80" w:after="160"/>
      </w:pPr>
      <w:r>
        <w:rPr>
          <w:rFonts w:ascii="Arial" w:hAnsi="Arial"/>
          <w:b/>
          <w:color w:val="881337"/>
          <w:sz w:val="19"/>
        </w:rPr>
        <w:t xml:space="preserve">IMPORTANT NOTE: </w:t>
      </w:r>
      <w:r>
        <w:rPr>
          <w:rFonts w:ascii="Arial" w:hAnsi="Arial"/>
          <w:color w:val="334155"/>
          <w:sz w:val="19"/>
        </w:rPr>
        <w:t>A patent is always granted for a novel, non-obvious technical solution to an existing technical or industrial problem. As such, this Invention Disclosure Form (IDF) distinctly highlights: (1) the existing technical problems in autonomous enterprise automation; (2) the technical advancements proposed by the inventor (ENMA architecture); and (3) the concrete manner in which the proposed multi-agent system and fallback algorithms solve said technical problems with deterministic reliability.</w:t>
      </w:r>
    </w:p>
    <w:p>
      <w:pPr>
        <w:keepNext/>
        <w:spacing w:before="280" w:after="120"/>
      </w:pPr>
      <w:r>
        <w:rPr>
          <w:rFonts w:ascii="Arial" w:hAnsi="Arial"/>
          <w:b/>
          <w:color w:val="881337"/>
          <w:sz w:val="25"/>
        </w:rPr>
        <w:t>1. Particulars of Inventors</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576"/>
            <w:shd w:fill="881337"/>
            <w:tcMar>
              <w:top w:w="120" w:type="dxa"/>
              <w:bottom w:w="120" w:type="dxa"/>
              <w:left w:w="80" w:type="dxa"/>
              <w:right w:w="80" w:type="dxa"/>
            </w:tcMar>
          </w:tcPr>
          <w:p>
            <w:pPr>
              <w:jc w:val="center"/>
            </w:pPr>
            <w:r>
              <w:rPr>
                <w:rFonts w:ascii="Arial" w:hAnsi="Arial"/>
                <w:b/>
                <w:color w:val="FFFFFF"/>
                <w:sz w:val="17"/>
              </w:rPr>
              <w:t>S No</w:t>
            </w:r>
          </w:p>
        </w:tc>
        <w:tc>
          <w:tcPr>
            <w:tcW w:type="dxa" w:w="1584"/>
            <w:shd w:fill="881337"/>
            <w:tcMar>
              <w:top w:w="120" w:type="dxa"/>
              <w:bottom w:w="120" w:type="dxa"/>
              <w:left w:w="80" w:type="dxa"/>
              <w:right w:w="80" w:type="dxa"/>
            </w:tcMar>
          </w:tcPr>
          <w:p>
            <w:pPr>
              <w:jc w:val="center"/>
            </w:pPr>
            <w:r>
              <w:rPr>
                <w:rFonts w:ascii="Arial" w:hAnsi="Arial"/>
                <w:b/>
                <w:color w:val="FFFFFF"/>
                <w:sz w:val="17"/>
              </w:rPr>
              <w:t>Name (Full)</w:t>
            </w:r>
          </w:p>
        </w:tc>
        <w:tc>
          <w:tcPr>
            <w:tcW w:type="dxa" w:w="1872"/>
            <w:shd w:fill="881337"/>
            <w:tcMar>
              <w:top w:w="120" w:type="dxa"/>
              <w:bottom w:w="120" w:type="dxa"/>
              <w:left w:w="80" w:type="dxa"/>
              <w:right w:w="80" w:type="dxa"/>
            </w:tcMar>
          </w:tcPr>
          <w:p>
            <w:pPr>
              <w:jc w:val="center"/>
            </w:pPr>
            <w:r>
              <w:rPr>
                <w:rFonts w:ascii="Arial" w:hAnsi="Arial"/>
                <w:b/>
                <w:color w:val="FFFFFF"/>
                <w:sz w:val="17"/>
              </w:rPr>
              <w:t>Department / School</w:t>
            </w:r>
          </w:p>
        </w:tc>
        <w:tc>
          <w:tcPr>
            <w:tcW w:type="dxa" w:w="1296"/>
            <w:shd w:fill="881337"/>
            <w:tcMar>
              <w:top w:w="120" w:type="dxa"/>
              <w:bottom w:w="120" w:type="dxa"/>
              <w:left w:w="80" w:type="dxa"/>
              <w:right w:w="80" w:type="dxa"/>
            </w:tcMar>
          </w:tcPr>
          <w:p>
            <w:pPr>
              <w:jc w:val="center"/>
            </w:pPr>
            <w:r>
              <w:rPr>
                <w:rFonts w:ascii="Arial" w:hAnsi="Arial"/>
                <w:b/>
                <w:color w:val="FFFFFF"/>
                <w:sz w:val="17"/>
              </w:rPr>
              <w:t>Designation</w:t>
            </w:r>
          </w:p>
        </w:tc>
        <w:tc>
          <w:tcPr>
            <w:tcW w:type="dxa" w:w="1296"/>
            <w:shd w:fill="881337"/>
            <w:tcMar>
              <w:top w:w="120" w:type="dxa"/>
              <w:bottom w:w="120" w:type="dxa"/>
              <w:left w:w="80" w:type="dxa"/>
              <w:right w:w="80" w:type="dxa"/>
            </w:tcMar>
          </w:tcPr>
          <w:p>
            <w:pPr>
              <w:jc w:val="center"/>
            </w:pPr>
            <w:r>
              <w:rPr>
                <w:rFonts w:ascii="Arial" w:hAnsi="Arial"/>
                <w:b/>
                <w:color w:val="FFFFFF"/>
                <w:sz w:val="17"/>
              </w:rPr>
              <w:t>Mobile No.</w:t>
            </w:r>
          </w:p>
        </w:tc>
        <w:tc>
          <w:tcPr>
            <w:tcW w:type="dxa" w:w="1728"/>
            <w:shd w:fill="881337"/>
            <w:tcMar>
              <w:top w:w="120" w:type="dxa"/>
              <w:bottom w:w="120" w:type="dxa"/>
              <w:left w:w="80" w:type="dxa"/>
              <w:right w:w="80" w:type="dxa"/>
            </w:tcMar>
          </w:tcPr>
          <w:p>
            <w:pPr>
              <w:jc w:val="center"/>
            </w:pPr>
            <w:r>
              <w:rPr>
                <w:rFonts w:ascii="Arial" w:hAnsi="Arial"/>
                <w:b/>
                <w:color w:val="FFFFFF"/>
                <w:sz w:val="17"/>
              </w:rPr>
              <w:t>Email</w:t>
            </w:r>
          </w:p>
        </w:tc>
        <w:tc>
          <w:tcPr>
            <w:tcW w:type="dxa" w:w="2448"/>
            <w:shd w:fill="881337"/>
            <w:tcMar>
              <w:top w:w="120" w:type="dxa"/>
              <w:bottom w:w="120" w:type="dxa"/>
              <w:left w:w="80" w:type="dxa"/>
              <w:right w:w="80" w:type="dxa"/>
            </w:tcMar>
          </w:tcPr>
          <w:p>
            <w:pPr>
              <w:jc w:val="center"/>
            </w:pPr>
            <w:r>
              <w:rPr>
                <w:rFonts w:ascii="Arial" w:hAnsi="Arial"/>
                <w:b/>
                <w:color w:val="FFFFFF"/>
                <w:sz w:val="17"/>
              </w:rPr>
              <w:t>Official Address</w:t>
            </w:r>
          </w:p>
        </w:tc>
      </w:tr>
      <w:tr>
        <w:tc>
          <w:tcPr>
            <w:tcW w:type="dxa" w:w="576"/>
            <w:shd w:fill="FFF1F2"/>
            <w:tcMar>
              <w:top w:w="100" w:type="dxa"/>
              <w:bottom w:w="100" w:type="dxa"/>
              <w:left w:w="80" w:type="dxa"/>
              <w:right w:w="80" w:type="dxa"/>
            </w:tcMar>
          </w:tcPr>
          <w:p>
            <w:pPr>
              <w:jc w:val="center"/>
            </w:pPr>
            <w:r>
              <w:rPr>
                <w:rFonts w:ascii="Arial" w:hAnsi="Arial"/>
                <w:color w:val="0F172A"/>
                <w:sz w:val="16"/>
              </w:rPr>
              <w:t>1</w:t>
            </w:r>
          </w:p>
        </w:tc>
        <w:tc>
          <w:tcPr>
            <w:tcW w:type="dxa" w:w="1584"/>
            <w:shd w:fill="FFF1F2"/>
            <w:tcMar>
              <w:top w:w="100" w:type="dxa"/>
              <w:bottom w:w="100" w:type="dxa"/>
              <w:left w:w="80" w:type="dxa"/>
              <w:right w:w="80" w:type="dxa"/>
            </w:tcMar>
          </w:tcPr>
          <w:p>
            <w:r>
              <w:rPr>
                <w:rFonts w:ascii="Arial" w:hAnsi="Arial"/>
                <w:color w:val="0F172A"/>
                <w:sz w:val="16"/>
              </w:rPr>
              <w:t>Hriday Gupta</w:t>
            </w:r>
          </w:p>
        </w:tc>
        <w:tc>
          <w:tcPr>
            <w:tcW w:type="dxa" w:w="1872"/>
            <w:shd w:fill="FFF1F2"/>
            <w:tcMar>
              <w:top w:w="100" w:type="dxa"/>
              <w:bottom w:w="100" w:type="dxa"/>
              <w:left w:w="80" w:type="dxa"/>
              <w:right w:w="80" w:type="dxa"/>
            </w:tcMar>
          </w:tcPr>
          <w:p>
            <w:r>
              <w:rPr>
                <w:rFonts w:ascii="Arial" w:hAnsi="Arial"/>
                <w:color w:val="0F172A"/>
                <w:sz w:val="16"/>
              </w:rPr>
              <w:t>Department of Computer Science &amp; Engineering, School of Engineering &amp; Technology (SET)</w:t>
            </w:r>
          </w:p>
        </w:tc>
        <w:tc>
          <w:tcPr>
            <w:tcW w:type="dxa" w:w="1296"/>
            <w:shd w:fill="FFF1F2"/>
            <w:tcMar>
              <w:top w:w="100" w:type="dxa"/>
              <w:bottom w:w="100" w:type="dxa"/>
              <w:left w:w="80" w:type="dxa"/>
              <w:right w:w="80" w:type="dxa"/>
            </w:tcMar>
          </w:tcPr>
          <w:p>
            <w:pPr>
              <w:jc w:val="center"/>
            </w:pPr>
            <w:r>
              <w:rPr>
                <w:rFonts w:ascii="Arial" w:hAnsi="Arial"/>
                <w:color w:val="0F172A"/>
                <w:sz w:val="16"/>
              </w:rPr>
              <w:t>Student / Lead Inventor</w:t>
            </w:r>
          </w:p>
        </w:tc>
        <w:tc>
          <w:tcPr>
            <w:tcW w:type="dxa" w:w="1296"/>
            <w:shd w:fill="FFF1F2"/>
            <w:tcMar>
              <w:top w:w="100" w:type="dxa"/>
              <w:bottom w:w="100" w:type="dxa"/>
              <w:left w:w="80" w:type="dxa"/>
              <w:right w:w="80" w:type="dxa"/>
            </w:tcMar>
          </w:tcPr>
          <w:p>
            <w:pPr>
              <w:jc w:val="center"/>
            </w:pPr>
            <w:r>
              <w:rPr>
                <w:rFonts w:ascii="Arial" w:hAnsi="Arial"/>
                <w:color w:val="0F172A"/>
                <w:sz w:val="16"/>
              </w:rPr>
              <w:t>+91 98765 43210</w:t>
            </w:r>
          </w:p>
        </w:tc>
        <w:tc>
          <w:tcPr>
            <w:tcW w:type="dxa" w:w="1728"/>
            <w:shd w:fill="FFF1F2"/>
            <w:tcMar>
              <w:top w:w="100" w:type="dxa"/>
              <w:bottom w:w="100" w:type="dxa"/>
              <w:left w:w="80" w:type="dxa"/>
              <w:right w:w="80" w:type="dxa"/>
            </w:tcMar>
          </w:tcPr>
          <w:p>
            <w:r>
              <w:rPr>
                <w:rFonts w:ascii="Arial" w:hAnsi="Arial"/>
                <w:color w:val="0F172A"/>
                <w:sz w:val="16"/>
              </w:rPr>
              <w:t>hriday.code1119@gmail.com</w:t>
            </w:r>
          </w:p>
        </w:tc>
        <w:tc>
          <w:tcPr>
            <w:tcW w:type="dxa" w:w="2448"/>
            <w:shd w:fill="FFF1F2"/>
            <w:tcMar>
              <w:top w:w="100" w:type="dxa"/>
              <w:bottom w:w="100" w:type="dxa"/>
              <w:left w:w="80" w:type="dxa"/>
              <w:right w:w="80" w:type="dxa"/>
            </w:tcMar>
          </w:tcPr>
          <w:p>
            <w:r>
              <w:rPr>
                <w:rFonts w:ascii="Arial" w:hAnsi="Arial"/>
                <w:color w:val="0F172A"/>
                <w:sz w:val="16"/>
              </w:rPr>
              <w:t>Sharda University, Plot No. 32-34, Knowledge Park III, Greater Noida, UP 201310, India</w:t>
            </w:r>
          </w:p>
        </w:tc>
      </w:tr>
    </w:tbl>
    <w:p>
      <w:pPr>
        <w:spacing w:before="80" w:after="160" w:line="276" w:lineRule="auto"/>
        <w:jc w:val="left"/>
      </w:pPr>
    </w:p>
    <w:p>
      <w:pPr>
        <w:keepNext/>
        <w:spacing w:before="280" w:after="120"/>
      </w:pPr>
      <w:r>
        <w:rPr>
          <w:rFonts w:ascii="Arial" w:hAnsi="Arial"/>
          <w:b/>
          <w:color w:val="881337"/>
          <w:sz w:val="25"/>
        </w:rPr>
        <w:t>2. Brief Title of the Invention</w:t>
      </w:r>
    </w:p>
    <w:p>
      <w:pPr>
        <w:spacing w:before="80" w:after="200" w:line="276" w:lineRule="auto"/>
        <w:jc w:val="left"/>
      </w:pPr>
      <w:r>
        <w:rPr>
          <w:rFonts w:ascii="Arial" w:hAnsi="Arial"/>
          <w:b/>
          <w:color w:val="881337"/>
          <w:sz w:val="21"/>
        </w:rPr>
        <w:t>AN AUTONOMOUS MULTI-AGENT COGNITIVE OPERATING ARCHITECTURE WITH SELF-HEALING FALLBACK CASCADES AND MULTIMODAL ABSTRACT SYNTAX TREE TRANSMUTATION FOR DETERMINISTIC ENTERPRISE WORKFLOW EXECUTION (ENMA)</w:t>
      </w:r>
    </w:p>
    <w:p>
      <w:pPr>
        <w:keepNext/>
        <w:spacing w:before="280" w:after="120"/>
      </w:pPr>
      <w:r>
        <w:rPr>
          <w:rFonts w:ascii="Arial" w:hAnsi="Arial"/>
          <w:b/>
          <w:color w:val="881337"/>
          <w:sz w:val="25"/>
        </w:rPr>
        <w:t>3. Indicate Specific Field of Invention</w:t>
      </w:r>
    </w:p>
    <w:p>
      <w:pPr>
        <w:spacing w:before="80" w:after="120" w:line="276" w:lineRule="auto"/>
        <w:jc w:val="left"/>
      </w:pPr>
      <w:r>
        <w:rPr>
          <w:rFonts w:ascii="Arial" w:hAnsi="Arial"/>
          <w:b w:val="0"/>
          <w:i w:val="0"/>
          <w:color w:val="1E293B"/>
          <w:sz w:val="20"/>
        </w:rPr>
        <w:t>The present invention relates generally to the technical fields of Artificial Intelligence (AI), Autonomous Multi-Agent Systems (MAS), Natural Language Processing (NLP), and Distributed Enterprise Workflow Orchestration. More specifically, the invention relates to a fault-tolerant, context-aware cognitive operating architecture that executes deterministic, multi-turn task workflows across heterogeneous enterprise communication protocols, calendar systems, database repositories, and multimodal document structures.</w:t>
      </w:r>
    </w:p>
    <w:p>
      <w:pPr>
        <w:spacing w:before="80" w:after="80" w:line="276" w:lineRule="auto"/>
        <w:jc w:val="left"/>
      </w:pPr>
      <w:r>
        <w:rPr>
          <w:rFonts w:ascii="Arial" w:hAnsi="Arial"/>
          <w:b/>
          <w:i w:val="0"/>
          <w:color w:val="1E293B"/>
          <w:sz w:val="20"/>
        </w:rPr>
        <w:t>International Patent Classification (IPC) Classifications:</w:t>
      </w:r>
    </w:p>
    <w:p>
      <w:pPr>
        <w:spacing w:before="40" w:after="80" w:line="276" w:lineRule="auto"/>
        <w:ind w:left="360"/>
      </w:pPr>
      <w:r>
        <w:rPr>
          <w:rFonts w:ascii="Arial" w:hAnsi="Arial"/>
          <w:b/>
          <w:color w:val="0F172A"/>
          <w:sz w:val="20"/>
        </w:rPr>
        <w:t xml:space="preserve">• G06N 3/00 / G06N 20/00: </w:t>
      </w:r>
      <w:r>
        <w:rPr>
          <w:rFonts w:ascii="Arial" w:hAnsi="Arial"/>
          <w:color w:val="1E293B"/>
          <w:sz w:val="20"/>
        </w:rPr>
        <w:t>Artificial Intelligence, Cognitive Computing, and Autonomous Agent Architectures.</w:t>
      </w:r>
    </w:p>
    <w:p>
      <w:pPr>
        <w:spacing w:before="40" w:after="80" w:line="276" w:lineRule="auto"/>
        <w:ind w:left="360"/>
      </w:pPr>
      <w:r>
        <w:rPr>
          <w:rFonts w:ascii="Arial" w:hAnsi="Arial"/>
          <w:b/>
          <w:color w:val="0F172A"/>
          <w:sz w:val="20"/>
        </w:rPr>
        <w:t xml:space="preserve">• G06F 9/48 / G06F 9/54: </w:t>
      </w:r>
      <w:r>
        <w:rPr>
          <w:rFonts w:ascii="Arial" w:hAnsi="Arial"/>
          <w:color w:val="1E293B"/>
          <w:sz w:val="20"/>
        </w:rPr>
        <w:t>Program Dispatching, Inter-process Communications, and Task Flow Scheduling.</w:t>
      </w:r>
    </w:p>
    <w:p>
      <w:pPr>
        <w:spacing w:before="40" w:after="80" w:line="276" w:lineRule="auto"/>
        <w:ind w:left="360"/>
      </w:pPr>
      <w:r>
        <w:rPr>
          <w:rFonts w:ascii="Arial" w:hAnsi="Arial"/>
          <w:b/>
          <w:color w:val="0F172A"/>
          <w:sz w:val="20"/>
        </w:rPr>
        <w:t xml:space="preserve">• G06F 40/20 / G06F 40/151: </w:t>
      </w:r>
      <w:r>
        <w:rPr>
          <w:rFonts w:ascii="Arial" w:hAnsi="Arial"/>
          <w:color w:val="1E293B"/>
          <w:sz w:val="20"/>
        </w:rPr>
        <w:t>Natural Language Processing, Entity Parsing, and Document Structural Transmutation.</w:t>
      </w:r>
    </w:p>
    <w:p>
      <w:pPr>
        <w:spacing w:before="40" w:after="80" w:line="276" w:lineRule="auto"/>
        <w:ind w:left="360"/>
      </w:pPr>
      <w:r>
        <w:rPr>
          <w:rFonts w:ascii="Arial" w:hAnsi="Arial"/>
          <w:b/>
          <w:color w:val="0F172A"/>
          <w:sz w:val="20"/>
        </w:rPr>
        <w:t xml:space="preserve">• G06Q 10/10 / G06Q 10/06: </w:t>
      </w:r>
      <w:r>
        <w:rPr>
          <w:rFonts w:ascii="Arial" w:hAnsi="Arial"/>
          <w:color w:val="1E293B"/>
          <w:sz w:val="20"/>
        </w:rPr>
        <w:t>Enterprise Workflow Management, Resource Scheduling, and Collaborative Automation.</w:t>
      </w:r>
    </w:p>
    <w:p>
      <w:pPr>
        <w:spacing w:before="40" w:after="80" w:line="276" w:lineRule="auto"/>
        <w:ind w:left="360"/>
      </w:pPr>
      <w:r>
        <w:rPr>
          <w:rFonts w:ascii="Arial" w:hAnsi="Arial"/>
          <w:b/>
          <w:color w:val="0F172A"/>
          <w:sz w:val="20"/>
        </w:rPr>
        <w:t xml:space="preserve">• H04L 67/00 / H04L 67/133: </w:t>
      </w:r>
      <w:r>
        <w:rPr>
          <w:rFonts w:ascii="Arial" w:hAnsi="Arial"/>
          <w:color w:val="1E293B"/>
          <w:sz w:val="20"/>
        </w:rPr>
        <w:t>Distributed Protocols, Secure API Gateways, and Client-Server Message Dispatching.</w:t>
      </w:r>
    </w:p>
    <w:p>
      <w:pPr>
        <w:keepNext/>
        <w:spacing w:before="280" w:after="120"/>
      </w:pPr>
      <w:r>
        <w:rPr>
          <w:rFonts w:ascii="Arial" w:hAnsi="Arial"/>
          <w:b/>
          <w:color w:val="881337"/>
          <w:sz w:val="25"/>
        </w:rPr>
        <w:t>4. Indicate Prior Art and Shortcomings of Prior Art</w:t>
      </w:r>
    </w:p>
    <w:p>
      <w:pPr>
        <w:spacing w:before="80" w:after="120" w:line="276" w:lineRule="auto"/>
        <w:jc w:val="left"/>
      </w:pPr>
      <w:r>
        <w:rPr>
          <w:rFonts w:ascii="Arial" w:hAnsi="Arial"/>
          <w:b w:val="0"/>
          <w:i w:val="0"/>
          <w:color w:val="1E293B"/>
          <w:sz w:val="20"/>
        </w:rPr>
        <w:t>In modern knowledge-intensive enterprises, operational workflows require continuous navigation across siloed software systems—including calendar scheduling APIs (Google Calendar, Outlook), transactional email services (SMTP, Resend), enterprise relational databases (PostgreSQL, SQLite), and multimodal document repositories (PDF, DOCX, CSV, XLSX). Prior art systems exhibit severe technical deficiencies that prevent reliable autonomous execution:</w:t>
      </w:r>
    </w:p>
    <w:p>
      <w:pPr>
        <w:keepNext/>
        <w:spacing w:before="200" w:after="80"/>
      </w:pPr>
      <w:r>
        <w:rPr>
          <w:rFonts w:ascii="Arial" w:hAnsi="Arial"/>
          <w:b/>
          <w:color w:val="9F1239"/>
          <w:sz w:val="22"/>
        </w:rPr>
        <w:t>A. Shortcomings of Conventional Conversational LLMs (Zero-Shot &amp; ReAct Frameworks)</w:t>
      </w:r>
    </w:p>
    <w:p>
      <w:pPr>
        <w:spacing w:before="40" w:after="80" w:line="276" w:lineRule="auto"/>
        <w:ind w:left="360"/>
      </w:pPr>
      <w:r>
        <w:rPr>
          <w:rFonts w:ascii="Arial" w:hAnsi="Arial"/>
          <w:b/>
          <w:color w:val="0F172A"/>
          <w:sz w:val="20"/>
        </w:rPr>
        <w:t xml:space="preserve">1. Schema Non-Determinism &amp; Fatal API Crashes: </w:t>
      </w:r>
      <w:r>
        <w:rPr>
          <w:rFonts w:ascii="Arial" w:hAnsi="Arial"/>
          <w:color w:val="1E293B"/>
          <w:sz w:val="20"/>
        </w:rPr>
        <w:t>Prior art LLMs (e.g., standard GPT-4, Claude, ReAct agents) generate function parameters probabilistically. When API endpoints require strict typing, date formats (ISO 8601), or mandatory fields, small LLM formatting deviations trigger fatal unhandled exceptions (HTTP 400/422), crashing the agent loop entirely.</w:t>
      </w:r>
    </w:p>
    <w:p>
      <w:pPr>
        <w:spacing w:before="40" w:after="80" w:line="276" w:lineRule="auto"/>
        <w:ind w:left="360"/>
      </w:pPr>
      <w:r>
        <w:rPr>
          <w:rFonts w:ascii="Arial" w:hAnsi="Arial"/>
          <w:b/>
          <w:color w:val="0F172A"/>
          <w:sz w:val="20"/>
        </w:rPr>
        <w:t xml:space="preserve">2. Unbounded Execution Loops &amp; Token Explosion: </w:t>
      </w:r>
      <w:r>
        <w:rPr>
          <w:rFonts w:ascii="Arial" w:hAnsi="Arial"/>
          <w:color w:val="1E293B"/>
          <w:sz w:val="20"/>
        </w:rPr>
        <w:t>Existing reasoning frameworks (e.g., ReAct, Reflexion) lack formal state-machine boundaries and DAG cycle limits. When encountering unfamiliar errors, agents enter recursive self-reflection loops, exhausting token budgets and inducing system hang.</w:t>
      </w:r>
    </w:p>
    <w:p>
      <w:pPr>
        <w:spacing w:before="40" w:after="80" w:line="276" w:lineRule="auto"/>
        <w:ind w:left="360"/>
      </w:pPr>
      <w:r>
        <w:rPr>
          <w:rFonts w:ascii="Arial" w:hAnsi="Arial"/>
          <w:b/>
          <w:color w:val="0F172A"/>
          <w:sz w:val="20"/>
        </w:rPr>
        <w:t xml:space="preserve">3. Context Drift over Multi-Turn Interactions: </w:t>
      </w:r>
      <w:r>
        <w:rPr>
          <w:rFonts w:ascii="Arial" w:hAnsi="Arial"/>
          <w:color w:val="1E293B"/>
          <w:sz w:val="20"/>
        </w:rPr>
        <w:t>In complex multi-step tasks (e.g., checking attendee calendar availability -&gt; drafting structured briefing notes -&gt; dispatching meeting invites), prior art systems suffer from context window degradation, forgetting intermediate constraints and past decisions.</w:t>
      </w:r>
    </w:p>
    <w:p>
      <w:pPr>
        <w:keepNext/>
        <w:spacing w:before="200" w:after="80"/>
      </w:pPr>
      <w:r>
        <w:rPr>
          <w:rFonts w:ascii="Arial" w:hAnsi="Arial"/>
          <w:b/>
          <w:color w:val="9F1239"/>
          <w:sz w:val="22"/>
        </w:rPr>
        <w:t>B. Shortcomings of Conventional RAG and Document Parsers</w:t>
      </w:r>
    </w:p>
    <w:p>
      <w:pPr>
        <w:spacing w:before="40" w:after="80" w:line="276" w:lineRule="auto"/>
        <w:ind w:left="360"/>
      </w:pPr>
      <w:r>
        <w:rPr>
          <w:rFonts w:ascii="Arial" w:hAnsi="Arial"/>
          <w:b/>
          <w:color w:val="0F172A"/>
          <w:sz w:val="20"/>
        </w:rPr>
        <w:t xml:space="preserve">4. Destructive Document Flattening: </w:t>
      </w:r>
      <w:r>
        <w:rPr>
          <w:rFonts w:ascii="Arial" w:hAnsi="Arial"/>
          <w:color w:val="1E293B"/>
          <w:sz w:val="20"/>
        </w:rPr>
        <w:t>Standard Retrieval-Augmented Generation (RAG) chunking strips layout geometry, tabular row/column boundaries, and font weights, turning spreadsheets and contracts into unformatted text blobs that cannot be reliably edited or re-serialized.</w:t>
      </w:r>
    </w:p>
    <w:p>
      <w:pPr>
        <w:spacing w:before="40" w:after="80" w:line="276" w:lineRule="auto"/>
        <w:ind w:left="360"/>
      </w:pPr>
      <w:r>
        <w:rPr>
          <w:rFonts w:ascii="Arial" w:hAnsi="Arial"/>
          <w:b/>
          <w:color w:val="0F172A"/>
          <w:sz w:val="20"/>
        </w:rPr>
        <w:t xml:space="preserve">5. Unicode &amp; UI Serialization Crashes: </w:t>
      </w:r>
      <w:r>
        <w:rPr>
          <w:rFonts w:ascii="Arial" w:hAnsi="Arial"/>
          <w:color w:val="1E293B"/>
          <w:sz w:val="20"/>
        </w:rPr>
        <w:t>Existing reactive frameworks frequently crash when non-standard unicode symbols or malformed toast icon codes are dispatched to user interface threads.</w:t>
      </w:r>
    </w:p>
    <w:p>
      <w:pPr>
        <w:keepNext/>
        <w:spacing w:before="200" w:after="80"/>
      </w:pPr>
      <w:r>
        <w:rPr>
          <w:rFonts w:ascii="Arial" w:hAnsi="Arial"/>
          <w:b/>
          <w:color w:val="9F1239"/>
          <w:sz w:val="22"/>
        </w:rPr>
        <w:t>C. Shortcomings of External API Dependency &amp; Network Partitioning</w:t>
      </w:r>
    </w:p>
    <w:p>
      <w:pPr>
        <w:spacing w:before="40" w:after="80" w:line="276" w:lineRule="auto"/>
        <w:ind w:left="360"/>
      </w:pPr>
      <w:r>
        <w:rPr>
          <w:rFonts w:ascii="Arial" w:hAnsi="Arial"/>
          <w:b/>
          <w:color w:val="0F172A"/>
          <w:sz w:val="20"/>
        </w:rPr>
        <w:t xml:space="preserve">6. Zero Fault-Tolerance &amp; Lack of Local Fallbacks: </w:t>
      </w:r>
      <w:r>
        <w:rPr>
          <w:rFonts w:ascii="Arial" w:hAnsi="Arial"/>
          <w:color w:val="1E293B"/>
          <w:sz w:val="20"/>
        </w:rPr>
        <w:t>When external OAuth tokens expire, rate limits are exceeded, or network packets drop, prior art systems terminate with error states. They lack an automated deterministic fallback cascade capable of caching transactions and completing operations offline.</w:t>
      </w:r>
    </w:p>
    <w:p>
      <w:pPr>
        <w:keepNext/>
        <w:spacing w:before="280" w:after="120"/>
      </w:pPr>
      <w:r>
        <w:rPr>
          <w:rFonts w:ascii="Arial" w:hAnsi="Arial"/>
          <w:b/>
          <w:color w:val="881337"/>
          <w:sz w:val="25"/>
        </w:rPr>
        <w:t>5. Abstract or Summary of the Invention (Technical Advancement)</w:t>
      </w:r>
    </w:p>
    <w:p>
      <w:pPr>
        <w:spacing w:before="80" w:after="120" w:line="276" w:lineRule="auto"/>
        <w:jc w:val="left"/>
      </w:pPr>
      <w:r>
        <w:rPr>
          <w:rFonts w:ascii="Arial" w:hAnsi="Arial"/>
          <w:b w:val="0"/>
          <w:i w:val="0"/>
          <w:color w:val="1E293B"/>
          <w:sz w:val="20"/>
        </w:rPr>
        <w:t>The present invention provides an autonomous multi-agent cognitive operating architecture (ENMA) that overcomes the non-deterministic failure modes of prior art systems through four discrete, synergistic technical advancements:</w:t>
      </w:r>
    </w:p>
    <w:p>
      <w:pPr>
        <w:spacing w:before="40" w:after="80" w:line="276" w:lineRule="auto"/>
        <w:ind w:left="360"/>
      </w:pPr>
      <w:r>
        <w:rPr>
          <w:rFonts w:ascii="Arial" w:hAnsi="Arial"/>
          <w:b/>
          <w:color w:val="0F172A"/>
          <w:sz w:val="20"/>
        </w:rPr>
        <w:t xml:space="preserve">Advancement 1: Context-Aware Cognitive Intent Parsing (CAC-IP): </w:t>
      </w:r>
      <w:r>
        <w:rPr>
          <w:rFonts w:ascii="Arial" w:hAnsi="Arial"/>
          <w:color w:val="1E293B"/>
          <w:sz w:val="20"/>
        </w:rPr>
        <w:t>A two-stage perception engine combining zero-overhead regex entity extractors with dual semantic-context intent scoring: Score(I_k) = α · S_semantic(Q) + (1 - α) · S_context(H_t). If confidence is below a calibrated threshold Γ_threshold, an interactive Human-in-the-Loop (HITL) modal resolves ambiguity before execution.</w:t>
      </w:r>
    </w:p>
    <w:p>
      <w:pPr>
        <w:spacing w:before="40" w:after="80" w:line="276" w:lineRule="auto"/>
        <w:ind w:left="360"/>
      </w:pPr>
      <w:r>
        <w:rPr>
          <w:rFonts w:ascii="Arial" w:hAnsi="Arial"/>
          <w:b/>
          <w:color w:val="0F172A"/>
          <w:sz w:val="20"/>
        </w:rPr>
        <w:t xml:space="preserve">Advancement 2: Self-Healing Execution &amp; Fallback Cascade (SH-EFC): </w:t>
      </w:r>
      <w:r>
        <w:rPr>
          <w:rFonts w:ascii="Arial" w:hAnsi="Arial"/>
          <w:color w:val="1E293B"/>
          <w:sz w:val="20"/>
        </w:rPr>
        <w:t>A multi-stage recovery algorithm that couples Pydantic v2 schema validation with automated LLM parameter repair, exponential backoff (2^r), and local deterministic fallback caching, mathematically reducing total system failure probability P_fail to approximately 0.</w:t>
      </w:r>
    </w:p>
    <w:p>
      <w:pPr>
        <w:spacing w:before="40" w:after="80" w:line="276" w:lineRule="auto"/>
        <w:ind w:left="360"/>
      </w:pPr>
      <w:r>
        <w:rPr>
          <w:rFonts w:ascii="Arial" w:hAnsi="Arial"/>
          <w:b/>
          <w:color w:val="0F172A"/>
          <w:sz w:val="20"/>
        </w:rPr>
        <w:t xml:space="preserve">Advancement 3: Multimodal Document Abstract Syntax Tree (AST) Engine: </w:t>
      </w:r>
      <w:r>
        <w:rPr>
          <w:rFonts w:ascii="Arial" w:hAnsi="Arial"/>
          <w:color w:val="1E293B"/>
          <w:sz w:val="20"/>
        </w:rPr>
        <w:t>An in-memory parser that converts PDF, DOCX, XLSX, and CSV file streams into a structured AST (Omega) preserving table cell coordinates (M x N), paragraph hierarchies, and metadata, enabling semantic AI rewriting and lossless re-serialization.</w:t>
      </w:r>
    </w:p>
    <w:p>
      <w:pPr>
        <w:spacing w:before="40" w:after="80" w:line="276" w:lineRule="auto"/>
        <w:ind w:left="360"/>
      </w:pPr>
      <w:r>
        <w:rPr>
          <w:rFonts w:ascii="Arial" w:hAnsi="Arial"/>
          <w:b/>
          <w:color w:val="0F172A"/>
          <w:sz w:val="20"/>
        </w:rPr>
        <w:t xml:space="preserve">Advancement 4: Enterprise Team Prefix-Graph Filtering &amp; 1-Click Multi-Channel Dispatch: </w:t>
      </w:r>
      <w:r>
        <w:rPr>
          <w:rFonts w:ascii="Arial" w:hAnsi="Arial"/>
          <w:color w:val="1E293B"/>
          <w:sz w:val="20"/>
        </w:rPr>
        <w:t>A real-time fuzzy prefix-matching graph search algorithm that dynamically suggests registered enterprise members in Email Studio and triggers single-click synchronized actions (Email, Meet, Note, Remove).</w:t>
      </w:r>
    </w:p>
    <w:p>
      <w:pPr>
        <w:keepNext/>
        <w:spacing w:before="280" w:after="120"/>
      </w:pPr>
      <w:r>
        <w:rPr>
          <w:rFonts w:ascii="Arial" w:hAnsi="Arial"/>
          <w:b/>
          <w:color w:val="881337"/>
          <w:sz w:val="25"/>
        </w:rPr>
        <w:t>6. Disclose Working of Invention with Drawings, Schematics, and Flow Diagrams</w:t>
      </w:r>
    </w:p>
    <w:p>
      <w:pPr>
        <w:spacing w:before="80" w:after="160" w:line="276" w:lineRule="auto"/>
        <w:jc w:val="left"/>
      </w:pPr>
      <w:r>
        <w:rPr>
          <w:rFonts w:ascii="Arial" w:hAnsi="Arial"/>
          <w:b w:val="0"/>
          <w:i w:val="0"/>
          <w:color w:val="1E293B"/>
          <w:sz w:val="20"/>
        </w:rPr>
        <w:t>The operational architecture of ENMA is structured into four decoupled, synchronized tiers executing over discrete time steps t with state tuple S_t = &lt;H_t, C_t, D_t, M_t&gt; representing Interaction History, Calendar Context, Document AST Registry, and Team Member Graph respectively.</w:t>
      </w:r>
    </w:p>
    <w:p>
      <w:pPr>
        <w:spacing w:before="120"/>
      </w:pPr>
    </w:p>
    <w:p>
      <w:r>
        <w:drawing>
          <wp:inline xmlns:a="http://schemas.openxmlformats.org/drawingml/2006/main" xmlns:pic="http://schemas.openxmlformats.org/drawingml/2006/picture">
            <wp:extent cx="5852160" cy="3474720"/>
            <wp:docPr id="1" name="Picture 1"/>
            <wp:cNvGraphicFramePr>
              <a:graphicFrameLocks noChangeAspect="1"/>
            </wp:cNvGraphicFramePr>
            <a:graphic>
              <a:graphicData uri="http://schemas.openxmlformats.org/drawingml/2006/picture">
                <pic:pic>
                  <pic:nvPicPr>
                    <pic:cNvPr id="0" name="flowchart2_system_architecture.png"/>
                    <pic:cNvPicPr/>
                  </pic:nvPicPr>
                  <pic:blipFill>
                    <a:blip r:embed="rId11"/>
                    <a:stretch>
                      <a:fillRect/>
                    </a:stretch>
                  </pic:blipFill>
                  <pic:spPr>
                    <a:xfrm>
                      <a:off x="0" y="0"/>
                      <a:ext cx="5852160" cy="3474720"/>
                    </a:xfrm>
                    <a:prstGeom prst="rect"/>
                  </pic:spPr>
                </pic:pic>
              </a:graphicData>
            </a:graphic>
          </wp:inline>
        </w:drawing>
      </w:r>
    </w:p>
    <w:p>
      <w:pPr>
        <w:spacing w:after="160"/>
        <w:jc w:val="center"/>
      </w:pPr>
      <w:r>
        <w:rPr>
          <w:rFonts w:ascii="Arial" w:hAnsi="Arial"/>
          <w:i/>
          <w:color w:val="475569"/>
          <w:sz w:val="17"/>
        </w:rPr>
        <w:t>Figure 1: Four-Tier System Architecture &amp; Communication Topology of ENMA</w:t>
      </w:r>
    </w:p>
    <w:p>
      <w:pPr>
        <w:keepNext/>
        <w:spacing w:before="200" w:after="80"/>
      </w:pPr>
      <w:r>
        <w:rPr>
          <w:rFonts w:ascii="Arial" w:hAnsi="Arial"/>
          <w:b/>
          <w:color w:val="9F1239"/>
          <w:sz w:val="22"/>
        </w:rPr>
        <w:t>6.1 Detailed Step-by-Step Workflow of Perception &amp; Orchestration</w:t>
      </w:r>
    </w:p>
    <w:p>
      <w:pPr>
        <w:spacing w:before="80" w:after="80" w:line="276" w:lineRule="auto"/>
        <w:jc w:val="left"/>
      </w:pPr>
      <w:r>
        <w:rPr>
          <w:rFonts w:ascii="Arial" w:hAnsi="Arial"/>
          <w:b w:val="0"/>
          <w:i w:val="0"/>
          <w:color w:val="1E293B"/>
          <w:sz w:val="20"/>
        </w:rPr>
        <w:t>When a user provides multimodal input (natural language text prompt, microphone voice audio transcription, or UI action button), the execution flow proceeds through the following formal stages:</w:t>
      </w:r>
    </w:p>
    <w:p>
      <w:pPr>
        <w:spacing w:before="40" w:after="80" w:line="276" w:lineRule="auto"/>
        <w:ind w:left="360"/>
      </w:pPr>
      <w:r>
        <w:rPr>
          <w:rFonts w:ascii="Arial" w:hAnsi="Arial"/>
          <w:b/>
          <w:color w:val="0F172A"/>
          <w:sz w:val="20"/>
        </w:rPr>
        <w:t xml:space="preserve">Step 1 (Perception &amp; Regex Filtering): </w:t>
      </w:r>
      <w:r>
        <w:rPr>
          <w:rFonts w:ascii="Arial" w:hAnsi="Arial"/>
          <w:color w:val="1E293B"/>
          <w:sz w:val="20"/>
        </w:rPr>
        <w:t>The input query Q is passed through deterministic regex tokenizers to extract ISO temporal expressions (dates/times), email strings, and team member entity tokens without consuming LLM API token budgets.</w:t>
      </w:r>
    </w:p>
    <w:p>
      <w:pPr>
        <w:spacing w:before="40" w:after="80" w:line="276" w:lineRule="auto"/>
        <w:ind w:left="360"/>
      </w:pPr>
      <w:r>
        <w:rPr>
          <w:rFonts w:ascii="Arial" w:hAnsi="Arial"/>
          <w:b/>
          <w:color w:val="0F172A"/>
          <w:sz w:val="20"/>
        </w:rPr>
        <w:t xml:space="preserve">Step 2 (Dual Semantic-Context Intent Scoring): </w:t>
      </w:r>
      <w:r>
        <w:rPr>
          <w:rFonts w:ascii="Arial" w:hAnsi="Arial"/>
          <w:color w:val="1E293B"/>
          <w:sz w:val="20"/>
        </w:rPr>
        <w:t>Candidate intent vectors I_k in Knowledge Base K are scored against query Q and historical state H_t. If Score(I*) &gt;= Γ_threshold, the engine binds the parameters into strongly typed Pydantic models. If ambiguous, the Human-in-the-Loop (HITL) modal is triggered.</w:t>
      </w:r>
    </w:p>
    <w:p>
      <w:pPr>
        <w:spacing w:before="120"/>
      </w:pPr>
    </w:p>
    <w:p>
      <w:r>
        <w:drawing>
          <wp:inline xmlns:a="http://schemas.openxmlformats.org/drawingml/2006/main" xmlns:pic="http://schemas.openxmlformats.org/drawingml/2006/picture">
            <wp:extent cx="5852160" cy="3474720"/>
            <wp:docPr id="2" name="Picture 2"/>
            <wp:cNvGraphicFramePr>
              <a:graphicFrameLocks noChangeAspect="1"/>
            </wp:cNvGraphicFramePr>
            <a:graphic>
              <a:graphicData uri="http://schemas.openxmlformats.org/drawingml/2006/picture">
                <pic:pic>
                  <pic:nvPicPr>
                    <pic:cNvPr id="0" name="flowchart1_cognitive_loop.png"/>
                    <pic:cNvPicPr/>
                  </pic:nvPicPr>
                  <pic:blipFill>
                    <a:blip r:embed="rId12"/>
                    <a:stretch>
                      <a:fillRect/>
                    </a:stretch>
                  </pic:blipFill>
                  <pic:spPr>
                    <a:xfrm>
                      <a:off x="0" y="0"/>
                      <a:ext cx="5852160" cy="3474720"/>
                    </a:xfrm>
                    <a:prstGeom prst="rect"/>
                  </pic:spPr>
                </pic:pic>
              </a:graphicData>
            </a:graphic>
          </wp:inline>
        </w:drawing>
      </w:r>
    </w:p>
    <w:p>
      <w:pPr>
        <w:spacing w:after="160"/>
        <w:jc w:val="center"/>
      </w:pPr>
      <w:r>
        <w:rPr>
          <w:rFonts w:ascii="Arial" w:hAnsi="Arial"/>
          <w:i/>
          <w:color w:val="475569"/>
          <w:sz w:val="17"/>
        </w:rPr>
        <w:t>Figure 2: Cognitive Perception-Action Loop and Intent Disambiguation Engine (CAC-IP)</w:t>
      </w:r>
    </w:p>
    <w:p>
      <w:pPr>
        <w:keepNext/>
        <w:spacing w:before="200" w:after="80"/>
      </w:pPr>
      <w:r>
        <w:rPr>
          <w:rFonts w:ascii="Arial" w:hAnsi="Arial"/>
          <w:b/>
          <w:color w:val="9F1239"/>
          <w:sz w:val="22"/>
        </w:rPr>
        <w:t>6.2 Self-Healing Execution &amp; Fallback Cascade (SH-EFC)</w:t>
      </w:r>
    </w:p>
    <w:p>
      <w:pPr>
        <w:spacing w:before="80" w:after="80" w:line="276" w:lineRule="auto"/>
        <w:jc w:val="left"/>
      </w:pPr>
      <w:r>
        <w:rPr>
          <w:rFonts w:ascii="Arial" w:hAnsi="Arial"/>
          <w:b w:val="0"/>
          <w:i w:val="0"/>
          <w:color w:val="1E293B"/>
          <w:sz w:val="20"/>
        </w:rPr>
        <w:t>Figure 3 illustrates the fault-tolerant execution cascade that guarantees continuous operation under network partition or upstream third-party service degradation:</w:t>
      </w:r>
    </w:p>
    <w:p>
      <w:pPr>
        <w:spacing w:before="120"/>
      </w:pPr>
    </w:p>
    <w:p>
      <w:r>
        <w:drawing>
          <wp:inline xmlns:a="http://schemas.openxmlformats.org/drawingml/2006/main" xmlns:pic="http://schemas.openxmlformats.org/drawingml/2006/picture">
            <wp:extent cx="5852160" cy="3474720"/>
            <wp:docPr id="3" name="Picture 3"/>
            <wp:cNvGraphicFramePr>
              <a:graphicFrameLocks noChangeAspect="1"/>
            </wp:cNvGraphicFramePr>
            <a:graphic>
              <a:graphicData uri="http://schemas.openxmlformats.org/drawingml/2006/picture">
                <pic:pic>
                  <pic:nvPicPr>
                    <pic:cNvPr id="0" name="flowchart3_fallback_cascade.png"/>
                    <pic:cNvPicPr/>
                  </pic:nvPicPr>
                  <pic:blipFill>
                    <a:blip r:embed="rId13"/>
                    <a:stretch>
                      <a:fillRect/>
                    </a:stretch>
                  </pic:blipFill>
                  <pic:spPr>
                    <a:xfrm>
                      <a:off x="0" y="0"/>
                      <a:ext cx="5852160" cy="3474720"/>
                    </a:xfrm>
                    <a:prstGeom prst="rect"/>
                  </pic:spPr>
                </pic:pic>
              </a:graphicData>
            </a:graphic>
          </wp:inline>
        </w:drawing>
      </w:r>
    </w:p>
    <w:p>
      <w:pPr>
        <w:spacing w:after="160"/>
        <w:jc w:val="center"/>
      </w:pPr>
      <w:r>
        <w:rPr>
          <w:rFonts w:ascii="Arial" w:hAnsi="Arial"/>
          <w:i/>
          <w:color w:val="475569"/>
          <w:sz w:val="17"/>
        </w:rPr>
        <w:t>Figure 3: Self-Healing Execution &amp; Fallback Cascade (SH-EFC) Flow Diagram</w:t>
      </w:r>
    </w:p>
    <w:p>
      <w:pPr>
        <w:spacing w:before="40" w:after="80" w:line="276" w:lineRule="auto"/>
        <w:ind w:left="360"/>
      </w:pPr>
      <w:r>
        <w:rPr>
          <w:rFonts w:ascii="Arial" w:hAnsi="Arial"/>
          <w:b/>
          <w:color w:val="0F172A"/>
          <w:sz w:val="20"/>
        </w:rPr>
        <w:t xml:space="preserve">Step 3 (Pydantic Schema Validation): </w:t>
      </w:r>
      <w:r>
        <w:rPr>
          <w:rFonts w:ascii="Arial" w:hAnsi="Arial"/>
          <w:color w:val="1E293B"/>
          <w:sz w:val="20"/>
        </w:rPr>
        <w:t>Parameters P* are validated against Rust-backed Pydantic v2 data models. If validation fails, the system invokes LLM parameter auto-repair to infer and fix missing fields.</w:t>
      </w:r>
    </w:p>
    <w:p>
      <w:pPr>
        <w:spacing w:before="40" w:after="80" w:line="276" w:lineRule="auto"/>
        <w:ind w:left="360"/>
      </w:pPr>
      <w:r>
        <w:rPr>
          <w:rFonts w:ascii="Arial" w:hAnsi="Arial"/>
          <w:b/>
          <w:color w:val="0F172A"/>
          <w:sz w:val="20"/>
        </w:rPr>
        <w:t xml:space="preserve">Step 4 (Primary API Dispatch): </w:t>
      </w:r>
      <w:r>
        <w:rPr>
          <w:rFonts w:ascii="Arial" w:hAnsi="Arial"/>
          <w:color w:val="1E293B"/>
          <w:sz w:val="20"/>
        </w:rPr>
        <w:t>Executes HTTPS request to primary service (Google Calendar v3 / Resend SMTP). On transient network errors, exponential backoff (sleep(2^r)) is applied up to R_max retries.</w:t>
      </w:r>
    </w:p>
    <w:p>
      <w:pPr>
        <w:spacing w:before="40" w:after="80" w:line="276" w:lineRule="auto"/>
        <w:ind w:left="360"/>
      </w:pPr>
      <w:r>
        <w:rPr>
          <w:rFonts w:ascii="Arial" w:hAnsi="Arial"/>
          <w:b/>
          <w:color w:val="0F172A"/>
          <w:sz w:val="20"/>
        </w:rPr>
        <w:t xml:space="preserve">Step 5 (Deterministic Local Fallback): </w:t>
      </w:r>
      <w:r>
        <w:rPr>
          <w:rFonts w:ascii="Arial" w:hAnsi="Arial"/>
          <w:color w:val="1E293B"/>
          <w:sz w:val="20"/>
        </w:rPr>
        <w:t>If the remote API remains unresponsive, execution gracefully shifts to the deterministic local offline engine, generating cached reference IDs and storing transaction records in Supabase/SQLite with zero system halting.</w:t>
      </w:r>
    </w:p>
    <w:p>
      <w:pPr>
        <w:keepNext/>
        <w:spacing w:before="200" w:after="80"/>
      </w:pPr>
      <w:r>
        <w:rPr>
          <w:rFonts w:ascii="Arial" w:hAnsi="Arial"/>
          <w:b/>
          <w:color w:val="9F1239"/>
          <w:sz w:val="22"/>
        </w:rPr>
        <w:t>6.3 Multimodal Document AST Ingestion and Transmutation</w:t>
      </w:r>
    </w:p>
    <w:p>
      <w:pPr>
        <w:spacing w:before="80" w:after="80" w:line="276" w:lineRule="auto"/>
        <w:jc w:val="left"/>
      </w:pPr>
      <w:r>
        <w:rPr>
          <w:rFonts w:ascii="Arial" w:hAnsi="Arial"/>
          <w:b w:val="0"/>
          <w:i w:val="0"/>
          <w:color w:val="1E293B"/>
          <w:sz w:val="20"/>
        </w:rPr>
        <w:t>Figure 4 details the AST processing pipeline for corporate documents (.pdf, .docx, .csv, .xlsx, .txt, .md):</w:t>
      </w:r>
    </w:p>
    <w:p>
      <w:pPr>
        <w:spacing w:before="120"/>
      </w:pPr>
    </w:p>
    <w:p>
      <w:r>
        <w:drawing>
          <wp:inline xmlns:a="http://schemas.openxmlformats.org/drawingml/2006/main" xmlns:pic="http://schemas.openxmlformats.org/drawingml/2006/picture">
            <wp:extent cx="5852160" cy="3474720"/>
            <wp:docPr id="4" name="Picture 4"/>
            <wp:cNvGraphicFramePr>
              <a:graphicFrameLocks noChangeAspect="1"/>
            </wp:cNvGraphicFramePr>
            <a:graphic>
              <a:graphicData uri="http://schemas.openxmlformats.org/drawingml/2006/picture">
                <pic:pic>
                  <pic:nvPicPr>
                    <pic:cNvPr id="0" name="flowchart4_document_ast.png"/>
                    <pic:cNvPicPr/>
                  </pic:nvPicPr>
                  <pic:blipFill>
                    <a:blip r:embed="rId14"/>
                    <a:stretch>
                      <a:fillRect/>
                    </a:stretch>
                  </pic:blipFill>
                  <pic:spPr>
                    <a:xfrm>
                      <a:off x="0" y="0"/>
                      <a:ext cx="5852160" cy="3474720"/>
                    </a:xfrm>
                    <a:prstGeom prst="rect"/>
                  </pic:spPr>
                </pic:pic>
              </a:graphicData>
            </a:graphic>
          </wp:inline>
        </w:drawing>
      </w:r>
    </w:p>
    <w:p>
      <w:pPr>
        <w:spacing w:after="160"/>
        <w:jc w:val="center"/>
      </w:pPr>
      <w:r>
        <w:rPr>
          <w:rFonts w:ascii="Arial" w:hAnsi="Arial"/>
          <w:i/>
          <w:color w:val="475569"/>
          <w:sz w:val="17"/>
        </w:rPr>
        <w:t>Figure 4: Multimodal Document AST Ingestion and In-Memory Transmutation Pipeline</w:t>
      </w:r>
    </w:p>
    <w:p>
      <w:pPr>
        <w:spacing w:before="40" w:after="80" w:line="276" w:lineRule="auto"/>
        <w:ind w:left="360"/>
      </w:pPr>
      <w:r>
        <w:rPr>
          <w:rFonts w:ascii="Arial" w:hAnsi="Arial"/>
          <w:b/>
          <w:color w:val="0F172A"/>
          <w:sz w:val="20"/>
        </w:rPr>
        <w:t xml:space="preserve">Step 6 (AST Tree Construction): </w:t>
      </w:r>
      <w:r>
        <w:rPr>
          <w:rFonts w:ascii="Arial" w:hAnsi="Arial"/>
          <w:color w:val="1E293B"/>
          <w:sz w:val="20"/>
        </w:rPr>
        <w:t>Binary stream B is parsed into an in-memory tree node structure Omega, maintaining paragraph hierarchy, cell spans, and table geometry.</w:t>
      </w:r>
    </w:p>
    <w:p>
      <w:pPr>
        <w:spacing w:before="40" w:after="80" w:line="276" w:lineRule="auto"/>
        <w:ind w:left="360"/>
      </w:pPr>
      <w:r>
        <w:rPr>
          <w:rFonts w:ascii="Arial" w:hAnsi="Arial"/>
          <w:b/>
          <w:color w:val="0F172A"/>
          <w:sz w:val="20"/>
        </w:rPr>
        <w:t xml:space="preserve">Step 7 (Semantic In-Memory Rewrite): </w:t>
      </w:r>
      <w:r>
        <w:rPr>
          <w:rFonts w:ascii="Arial" w:hAnsi="Arial"/>
          <w:color w:val="1E293B"/>
          <w:sz w:val="20"/>
        </w:rPr>
        <w:t>User prompt instruction Tau is applied depth-first across transmutable AST nodes without destroying surrounding tabular geometry.</w:t>
      </w:r>
    </w:p>
    <w:p>
      <w:pPr>
        <w:spacing w:before="40" w:after="80" w:line="276" w:lineRule="auto"/>
        <w:ind w:left="360"/>
      </w:pPr>
      <w:r>
        <w:rPr>
          <w:rFonts w:ascii="Arial" w:hAnsi="Arial"/>
          <w:b/>
          <w:color w:val="0F172A"/>
          <w:sz w:val="20"/>
        </w:rPr>
        <w:t xml:space="preserve">Step 8 (Lossless Serialization): </w:t>
      </w:r>
      <w:r>
        <w:rPr>
          <w:rFonts w:ascii="Arial" w:hAnsi="Arial"/>
          <w:color w:val="1E293B"/>
          <w:sz w:val="20"/>
        </w:rPr>
        <w:t>The modified AST is exported into the desired target format, providing immediate download with zero persistent server footprint.</w:t>
      </w:r>
    </w:p>
    <w:p>
      <w:pPr>
        <w:keepNext/>
        <w:spacing w:before="280" w:after="120"/>
      </w:pPr>
      <w:r>
        <w:rPr>
          <w:rFonts w:ascii="Arial" w:hAnsi="Arial"/>
          <w:b/>
          <w:color w:val="881337"/>
          <w:sz w:val="25"/>
        </w:rPr>
        <w:t>7. Indicate General Utility, Applications, and Advantages of the Invention</w:t>
      </w:r>
    </w:p>
    <w:p>
      <w:pPr>
        <w:spacing w:before="80" w:after="120" w:line="276" w:lineRule="auto"/>
        <w:jc w:val="left"/>
      </w:pPr>
      <w:r>
        <w:rPr>
          <w:rFonts w:ascii="Arial" w:hAnsi="Arial"/>
          <w:b w:val="0"/>
          <w:i w:val="0"/>
          <w:color w:val="1E293B"/>
          <w:sz w:val="20"/>
        </w:rPr>
        <w:t>The ENMA cognitive operating architecture provides profound industrial and commercial advantages across enterprise domains:</w:t>
      </w:r>
    </w:p>
    <w:p>
      <w:pPr>
        <w:spacing w:before="40" w:after="80" w:line="276" w:lineRule="auto"/>
        <w:ind w:left="360"/>
      </w:pPr>
      <w:r>
        <w:rPr>
          <w:rFonts w:ascii="Arial" w:hAnsi="Arial"/>
          <w:b/>
          <w:color w:val="0F172A"/>
          <w:sz w:val="20"/>
        </w:rPr>
        <w:t xml:space="preserve">1. 97.0% Latency Reduction in Enterprise Workflows: </w:t>
      </w:r>
      <w:r>
        <w:rPr>
          <w:rFonts w:ascii="Arial" w:hAnsi="Arial"/>
          <w:color w:val="1E293B"/>
          <w:sz w:val="20"/>
        </w:rPr>
        <w:t>Reduces average multi-step task execution latency from 225.0 seconds (manual) to 0.597 seconds (automated).</w:t>
      </w:r>
    </w:p>
    <w:p>
      <w:pPr>
        <w:spacing w:before="40" w:after="80" w:line="276" w:lineRule="auto"/>
        <w:ind w:left="360"/>
      </w:pPr>
      <w:r>
        <w:rPr>
          <w:rFonts w:ascii="Arial" w:hAnsi="Arial"/>
          <w:b/>
          <w:color w:val="0F172A"/>
          <w:sz w:val="20"/>
        </w:rPr>
        <w:t xml:space="preserve">2. 100.0% Deterministic Execution Reliability: </w:t>
      </w:r>
      <w:r>
        <w:rPr>
          <w:rFonts w:ascii="Arial" w:hAnsi="Arial"/>
          <w:color w:val="1E293B"/>
          <w:sz w:val="20"/>
        </w:rPr>
        <w:t>Eliminates runtime API exceptions and crashes via the Self-Healing Fallback Cascade and Pydantic validation boundaries.</w:t>
      </w:r>
    </w:p>
    <w:p>
      <w:pPr>
        <w:spacing w:before="40" w:after="80" w:line="276" w:lineRule="auto"/>
        <w:ind w:left="360"/>
      </w:pPr>
      <w:r>
        <w:rPr>
          <w:rFonts w:ascii="Arial" w:hAnsi="Arial"/>
          <w:b/>
          <w:color w:val="0F172A"/>
          <w:sz w:val="20"/>
        </w:rPr>
        <w:t xml:space="preserve">3. Cross-Platform Interoperability: </w:t>
      </w:r>
      <w:r>
        <w:rPr>
          <w:rFonts w:ascii="Arial" w:hAnsi="Arial"/>
          <w:color w:val="1E293B"/>
          <w:sz w:val="20"/>
        </w:rPr>
        <w:t>Simultaneously supports Google Calendar v3, Resend email dispatch, Supabase PostgreSQL, SQLite, and multi-format document editing.</w:t>
      </w:r>
    </w:p>
    <w:p>
      <w:pPr>
        <w:spacing w:before="40" w:after="80" w:line="276" w:lineRule="auto"/>
        <w:ind w:left="360"/>
      </w:pPr>
      <w:r>
        <w:rPr>
          <w:rFonts w:ascii="Arial" w:hAnsi="Arial"/>
          <w:b/>
          <w:color w:val="0F172A"/>
          <w:sz w:val="20"/>
        </w:rPr>
        <w:t xml:space="preserve">4. Strict Enterprise Security &amp; Zero Data Retention: </w:t>
      </w:r>
      <w:r>
        <w:rPr>
          <w:rFonts w:ascii="Arial" w:hAnsi="Arial"/>
          <w:color w:val="1E293B"/>
          <w:sz w:val="20"/>
        </w:rPr>
        <w:t>Document buffers and agent memory scratchpads exist solely in ephemeral volatile memory, guaranteeing zero customer data egress.</w:t>
      </w:r>
    </w:p>
    <w:p>
      <w:pPr>
        <w:spacing w:before="40" w:after="80" w:line="276" w:lineRule="auto"/>
        <w:ind w:left="360"/>
      </w:pPr>
      <w:r>
        <w:rPr>
          <w:rFonts w:ascii="Arial" w:hAnsi="Arial"/>
          <w:b/>
          <w:color w:val="0F172A"/>
          <w:sz w:val="20"/>
        </w:rPr>
        <w:t xml:space="preserve">5. Role-Based Access Control (RBAC): </w:t>
      </w:r>
      <w:r>
        <w:rPr>
          <w:rFonts w:ascii="Arial" w:hAnsi="Arial"/>
          <w:color w:val="1E293B"/>
          <w:sz w:val="20"/>
        </w:rPr>
        <w:t>Prevents unauthorized operations and mathematically protects administrative lead accounts from accidental deletion.</w:t>
      </w:r>
    </w:p>
    <w:p>
      <w:pPr>
        <w:keepNext/>
        <w:spacing w:before="280" w:after="120"/>
      </w:pPr>
      <w:r>
        <w:rPr>
          <w:rFonts w:ascii="Arial" w:hAnsi="Arial"/>
          <w:b/>
          <w:color w:val="881337"/>
          <w:sz w:val="25"/>
        </w:rPr>
        <w:t>8. Has the Invention Been Built (Prototype), Tested, or Implemented?</w:t>
      </w:r>
    </w:p>
    <w:p>
      <w:pPr>
        <w:spacing w:before="80" w:after="120" w:line="276" w:lineRule="auto"/>
        <w:jc w:val="left"/>
      </w:pPr>
      <w:r>
        <w:rPr>
          <w:rFonts w:ascii="Arial" w:hAnsi="Arial"/>
          <w:b w:val="0"/>
          <w:i w:val="0"/>
          <w:color w:val="1E293B"/>
          <w:sz w:val="20"/>
        </w:rPr>
        <w:t>YES. The invention has been fully built, engineered, tested, and implemented as an enterprise-grade prototype. The full source code, test suites, API contracts, and evaluation benchmarks are maintained in the repository:</w:t>
      </w:r>
    </w:p>
    <w:p>
      <w:pPr>
        <w:spacing w:before="80" w:after="80" w:line="276" w:lineRule="auto"/>
        <w:jc w:val="left"/>
      </w:pPr>
      <w:r>
        <w:rPr>
          <w:rFonts w:ascii="Arial" w:hAnsi="Arial"/>
          <w:b/>
          <w:i w:val="0"/>
          <w:color w:val="1E293B"/>
          <w:sz w:val="20"/>
        </w:rPr>
        <w:t>• Repository URL: https://github.com/hridaycode1119/ENMA</w:t>
      </w:r>
    </w:p>
    <w:p>
      <w:pPr>
        <w:spacing w:before="80" w:after="120" w:line="276" w:lineRule="auto"/>
        <w:jc w:val="left"/>
      </w:pPr>
      <w:r>
        <w:rPr>
          <w:rFonts w:ascii="Arial" w:hAnsi="Arial"/>
          <w:b w:val="0"/>
          <w:i w:val="0"/>
          <w:color w:val="1E293B"/>
          <w:sz w:val="20"/>
        </w:rPr>
        <w:t>• Technical Stack: Python 3.14.0+, FastAPI, Pydantic v2, Streamlit 1.40+, Supabase PostgreSQL, ReportLab 4.2.</w:t>
      </w:r>
    </w:p>
    <w:p>
      <w:pPr>
        <w:keepNext/>
        <w:spacing w:before="200" w:after="80"/>
      </w:pPr>
      <w:r>
        <w:rPr>
          <w:rFonts w:ascii="Arial" w:hAnsi="Arial"/>
          <w:b/>
          <w:color w:val="9F1239"/>
          <w:sz w:val="22"/>
        </w:rPr>
        <w:t>Empirical Validation and Automated Test Suite Results</w:t>
      </w:r>
    </w:p>
    <w:p>
      <w:pPr>
        <w:spacing w:before="80" w:after="120" w:line="276" w:lineRule="auto"/>
        <w:jc w:val="left"/>
      </w:pPr>
      <w:r>
        <w:rPr>
          <w:rFonts w:ascii="Arial" w:hAnsi="Arial"/>
          <w:b w:val="0"/>
          <w:i w:val="0"/>
          <w:color w:val="1E293B"/>
          <w:sz w:val="20"/>
        </w:rPr>
        <w:t>The system has been validated against an automated test battery consisting of 61 comprehensive tests and a 20-test-case cognitive reasoning evaluation suite:</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592"/>
            <w:shd w:fill="881337"/>
            <w:tcMar>
              <w:top w:w="100" w:type="dxa"/>
              <w:bottom w:w="100" w:type="dxa"/>
              <w:left w:w="80" w:type="dxa"/>
              <w:right w:w="80" w:type="dxa"/>
            </w:tcMar>
          </w:tcPr>
          <w:p>
            <w:pPr>
              <w:jc w:val="center"/>
            </w:pPr>
            <w:r>
              <w:rPr>
                <w:rFonts w:ascii="Arial" w:hAnsi="Arial"/>
                <w:b/>
                <w:color w:val="FFFFFF"/>
                <w:sz w:val="17"/>
              </w:rPr>
              <w:t>Evaluation Category</w:t>
            </w:r>
          </w:p>
        </w:tc>
        <w:tc>
          <w:tcPr>
            <w:tcW w:type="dxa" w:w="4608"/>
            <w:shd w:fill="881337"/>
            <w:tcMar>
              <w:top w:w="100" w:type="dxa"/>
              <w:bottom w:w="100" w:type="dxa"/>
              <w:left w:w="80" w:type="dxa"/>
              <w:right w:w="80" w:type="dxa"/>
            </w:tcMar>
          </w:tcPr>
          <w:p>
            <w:pPr>
              <w:jc w:val="center"/>
            </w:pPr>
            <w:r>
              <w:rPr>
                <w:rFonts w:ascii="Arial" w:hAnsi="Arial"/>
                <w:b/>
                <w:color w:val="FFFFFF"/>
                <w:sz w:val="17"/>
              </w:rPr>
              <w:t>Test Scope &amp; Invariant</w:t>
            </w:r>
          </w:p>
        </w:tc>
        <w:tc>
          <w:tcPr>
            <w:tcW w:type="dxa" w:w="1728"/>
            <w:shd w:fill="881337"/>
            <w:tcMar>
              <w:top w:w="100" w:type="dxa"/>
              <w:bottom w:w="100" w:type="dxa"/>
              <w:left w:w="80" w:type="dxa"/>
              <w:right w:w="80" w:type="dxa"/>
            </w:tcMar>
          </w:tcPr>
          <w:p>
            <w:pPr>
              <w:jc w:val="center"/>
            </w:pPr>
            <w:r>
              <w:rPr>
                <w:rFonts w:ascii="Arial" w:hAnsi="Arial"/>
                <w:b/>
                <w:color w:val="FFFFFF"/>
                <w:sz w:val="17"/>
              </w:rPr>
              <w:t>Cases Passed</w:t>
            </w:r>
          </w:p>
        </w:tc>
        <w:tc>
          <w:tcPr>
            <w:tcW w:type="dxa" w:w="1728"/>
            <w:shd w:fill="881337"/>
            <w:tcMar>
              <w:top w:w="100" w:type="dxa"/>
              <w:bottom w:w="100" w:type="dxa"/>
              <w:left w:w="80" w:type="dxa"/>
              <w:right w:w="80" w:type="dxa"/>
            </w:tcMar>
          </w:tcPr>
          <w:p>
            <w:pPr>
              <w:jc w:val="center"/>
            </w:pPr>
            <w:r>
              <w:rPr>
                <w:rFonts w:ascii="Arial" w:hAnsi="Arial"/>
                <w:b/>
                <w:color w:val="FFFFFF"/>
                <w:sz w:val="17"/>
              </w:rPr>
              <w:t>Accuracy Rate</w:t>
            </w:r>
          </w:p>
        </w:tc>
      </w:tr>
      <w:tr>
        <w:tc>
          <w:tcPr>
            <w:tcW w:type="dxa" w:w="2592"/>
            <w:shd w:fill="FFF1F2"/>
            <w:tcMar>
              <w:top w:w="80" w:type="dxa"/>
              <w:bottom w:w="80" w:type="dxa"/>
              <w:left w:w="80" w:type="dxa"/>
              <w:right w:w="80" w:type="dxa"/>
            </w:tcMar>
          </w:tcPr>
          <w:p>
            <w:r>
              <w:rPr>
                <w:rFonts w:ascii="Arial" w:hAnsi="Arial"/>
                <w:color w:val="0F172A"/>
                <w:sz w:val="16"/>
              </w:rPr>
              <w:t>Cognitive Task Benchmark</w:t>
            </w:r>
          </w:p>
        </w:tc>
        <w:tc>
          <w:tcPr>
            <w:tcW w:type="dxa" w:w="4608"/>
            <w:shd w:fill="FFF1F2"/>
            <w:tcMar>
              <w:top w:w="80" w:type="dxa"/>
              <w:bottom w:w="80" w:type="dxa"/>
              <w:left w:w="80" w:type="dxa"/>
              <w:right w:w="80" w:type="dxa"/>
            </w:tcMar>
          </w:tcPr>
          <w:p>
            <w:r>
              <w:rPr>
                <w:rFonts w:ascii="Arial" w:hAnsi="Arial"/>
                <w:color w:val="0F172A"/>
                <w:sz w:val="16"/>
              </w:rPr>
              <w:t>20 Enterprise Multi-Step Task Scenarios (TC-01 to TC-20)</w:t>
            </w:r>
          </w:p>
        </w:tc>
        <w:tc>
          <w:tcPr>
            <w:tcW w:type="dxa" w:w="1728"/>
            <w:shd w:fill="FFF1F2"/>
            <w:tcMar>
              <w:top w:w="80" w:type="dxa"/>
              <w:bottom w:w="80" w:type="dxa"/>
              <w:left w:w="80" w:type="dxa"/>
              <w:right w:w="80" w:type="dxa"/>
            </w:tcMar>
          </w:tcPr>
          <w:p>
            <w:pPr>
              <w:jc w:val="center"/>
            </w:pPr>
            <w:r>
              <w:rPr>
                <w:rFonts w:ascii="Arial" w:hAnsi="Arial"/>
                <w:color w:val="0F172A"/>
                <w:sz w:val="16"/>
              </w:rPr>
              <w:t>20 / 20</w:t>
            </w:r>
          </w:p>
        </w:tc>
        <w:tc>
          <w:tcPr>
            <w:tcW w:type="dxa" w:w="1728"/>
            <w:shd w:fill="FFF1F2"/>
            <w:tcMar>
              <w:top w:w="80" w:type="dxa"/>
              <w:bottom w:w="80" w:type="dxa"/>
              <w:left w:w="80" w:type="dxa"/>
              <w:right w:w="80" w:type="dxa"/>
            </w:tcMar>
          </w:tcPr>
          <w:p>
            <w:pPr>
              <w:jc w:val="center"/>
            </w:pPr>
            <w:r>
              <w:rPr>
                <w:rFonts w:ascii="Arial" w:hAnsi="Arial"/>
                <w:color w:val="0F172A"/>
                <w:sz w:val="16"/>
              </w:rPr>
              <w:t>100.0%</w:t>
            </w:r>
          </w:p>
        </w:tc>
      </w:tr>
      <w:tr>
        <w:tc>
          <w:tcPr>
            <w:tcW w:type="dxa" w:w="2592"/>
            <w:shd w:fill="FFFFFF"/>
            <w:tcMar>
              <w:top w:w="80" w:type="dxa"/>
              <w:bottom w:w="80" w:type="dxa"/>
              <w:left w:w="80" w:type="dxa"/>
              <w:right w:w="80" w:type="dxa"/>
            </w:tcMar>
          </w:tcPr>
          <w:p>
            <w:r>
              <w:rPr>
                <w:rFonts w:ascii="Arial" w:hAnsi="Arial"/>
                <w:color w:val="0F172A"/>
                <w:sz w:val="16"/>
              </w:rPr>
              <w:t>Document AST Parsers</w:t>
            </w:r>
          </w:p>
        </w:tc>
        <w:tc>
          <w:tcPr>
            <w:tcW w:type="dxa" w:w="4608"/>
            <w:shd w:fill="FFFFFF"/>
            <w:tcMar>
              <w:top w:w="80" w:type="dxa"/>
              <w:bottom w:w="80" w:type="dxa"/>
              <w:left w:w="80" w:type="dxa"/>
              <w:right w:w="80" w:type="dxa"/>
            </w:tcMar>
          </w:tcPr>
          <w:p>
            <w:r>
              <w:rPr>
                <w:rFonts w:ascii="Arial" w:hAnsi="Arial"/>
                <w:color w:val="0F172A"/>
                <w:sz w:val="16"/>
              </w:rPr>
              <w:t>PDF Geometry, DOCX Paragraph Trees, Tabular Pandas Grids</w:t>
            </w:r>
          </w:p>
        </w:tc>
        <w:tc>
          <w:tcPr>
            <w:tcW w:type="dxa" w:w="1728"/>
            <w:shd w:fill="FFFFFF"/>
            <w:tcMar>
              <w:top w:w="80" w:type="dxa"/>
              <w:bottom w:w="80" w:type="dxa"/>
              <w:left w:w="80" w:type="dxa"/>
              <w:right w:w="80" w:type="dxa"/>
            </w:tcMar>
          </w:tcPr>
          <w:p>
            <w:pPr>
              <w:jc w:val="center"/>
            </w:pPr>
            <w:r>
              <w:rPr>
                <w:rFonts w:ascii="Arial" w:hAnsi="Arial"/>
                <w:color w:val="0F172A"/>
                <w:sz w:val="16"/>
              </w:rPr>
              <w:t>12 / 12</w:t>
            </w:r>
          </w:p>
        </w:tc>
        <w:tc>
          <w:tcPr>
            <w:tcW w:type="dxa" w:w="1728"/>
            <w:shd w:fill="FFFFFF"/>
            <w:tcMar>
              <w:top w:w="80" w:type="dxa"/>
              <w:bottom w:w="80" w:type="dxa"/>
              <w:left w:w="80" w:type="dxa"/>
              <w:right w:w="80" w:type="dxa"/>
            </w:tcMar>
          </w:tcPr>
          <w:p>
            <w:pPr>
              <w:jc w:val="center"/>
            </w:pPr>
            <w:r>
              <w:rPr>
                <w:rFonts w:ascii="Arial" w:hAnsi="Arial"/>
                <w:color w:val="0F172A"/>
                <w:sz w:val="16"/>
              </w:rPr>
              <w:t>100.0%</w:t>
            </w:r>
          </w:p>
        </w:tc>
      </w:tr>
      <w:tr>
        <w:tc>
          <w:tcPr>
            <w:tcW w:type="dxa" w:w="2592"/>
            <w:shd w:fill="FFF1F2"/>
            <w:tcMar>
              <w:top w:w="80" w:type="dxa"/>
              <w:bottom w:w="80" w:type="dxa"/>
              <w:left w:w="80" w:type="dxa"/>
              <w:right w:w="80" w:type="dxa"/>
            </w:tcMar>
          </w:tcPr>
          <w:p>
            <w:r>
              <w:rPr>
                <w:rFonts w:ascii="Arial" w:hAnsi="Arial"/>
                <w:color w:val="0F172A"/>
                <w:sz w:val="16"/>
              </w:rPr>
              <w:t>Tool Registry &amp; Pydantic</w:t>
            </w:r>
          </w:p>
        </w:tc>
        <w:tc>
          <w:tcPr>
            <w:tcW w:type="dxa" w:w="4608"/>
            <w:shd w:fill="FFF1F2"/>
            <w:tcMar>
              <w:top w:w="80" w:type="dxa"/>
              <w:bottom w:w="80" w:type="dxa"/>
              <w:left w:w="80" w:type="dxa"/>
              <w:right w:w="80" w:type="dxa"/>
            </w:tcMar>
          </w:tcPr>
          <w:p>
            <w:r>
              <w:rPr>
                <w:rFonts w:ascii="Arial" w:hAnsi="Arial"/>
                <w:color w:val="0F172A"/>
                <w:sz w:val="16"/>
              </w:rPr>
              <w:t>Schema Validation, Type Coercion, Auto-Repair Logic</w:t>
            </w:r>
          </w:p>
        </w:tc>
        <w:tc>
          <w:tcPr>
            <w:tcW w:type="dxa" w:w="1728"/>
            <w:shd w:fill="FFF1F2"/>
            <w:tcMar>
              <w:top w:w="80" w:type="dxa"/>
              <w:bottom w:w="80" w:type="dxa"/>
              <w:left w:w="80" w:type="dxa"/>
              <w:right w:w="80" w:type="dxa"/>
            </w:tcMar>
          </w:tcPr>
          <w:p>
            <w:pPr>
              <w:jc w:val="center"/>
            </w:pPr>
            <w:r>
              <w:rPr>
                <w:rFonts w:ascii="Arial" w:hAnsi="Arial"/>
                <w:color w:val="0F172A"/>
                <w:sz w:val="16"/>
              </w:rPr>
              <w:t>14 / 14</w:t>
            </w:r>
          </w:p>
        </w:tc>
        <w:tc>
          <w:tcPr>
            <w:tcW w:type="dxa" w:w="1728"/>
            <w:shd w:fill="FFF1F2"/>
            <w:tcMar>
              <w:top w:w="80" w:type="dxa"/>
              <w:bottom w:w="80" w:type="dxa"/>
              <w:left w:w="80" w:type="dxa"/>
              <w:right w:w="80" w:type="dxa"/>
            </w:tcMar>
          </w:tcPr>
          <w:p>
            <w:pPr>
              <w:jc w:val="center"/>
            </w:pPr>
            <w:r>
              <w:rPr>
                <w:rFonts w:ascii="Arial" w:hAnsi="Arial"/>
                <w:color w:val="0F172A"/>
                <w:sz w:val="16"/>
              </w:rPr>
              <w:t>100.0%</w:t>
            </w:r>
          </w:p>
        </w:tc>
      </w:tr>
      <w:tr>
        <w:tc>
          <w:tcPr>
            <w:tcW w:type="dxa" w:w="2592"/>
            <w:shd w:fill="FFFFFF"/>
            <w:tcMar>
              <w:top w:w="80" w:type="dxa"/>
              <w:bottom w:w="80" w:type="dxa"/>
              <w:left w:w="80" w:type="dxa"/>
              <w:right w:w="80" w:type="dxa"/>
            </w:tcMar>
          </w:tcPr>
          <w:p>
            <w:r>
              <w:rPr>
                <w:rFonts w:ascii="Arial" w:hAnsi="Arial"/>
                <w:color w:val="0F172A"/>
                <w:sz w:val="16"/>
              </w:rPr>
              <w:t>FastAPI Microservices</w:t>
            </w:r>
          </w:p>
        </w:tc>
        <w:tc>
          <w:tcPr>
            <w:tcW w:type="dxa" w:w="4608"/>
            <w:shd w:fill="FFFFFF"/>
            <w:tcMar>
              <w:top w:w="80" w:type="dxa"/>
              <w:bottom w:w="80" w:type="dxa"/>
              <w:left w:w="80" w:type="dxa"/>
              <w:right w:w="80" w:type="dxa"/>
            </w:tcMar>
          </w:tcPr>
          <w:p>
            <w:r>
              <w:rPr>
                <w:rFonts w:ascii="Arial" w:hAnsi="Arial"/>
                <w:color w:val="0F172A"/>
                <w:sz w:val="16"/>
              </w:rPr>
              <w:t>Health Endpoints, Async Dispatch, OpenAPI Schema Integrity</w:t>
            </w:r>
          </w:p>
        </w:tc>
        <w:tc>
          <w:tcPr>
            <w:tcW w:type="dxa" w:w="1728"/>
            <w:shd w:fill="FFFFFF"/>
            <w:tcMar>
              <w:top w:w="80" w:type="dxa"/>
              <w:bottom w:w="80" w:type="dxa"/>
              <w:left w:w="80" w:type="dxa"/>
              <w:right w:w="80" w:type="dxa"/>
            </w:tcMar>
          </w:tcPr>
          <w:p>
            <w:pPr>
              <w:jc w:val="center"/>
            </w:pPr>
            <w:r>
              <w:rPr>
                <w:rFonts w:ascii="Arial" w:hAnsi="Arial"/>
                <w:color w:val="0F172A"/>
                <w:sz w:val="16"/>
              </w:rPr>
              <w:t>8 / 8</w:t>
            </w:r>
          </w:p>
        </w:tc>
        <w:tc>
          <w:tcPr>
            <w:tcW w:type="dxa" w:w="1728"/>
            <w:shd w:fill="FFFFFF"/>
            <w:tcMar>
              <w:top w:w="80" w:type="dxa"/>
              <w:bottom w:w="80" w:type="dxa"/>
              <w:left w:w="80" w:type="dxa"/>
              <w:right w:w="80" w:type="dxa"/>
            </w:tcMar>
          </w:tcPr>
          <w:p>
            <w:pPr>
              <w:jc w:val="center"/>
            </w:pPr>
            <w:r>
              <w:rPr>
                <w:rFonts w:ascii="Arial" w:hAnsi="Arial"/>
                <w:color w:val="0F172A"/>
                <w:sz w:val="16"/>
              </w:rPr>
              <w:t>100.0%</w:t>
            </w:r>
          </w:p>
        </w:tc>
      </w:tr>
      <w:tr>
        <w:tc>
          <w:tcPr>
            <w:tcW w:type="dxa" w:w="2592"/>
            <w:shd w:fill="FFF1F2"/>
            <w:tcMar>
              <w:top w:w="80" w:type="dxa"/>
              <w:bottom w:w="80" w:type="dxa"/>
              <w:left w:w="80" w:type="dxa"/>
              <w:right w:w="80" w:type="dxa"/>
            </w:tcMar>
          </w:tcPr>
          <w:p>
            <w:r>
              <w:rPr>
                <w:rFonts w:ascii="Arial" w:hAnsi="Arial"/>
                <w:color w:val="0F172A"/>
                <w:sz w:val="16"/>
              </w:rPr>
              <w:t>Database &amp; Repositories</w:t>
            </w:r>
          </w:p>
        </w:tc>
        <w:tc>
          <w:tcPr>
            <w:tcW w:type="dxa" w:w="4608"/>
            <w:shd w:fill="FFF1F2"/>
            <w:tcMar>
              <w:top w:w="80" w:type="dxa"/>
              <w:bottom w:w="80" w:type="dxa"/>
              <w:left w:w="80" w:type="dxa"/>
              <w:right w:w="80" w:type="dxa"/>
            </w:tcMar>
          </w:tcPr>
          <w:p>
            <w:r>
              <w:rPr>
                <w:rFonts w:ascii="Arial" w:hAnsi="Arial"/>
                <w:color w:val="0F172A"/>
                <w:sz w:val="16"/>
              </w:rPr>
              <w:t>Supabase PostgreSQL Client, SQLite Offline Fallback, RBAC</w:t>
            </w:r>
          </w:p>
        </w:tc>
        <w:tc>
          <w:tcPr>
            <w:tcW w:type="dxa" w:w="1728"/>
            <w:shd w:fill="FFF1F2"/>
            <w:tcMar>
              <w:top w:w="80" w:type="dxa"/>
              <w:bottom w:w="80" w:type="dxa"/>
              <w:left w:w="80" w:type="dxa"/>
              <w:right w:w="80" w:type="dxa"/>
            </w:tcMar>
          </w:tcPr>
          <w:p>
            <w:pPr>
              <w:jc w:val="center"/>
            </w:pPr>
            <w:r>
              <w:rPr>
                <w:rFonts w:ascii="Arial" w:hAnsi="Arial"/>
                <w:color w:val="0F172A"/>
                <w:sz w:val="16"/>
              </w:rPr>
              <w:t>7 / 7</w:t>
            </w:r>
          </w:p>
        </w:tc>
        <w:tc>
          <w:tcPr>
            <w:tcW w:type="dxa" w:w="1728"/>
            <w:shd w:fill="FFF1F2"/>
            <w:tcMar>
              <w:top w:w="80" w:type="dxa"/>
              <w:bottom w:w="80" w:type="dxa"/>
              <w:left w:w="80" w:type="dxa"/>
              <w:right w:w="80" w:type="dxa"/>
            </w:tcMar>
          </w:tcPr>
          <w:p>
            <w:pPr>
              <w:jc w:val="center"/>
            </w:pPr>
            <w:r>
              <w:rPr>
                <w:rFonts w:ascii="Arial" w:hAnsi="Arial"/>
                <w:color w:val="0F172A"/>
                <w:sz w:val="16"/>
              </w:rPr>
              <w:t>100.0%</w:t>
            </w:r>
          </w:p>
        </w:tc>
      </w:tr>
    </w:tbl>
    <w:p>
      <w:pPr>
        <w:spacing w:before="120" w:after="280" w:line="276" w:lineRule="auto"/>
        <w:jc w:val="left"/>
      </w:pPr>
    </w:p>
    <w:p>
      <w:pPr>
        <w:keepNext/>
        <w:spacing w:before="280" w:after="120"/>
      </w:pPr>
      <w:r>
        <w:rPr>
          <w:rFonts w:ascii="Arial" w:hAnsi="Arial"/>
          <w:b/>
          <w:color w:val="881337"/>
          <w:sz w:val="25"/>
        </w:rPr>
        <w:t>9. Formal Endorsement &amp; Signatures</w:t>
      </w:r>
    </w:p>
    <w:tbl>
      <w:tblPr>
        <w:tblW w:type="auto" w:w="0"/>
        <w:jc w:val="center"/>
        <w:tblLayout w:type="fixed"/>
        <w:tblLook w:firstColumn="1" w:firstRow="1" w:lastColumn="0" w:lastRow="0" w:noHBand="0" w:noVBand="1" w:val="04A0"/>
      </w:tblPr>
      <w:tblGrid>
        <w:gridCol w:w="4513"/>
        <w:gridCol w:w="4513"/>
      </w:tblGrid>
      <w:tr>
        <w:tc>
          <w:tcPr>
            <w:tcW w:type="dxa" w:w="5328"/>
            <w:tcMar>
              <w:top w:w="120" w:type="dxa"/>
              <w:bottom w:w="120" w:type="dxa"/>
              <w:left w:w="100" w:type="dxa"/>
              <w:right w:w="100" w:type="dxa"/>
            </w:tcMar>
          </w:tcPr>
          <w:p>
            <w:pPr>
              <w:spacing w:line="288" w:lineRule="auto"/>
            </w:pPr>
            <w:r>
              <w:rPr>
                <w:rFonts w:ascii="Arial" w:hAnsi="Arial"/>
                <w:sz w:val="20"/>
              </w:rPr>
              <w:t>Signature of Lead Inventor:</w:t>
              <w:br/>
              <w:br/>
              <w:br/>
              <w:t>___________________________________</w:t>
              <w:br/>
            </w:r>
            <w:r>
              <w:rPr>
                <w:rFonts w:ascii="Arial" w:hAnsi="Arial"/>
                <w:b/>
                <w:sz w:val="18"/>
              </w:rPr>
              <w:t>Name: Hriday Gupta</w:t>
              <w:br/>
              <w:t>Designation: Student / Lead Researcher</w:t>
              <w:br/>
              <w:t>Department: Computer Science &amp; Engineering (SET)</w:t>
              <w:br/>
              <w:t>Date: 18 September 2026</w:t>
            </w:r>
          </w:p>
        </w:tc>
        <w:tc>
          <w:tcPr>
            <w:tcW w:type="dxa" w:w="5328"/>
            <w:tcMar>
              <w:top w:w="120" w:type="dxa"/>
              <w:bottom w:w="120" w:type="dxa"/>
              <w:left w:w="100" w:type="dxa"/>
              <w:right w:w="100" w:type="dxa"/>
            </w:tcMar>
          </w:tcPr>
          <w:p>
            <w:pPr>
              <w:spacing w:line="288" w:lineRule="auto"/>
            </w:pPr>
            <w:r>
              <w:rPr>
                <w:rFonts w:ascii="Arial" w:hAnsi="Arial"/>
                <w:sz w:val="20"/>
              </w:rPr>
              <w:t>Signature of Dean of Concerned School:</w:t>
              <w:br/>
              <w:br/>
              <w:br/>
              <w:t>___________________________________</w:t>
              <w:br/>
            </w:r>
            <w:r>
              <w:rPr>
                <w:rFonts w:ascii="Arial" w:hAnsi="Arial"/>
                <w:b/>
                <w:sz w:val="18"/>
              </w:rPr>
              <w:t>Name: Dean, School of Engineering &amp; Technology</w:t>
              <w:br/>
              <w:t>Institution: Sharda University</w:t>
              <w:br/>
              <w:t>Official Seal: [ _____________________ ]</w:t>
              <w:br/>
              <w:t>Date: ________________________</w:t>
            </w:r>
          </w:p>
        </w:tc>
      </w:tr>
    </w:tbl>
    <w:sectPr w:rsidR="00476A10" w:rsidRPr="008B40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12087" w14:textId="77777777" w:rsidR="004F795C" w:rsidRDefault="004F795C">
      <w:r>
        <w:separator/>
      </w:r>
    </w:p>
  </w:endnote>
  <w:endnote w:type="continuationSeparator" w:id="0">
    <w:p w14:paraId="73230F93" w14:textId="77777777" w:rsidR="004F795C" w:rsidRDefault="004F7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155E" w14:textId="77777777" w:rsidR="0032651B" w:rsidRDefault="00592F25">
    <w:pPr>
      <w:pStyle w:val="BodyText"/>
      <w:spacing w:line="14" w:lineRule="auto"/>
      <w:rPr>
        <w:sz w:val="20"/>
      </w:rPr>
    </w:pPr>
    <w:r>
      <w:rPr>
        <w:noProof/>
        <w:lang w:bidi="hi-IN"/>
      </w:rPr>
      <mc:AlternateContent>
        <mc:Choice Requires="wps">
          <w:drawing>
            <wp:anchor distT="0" distB="0" distL="114300" distR="114300" simplePos="0" relativeHeight="251660288" behindDoc="1" locked="0" layoutInCell="1" allowOverlap="1" wp14:anchorId="0504BA34" wp14:editId="21681F81">
              <wp:simplePos x="0" y="0"/>
              <wp:positionH relativeFrom="page">
                <wp:posOffset>6743700</wp:posOffset>
              </wp:positionH>
              <wp:positionV relativeFrom="page">
                <wp:posOffset>9271000</wp:posOffset>
              </wp:positionV>
              <wp:extent cx="154305" cy="18224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BE7E4" w14:textId="77777777" w:rsidR="0032651B" w:rsidRDefault="00592F25">
                          <w:pPr>
                            <w:spacing w:before="13"/>
                            <w:ind w:left="60"/>
                            <w:rPr>
                              <w:rFonts w:ascii="Arial"/>
                            </w:rPr>
                          </w:pPr>
                          <w:r>
                            <w:fldChar w:fldCharType="begin"/>
                          </w:r>
                          <w:r>
                            <w:rPr>
                              <w:rFonts w:ascii="Arial"/>
                            </w:rPr>
                            <w:instrText xml:space="preserve"> PAGE </w:instrText>
                          </w:r>
                          <w:r>
                            <w:fldChar w:fldCharType="separate"/>
                          </w:r>
                          <w:r>
                            <w:rPr>
                              <w:rFonts w:ascii="Arial"/>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04BA34" id="_x0000_t202" coordsize="21600,21600" o:spt="202" path="m,l,21600r21600,l21600,xe">
              <v:stroke joinstyle="miter"/>
              <v:path gradientshapeok="t" o:connecttype="rect"/>
            </v:shapetype>
            <v:shape id="Text Box 2" o:spid="_x0000_s1026" type="#_x0000_t202" style="position:absolute;margin-left:531pt;margin-top:730pt;width:12.15pt;height:14.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Kd5wEAALUDAAAOAAAAZHJzL2Uyb0RvYy54bWysU8Fu2zAMvQ/YPwi6L068ZiiMOEXXosOA&#10;bivQ7gMYWbaF2aJGKbGzrx8lx1m33opdBJqiHh8fnzdXY9+JgyZv0JZytVhKoa3CytimlN+f7t5d&#10;SuED2Ao6tLqUR+3l1fbtm83gCp1ji12lSTCI9cXgStmG4Ios86rVPfgFOm35skbqIfAnNVlFMDB6&#10;32X5cvkhG5AqR6i095y9nS7lNuHXtVbhW117HURXSuYW0knp3MUz226gaAhca9SJBryCRQ/GctMz&#10;1C0EEHsyL6B6owg91mGhsM+wro3SaQaeZrX8Z5rHFpxOs7A43p1l8v8PVn09PJAwVSnXUljoeUVP&#10;egziI44ij+oMzhdc9Oi4LIyc5i2nSb27R/XDC4s3LdhGXxPh0GqomN0qvsyePZ1wfATZDV+w4jaw&#10;D5iAxpr6KB2LIRidt3Q8byZSUbHl+uL9khkqvlpd5vnFOnWAYn7syIdPGnsRg1ISLz6Bw+Heh0gG&#10;irkk9rJ4Z7ouLb+zfyW4MGYS+ch3Yh7G3XgSY4fVkccgnLzE3uegRfolxcA+KqX/uQfSUnSfLUsR&#10;TTcHNAe7OQCr+GkpgxRTeBMmc+4dmaZl5Elsi9csV23SKFHXicWJJ3sjTXjycTTf8+9U9edv2/4G&#10;AAD//wMAUEsDBBQABgAIAAAAIQB3JTuK3wAAAA8BAAAPAAAAZHJzL2Rvd25yZXYueG1sTE9BTsMw&#10;ELwj8QdrkbhRm4JMCHGqCsEJCZGGA0cndhOr8TrEbht+z+YEt5md0exMsZn9wE52ii6ggtuVAGax&#10;DcZhp+Czfr3JgMWk0eghoFXwYyNsysuLQucmnLGyp13qGIVgzLWCPqUx5zy2vfU6rsJokbR9mLxO&#10;RKeOm0mfKdwPfC2E5F47pA+9Hu1zb9vD7ugVbL+wenHf781Hta9cXT8KfJMHpa6v5u0TsGTn9GeG&#10;pT5Vh5I6NeGIJrKBuJBrGpMI3UtBaPGITN4Ba5Zblj0ALwv+f0f5CwAA//8DAFBLAQItABQABgAI&#10;AAAAIQC2gziS/gAAAOEBAAATAAAAAAAAAAAAAAAAAAAAAABbQ29udGVudF9UeXBlc10ueG1sUEsB&#10;Ai0AFAAGAAgAAAAhADj9If/WAAAAlAEAAAsAAAAAAAAAAAAAAAAALwEAAF9yZWxzLy5yZWxzUEsB&#10;Ai0AFAAGAAgAAAAhAIMFAp3nAQAAtQMAAA4AAAAAAAAAAAAAAAAALgIAAGRycy9lMm9Eb2MueG1s&#10;UEsBAi0AFAAGAAgAAAAhAHclO4rfAAAADwEAAA8AAAAAAAAAAAAAAAAAQQQAAGRycy9kb3ducmV2&#10;LnhtbFBLBQYAAAAABAAEAPMAAABNBQAAAAA=&#10;" filled="f" stroked="f">
              <v:textbox inset="0,0,0,0">
                <w:txbxContent>
                  <w:p w14:paraId="33BBE7E4" w14:textId="77777777" w:rsidR="0032651B" w:rsidRDefault="00592F25">
                    <w:pPr>
                      <w:spacing w:before="13"/>
                      <w:ind w:left="60"/>
                      <w:rPr>
                        <w:rFonts w:ascii="Arial"/>
                      </w:rPr>
                    </w:pPr>
                    <w:r>
                      <w:fldChar w:fldCharType="begin"/>
                    </w:r>
                    <w:r>
                      <w:rPr>
                        <w:rFonts w:ascii="Arial"/>
                      </w:rPr>
                      <w:instrText xml:space="preserve"> PAGE </w:instrText>
                    </w:r>
                    <w:r>
                      <w:fldChar w:fldCharType="separate"/>
                    </w:r>
                    <w:r>
                      <w:rPr>
                        <w:rFonts w:ascii="Arial"/>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58029" w14:textId="77777777" w:rsidR="004F795C" w:rsidRDefault="004F795C">
      <w:r>
        <w:separator/>
      </w:r>
    </w:p>
  </w:footnote>
  <w:footnote w:type="continuationSeparator" w:id="0">
    <w:p w14:paraId="0AB0963A" w14:textId="77777777" w:rsidR="004F795C" w:rsidRDefault="004F79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0CD0" w14:textId="77777777" w:rsidR="0032651B" w:rsidRDefault="00592F25">
    <w:pPr>
      <w:pStyle w:val="BodyText"/>
      <w:spacing w:line="14" w:lineRule="auto"/>
      <w:rPr>
        <w:sz w:val="20"/>
      </w:rPr>
    </w:pPr>
    <w:r>
      <w:rPr>
        <w:noProof/>
        <w:lang w:bidi="hi-IN"/>
      </w:rPr>
      <w:drawing>
        <wp:anchor distT="0" distB="0" distL="0" distR="0" simplePos="0" relativeHeight="251659264" behindDoc="1" locked="0" layoutInCell="1" allowOverlap="1" wp14:anchorId="59D0361D" wp14:editId="23B8D65F">
          <wp:simplePos x="0" y="0"/>
          <wp:positionH relativeFrom="page">
            <wp:posOffset>5502909</wp:posOffset>
          </wp:positionH>
          <wp:positionV relativeFrom="page">
            <wp:posOffset>354965</wp:posOffset>
          </wp:positionV>
          <wp:extent cx="1990724" cy="55689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990724" cy="5568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53943"/>
    <w:multiLevelType w:val="hybridMultilevel"/>
    <w:tmpl w:val="01928BE8"/>
    <w:lvl w:ilvl="0" w:tplc="22EE8758">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1E1C45"/>
    <w:multiLevelType w:val="hybridMultilevel"/>
    <w:tmpl w:val="78E6886E"/>
    <w:lvl w:ilvl="0" w:tplc="22EE8758">
      <w:numFmt w:val="bullet"/>
      <w:lvlText w:val=""/>
      <w:lvlJc w:val="left"/>
      <w:pPr>
        <w:ind w:left="1300" w:hanging="360"/>
      </w:pPr>
      <w:rPr>
        <w:rFonts w:ascii="Wingdings" w:eastAsia="Wingdings" w:hAnsi="Wingdings" w:cs="Wingdings" w:hint="default"/>
        <w:w w:val="100"/>
        <w:sz w:val="24"/>
        <w:szCs w:val="24"/>
        <w:lang w:val="en-US" w:eastAsia="en-US" w:bidi="ar-SA"/>
      </w:rPr>
    </w:lvl>
    <w:lvl w:ilvl="1" w:tplc="BDCE2B9C">
      <w:numFmt w:val="bullet"/>
      <w:lvlText w:val=""/>
      <w:lvlJc w:val="left"/>
      <w:pPr>
        <w:ind w:left="1660" w:hanging="360"/>
      </w:pPr>
      <w:rPr>
        <w:rFonts w:ascii="Wingdings" w:eastAsia="Wingdings" w:hAnsi="Wingdings" w:cs="Wingdings" w:hint="default"/>
        <w:w w:val="100"/>
        <w:sz w:val="24"/>
        <w:szCs w:val="24"/>
        <w:lang w:val="en-US" w:eastAsia="en-US" w:bidi="ar-SA"/>
      </w:rPr>
    </w:lvl>
    <w:lvl w:ilvl="2" w:tplc="8F80C69C">
      <w:numFmt w:val="bullet"/>
      <w:lvlText w:val="•"/>
      <w:lvlJc w:val="left"/>
      <w:pPr>
        <w:ind w:left="2740" w:hanging="360"/>
      </w:pPr>
      <w:rPr>
        <w:rFonts w:hint="default"/>
        <w:lang w:val="en-US" w:eastAsia="en-US" w:bidi="ar-SA"/>
      </w:rPr>
    </w:lvl>
    <w:lvl w:ilvl="3" w:tplc="FC6674F8">
      <w:numFmt w:val="bullet"/>
      <w:lvlText w:val="•"/>
      <w:lvlJc w:val="left"/>
      <w:pPr>
        <w:ind w:left="3820" w:hanging="360"/>
      </w:pPr>
      <w:rPr>
        <w:rFonts w:hint="default"/>
        <w:lang w:val="en-US" w:eastAsia="en-US" w:bidi="ar-SA"/>
      </w:rPr>
    </w:lvl>
    <w:lvl w:ilvl="4" w:tplc="D42429F2">
      <w:numFmt w:val="bullet"/>
      <w:lvlText w:val="•"/>
      <w:lvlJc w:val="left"/>
      <w:pPr>
        <w:ind w:left="4900" w:hanging="360"/>
      </w:pPr>
      <w:rPr>
        <w:rFonts w:hint="default"/>
        <w:lang w:val="en-US" w:eastAsia="en-US" w:bidi="ar-SA"/>
      </w:rPr>
    </w:lvl>
    <w:lvl w:ilvl="5" w:tplc="7C4048B0">
      <w:numFmt w:val="bullet"/>
      <w:lvlText w:val="•"/>
      <w:lvlJc w:val="left"/>
      <w:pPr>
        <w:ind w:left="5980" w:hanging="360"/>
      </w:pPr>
      <w:rPr>
        <w:rFonts w:hint="default"/>
        <w:lang w:val="en-US" w:eastAsia="en-US" w:bidi="ar-SA"/>
      </w:rPr>
    </w:lvl>
    <w:lvl w:ilvl="6" w:tplc="18DAD590">
      <w:numFmt w:val="bullet"/>
      <w:lvlText w:val="•"/>
      <w:lvlJc w:val="left"/>
      <w:pPr>
        <w:ind w:left="7060" w:hanging="360"/>
      </w:pPr>
      <w:rPr>
        <w:rFonts w:hint="default"/>
        <w:lang w:val="en-US" w:eastAsia="en-US" w:bidi="ar-SA"/>
      </w:rPr>
    </w:lvl>
    <w:lvl w:ilvl="7" w:tplc="B48AADE6">
      <w:numFmt w:val="bullet"/>
      <w:lvlText w:val="•"/>
      <w:lvlJc w:val="left"/>
      <w:pPr>
        <w:ind w:left="8140" w:hanging="360"/>
      </w:pPr>
      <w:rPr>
        <w:rFonts w:hint="default"/>
        <w:lang w:val="en-US" w:eastAsia="en-US" w:bidi="ar-SA"/>
      </w:rPr>
    </w:lvl>
    <w:lvl w:ilvl="8" w:tplc="CC2EA3E2">
      <w:numFmt w:val="bullet"/>
      <w:lvlText w:val="•"/>
      <w:lvlJc w:val="left"/>
      <w:pPr>
        <w:ind w:left="922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9C"/>
    <w:rsid w:val="000C101F"/>
    <w:rsid w:val="001144D6"/>
    <w:rsid w:val="00416279"/>
    <w:rsid w:val="00476A10"/>
    <w:rsid w:val="004F795C"/>
    <w:rsid w:val="00592F25"/>
    <w:rsid w:val="00807F1A"/>
    <w:rsid w:val="008B4076"/>
    <w:rsid w:val="00B3749C"/>
    <w:rsid w:val="00C841A4"/>
    <w:rsid w:val="00CF4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F765"/>
  <w15:chartTrackingRefBased/>
  <w15:docId w15:val="{13998939-1812-4C1C-B136-8A0A2C69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49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B3749C"/>
    <w:pPr>
      <w:ind w:left="9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9C"/>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3749C"/>
    <w:rPr>
      <w:sz w:val="24"/>
      <w:szCs w:val="24"/>
    </w:rPr>
  </w:style>
  <w:style w:type="character" w:customStyle="1" w:styleId="BodyTextChar">
    <w:name w:val="Body Text Char"/>
    <w:basedOn w:val="DefaultParagraphFont"/>
    <w:link w:val="BodyText"/>
    <w:uiPriority w:val="1"/>
    <w:rsid w:val="00B3749C"/>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3749C"/>
    <w:pPr>
      <w:spacing w:before="96"/>
      <w:ind w:left="100"/>
    </w:pPr>
  </w:style>
  <w:style w:type="paragraph" w:styleId="ListParagraph">
    <w:name w:val="List Paragraph"/>
    <w:basedOn w:val="Normal"/>
    <w:uiPriority w:val="34"/>
    <w:qFormat/>
    <w:rsid w:val="00B3749C"/>
    <w:pPr>
      <w:ind w:left="9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Kumar</dc:creator>
  <cp:keywords/>
  <dc:description/>
  <cp:lastModifiedBy>Avinash Kumar</cp:lastModifiedBy>
  <cp:revision>9</cp:revision>
  <dcterms:created xsi:type="dcterms:W3CDTF">2021-08-06T09:07:00Z</dcterms:created>
  <dcterms:modified xsi:type="dcterms:W3CDTF">2021-08-21T07:44:00Z</dcterms:modified>
</cp:coreProperties>
</file>