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F8A8" w14:textId="77777777" w:rsidR="00A06444" w:rsidRPr="00A06444" w:rsidRDefault="00A06444" w:rsidP="00A06444">
      <w:pPr>
        <w:rPr>
          <w:b/>
          <w:bCs/>
        </w:rPr>
      </w:pPr>
      <w:r w:rsidRPr="00A06444">
        <w:rPr>
          <w:b/>
          <w:bCs/>
        </w:rPr>
        <w:t>Maruti Suzuki (NSE: MARUTI) — Investment Thesis</w:t>
      </w:r>
    </w:p>
    <w:p w14:paraId="08C2FF67" w14:textId="77777777" w:rsidR="00A06444" w:rsidRPr="00A06444" w:rsidRDefault="00A06444" w:rsidP="00A06444">
      <w:r w:rsidRPr="00A06444">
        <w:rPr>
          <w:b/>
          <w:bCs/>
        </w:rPr>
        <w:t>View: Cautiously Neutral (Hold)</w:t>
      </w:r>
    </w:p>
    <w:p w14:paraId="3BCCD900" w14:textId="77777777" w:rsidR="00A06444" w:rsidRPr="00A06444" w:rsidRDefault="00A06444" w:rsidP="00A06444">
      <w:r w:rsidRPr="00A06444">
        <w:t>Maruti's growth story is real, but its recent margin trajectory has deteriorated in ways that are not yet fully explained — and valuation is more mixed than a first look suggests, so we're not comfortable calling this a conviction Buy or Sell at current levels.</w:t>
      </w:r>
    </w:p>
    <w:p w14:paraId="3CADB2E3" w14:textId="77777777" w:rsidR="00A06444" w:rsidRPr="00A06444" w:rsidRDefault="00A06444" w:rsidP="00A06444">
      <w:pPr>
        <w:rPr>
          <w:b/>
          <w:bCs/>
        </w:rPr>
      </w:pPr>
      <w:r w:rsidRPr="00A06444">
        <w:rPr>
          <w:b/>
          <w:bCs/>
        </w:rPr>
        <w:t>Pillar 1 — Growth is being driven by price/mix, not volume</w:t>
      </w:r>
    </w:p>
    <w:p w14:paraId="6EB478CB" w14:textId="77777777" w:rsidR="00A06444" w:rsidRPr="00A06444" w:rsidRDefault="00A06444" w:rsidP="00A06444">
      <w:r w:rsidRPr="00A06444">
        <w:t xml:space="preserve">Maruti's revenue has consistently grown faster than the number of vehicles it sells. In FY26, revenue grew 19.9% while unit volumes grew only 8.4% — meaning average selling price (ASP), not demand growth, is doing most of the work. This is consistent with the company's ongoing shift toward higher-priced SUVs (Grand Vitara, </w:t>
      </w:r>
      <w:proofErr w:type="spellStart"/>
      <w:r w:rsidRPr="00A06444">
        <w:t>Invicto</w:t>
      </w:r>
      <w:proofErr w:type="spellEnd"/>
      <w:r w:rsidRPr="00A06444">
        <w:t xml:space="preserve">, </w:t>
      </w:r>
      <w:proofErr w:type="spellStart"/>
      <w:r w:rsidRPr="00A06444">
        <w:t>Victoris</w:t>
      </w:r>
      <w:proofErr w:type="spellEnd"/>
      <w:r w:rsidRPr="00A06444">
        <w:t>, Fronx), a genuinely positive structural story: it signals Maruti successfully moving up-market rather than relying purely on volume in a maturing small-car segment. It also means revenue growth is more sensitive to mix execution than to underlying industry demand — a risk if SUV momentum slows.</w:t>
      </w:r>
    </w:p>
    <w:p w14:paraId="1C8AE4C8" w14:textId="77777777" w:rsidR="00A06444" w:rsidRPr="00A06444" w:rsidRDefault="00A06444" w:rsidP="00A06444">
      <w:pPr>
        <w:rPr>
          <w:b/>
          <w:bCs/>
        </w:rPr>
      </w:pPr>
      <w:r w:rsidRPr="00A06444">
        <w:rPr>
          <w:b/>
          <w:bCs/>
        </w:rPr>
        <w:t>Pillar 2 — Margins have compressed sharply, and the cause is only partly understood</w:t>
      </w:r>
    </w:p>
    <w:p w14:paraId="177788D4" w14:textId="77777777" w:rsidR="00A06444" w:rsidRPr="00A06444" w:rsidRDefault="00A06444" w:rsidP="00A06444">
      <w:r w:rsidRPr="00A06444">
        <w:t>Cost of materials as a percentage of revenue moved from 45.0% (FY22) to 39.7% (FY23) to 32.6% (FY24) — an improving trend through the post-COVID recovery — before jumping sharply to 57.1% (FY25) and 60.9% (FY26). EBITDA margin peaked at 12.1% in FY25 and fell to 10.3% in FY26; PAT margin peaked at 8.9% (FY24) and has since declined to 6.5% (FY26). PAT growth itself decelerated from 114% (FY23) to just 1% (FY26).</w:t>
      </w:r>
    </w:p>
    <w:p w14:paraId="5FC8DB05" w14:textId="77777777" w:rsidR="00A06444" w:rsidRPr="00A06444" w:rsidRDefault="00A06444" w:rsidP="00A06444">
      <w:r w:rsidRPr="00A06444">
        <w:t>We have not found a specific, confirmed explanation for the scale of the FY24-to-FY25 materials cost jump in the company's MD&amp;A disclosures. It may reflect commodity price inflation, a shift toward costlier SUV components, or a change in reporting classification — this remains an open question we'd want answered before taking a stronger view either way.</w:t>
      </w:r>
    </w:p>
    <w:p w14:paraId="37873CE3" w14:textId="77777777" w:rsidR="00A06444" w:rsidRPr="00A06444" w:rsidRDefault="00A06444" w:rsidP="00A06444">
      <w:pPr>
        <w:rPr>
          <w:b/>
          <w:bCs/>
        </w:rPr>
      </w:pPr>
      <w:r w:rsidRPr="00A06444">
        <w:rPr>
          <w:b/>
          <w:bCs/>
        </w:rPr>
        <w:t>Valuation Context</w:t>
      </w:r>
    </w:p>
    <w:p w14:paraId="5A37A3C9" w14:textId="77777777" w:rsidR="00A06444" w:rsidRPr="00A06444" w:rsidRDefault="00A06444" w:rsidP="00A06444">
      <w:r w:rsidRPr="00A06444">
        <w:t xml:space="preserve">Maruti trades at 29.5x P/E and 19.6x EV/EBITDA. Against a peer average (Tata Motors Passenger Vehicles, M&amp;M, Hyundai Motor India) of </w:t>
      </w:r>
      <w:r w:rsidRPr="00A06444">
        <w:rPr>
          <w:b/>
          <w:bCs/>
        </w:rPr>
        <w:t>38.1x P/E and 18.6x EV/EBITDA</w:t>
      </w:r>
      <w:r w:rsidRPr="00A06444">
        <w:t xml:space="preserve">, Maruti is actually trading at a </w:t>
      </w:r>
      <w:r w:rsidRPr="00A06444">
        <w:rPr>
          <w:b/>
          <w:bCs/>
        </w:rPr>
        <w:t>discount on P/E</w:t>
      </w:r>
      <w:r w:rsidRPr="00A06444">
        <w:t xml:space="preserve"> and roughly </w:t>
      </w:r>
      <w:r w:rsidRPr="00A06444">
        <w:rPr>
          <w:b/>
          <w:bCs/>
        </w:rPr>
        <w:t>in line on EV/EBITDA</w:t>
      </w:r>
      <w:r w:rsidRPr="00A06444">
        <w:t xml:space="preserve"> — not at the premium a quick glance might suggest.</w:t>
      </w:r>
    </w:p>
    <w:p w14:paraId="23932F43" w14:textId="77777777" w:rsidR="00A06444" w:rsidRPr="00A06444" w:rsidRDefault="00A06444" w:rsidP="00A06444">
      <w:r w:rsidRPr="00A06444">
        <w:t xml:space="preserve">The two valuation methods point in different directions: applying the peer average P/E to Maruti's EPS implies a fair value of roughly ₹17,500/share (above the current ₹13,520, suggesting upside), while applying the peer average EV/EBITDA implies roughly ₹12,800–13,000/share (close to fair value, suggesting limited downside). We treat this </w:t>
      </w:r>
      <w:r w:rsidRPr="00A06444">
        <w:lastRenderedPageBreak/>
        <w:t>divergence as a genuine signal of uncertainty rather than resolving it artificially — P/E is more sensitive to below-the-EBITDA-line items (tax rate, one-offs, capital structure) which can distort cross-company comparability, while EV/EBITDA is a cleaner operating comparison. We lean more on the EV/EBITDA read, which suggests the stock is close to fairly valued rather than clearly cheap or expensive.</w:t>
      </w:r>
    </w:p>
    <w:p w14:paraId="6088DDA0" w14:textId="77777777" w:rsidR="00A06444" w:rsidRPr="00A06444" w:rsidRDefault="00A06444" w:rsidP="00A06444">
      <w:r w:rsidRPr="00A06444">
        <w:rPr>
          <w:i/>
          <w:iCs/>
        </w:rPr>
        <w:t>Caveat: M&amp;M's EBITDA and net debt figures used here are estimates, since M&amp;M is a diversified conglomerate (including an NBFC arm) and its consolidated figures aren't a clean like-for-like with a pure auto OEM — treat the peer average as directionally useful, not precise.</w:t>
      </w:r>
    </w:p>
    <w:p w14:paraId="7DAB3D7B" w14:textId="77777777" w:rsidR="00A06444" w:rsidRPr="00A06444" w:rsidRDefault="00A06444" w:rsidP="00A06444">
      <w:pPr>
        <w:rPr>
          <w:b/>
          <w:bCs/>
        </w:rPr>
      </w:pPr>
      <w:r w:rsidRPr="00A06444">
        <w:rPr>
          <w:b/>
          <w:bCs/>
        </w:rPr>
        <w:t>Key Risk</w:t>
      </w:r>
    </w:p>
    <w:p w14:paraId="2D628947" w14:textId="77777777" w:rsidR="00A06444" w:rsidRPr="00A06444" w:rsidRDefault="00A06444" w:rsidP="00A06444">
      <w:r w:rsidRPr="00A06444">
        <w:t>The clearest risk is that margin pressure continues without a corresponding improvement in pricing power — i.e., Maruti keeps shifting toward higher-ASP SUVs without capturing higher margins on them, meaning the "premiumization" story becomes a revenue illusion rather than genuine value creation.</w:t>
      </w:r>
    </w:p>
    <w:p w14:paraId="38392A5B" w14:textId="77777777" w:rsidR="00A06444" w:rsidRPr="00A06444" w:rsidRDefault="00A06444" w:rsidP="00A06444">
      <w:pPr>
        <w:rPr>
          <w:b/>
          <w:bCs/>
        </w:rPr>
      </w:pPr>
      <w:r w:rsidRPr="00A06444">
        <w:rPr>
          <w:b/>
          <w:bCs/>
        </w:rPr>
        <w:t>What Would Change Our View</w:t>
      </w:r>
    </w:p>
    <w:p w14:paraId="041ABC6E" w14:textId="77777777" w:rsidR="00A06444" w:rsidRPr="00A06444" w:rsidRDefault="00A06444" w:rsidP="00A06444">
      <w:r w:rsidRPr="00A06444">
        <w:t>If Maruti's EBITDA margin recovers above ~11–12% within the next two reported quarters, or the FY25 materials-cost jump is clearly explained as a one-off rather than structural, we would move more constructive — especially given the P/E-based valuation already suggests some upside. Conversely, if the materials cost ratio rises further past ~61–62% without margin recovery, we would move more cautious, regardless of the current discount on P/E.</w:t>
      </w:r>
    </w:p>
    <w:p w14:paraId="10BB737F" w14:textId="77777777" w:rsidR="00A06444" w:rsidRPr="00A06444" w:rsidRDefault="00A06444" w:rsidP="00A06444">
      <w:r w:rsidRPr="00A06444">
        <w:pict w14:anchorId="3F5438B3">
          <v:rect id="_x0000_i1089" style="width:0;height:1.5pt" o:hralign="center" o:hrstd="t" o:hr="t" fillcolor="#a0a0a0" stroked="f"/>
        </w:pict>
      </w:r>
    </w:p>
    <w:p w14:paraId="024A9712" w14:textId="77777777" w:rsidR="00A06444" w:rsidRPr="00A06444" w:rsidRDefault="00A06444" w:rsidP="00A06444">
      <w:r w:rsidRPr="00A06444">
        <w:rPr>
          <w:i/>
          <w:iCs/>
        </w:rPr>
        <w:t xml:space="preserve">Note: this thesis intentionally does not use a DCF valuation — see project README for scope. Conclusions rest on historical trend analysis and relative (comps-based) valuation only. Comps data sourced from primary company annual reports </w:t>
      </w:r>
      <w:proofErr w:type="gramStart"/>
      <w:r w:rsidRPr="00A06444">
        <w:rPr>
          <w:i/>
          <w:iCs/>
        </w:rPr>
        <w:t>where</w:t>
      </w:r>
      <w:proofErr w:type="gramEnd"/>
      <w:r w:rsidRPr="00A06444">
        <w:rPr>
          <w:i/>
          <w:iCs/>
        </w:rPr>
        <w:t xml:space="preserve"> verified directly (Maruti, Tata Motors); M&amp;M and Hyundai Motor India multiples rely partly on third-party financial data aggregators (Tickertape, </w:t>
      </w:r>
      <w:proofErr w:type="spellStart"/>
      <w:r w:rsidRPr="00A06444">
        <w:rPr>
          <w:i/>
          <w:iCs/>
        </w:rPr>
        <w:t>GuruFocus</w:t>
      </w:r>
      <w:proofErr w:type="spellEnd"/>
      <w:r w:rsidRPr="00A06444">
        <w:rPr>
          <w:i/>
          <w:iCs/>
        </w:rPr>
        <w:t xml:space="preserve">, Business Standard, </w:t>
      </w:r>
      <w:proofErr w:type="spellStart"/>
      <w:r w:rsidRPr="00A06444">
        <w:rPr>
          <w:i/>
          <w:iCs/>
        </w:rPr>
        <w:t>Tipranks</w:t>
      </w:r>
      <w:proofErr w:type="spellEnd"/>
      <w:r w:rsidRPr="00A06444">
        <w:rPr>
          <w:i/>
          <w:iCs/>
        </w:rPr>
        <w:t>, Yahoo Finance) as noted in the comps workbook's sources tab.</w:t>
      </w:r>
    </w:p>
    <w:p w14:paraId="56C7178E" w14:textId="77777777" w:rsidR="003B1FF4" w:rsidRDefault="003B1FF4"/>
    <w:sectPr w:rsidR="003B1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F4"/>
    <w:rsid w:val="003B1FF4"/>
    <w:rsid w:val="00406F04"/>
    <w:rsid w:val="00A0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EB77"/>
  <w15:chartTrackingRefBased/>
  <w15:docId w15:val="{64203670-D593-44E3-842B-38F79ABE0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25BC240</dc:creator>
  <cp:keywords/>
  <dc:description/>
  <cp:lastModifiedBy>Hriday Kaul</cp:lastModifiedBy>
  <cp:revision>2</cp:revision>
  <dcterms:created xsi:type="dcterms:W3CDTF">2026-08-27T20:03:00Z</dcterms:created>
  <dcterms:modified xsi:type="dcterms:W3CDTF">2026-08-27T20:06:00Z</dcterms:modified>
</cp:coreProperties>
</file>