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2174" w:rsidRDefault="00D12174" w:rsidP="00D12174">
      <w:pPr>
        <w:pStyle w:val="NormalWeb"/>
      </w:pPr>
      <w:bookmarkStart w:id="0" w:name="_GoBack"/>
      <w:bookmarkEnd w:id="0"/>
      <w:r>
        <w:t>Scope of Dataset</w:t>
      </w:r>
    </w:p>
    <w:p w:rsidR="00D12174" w:rsidRPr="00D12174" w:rsidRDefault="00D12174" w:rsidP="00D12174">
      <w:pPr>
        <w:pStyle w:val="NormalWeb"/>
      </w:pPr>
      <w:r w:rsidRPr="00D12174">
        <w:t xml:space="preserve">The project uses the </w:t>
      </w:r>
      <w:r w:rsidRPr="00D12174">
        <w:rPr>
          <w:rStyle w:val="Strong"/>
          <w:b w:val="0"/>
        </w:rPr>
        <w:t>Integrated Breast Cancer Atlas</w:t>
      </w:r>
      <w:r w:rsidRPr="00D12174">
        <w:t xml:space="preserve">, which contains </w:t>
      </w:r>
      <w:r w:rsidRPr="00D12174">
        <w:rPr>
          <w:rStyle w:val="Strong"/>
          <w:b w:val="0"/>
        </w:rPr>
        <w:t>621,200 single cells</w:t>
      </w:r>
      <w:r w:rsidRPr="00D12174">
        <w:rPr>
          <w:b/>
        </w:rPr>
        <w:t xml:space="preserve"> </w:t>
      </w:r>
      <w:r w:rsidRPr="00D12174">
        <w:t xml:space="preserve">from </w:t>
      </w:r>
      <w:r w:rsidRPr="00D12174">
        <w:rPr>
          <w:rStyle w:val="Strong"/>
          <w:b w:val="0"/>
        </w:rPr>
        <w:t>138 breast cancer patients</w:t>
      </w:r>
      <w:r w:rsidRPr="00D12174">
        <w:t xml:space="preserve">, with expression measured for </w:t>
      </w:r>
      <w:r w:rsidRPr="00D12174">
        <w:rPr>
          <w:rStyle w:val="Strong"/>
          <w:b w:val="0"/>
        </w:rPr>
        <w:t>37,389 genes</w:t>
      </w:r>
      <w:r w:rsidRPr="00D12174">
        <w:t>. Each cell is accompanied by harmonized metadata including a patient identifier (</w:t>
      </w:r>
      <w:proofErr w:type="spellStart"/>
      <w:r w:rsidRPr="00D12174">
        <w:rPr>
          <w:rStyle w:val="HTMLCode"/>
          <w:rFonts w:ascii="Times New Roman" w:hAnsi="Times New Roman" w:cs="Times New Roman"/>
          <w:sz w:val="24"/>
          <w:szCs w:val="24"/>
        </w:rPr>
        <w:t>donor_id</w:t>
      </w:r>
      <w:proofErr w:type="spellEnd"/>
      <w:r w:rsidRPr="00D12174">
        <w:t xml:space="preserve">), cell type, original author annotation, </w:t>
      </w:r>
      <w:proofErr w:type="spellStart"/>
      <w:proofErr w:type="gramStart"/>
      <w:r w:rsidRPr="00D12174">
        <w:t>tumor</w:t>
      </w:r>
      <w:proofErr w:type="spellEnd"/>
      <w:proofErr w:type="gramEnd"/>
      <w:r w:rsidRPr="00D12174">
        <w:t xml:space="preserve"> grade, disease label, sequencing batch, tissue, assay, sex, ethnicity, and ontology mappings. The atlas also includes </w:t>
      </w:r>
      <w:proofErr w:type="spellStart"/>
      <w:r w:rsidRPr="00D12174">
        <w:t>precomputed</w:t>
      </w:r>
      <w:proofErr w:type="spellEnd"/>
      <w:r w:rsidRPr="00D12174">
        <w:t xml:space="preserve"> </w:t>
      </w:r>
      <w:r w:rsidRPr="00D12174">
        <w:rPr>
          <w:rStyle w:val="Strong"/>
          <w:b w:val="0"/>
        </w:rPr>
        <w:t>RPCA</w:t>
      </w:r>
      <w:r w:rsidRPr="00D12174">
        <w:rPr>
          <w:b/>
        </w:rPr>
        <w:t xml:space="preserve"> </w:t>
      </w:r>
      <w:r w:rsidRPr="00D12174">
        <w:t>and</w:t>
      </w:r>
      <w:r w:rsidRPr="00D12174">
        <w:rPr>
          <w:b/>
        </w:rPr>
        <w:t xml:space="preserve"> </w:t>
      </w:r>
      <w:r w:rsidRPr="00D12174">
        <w:rPr>
          <w:rStyle w:val="Strong"/>
          <w:b w:val="0"/>
        </w:rPr>
        <w:t>UMAP</w:t>
      </w:r>
      <w:r w:rsidRPr="00D12174">
        <w:t xml:space="preserve"> </w:t>
      </w:r>
      <w:proofErr w:type="spellStart"/>
      <w:r w:rsidRPr="00D12174">
        <w:t>embeddings</w:t>
      </w:r>
      <w:proofErr w:type="spellEnd"/>
      <w:r w:rsidRPr="00D12174">
        <w:t>, allowing downstream analyses without repeating the original integration.</w:t>
      </w:r>
    </w:p>
    <w:p w:rsidR="00D12174" w:rsidRPr="00D12174" w:rsidRDefault="00D12174" w:rsidP="00D12174">
      <w:pPr>
        <w:pStyle w:val="NormalWeb"/>
      </w:pPr>
      <w:r w:rsidRPr="00D12174">
        <w:t>Beyond the integrated atlas, the project incorporates additional resources from the s</w:t>
      </w:r>
      <w:r w:rsidRPr="00D12174">
        <w:t xml:space="preserve">upplementary materials. Patient </w:t>
      </w:r>
      <w:r w:rsidRPr="00D12174">
        <w:t xml:space="preserve">level </w:t>
      </w:r>
      <w:r w:rsidRPr="00D12174">
        <w:rPr>
          <w:rStyle w:val="Strong"/>
          <w:b w:val="0"/>
        </w:rPr>
        <w:t>PAM50 subtype probabilities</w:t>
      </w:r>
      <w:r w:rsidRPr="00D12174">
        <w:t xml:space="preserve"> (Basal, HER2, Luminal A, Luminal B, and Normal-like) are available for all 138 patients and have been merged into the analysis. Supplementary tables also provide epithelial marker genes, immune cell subtype annotations, stromal cell subtype annotations, and references to published gene-signature collections. While detailed clinical variables such as age, treatment, receptor status, survival, and stage are not available as a complete harmonized table, </w:t>
      </w:r>
      <w:proofErr w:type="spellStart"/>
      <w:r w:rsidRPr="00D12174">
        <w:t>tumor</w:t>
      </w:r>
      <w:proofErr w:type="spellEnd"/>
      <w:r w:rsidRPr="00D12174">
        <w:t xml:space="preserve"> grade and molecular subtype information are consistently available for downstream analyses.</w:t>
      </w:r>
    </w:p>
    <w:p w:rsidR="00D12174" w:rsidRPr="00D12174" w:rsidRDefault="00D12174" w:rsidP="00D12174">
      <w:pPr>
        <w:pStyle w:val="NormalWeb"/>
      </w:pPr>
      <w:r w:rsidRPr="00D12174">
        <w:t>The current project has also generated seve</w:t>
      </w:r>
      <w:r w:rsidRPr="00D12174">
        <w:t xml:space="preserve">ral patient </w:t>
      </w:r>
      <w:r w:rsidRPr="00D12174">
        <w:t>level datasets derived from the atlas, including the communication matrix, weighted communication matrix, communica</w:t>
      </w:r>
      <w:r w:rsidRPr="00D12174">
        <w:t xml:space="preserve">tion programs identified by </w:t>
      </w:r>
      <w:proofErr w:type="spellStart"/>
      <w:r w:rsidRPr="00D12174">
        <w:t xml:space="preserve">non </w:t>
      </w:r>
      <w:r w:rsidRPr="00D12174">
        <w:t>negative</w:t>
      </w:r>
      <w:proofErr w:type="spellEnd"/>
      <w:r w:rsidRPr="00D12174">
        <w:t xml:space="preserve"> matrix factorization (NMF), patient program scores, program feature weights, biological characterization, surrogate model performance, and SHAP-based feature importance. In addition, a separate </w:t>
      </w:r>
      <w:r w:rsidRPr="00D12174">
        <w:rPr>
          <w:rStyle w:val="Strong"/>
          <w:b w:val="0"/>
        </w:rPr>
        <w:t xml:space="preserve">Wu et al. spatial </w:t>
      </w:r>
      <w:proofErr w:type="spellStart"/>
      <w:r w:rsidRPr="00D12174">
        <w:rPr>
          <w:rStyle w:val="Strong"/>
          <w:b w:val="0"/>
        </w:rPr>
        <w:t>transcriptomics</w:t>
      </w:r>
      <w:proofErr w:type="spellEnd"/>
      <w:r w:rsidRPr="00D12174">
        <w:rPr>
          <w:rStyle w:val="Strong"/>
          <w:b w:val="0"/>
        </w:rPr>
        <w:t xml:space="preserve"> dataset</w:t>
      </w:r>
      <w:r w:rsidRPr="00D12174">
        <w:t xml:space="preserve"> has been downloaded for future validation, providing an opportunity to test whether communication programs identified in the single-cell data are preserved within the spatial organization of breast </w:t>
      </w:r>
      <w:proofErr w:type="spellStart"/>
      <w:r w:rsidRPr="00D12174">
        <w:t>tumors</w:t>
      </w:r>
      <w:proofErr w:type="spellEnd"/>
      <w:r w:rsidRPr="00D12174">
        <w:t>.</w:t>
      </w:r>
    </w:p>
    <w:p w:rsidR="003E4686" w:rsidRPr="00D12174" w:rsidRDefault="003E4686">
      <w:pPr>
        <w:rPr>
          <w:rFonts w:ascii="Times New Roman" w:hAnsi="Times New Roman" w:cs="Times New Roman"/>
          <w:sz w:val="24"/>
          <w:szCs w:val="24"/>
          <w:vertAlign w:val="subscript"/>
        </w:rPr>
      </w:pPr>
    </w:p>
    <w:p w:rsidR="00D12174" w:rsidRPr="00D12174" w:rsidRDefault="00D12174">
      <w:pPr>
        <w:rPr>
          <w:rFonts w:ascii="Times New Roman" w:hAnsi="Times New Roman" w:cs="Times New Roman"/>
          <w:sz w:val="24"/>
          <w:szCs w:val="24"/>
          <w:vertAlign w:val="subscript"/>
        </w:rPr>
      </w:pPr>
    </w:p>
    <w:sectPr w:rsidR="00D12174" w:rsidRPr="00D12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174"/>
    <w:rsid w:val="003E4686"/>
    <w:rsid w:val="00D121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62FA6-5BAD-43D4-8190-15C38393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217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12174"/>
    <w:rPr>
      <w:b/>
      <w:bCs/>
    </w:rPr>
  </w:style>
  <w:style w:type="character" w:styleId="HTMLCode">
    <w:name w:val="HTML Code"/>
    <w:basedOn w:val="DefaultParagraphFont"/>
    <w:uiPriority w:val="99"/>
    <w:semiHidden/>
    <w:unhideWhenUsed/>
    <w:rsid w:val="00D121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732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2026-07-15T12:11:00Z</dcterms:created>
  <dcterms:modified xsi:type="dcterms:W3CDTF">2026-07-15T12:22:00Z</dcterms:modified>
</cp:coreProperties>
</file>