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Silvaram — Current Decisions &amp; Change Addendum</w:t>
      </w:r>
    </w:p>
    <w:p>
      <w:pPr>
        <w:spacing w:after="60"/>
      </w:pPr>
      <w:r>
        <w:rPr>
          <w:b/>
        </w:rPr>
        <w:t>Version:</w:t>
      </w:r>
      <w:r>
        <w:t xml:space="preserve"> 0.2 · </w:t>
      </w:r>
      <w:r>
        <w:rPr>
          <w:b/>
        </w:rPr>
        <w:t>Date:</w:t>
      </w:r>
      <w:r>
        <w:t xml:space="preserve"> 21 October 2026 · </w:t>
      </w:r>
      <w:r>
        <w:rPr>
          <w:b/>
        </w:rPr>
        <w:t>Status:</w:t>
      </w:r>
      <w:r>
        <w:t xml:space="preserve"> Founder-approved decisions, with remaining launch gates noted</w:t>
      </w:r>
    </w:p>
    <w:p>
      <w:pPr>
        <w:spacing w:after="60"/>
      </w:pPr>
      <w:r>
        <w:t>This addendum accompanies PRD v0.3, HLD v0.1, LLD v0.1, Database Design v0.2 and API Design v0.2. If earlier documents conflict with this addendum or the v0.2 database/API designs, use this addendum and the newest designs as the current direction.</w:t>
      </w:r>
    </w:p>
    <w:p>
      <w:pPr>
        <w:pStyle w:val="Heading1"/>
      </w:pPr>
      <w:r>
        <w:t>Founder-approved decisions</w:t>
      </w:r>
    </w:p>
    <w:p>
      <w:pPr>
        <w:pStyle w:val="ListNumber"/>
        <w:spacing w:after="40"/>
      </w:pPr>
      <w:r>
        <w:rPr>
          <w:b/>
        </w:rPr>
        <w:t>Brand:</w:t>
      </w:r>
      <w:r>
        <w:t xml:space="preserve"> Silvaram. Domain, social handles and any name/trademark conflicts still need verification.</w:t>
      </w:r>
    </w:p>
    <w:p>
      <w:pPr>
        <w:pStyle w:val="ListNumber"/>
        <w:spacing w:after="40"/>
      </w:pPr>
      <w:r>
        <w:rPr>
          <w:b/>
        </w:rPr>
        <w:t>Architecture:</w:t>
      </w:r>
      <w:r>
        <w:t xml:space="preserve"> Next.js App Router, React, TypeScript, MongoDB Atlas and Next.js Route Handlers for the MVP. Express is deferred until a concrete need exists.</w:t>
      </w:r>
    </w:p>
    <w:p>
      <w:pPr>
        <w:pStyle w:val="ListNumber"/>
        <w:spacing w:after="40"/>
      </w:pPr>
      <w:r>
        <w:rPr>
          <w:b/>
        </w:rPr>
        <w:t>Assets:</w:t>
      </w:r>
      <w:r>
        <w:t xml:space="preserve"> Cloudflare R2 for product images/media. MongoDB stores R2 object keys and metadata, not image binaries.</w:t>
      </w:r>
    </w:p>
    <w:p>
      <w:pPr>
        <w:pStyle w:val="ListNumber"/>
        <w:spacing w:after="40"/>
      </w:pPr>
      <w:r>
        <w:rPr>
          <w:b/>
        </w:rPr>
        <w:t>Design-to-code workflow:</w:t>
      </w:r>
      <w:r>
        <w:t xml:space="preserve"> Google Stitch for exploration and screen design, Google Antigravity to implement the approved design in the Next.js repository. No Wix layer in the current production plan.</w:t>
      </w:r>
    </w:p>
    <w:p>
      <w:pPr>
        <w:pStyle w:val="ListNumber"/>
        <w:spacing w:after="40"/>
      </w:pPr>
      <w:r>
        <w:rPr>
          <w:b/>
        </w:rPr>
        <w:t>Email:</w:t>
      </w:r>
      <w:r>
        <w:t xml:space="preserve"> Brevo for transactional email and consent-based marketing campaigns. Keep the two email categories separate.</w:t>
      </w:r>
    </w:p>
    <w:p>
      <w:pPr>
        <w:pStyle w:val="ListNumber"/>
        <w:spacing w:after="40"/>
      </w:pPr>
      <w:r>
        <w:rPr>
          <w:b/>
        </w:rPr>
        <w:t>Visual direction:</w:t>
      </w:r>
      <w:r>
        <w:t xml:space="preserve"> Midnight Gallery + Gift Ritual—deep navy, silver contrast, minimal layouts, emotional gifting stories, youthful details and a small amount of interaction animation. Motion must be accessible and must not block product information or checkout.</w:t>
      </w:r>
    </w:p>
    <w:p>
      <w:pPr>
        <w:pStyle w:val="ListNumber"/>
        <w:spacing w:after="40"/>
      </w:pPr>
      <w:r>
        <w:rPr>
          <w:b/>
        </w:rPr>
        <w:t>Launch scope:</w:t>
      </w:r>
      <w:r>
        <w:t xml:space="preserve"> frame and peacock ring are planned as the two product listings. The ring remains unpublished/unpurchasable until product composition, claims, price justification, sizing, returns and insured fulfilment are verified.</w:t>
      </w:r>
    </w:p>
    <w:p>
      <w:pPr>
        <w:pStyle w:val="ListNumber"/>
        <w:spacing w:after="40"/>
      </w:pPr>
      <w:r>
        <w:rPr>
          <w:b/>
        </w:rPr>
        <w:t>Supplier data:</w:t>
      </w:r>
      <w:r>
        <w:t xml:space="preserve"> No supplier-side information is stored in the MVP database. No supplier names, costs, supplier SKUs, stock quantities, supplier order IDs/references or supplier conversations are captured. Manual coordination may occur outside the app. The app tracks Silvaram's order state and the customer's carrier/tracking information.</w:t>
      </w:r>
    </w:p>
    <w:p>
      <w:pPr>
        <w:pStyle w:val="ListNumber"/>
        <w:spacing w:after="40"/>
      </w:pPr>
      <w:r>
        <w:rPr>
          <w:b/>
        </w:rPr>
        <w:t>Money representation:</w:t>
      </w:r>
      <w:r>
        <w:t xml:space="preserve"> Monetary fields use rupees, not paise. MongoDB uses Decimal128; API JSON uses exact decimal strings such as </w:t>
      </w:r>
      <w:r>
        <w:rPr>
          <w:rFonts w:ascii="Consolas" w:hAnsi="Consolas"/>
          <w:sz w:val="17"/>
        </w:rPr>
        <w:t>"1200.00"</w:t>
      </w:r>
      <w:r>
        <w:t>. The UI displays INR formatting and does not calculate authoritative checkout totals.</w:t>
      </w:r>
    </w:p>
    <w:p>
      <w:pPr>
        <w:pStyle w:val="ListNumber"/>
        <w:spacing w:after="40"/>
      </w:pPr>
      <w:r>
        <w:rPr>
          <w:b/>
        </w:rPr>
        <w:t>MVP data model:</w:t>
      </w:r>
      <w:r>
        <w:t xml:space="preserve"> Five collections: </w:t>
      </w:r>
      <w:r>
        <w:rPr>
          <w:rFonts w:ascii="Consolas" w:hAnsi="Consolas"/>
          <w:sz w:val="17"/>
        </w:rPr>
        <w:t>products</w:t>
      </w:r>
      <w:r>
        <w:t xml:space="preserve">, </w:t>
      </w:r>
      <w:r>
        <w:rPr>
          <w:rFonts w:ascii="Consolas" w:hAnsi="Consolas"/>
          <w:sz w:val="17"/>
        </w:rPr>
        <w:t>orders</w:t>
      </w:r>
      <w:r>
        <w:t xml:space="preserve">, </w:t>
      </w:r>
      <w:r>
        <w:rPr>
          <w:rFonts w:ascii="Consolas" w:hAnsi="Consolas"/>
          <w:sz w:val="17"/>
        </w:rPr>
        <w:t>corporateEnquiries</w:t>
      </w:r>
      <w:r>
        <w:t xml:space="preserve">, </w:t>
      </w:r>
      <w:r>
        <w:rPr>
          <w:rFonts w:ascii="Consolas" w:hAnsi="Consolas"/>
          <w:sz w:val="17"/>
        </w:rPr>
        <w:t>marketingSubscriptions</w:t>
      </w:r>
      <w:r>
        <w:t xml:space="preserve">, </w:t>
      </w:r>
      <w:r>
        <w:rPr>
          <w:rFonts w:ascii="Consolas" w:hAnsi="Consolas"/>
          <w:sz w:val="17"/>
        </w:rPr>
        <w:t>integrationEventReceipts</w:t>
      </w:r>
      <w:r>
        <w:t>.</w:t>
      </w:r>
    </w:p>
    <w:p>
      <w:pPr>
        <w:pStyle w:val="ListNumber"/>
        <w:spacing w:after="40"/>
      </w:pPr>
      <w:r>
        <w:rPr>
          <w:b/>
        </w:rPr>
        <w:t>Marketing/privacy:</w:t>
      </w:r>
      <w:r>
        <w:t xml:space="preserve"> Newsletter subscription is optional and requires explicit consent; unsubscribe/bounce state must be respected. Bulk campaigns run from Brevo.</w:t>
      </w:r>
    </w:p>
    <w:p>
      <w:pPr>
        <w:pStyle w:val="ListNumber"/>
        <w:spacing w:after="40"/>
      </w:pPr>
      <w:r>
        <w:rPr>
          <w:b/>
        </w:rPr>
        <w:t>AI:</w:t>
      </w:r>
      <w:r>
        <w:t xml:space="preserve"> No autonomous AI order/payment actions in MVP. First candidates are a human-reviewed SEO/content assistant and later a bounded gift recommender using public, approved product data.</w:t>
      </w:r>
    </w:p>
    <w:p>
      <w:pPr>
        <w:pStyle w:val="Heading1"/>
      </w:pPr>
      <w:r>
        <w:t>Operational workflows retained</w:t>
      </w:r>
    </w:p>
    <w:p>
      <w:pPr>
        <w:spacing w:after="60"/>
      </w:pPr>
      <w:r>
        <w:t>The founder wants supplier-fulfilled/dropshipping operations, but no supplier-specific data in the app. Manual contact with the supplier therefore takes place out-of-band. Inside Silvaram, authorised staff can mark an order as processing and record shipment carrier/tracking details. Do not add supplier-specific fields or endpoints unless the founder approves that scope later.</w:t>
      </w:r>
    </w:p>
    <w:p>
      <w:pPr>
        <w:pStyle w:val="Heading1"/>
      </w:pPr>
      <w:r>
        <w:t>Open launch gates</w:t>
      </w:r>
    </w:p>
    <w:p>
      <w:pPr>
        <w:pStyle w:val="ListBullet"/>
        <w:spacing w:after="40"/>
      </w:pPr>
      <w:r>
        <w:t>Payment gateway and provider-specific webhook verification.</w:t>
      </w:r>
    </w:p>
    <w:p>
      <w:pPr>
        <w:pStyle w:val="ListBullet"/>
        <w:spacing w:after="40"/>
      </w:pPr>
      <w:r>
        <w:t>Tax/invoice treatment, shipping pricing, cancellation/refund/return terms.</w:t>
      </w:r>
    </w:p>
    <w:p>
      <w:pPr>
        <w:pStyle w:val="ListBullet"/>
        <w:spacing w:after="40"/>
      </w:pPr>
      <w:r>
        <w:t>COD rules and eligibility; default high-value ring to prepaid-only.</w:t>
      </w:r>
    </w:p>
    <w:p>
      <w:pPr>
        <w:pStyle w:val="ListBullet"/>
        <w:spacing w:after="40"/>
      </w:pPr>
      <w:r>
        <w:t>Product material evidence and accurate English/Hindi content.</w:t>
      </w:r>
    </w:p>
    <w:p>
      <w:pPr>
        <w:pStyle w:val="ListBullet"/>
        <w:spacing w:after="40"/>
      </w:pPr>
      <w:r>
        <w:t>Admin authentication, production domain and R2 public media domain.</w:t>
      </w:r>
    </w:p>
    <w:p>
      <w:pPr>
        <w:pStyle w:val="ListBullet"/>
        <w:spacing w:after="40"/>
      </w:pPr>
      <w:r>
        <w:t>Brevo sender-domain setup, consent text and unsubscribe event handling.</w:t>
      </w:r>
    </w:p>
    <w:p>
      <w:pPr>
        <w:pStyle w:val="ListBullet"/>
        <w:spacing w:after="40"/>
      </w:pPr>
      <w:r>
        <w:t>Data retention/backups and legal/privacy review.</w:t>
      </w:r>
    </w:p>
    <w:p>
      <w:pPr>
        <w:pStyle w:val="Heading1"/>
      </w:pPr>
      <w:r>
        <w:t>Document order of precedence</w:t>
      </w:r>
    </w:p>
    <w:p>
      <w:pPr>
        <w:pStyle w:val="ListNumber"/>
        <w:spacing w:after="40"/>
      </w:pPr>
      <w:r>
        <w:t>Current Decisions &amp; Change Addendum v0.2</w:t>
      </w:r>
    </w:p>
    <w:p>
      <w:pPr>
        <w:pStyle w:val="ListNumber"/>
        <w:spacing w:after="40"/>
      </w:pPr>
      <w:r>
        <w:t>Database Design v0.2</w:t>
      </w:r>
    </w:p>
    <w:p>
      <w:pPr>
        <w:pStyle w:val="ListNumber"/>
        <w:spacing w:after="40"/>
      </w:pPr>
      <w:r>
        <w:t>API Design v0.2</w:t>
      </w:r>
    </w:p>
    <w:p>
      <w:pPr>
        <w:pStyle w:val="ListNumber"/>
        <w:spacing w:after="40"/>
      </w:pPr>
      <w:r>
        <w:t>PRD v0.3, HLD v0.1 and LLD v0.1 (read with this addendum)</w:t>
      </w:r>
    </w:p>
    <w:p>
      <w:pPr>
        <w:pStyle w:val="ListNumber"/>
        <w:spacing w:after="40"/>
      </w:pPr>
      <w:r>
        <w:t>Earlier PRD v0.1/v0.2 and prior review packs (historical versions)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37E"/>
        <w:sz w:val="16"/>
      </w:rPr>
      <w:t>Silvaram · Review draft · 21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F6D7F"/>
        <w:sz w:val="16"/>
      </w:rPr>
      <w:t>SILVARAM  /  PRODUCT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0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654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Silvaram — Current Decisions Addendum v0.2</dc:title>
  <dc:subject>Silvaram design specification</dc:subject>
  <dc:creator>Silvaram Product Engineering</dc:creator>
  <cp:keywords>Silvaram, MongoDB, Next.js, API, Cloudflare R2, Brevo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