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executive-summary"/>
    <w:p>
      <w:pPr>
        <w:pStyle w:val="Heading1"/>
      </w:pPr>
      <w:r>
        <w:t xml:space="preserve">Executive Summary</w:t>
      </w:r>
    </w:p>
    <w:p>
      <w:pPr>
        <w:pStyle w:val="FirstParagraph"/>
      </w:pPr>
      <w:r>
        <w:t xml:space="preserve">We recommend a</w:t>
      </w:r>
      <w:r>
        <w:t xml:space="preserve"> </w:t>
      </w:r>
      <w:r>
        <w:rPr>
          <w:b/>
          <w:bCs/>
        </w:rPr>
        <w:t xml:space="preserve">multi-test screening battery</w:t>
      </w:r>
      <w:r>
        <w:t xml:space="preserve"> </w:t>
      </w:r>
      <w:r>
        <w:t xml:space="preserve">combining age-appropriate tasks to flag early dyslexia risk. Key measures include</w:t>
      </w:r>
      <w:r>
        <w:t xml:space="preserve"> </w:t>
      </w:r>
      <w:r>
        <w:rPr>
          <w:b/>
          <w:bCs/>
        </w:rPr>
        <w:t xml:space="preserve">DIBELS (LNF, PSF, NWF)</w:t>
      </w:r>
      <w:r>
        <w:t xml:space="preserve"> </w:t>
      </w:r>
      <w:r>
        <w:t xml:space="preserve">for K–2,</w:t>
      </w:r>
      <w:r>
        <w:t xml:space="preserve"> </w:t>
      </w:r>
      <w:r>
        <w:rPr>
          <w:b/>
          <w:bCs/>
        </w:rPr>
        <w:t xml:space="preserve">CTOPP-2 phonological tasks</w:t>
      </w:r>
      <w:r>
        <w:t xml:space="preserve"> </w:t>
      </w:r>
      <w:r>
        <w:t xml:space="preserve">(Elision/Blending, Rapid Naming) for preschool–7,</w:t>
      </w:r>
      <w:r>
        <w:t xml:space="preserve"> </w:t>
      </w:r>
      <w:r>
        <w:rPr>
          <w:b/>
          <w:bCs/>
        </w:rPr>
        <w:t xml:space="preserve">TOWRE-2</w:t>
      </w:r>
      <w:r>
        <w:t xml:space="preserve"> </w:t>
      </w:r>
      <w:r>
        <w:t xml:space="preserve">(Sight Word and Decoding) for ages 6+, and</w:t>
      </w:r>
      <w:r>
        <w:t xml:space="preserve"> </w:t>
      </w:r>
      <w:r>
        <w:rPr>
          <w:b/>
          <w:bCs/>
        </w:rPr>
        <w:t xml:space="preserve">Rapid Automatized Naming (RAN)</w:t>
      </w:r>
      <w:r>
        <w:t xml:space="preserve">. Each test taps core dyslexia-related skills (letter knowledge, phonological awareness, decoding, naming speed)</w:t>
      </w:r>
      <w:hyperlink r:id="rId21">
        <w:r>
          <w:rPr>
            <w:rStyle w:val="Hyperlink"/>
          </w:rPr>
          <w:t xml:space="preserve">[1]</w:t>
        </w:r>
      </w:hyperlink>
      <w:hyperlink r:id="rId22">
        <w:r>
          <w:rPr>
            <w:rStyle w:val="Hyperlink"/>
          </w:rPr>
          <w:t xml:space="preserve">[2]</w:t>
        </w:r>
      </w:hyperlink>
      <w:r>
        <w:t xml:space="preserve">. We propose capturing these as short game-like tasks, scoring accuracy/speed, and combining them via a simple weighted model or logistic function into a</w:t>
      </w:r>
      <w:r>
        <w:t xml:space="preserve"> </w:t>
      </w:r>
      <w:r>
        <w:rPr>
          <w:b/>
          <w:bCs/>
        </w:rPr>
        <w:t xml:space="preserve">dyslexia “risk score.”</w:t>
      </w:r>
      <w:r>
        <w:t xml:space="preserve"> </w:t>
      </w:r>
      <w:r>
        <w:t xml:space="preserve">Preliminary calibration can use known norms (e.g. percentiles or DIBELS cutoffs</w:t>
      </w:r>
      <w:hyperlink r:id="rId23">
        <w:r>
          <w:rPr>
            <w:rStyle w:val="Hyperlink"/>
          </w:rPr>
          <w:t xml:space="preserve">[3]</w:t>
        </w:r>
      </w:hyperlink>
      <w:hyperlink r:id="rId24">
        <w:r>
          <w:rPr>
            <w:rStyle w:val="Hyperlink"/>
          </w:rPr>
          <w:t xml:space="preserve">[4]</w:t>
        </w:r>
      </w:hyperlink>
      <w:r>
        <w:t xml:space="preserve">) and pilot data to set thresholds for</w:t>
      </w:r>
      <w:r>
        <w:t xml:space="preserve"> </w:t>
      </w:r>
      <w:r>
        <w:rPr>
          <w:b/>
          <w:bCs/>
        </w:rPr>
        <w:t xml:space="preserve">Low/At-risk/High risk</w:t>
      </w:r>
      <w:r>
        <w:t xml:space="preserve">. Implementation details include a schema for storing item responses and scores, pseudocode for scoring, offline data handling, and strict data security (GDPR/India compliance, parental consent). A validation pilot against a gold-standard diagnosis is essential. Results to parents should be clear but cautious, explaining that this is a</w:t>
      </w:r>
      <w:r>
        <w:t xml:space="preserve"> </w:t>
      </w:r>
      <w:r>
        <w:rPr>
          <w:i/>
          <w:iCs/>
        </w:rPr>
        <w:t xml:space="preserve">screening</w:t>
      </w:r>
      <w:r>
        <w:t xml:space="preserve"> </w:t>
      </w:r>
      <w:r>
        <w:t xml:space="preserve">(not a diagnosis), with recommended follow-up actions.</w:t>
      </w:r>
    </w:p>
    <w:bookmarkStart w:id="35" w:name="selected-screening-tests"/>
    <w:p>
      <w:pPr>
        <w:pStyle w:val="Heading2"/>
      </w:pPr>
      <w:r>
        <w:t xml:space="preserve">1. Selected Screening Tests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Test (Publisher)</w:t>
            </w:r>
          </w:p>
        </w:tc>
        <w:tc>
          <w:tcPr/>
          <w:p>
            <w:pPr>
              <w:pStyle w:val="Compact"/>
            </w:pPr>
            <w:r>
              <w:rPr>
                <w:b/>
                <w:bCs/>
              </w:rPr>
              <w:t xml:space="preserve">Ages/Grades</w:t>
            </w:r>
          </w:p>
        </w:tc>
        <w:tc>
          <w:tcPr/>
          <w:p>
            <w:pPr>
              <w:pStyle w:val="Compact"/>
            </w:pPr>
            <w:r>
              <w:rPr>
                <w:b/>
                <w:bCs/>
              </w:rPr>
              <w:t xml:space="preserve">Purpose / Constructs</w:t>
            </w:r>
          </w:p>
        </w:tc>
        <w:tc>
          <w:tcPr/>
          <w:p>
            <w:pPr>
              <w:pStyle w:val="Compact"/>
            </w:pPr>
            <w:r>
              <w:rPr>
                <w:b/>
                <w:bCs/>
              </w:rPr>
              <w:t xml:space="preserve">Subtests/Tasks (to gamify)</w:t>
            </w:r>
          </w:p>
        </w:tc>
        <w:tc>
          <w:tcPr/>
          <w:p>
            <w:pPr>
              <w:pStyle w:val="Compact"/>
            </w:pPr>
            <w:r>
              <w:rPr>
                <w:b/>
                <w:bCs/>
              </w:rPr>
              <w:t xml:space="preserve">Time</w:t>
            </w:r>
          </w:p>
        </w:tc>
        <w:tc>
          <w:tcPr/>
          <w:p>
            <w:pPr>
              <w:pStyle w:val="Compact"/>
            </w:pPr>
            <w:r>
              <w:rPr>
                <w:b/>
                <w:bCs/>
              </w:rPr>
              <w:t xml:space="preserve">Psychometrics</w:t>
            </w:r>
          </w:p>
        </w:tc>
        <w:tc>
          <w:tcPr/>
          <w:p>
            <w:pPr>
              <w:pStyle w:val="Compact"/>
            </w:pPr>
            <w:r>
              <w:rPr>
                <w:b/>
                <w:bCs/>
              </w:rPr>
              <w:t xml:space="preserve">Licensing</w:t>
            </w:r>
          </w:p>
        </w:tc>
      </w:tr>
      <w:tr>
        <w:tc>
          <w:tcPr/>
          <w:p>
            <w:pPr>
              <w:pStyle w:val="Compact"/>
            </w:pPr>
            <w:r>
              <w:rPr>
                <w:b/>
                <w:bCs/>
              </w:rPr>
              <w:t xml:space="preserve">DIBELS 8th Ed.</w:t>
            </w:r>
            <w:r>
              <w:t xml:space="preserve"> </w:t>
            </w:r>
            <w:r>
              <w:t xml:space="preserve">(Oregon Univ.)</w:t>
            </w:r>
            <w:hyperlink r:id="rId25">
              <w:r>
                <w:rPr>
                  <w:rStyle w:val="Hyperlink"/>
                </w:rPr>
                <w:t xml:space="preserve">[5]</w:t>
              </w:r>
            </w:hyperlink>
          </w:p>
        </w:tc>
        <w:tc>
          <w:tcPr/>
          <w:p>
            <w:pPr>
              <w:pStyle w:val="Compact"/>
            </w:pPr>
            <w:r>
              <w:t xml:space="preserve">K–2 (ages ~5–7)</w:t>
            </w:r>
          </w:p>
        </w:tc>
        <w:tc>
          <w:tcPr/>
          <w:p>
            <w:pPr>
              <w:pStyle w:val="Compact"/>
            </w:pPr>
            <w:r>
              <w:t xml:space="preserve">Early literacy fluency (letter ID, phonemic segmentation, decoding) – key dyslexia markers</w:t>
            </w:r>
            <w:hyperlink r:id="rId21">
              <w:r>
                <w:rPr>
                  <w:rStyle w:val="Hyperlink"/>
                </w:rPr>
                <w:t xml:space="preserve">[1]</w:t>
              </w:r>
            </w:hyperlink>
            <w:r>
              <w:t xml:space="preserve">.</w:t>
            </w:r>
          </w:p>
        </w:tc>
        <w:tc>
          <w:tcPr/>
          <w:p>
            <w:pPr>
              <w:pStyle w:val="Compact"/>
            </w:pPr>
            <w:r>
              <w:t xml:space="preserve">-</w:t>
            </w:r>
            <w:r>
              <w:t xml:space="preserve"> </w:t>
            </w:r>
            <w:r>
              <w:rPr>
                <w:i/>
                <w:iCs/>
              </w:rPr>
              <w:t xml:space="preserve">Letter Naming Fluency (LNF)</w:t>
            </w:r>
            <w:r>
              <w:t xml:space="preserve">: name random letters from chart (fast) &lt;br&gt;-</w:t>
            </w:r>
            <w:r>
              <w:t xml:space="preserve"> </w:t>
            </w:r>
            <w:r>
              <w:rPr>
                <w:i/>
                <w:iCs/>
              </w:rPr>
              <w:t xml:space="preserve">Phonemic Segmentation Fluency (PSF)</w:t>
            </w:r>
            <w:r>
              <w:t xml:space="preserve">: break words into sounds &lt;br&gt;-</w:t>
            </w:r>
            <w:r>
              <w:t xml:space="preserve"> </w:t>
            </w:r>
            <w:r>
              <w:rPr>
                <w:i/>
                <w:iCs/>
              </w:rPr>
              <w:t xml:space="preserve">Nonsense Word Fluency (NWF)</w:t>
            </w:r>
            <w:r>
              <w:t xml:space="preserve">: read pseudowords.</w:t>
            </w:r>
          </w:p>
        </w:tc>
        <w:tc>
          <w:tcPr/>
          <w:p>
            <w:pPr>
              <w:pStyle w:val="Compact"/>
            </w:pPr>
            <w:r>
              <w:t xml:space="preserve">1–3 min each</w:t>
            </w:r>
          </w:p>
        </w:tc>
        <w:tc>
          <w:tcPr/>
          <w:p>
            <w:pPr>
              <w:pStyle w:val="Compact"/>
            </w:pPr>
            <w:r>
              <w:t xml:space="preserve">Good validity for early risk; LNF was shown to identify ~90% of K/1 kids with RAN deficits</w:t>
            </w:r>
            <w:hyperlink r:id="rId23">
              <w:r>
                <w:rPr>
                  <w:rStyle w:val="Hyperlink"/>
                </w:rPr>
                <w:t xml:space="preserve">[3]</w:t>
              </w:r>
            </w:hyperlink>
            <w:r>
              <w:t xml:space="preserve">. Test-retest &amp; alternate-form reliability generally high.</w:t>
            </w:r>
          </w:p>
        </w:tc>
        <w:tc>
          <w:tcPr/>
          <w:p>
            <w:pPr>
              <w:pStyle w:val="Compact"/>
            </w:pPr>
            <w:r>
              <w:t xml:space="preserve">Free for educators, copyrighted content (flashcards/words) – custom implementation allowed (letters, sounds not copyrighted).</w:t>
            </w:r>
          </w:p>
        </w:tc>
      </w:tr>
      <w:tr>
        <w:tc>
          <w:tcPr/>
          <w:p>
            <w:pPr>
              <w:pStyle w:val="Compact"/>
            </w:pPr>
            <w:r>
              <w:rPr>
                <w:b/>
                <w:bCs/>
              </w:rPr>
              <w:t xml:space="preserve">CTOPP-2</w:t>
            </w:r>
            <w:r>
              <w:t xml:space="preserve"> </w:t>
            </w:r>
            <w:r>
              <w:t xml:space="preserve">(Pearson)</w:t>
            </w:r>
            <w:hyperlink r:id="rId26">
              <w:r>
                <w:rPr>
                  <w:rStyle w:val="Hyperlink"/>
                </w:rPr>
                <w:t xml:space="preserve">[6]</w:t>
              </w:r>
            </w:hyperlink>
          </w:p>
        </w:tc>
        <w:tc>
          <w:tcPr/>
          <w:p>
            <w:pPr>
              <w:pStyle w:val="Compact"/>
            </w:pPr>
            <w:r>
              <w:t xml:space="preserve">~4–10 years</w:t>
            </w:r>
          </w:p>
        </w:tc>
        <w:tc>
          <w:tcPr/>
          <w:p>
            <w:pPr>
              <w:pStyle w:val="Compact"/>
            </w:pPr>
            <w:r>
              <w:t xml:space="preserve">Phonological processing:</w:t>
            </w:r>
            <w:r>
              <w:t xml:space="preserve"> </w:t>
            </w:r>
            <w:r>
              <w:rPr>
                <w:i/>
                <w:iCs/>
              </w:rPr>
              <w:t xml:space="preserve">Awareness</w:t>
            </w:r>
            <w:r>
              <w:t xml:space="preserve">,</w:t>
            </w:r>
            <w:r>
              <w:t xml:space="preserve"> </w:t>
            </w:r>
            <w:r>
              <w:rPr>
                <w:i/>
                <w:iCs/>
              </w:rPr>
              <w:t xml:space="preserve">Memory</w:t>
            </w:r>
            <w:r>
              <w:t xml:space="preserve">, and</w:t>
            </w:r>
            <w:r>
              <w:t xml:space="preserve"> </w:t>
            </w:r>
            <w:r>
              <w:rPr>
                <w:i/>
                <w:iCs/>
              </w:rPr>
              <w:t xml:space="preserve">Rapid Naming</w:t>
            </w:r>
            <w:r>
              <w:t xml:space="preserve">.</w:t>
            </w:r>
          </w:p>
        </w:tc>
        <w:tc>
          <w:tcPr/>
          <w:p>
            <w:pPr>
              <w:pStyle w:val="Compact"/>
            </w:pPr>
            <w:r>
              <w:t xml:space="preserve">-</w:t>
            </w:r>
            <w:r>
              <w:t xml:space="preserve"> </w:t>
            </w:r>
            <w:r>
              <w:rPr>
                <w:i/>
                <w:iCs/>
              </w:rPr>
              <w:t xml:space="preserve">Elision</w:t>
            </w:r>
            <w:r>
              <w:t xml:space="preserve">: remove syllables/phonemes from words &lt;br&gt;-</w:t>
            </w:r>
            <w:r>
              <w:t xml:space="preserve"> </w:t>
            </w:r>
            <w:r>
              <w:rPr>
                <w:i/>
                <w:iCs/>
              </w:rPr>
              <w:t xml:space="preserve">Blending</w:t>
            </w:r>
            <w:r>
              <w:t xml:space="preserve">: combine sounds into words &lt;br&gt;-</w:t>
            </w:r>
            <w:r>
              <w:t xml:space="preserve"> </w:t>
            </w:r>
            <w:r>
              <w:rPr>
                <w:i/>
                <w:iCs/>
              </w:rPr>
              <w:t xml:space="preserve">Rapid Symbolic Naming</w:t>
            </w:r>
            <w:r>
              <w:t xml:space="preserve">: name arrays of letters/numbers quickly</w:t>
            </w:r>
            <w:hyperlink r:id="rId26">
              <w:r>
                <w:rPr>
                  <w:rStyle w:val="Hyperlink"/>
                </w:rPr>
                <w:t xml:space="preserve">[6]</w:t>
              </w:r>
            </w:hyperlink>
            <w:r>
              <w:t xml:space="preserve">.</w:t>
            </w:r>
          </w:p>
        </w:tc>
        <w:tc>
          <w:tcPr/>
          <w:p>
            <w:pPr>
              <w:pStyle w:val="Compact"/>
            </w:pPr>
            <w:r>
              <w:t xml:space="preserve">~30–40 min (total battery); each subtest ~5 min</w:t>
            </w:r>
          </w:p>
        </w:tc>
        <w:tc>
          <w:tcPr/>
          <w:p>
            <w:pPr>
              <w:pStyle w:val="Compact"/>
            </w:pPr>
            <w:r>
              <w:t xml:space="preserve">High reliability (composite α ≈0.90</w:t>
            </w:r>
            <w:hyperlink r:id="rId27">
              <w:r>
                <w:rPr>
                  <w:rStyle w:val="Hyperlink"/>
                </w:rPr>
                <w:t xml:space="preserve">[7]</w:t>
              </w:r>
            </w:hyperlink>
            <w:r>
              <w:t xml:space="preserve">); predictive validity for reading outcomes.</w:t>
            </w:r>
          </w:p>
        </w:tc>
        <w:tc>
          <w:tcPr/>
          <w:p>
            <w:pPr>
              <w:pStyle w:val="Compact"/>
            </w:pPr>
            <w:r>
              <w:t xml:space="preserve">Copyrighted; requires purchase/licensing.</w:t>
            </w:r>
          </w:p>
        </w:tc>
      </w:tr>
      <w:tr>
        <w:tc>
          <w:tcPr/>
          <w:p>
            <w:pPr>
              <w:pStyle w:val="Compact"/>
            </w:pPr>
            <w:r>
              <w:rPr>
                <w:b/>
                <w:bCs/>
              </w:rPr>
              <w:t xml:space="preserve">TOWRE-2</w:t>
            </w:r>
            <w:r>
              <w:t xml:space="preserve"> </w:t>
            </w:r>
            <w:r>
              <w:t xml:space="preserve">(Pearson/PAR)</w:t>
            </w:r>
            <w:hyperlink r:id="rId28">
              <w:r>
                <w:rPr>
                  <w:rStyle w:val="Hyperlink"/>
                </w:rPr>
                <w:t xml:space="preserve">[8]</w:t>
              </w:r>
            </w:hyperlink>
          </w:p>
        </w:tc>
        <w:tc>
          <w:tcPr/>
          <w:p>
            <w:pPr>
              <w:pStyle w:val="Compact"/>
            </w:pPr>
            <w:r>
              <w:t xml:space="preserve">6–24 years</w:t>
            </w:r>
          </w:p>
        </w:tc>
        <w:tc>
          <w:tcPr/>
          <w:p>
            <w:pPr>
              <w:pStyle w:val="Compact"/>
            </w:pPr>
            <w:r>
              <w:t xml:space="preserve">Word reading</w:t>
            </w:r>
            <w:r>
              <w:t xml:space="preserve"> </w:t>
            </w:r>
            <w:r>
              <w:rPr>
                <w:b/>
                <w:bCs/>
              </w:rPr>
              <w:t xml:space="preserve">efficiency</w:t>
            </w:r>
            <w:r>
              <w:t xml:space="preserve">: speed of real-word and pseudoword reading.</w:t>
            </w:r>
          </w:p>
        </w:tc>
        <w:tc>
          <w:tcPr/>
          <w:p>
            <w:pPr>
              <w:pStyle w:val="Compact"/>
            </w:pPr>
            <w:r>
              <w:t xml:space="preserve">-</w:t>
            </w:r>
            <w:r>
              <w:t xml:space="preserve"> </w:t>
            </w:r>
            <w:r>
              <w:rPr>
                <w:i/>
                <w:iCs/>
              </w:rPr>
              <w:t xml:space="preserve">Sight Word Efficiency (SWE)</w:t>
            </w:r>
            <w:r>
              <w:t xml:space="preserve">: name as many real words as possible in 45s (shown in list) &lt;br&gt;-</w:t>
            </w:r>
            <w:r>
              <w:t xml:space="preserve"> </w:t>
            </w:r>
            <w:r>
              <w:rPr>
                <w:i/>
                <w:iCs/>
              </w:rPr>
              <w:t xml:space="preserve">Phonemic Decoding Efficiency (PDE)</w:t>
            </w:r>
            <w:r>
              <w:t xml:space="preserve">: read as many nonwords as possible in 45s</w:t>
            </w:r>
            <w:hyperlink r:id="rId28">
              <w:r>
                <w:rPr>
                  <w:rStyle w:val="Hyperlink"/>
                </w:rPr>
                <w:t xml:space="preserve">[8]</w:t>
              </w:r>
            </w:hyperlink>
            <w:r>
              <w:t xml:space="preserve">.</w:t>
            </w:r>
          </w:p>
        </w:tc>
        <w:tc>
          <w:tcPr/>
          <w:p>
            <w:pPr>
              <w:pStyle w:val="Compact"/>
            </w:pPr>
            <w:r>
              <w:t xml:space="preserve">~5–10 min (both forms)</w:t>
            </w:r>
          </w:p>
        </w:tc>
        <w:tc>
          <w:tcPr/>
          <w:p>
            <w:pPr>
              <w:pStyle w:val="Compact"/>
            </w:pPr>
            <w:r>
              <w:t xml:space="preserve">High internal consistency and parallel-form reliability; good predictor of overall reading skill</w:t>
            </w:r>
            <w:hyperlink r:id="rId28">
              <w:r>
                <w:rPr>
                  <w:rStyle w:val="Hyperlink"/>
                </w:rPr>
                <w:t xml:space="preserve">[8]</w:t>
              </w:r>
            </w:hyperlink>
            <w:r>
              <w:t xml:space="preserve">.</w:t>
            </w:r>
          </w:p>
        </w:tc>
        <w:tc>
          <w:tcPr/>
          <w:p>
            <w:pPr>
              <w:pStyle w:val="Compact"/>
            </w:pPr>
            <w:r>
              <w:t xml:space="preserve">Proprietary (cards/forms); requires purchase.</w:t>
            </w:r>
          </w:p>
        </w:tc>
      </w:tr>
      <w:tr>
        <w:tc>
          <w:tcPr/>
          <w:p>
            <w:pPr>
              <w:pStyle w:val="Compact"/>
            </w:pPr>
            <w:r>
              <w:rPr>
                <w:b/>
                <w:bCs/>
              </w:rPr>
              <w:t xml:space="preserve">RAN/RAS</w:t>
            </w:r>
            <w:r>
              <w:t xml:space="preserve"> </w:t>
            </w:r>
            <w:r>
              <w:t xml:space="preserve">(e.g. Wolf &amp; Denckla)</w:t>
            </w:r>
            <w:hyperlink r:id="rId29">
              <w:r>
                <w:rPr>
                  <w:rStyle w:val="Hyperlink"/>
                </w:rPr>
                <w:t xml:space="preserve">[9]</w:t>
              </w:r>
            </w:hyperlink>
          </w:p>
        </w:tc>
        <w:tc>
          <w:tcPr/>
          <w:p>
            <w:pPr>
              <w:pStyle w:val="Compact"/>
            </w:pPr>
            <w:r>
              <w:t xml:space="preserve">5+ years (when letters/digits known)</w:t>
            </w:r>
          </w:p>
        </w:tc>
        <w:tc>
          <w:tcPr/>
          <w:p>
            <w:pPr>
              <w:pStyle w:val="Compact"/>
            </w:pPr>
            <w:r>
              <w:t xml:space="preserve">Naming speed – a critical automaticity measure linked to dyslexia</w:t>
            </w:r>
            <w:hyperlink r:id="rId29">
              <w:r>
                <w:rPr>
                  <w:rStyle w:val="Hyperlink"/>
                </w:rPr>
                <w:t xml:space="preserve">[9]</w:t>
              </w:r>
            </w:hyperlink>
            <w:r>
              <w:t xml:space="preserve">.</w:t>
            </w:r>
          </w:p>
        </w:tc>
        <w:tc>
          <w:tcPr/>
          <w:p>
            <w:pPr>
              <w:pStyle w:val="Compact"/>
            </w:pPr>
            <w:r>
              <w:t xml:space="preserve">-</w:t>
            </w:r>
            <w:r>
              <w:t xml:space="preserve"> </w:t>
            </w:r>
            <w:r>
              <w:rPr>
                <w:i/>
                <w:iCs/>
              </w:rPr>
              <w:t xml:space="preserve">Rapid Naming</w:t>
            </w:r>
            <w:r>
              <w:t xml:space="preserve">: Arrays of 40–50 familiar items (colors, objects, letters, digits) to name out loud as fast as possible</w:t>
            </w:r>
            <w:hyperlink r:id="rId29">
              <w:r>
                <w:rPr>
                  <w:rStyle w:val="Hyperlink"/>
                </w:rPr>
                <w:t xml:space="preserve">[9]</w:t>
              </w:r>
            </w:hyperlink>
            <w:r>
              <w:t xml:space="preserve">. &lt;br&gt;-</w:t>
            </w:r>
            <w:r>
              <w:t xml:space="preserve"> </w:t>
            </w:r>
            <w:r>
              <w:rPr>
                <w:i/>
                <w:iCs/>
              </w:rPr>
              <w:t xml:space="preserve">Rapid Alternating Stimulus (RAS)</w:t>
            </w:r>
            <w:r>
              <w:t xml:space="preserve">: mixed items (e.g. colors+letters in one grid).</w:t>
            </w:r>
          </w:p>
        </w:tc>
        <w:tc>
          <w:tcPr/>
          <w:p>
            <w:pPr>
              <w:pStyle w:val="Compact"/>
            </w:pPr>
            <w:r>
              <w:t xml:space="preserve">~1–2 min per array</w:t>
            </w:r>
          </w:p>
        </w:tc>
        <w:tc>
          <w:tcPr/>
          <w:p>
            <w:pPr>
              <w:pStyle w:val="Compact"/>
            </w:pPr>
            <w:r>
              <w:t xml:space="preserve">Strong correlation with reading fluency; high test-retest reliability in research.</w:t>
            </w:r>
          </w:p>
        </w:tc>
        <w:tc>
          <w:tcPr/>
          <w:p>
            <w:pPr>
              <w:pStyle w:val="Compact"/>
            </w:pPr>
            <w:r>
              <w:t xml:space="preserve">Concept is free, but standardized charts are copyrighted. Can generate new but equivalent item sets.</w:t>
            </w:r>
          </w:p>
        </w:tc>
      </w:tr>
      <w:tr>
        <w:tc>
          <w:tcPr/>
          <w:p>
            <w:pPr>
              <w:pStyle w:val="Compact"/>
            </w:pPr>
            <w:r>
              <w:rPr>
                <w:b/>
                <w:bCs/>
              </w:rPr>
              <w:t xml:space="preserve">PAT-2</w:t>
            </w:r>
            <w:r>
              <w:t xml:space="preserve"> </w:t>
            </w:r>
            <w:r>
              <w:t xml:space="preserve">(WesternPsych)</w:t>
            </w:r>
          </w:p>
        </w:tc>
        <w:tc>
          <w:tcPr/>
          <w:p>
            <w:pPr>
              <w:pStyle w:val="Compact"/>
            </w:pPr>
            <w:r>
              <w:t xml:space="preserve">5–9 years (optional)</w:t>
            </w:r>
          </w:p>
        </w:tc>
        <w:tc>
          <w:tcPr/>
          <w:p>
            <w:pPr>
              <w:pStyle w:val="Compact"/>
            </w:pPr>
            <w:r>
              <w:t xml:space="preserve">Broad phonological awareness and phoneme-grapheme skills.</w:t>
            </w:r>
          </w:p>
        </w:tc>
        <w:tc>
          <w:tcPr/>
          <w:p>
            <w:pPr>
              <w:pStyle w:val="Compact"/>
            </w:pPr>
            <w:r>
              <w:t xml:space="preserve">Syllable counting, phoneme deletion, substitution tasks.</w:t>
            </w:r>
          </w:p>
        </w:tc>
        <w:tc>
          <w:tcPr/>
          <w:p>
            <w:pPr>
              <w:pStyle w:val="Compact"/>
            </w:pPr>
            <w:r>
              <w:t xml:space="preserve">~15 min</w:t>
            </w:r>
          </w:p>
        </w:tc>
        <w:tc>
          <w:tcPr/>
          <w:p>
            <w:pPr>
              <w:pStyle w:val="Compact"/>
            </w:pPr>
            <w:r>
              <w:t xml:space="preserve">Good validity for PA; often used by SLPs.</w:t>
            </w:r>
          </w:p>
        </w:tc>
        <w:tc>
          <w:tcPr/>
          <w:p>
            <w:pPr>
              <w:pStyle w:val="Compact"/>
            </w:pPr>
            <w:r>
              <w:t xml:space="preserve">Proprietary.</w:t>
            </w:r>
          </w:p>
        </w:tc>
      </w:tr>
    </w:tbl>
    <w:p>
      <w:pPr>
        <w:pStyle w:val="BodyText"/>
      </w:pPr>
      <w:r>
        <w:rPr>
          <w:i/>
          <w:iCs/>
        </w:rPr>
        <w:t xml:space="preserve">Table: Summary of core screening measures suitable for a gamified app. Subtests listed are the ones we would convert into game activities. “[Low/Med/High risk]” cutoffs typically correspond to percentiles or DIBELS benchmarks (discussed below).</w:t>
      </w:r>
    </w:p>
    <w:bookmarkStart w:id="31" w:name="dibels-8th-ed-details"/>
    <w:p>
      <w:pPr>
        <w:pStyle w:val="Heading3"/>
      </w:pPr>
      <w:r>
        <w:t xml:space="preserve">DIBELS (8th Ed) Details</w:t>
      </w:r>
    </w:p>
    <w:p>
      <w:pPr>
        <w:pStyle w:val="FirstParagraph"/>
      </w:pPr>
      <w:r>
        <w:t xml:space="preserve">DIBELS is a curriculum-based measurement (CBM) suite for K–8 reading. For early dyslexia screening we focus on</w:t>
      </w:r>
      <w:r>
        <w:t xml:space="preserve"> </w:t>
      </w:r>
      <w:r>
        <w:rPr>
          <w:b/>
          <w:bCs/>
        </w:rPr>
        <w:t xml:space="preserve">fluency tasks</w:t>
      </w:r>
      <w:r>
        <w:t xml:space="preserve">: Letter Naming (LNF), Phonemic Segmentation (PSF), and Nonsense Word Fluency (NWF). These are individually administered, timed tasks (usually 1 minute each)</w:t>
      </w:r>
      <w:hyperlink r:id="rId25">
        <w:r>
          <w:rPr>
            <w:rStyle w:val="Hyperlink"/>
          </w:rPr>
          <w:t xml:space="preserve">[5]</w:t>
        </w:r>
      </w:hyperlink>
      <w:r>
        <w:t xml:space="preserve">. For example:</w:t>
      </w:r>
    </w:p>
    <w:p>
      <w:pPr>
        <w:pStyle w:val="Compact"/>
        <w:numPr>
          <w:ilvl w:val="0"/>
          <w:numId w:val="1001"/>
        </w:numPr>
      </w:pPr>
      <w:r>
        <w:rPr>
          <w:b/>
          <w:bCs/>
        </w:rPr>
        <w:t xml:space="preserve">LNF:</w:t>
      </w:r>
      <w:r>
        <w:t xml:space="preserve"> </w:t>
      </w:r>
      <w:r>
        <w:t xml:space="preserve">Show a grid of random letters; child names them aloud quickly (score = # correct in 1 min).</w:t>
      </w:r>
    </w:p>
    <w:p>
      <w:pPr>
        <w:pStyle w:val="Compact"/>
        <w:numPr>
          <w:ilvl w:val="0"/>
          <w:numId w:val="1001"/>
        </w:numPr>
      </w:pPr>
      <w:r>
        <w:rPr>
          <w:b/>
          <w:bCs/>
        </w:rPr>
        <w:t xml:space="preserve">PSF:</w:t>
      </w:r>
      <w:r>
        <w:t xml:space="preserve"> </w:t>
      </w:r>
      <w:r>
        <w:t xml:space="preserve">The examiner says a spoken word (e.g. “/s/ /t/ /op/”), child must segment and say each phoneme (score = # correct segmented).</w:t>
      </w:r>
    </w:p>
    <w:p>
      <w:pPr>
        <w:pStyle w:val="Compact"/>
        <w:numPr>
          <w:ilvl w:val="0"/>
          <w:numId w:val="1001"/>
        </w:numPr>
      </w:pPr>
      <w:r>
        <w:rPr>
          <w:b/>
          <w:bCs/>
        </w:rPr>
        <w:t xml:space="preserve">NWF (CLS):</w:t>
      </w:r>
      <w:r>
        <w:t xml:space="preserve"> </w:t>
      </w:r>
      <w:r>
        <w:t xml:space="preserve">Show list of pseudowords (e.g. “blig”, “fup”); child decodes them by sounding out (score = # correct phoneme-sounds in 1 min).</w:t>
      </w:r>
    </w:p>
    <w:p>
      <w:pPr>
        <w:pStyle w:val="FirstParagraph"/>
      </w:pPr>
      <w:r>
        <w:t xml:space="preserve">These tasks measure</w:t>
      </w:r>
      <w:r>
        <w:t xml:space="preserve"> </w:t>
      </w:r>
      <w:r>
        <w:rPr>
          <w:i/>
          <w:iCs/>
        </w:rPr>
        <w:t xml:space="preserve">alphabetic principle, phonemic awareness,</w:t>
      </w:r>
      <w:r>
        <w:t xml:space="preserve"> </w:t>
      </w:r>
      <w:r>
        <w:t xml:space="preserve">and</w:t>
      </w:r>
      <w:r>
        <w:t xml:space="preserve"> </w:t>
      </w:r>
      <w:r>
        <w:rPr>
          <w:i/>
          <w:iCs/>
        </w:rPr>
        <w:t xml:space="preserve">decoding</w:t>
      </w:r>
      <w:r>
        <w:t xml:space="preserve"> </w:t>
      </w:r>
      <w:r>
        <w:t xml:space="preserve">– core deficits in dyslexia</w:t>
      </w:r>
      <w:hyperlink r:id="rId21">
        <w:r>
          <w:rPr>
            <w:rStyle w:val="Hyperlink"/>
          </w:rPr>
          <w:t xml:space="preserve">[1]</w:t>
        </w:r>
      </w:hyperlink>
      <w:r>
        <w:t xml:space="preserve">. The DIBELS 8 update specifically aligned measures to dyslexia risk factors (e.g. extending LNF through Grade1 for rapid naming)</w:t>
      </w:r>
      <w:hyperlink r:id="rId23">
        <w:r>
          <w:rPr>
            <w:rStyle w:val="Hyperlink"/>
          </w:rPr>
          <w:t xml:space="preserve">[3]</w:t>
        </w:r>
      </w:hyperlink>
      <w:r>
        <w:t xml:space="preserve">. Psychometric studies show very high sensitivity: e.g. LNF cutoffs identified &gt;90% of K/1 students with later RAN deficits</w:t>
      </w:r>
      <w:hyperlink r:id="rId23">
        <w:r>
          <w:rPr>
            <w:rStyle w:val="Hyperlink"/>
          </w:rPr>
          <w:t xml:space="preserve">[3]</w:t>
        </w:r>
      </w:hyperlink>
      <w:r>
        <w:t xml:space="preserve">. DIBELS norms define “benchmark” scores (green/yellow/red zones) by grade (e.g. K-fall LNF ≥25 letters). Values well below these (roughly &lt;25th percentile) flag risk</w:t>
      </w:r>
      <w:hyperlink r:id="rId30">
        <w:r>
          <w:rPr>
            <w:rStyle w:val="Hyperlink"/>
          </w:rPr>
          <w:t xml:space="preserve">[10]</w:t>
        </w:r>
      </w:hyperlink>
      <w:r>
        <w:t xml:space="preserve">.</w:t>
      </w:r>
    </w:p>
    <w:p>
      <w:pPr>
        <w:pStyle w:val="BodyText"/>
      </w:pPr>
      <w:r>
        <w:rPr>
          <w:b/>
          <w:bCs/>
        </w:rPr>
        <w:t xml:space="preserve">Implementation:</w:t>
      </w:r>
      <w:r>
        <w:t xml:space="preserve"> </w:t>
      </w:r>
      <w:r>
        <w:t xml:space="preserve">We can gamify LNF as a “letter-fishing” game or timed flashcards (child taps or says letter names). PSF can be a “sound-breaking puzzle” where child splits words into sounds. NWF could be a decoded alien-language mini-game. (Exact UI design is provided in your PDF.) We will record raw scores (correct count) and time per item. Scoring is straightforward: count correct responses within the time limit. Cutoffs can use published DIBELS “At-Risk” criteria (e.g. below 16 letters at K-fall</w:t>
      </w:r>
      <w:hyperlink r:id="rId30">
        <w:r>
          <w:rPr>
            <w:rStyle w:val="Hyperlink"/>
          </w:rPr>
          <w:t xml:space="preserve">[10]</w:t>
        </w:r>
      </w:hyperlink>
      <w:r>
        <w:t xml:space="preserve">) or local norms. Because DIBELS items (letters, sounds) are not restricted, we can freely implement similar content.</w:t>
      </w:r>
    </w:p>
    <w:bookmarkEnd w:id="31"/>
    <w:bookmarkStart w:id="32" w:name="ctopp-2-phonological-processing-details"/>
    <w:p>
      <w:pPr>
        <w:pStyle w:val="Heading3"/>
      </w:pPr>
      <w:r>
        <w:t xml:space="preserve">CTOPP-2 (Phonological Processing) Details</w:t>
      </w:r>
    </w:p>
    <w:p>
      <w:pPr>
        <w:pStyle w:val="FirstParagraph"/>
      </w:pPr>
      <w:r>
        <w:t xml:space="preserve">The</w:t>
      </w:r>
      <w:r>
        <w:t xml:space="preserve"> </w:t>
      </w:r>
      <w:r>
        <w:rPr>
          <w:b/>
          <w:bCs/>
        </w:rPr>
        <w:t xml:space="preserve">CTOPP-2</w:t>
      </w:r>
      <w:r>
        <w:t xml:space="preserve"> </w:t>
      </w:r>
      <w:r>
        <w:t xml:space="preserve">assesses multiple phonological skills, including</w:t>
      </w:r>
      <w:r>
        <w:t xml:space="preserve"> </w:t>
      </w:r>
      <w:r>
        <w:rPr>
          <w:i/>
          <w:iCs/>
        </w:rPr>
        <w:t xml:space="preserve">phonemic awareness</w:t>
      </w:r>
      <w:r>
        <w:t xml:space="preserve"> </w:t>
      </w:r>
      <w:r>
        <w:t xml:space="preserve">(deletion, blending) and</w:t>
      </w:r>
      <w:r>
        <w:t xml:space="preserve"> </w:t>
      </w:r>
      <w:r>
        <w:rPr>
          <w:i/>
          <w:iCs/>
        </w:rPr>
        <w:t xml:space="preserve">rapid naming</w:t>
      </w:r>
      <w:r>
        <w:t xml:space="preserve"> </w:t>
      </w:r>
      <w:r>
        <w:t xml:space="preserve">(letters, digits)</w:t>
      </w:r>
      <w:hyperlink r:id="rId26">
        <w:r>
          <w:rPr>
            <w:rStyle w:val="Hyperlink"/>
          </w:rPr>
          <w:t xml:space="preserve">[6]</w:t>
        </w:r>
      </w:hyperlink>
      <w:r>
        <w:t xml:space="preserve">. Key subtests for dyslexia screening:</w:t>
      </w:r>
    </w:p>
    <w:p>
      <w:pPr>
        <w:pStyle w:val="Compact"/>
        <w:numPr>
          <w:ilvl w:val="0"/>
          <w:numId w:val="1002"/>
        </w:numPr>
      </w:pPr>
      <w:r>
        <w:rPr>
          <w:b/>
          <w:bCs/>
        </w:rPr>
        <w:t xml:space="preserve">Elision:</w:t>
      </w:r>
      <w:r>
        <w:t xml:space="preserve"> </w:t>
      </w:r>
      <w:r>
        <w:t xml:space="preserve">Child hears a word (e.g. “stamp”) and is asked to say it without a sound (“stamp” → “stap”).</w:t>
      </w:r>
    </w:p>
    <w:p>
      <w:pPr>
        <w:pStyle w:val="Compact"/>
        <w:numPr>
          <w:ilvl w:val="0"/>
          <w:numId w:val="1002"/>
        </w:numPr>
      </w:pPr>
      <w:r>
        <w:rPr>
          <w:b/>
          <w:bCs/>
        </w:rPr>
        <w:t xml:space="preserve">Blending:</w:t>
      </w:r>
      <w:r>
        <w:t xml:space="preserve"> </w:t>
      </w:r>
      <w:r>
        <w:t xml:space="preserve">Child hears phoneme segments and must blend them into a word (e.g. “/b/ /at/” → “bat”).</w:t>
      </w:r>
    </w:p>
    <w:p>
      <w:pPr>
        <w:pStyle w:val="Compact"/>
        <w:numPr>
          <w:ilvl w:val="0"/>
          <w:numId w:val="1002"/>
        </w:numPr>
      </w:pPr>
      <w:r>
        <w:rPr>
          <w:b/>
          <w:bCs/>
        </w:rPr>
        <w:t xml:space="preserve">Rapid Symbolic Naming:</w:t>
      </w:r>
      <w:r>
        <w:t xml:space="preserve"> </w:t>
      </w:r>
      <w:r>
        <w:t xml:space="preserve">Timed naming of arrays of letters or digits (e.g. quickly name a row of letters).</w:t>
      </w:r>
    </w:p>
    <w:p>
      <w:pPr>
        <w:pStyle w:val="FirstParagraph"/>
      </w:pPr>
      <w:r>
        <w:t xml:space="preserve">Total administration is ~30–40 minutes, but in an app we would administer only selected subtests (e.g. Elision, Blending, and Rapid Letter/Number naming). Sample items might involve cartoon characters for syllables or tapping out sounds. Scoring: count correct (e.g. number of phonemes correctly removed or blended) and measure speed for naming. The CTOPP-2 has excellent reliability (composite α~.90</w:t>
      </w:r>
      <w:hyperlink r:id="rId27">
        <w:r>
          <w:rPr>
            <w:rStyle w:val="Hyperlink"/>
          </w:rPr>
          <w:t xml:space="preserve">[7]</w:t>
        </w:r>
      </w:hyperlink>
      <w:r>
        <w:t xml:space="preserve">) and strong criterion validity with reading. However, it is proprietary. We would need to create</w:t>
      </w:r>
      <w:r>
        <w:t xml:space="preserve"> </w:t>
      </w:r>
      <w:r>
        <w:rPr>
          <w:b/>
          <w:bCs/>
        </w:rPr>
        <w:t xml:space="preserve">non-copyrighted equivalents</w:t>
      </w:r>
      <w:r>
        <w:t xml:space="preserve"> </w:t>
      </w:r>
      <w:r>
        <w:t xml:space="preserve">of items (the underlying skill is public domain: combining phonemes, known letters).</w:t>
      </w:r>
    </w:p>
    <w:bookmarkEnd w:id="32"/>
    <w:bookmarkStart w:id="33" w:name="towre-2-word-reading-efficiency-details"/>
    <w:p>
      <w:pPr>
        <w:pStyle w:val="Heading3"/>
      </w:pPr>
      <w:r>
        <w:t xml:space="preserve">TOWRE-2 (Word Reading Efficiency) Details</w:t>
      </w:r>
    </w:p>
    <w:p>
      <w:pPr>
        <w:pStyle w:val="FirstParagraph"/>
      </w:pPr>
      <w:r>
        <w:t xml:space="preserve">The</w:t>
      </w:r>
      <w:r>
        <w:t xml:space="preserve"> </w:t>
      </w:r>
      <w:r>
        <w:rPr>
          <w:b/>
          <w:bCs/>
        </w:rPr>
        <w:t xml:space="preserve">TOWRE-2</w:t>
      </w:r>
      <w:r>
        <w:t xml:space="preserve"> </w:t>
      </w:r>
      <w:r>
        <w:t xml:space="preserve">quickly measures</w:t>
      </w:r>
      <w:r>
        <w:t xml:space="preserve"> </w:t>
      </w:r>
      <w:r>
        <w:rPr>
          <w:i/>
          <w:iCs/>
        </w:rPr>
        <w:t xml:space="preserve">word reading fluency</w:t>
      </w:r>
      <w:hyperlink r:id="rId28">
        <w:r>
          <w:rPr>
            <w:rStyle w:val="Hyperlink"/>
          </w:rPr>
          <w:t xml:space="preserve">[8]</w:t>
        </w:r>
      </w:hyperlink>
      <w:r>
        <w:t xml:space="preserve">. It has two 45-second subtests:</w:t>
      </w:r>
    </w:p>
    <w:p>
      <w:pPr>
        <w:pStyle w:val="Compact"/>
        <w:numPr>
          <w:ilvl w:val="0"/>
          <w:numId w:val="1003"/>
        </w:numPr>
      </w:pPr>
      <w:r>
        <w:rPr>
          <w:b/>
          <w:bCs/>
        </w:rPr>
        <w:t xml:space="preserve">Sight Word Efficiency (SWE):</w:t>
      </w:r>
      <w:r>
        <w:t xml:space="preserve"> </w:t>
      </w:r>
      <w:r>
        <w:t xml:space="preserve">Child reads as many real words (on a form) as possible in 45s.</w:t>
      </w:r>
    </w:p>
    <w:p>
      <w:pPr>
        <w:pStyle w:val="Compact"/>
        <w:numPr>
          <w:ilvl w:val="0"/>
          <w:numId w:val="1003"/>
        </w:numPr>
      </w:pPr>
      <w:r>
        <w:rPr>
          <w:b/>
          <w:bCs/>
        </w:rPr>
        <w:t xml:space="preserve">Phonemic Decoding Efficiency (PDE):</w:t>
      </w:r>
      <w:r>
        <w:t xml:space="preserve"> </w:t>
      </w:r>
      <w:r>
        <w:t xml:space="preserve">Child reads as many pseudowords as possible in 45s.</w:t>
      </w:r>
    </w:p>
    <w:p>
      <w:pPr>
        <w:pStyle w:val="FirstParagraph"/>
      </w:pPr>
      <w:r>
        <w:t xml:space="preserve">Together, ~2 minutes. We can gamify these as “speed challenges” (e.g. words flash on screen to be read or tapped). Score = correct items named. TOWRE-2 is also proprietary but many practice lists exist. We can generate our own word/pseudoword lists following phonotactic rules. Norms exist for age 6+, helping set cutoffs. High TOWRE scores mean good decoding fluency. Psychometrics: high reliability; SWE/PDE correlate strongly with overall reading (thus dyslexia detection). We will record exact timing and count.</w:t>
      </w:r>
    </w:p>
    <w:bookmarkEnd w:id="33"/>
    <w:bookmarkStart w:id="34" w:name="ran-rapid-naming-details"/>
    <w:p>
      <w:pPr>
        <w:pStyle w:val="Heading3"/>
      </w:pPr>
      <w:r>
        <w:t xml:space="preserve">RAN (Rapid Naming) Details</w:t>
      </w:r>
    </w:p>
    <w:p>
      <w:pPr>
        <w:pStyle w:val="FirstParagraph"/>
      </w:pPr>
      <w:r>
        <w:t xml:space="preserve">Rapid naming tasks require children to name common items</w:t>
      </w:r>
      <w:r>
        <w:t xml:space="preserve"> </w:t>
      </w:r>
      <w:r>
        <w:rPr>
          <w:b/>
          <w:bCs/>
        </w:rPr>
        <w:t xml:space="preserve">as fast as possible</w:t>
      </w:r>
      <w:hyperlink r:id="rId29">
        <w:r>
          <w:rPr>
            <w:rStyle w:val="Hyperlink"/>
          </w:rPr>
          <w:t xml:space="preserve">[9]</w:t>
        </w:r>
      </w:hyperlink>
      <w:r>
        <w:t xml:space="preserve">. In practice, we’ll use grids of familiar stimuli (letters, digits, colors, objects). Each grid has ~40–50 repeated items</w:t>
      </w:r>
      <w:hyperlink r:id="rId29">
        <w:r>
          <w:rPr>
            <w:rStyle w:val="Hyperlink"/>
          </w:rPr>
          <w:t xml:space="preserve">[9]</w:t>
        </w:r>
      </w:hyperlink>
      <w:r>
        <w:t xml:space="preserve">. The child (or app) times how long it takes to name all, or counts how many are named in a fixed time. For example, a</w:t>
      </w:r>
      <w:r>
        <w:t xml:space="preserve"> </w:t>
      </w:r>
      <w:r>
        <w:rPr>
          <w:i/>
          <w:iCs/>
        </w:rPr>
        <w:t xml:space="preserve">Rapid Letter Naming</w:t>
      </w:r>
      <w:r>
        <w:t xml:space="preserve"> </w:t>
      </w:r>
      <w:r>
        <w:t xml:space="preserve">grid could be built (we can simulate RAN-L and RAN-Num). In-app, this could be a fast-paced “find the letter” game or simple audio naming. Scoring: total time per grid and/or items per minute. Studies show RAN tasks strongly predict reading fluency</w:t>
      </w:r>
      <w:hyperlink r:id="rId29">
        <w:r>
          <w:rPr>
            <w:rStyle w:val="Hyperlink"/>
          </w:rPr>
          <w:t xml:space="preserve">[9]</w:t>
        </w:r>
      </w:hyperlink>
      <w:r>
        <w:t xml:space="preserve">. We should implement at least letters and digits RAN. (These stimuli are generic and not copyrighted.)</w:t>
      </w:r>
    </w:p>
    <w:p>
      <w:pPr>
        <w:pStyle w:val="BodyText"/>
      </w:pPr>
      <w:r>
        <w:rPr>
          <w:b/>
          <w:bCs/>
        </w:rPr>
        <w:t xml:space="preserve">Key Points:</w:t>
      </w:r>
      <w:r>
        <w:t xml:space="preserve"> </w:t>
      </w:r>
      <w:r>
        <w:t xml:space="preserve">Each of the above tasks yields one or more raw scores. For app use, we will store each subtest score in the data model (see Sec 4). We will label scores in percentiles or standard scores (if normative data is available) for interpretation.</w:t>
      </w:r>
    </w:p>
    <w:bookmarkEnd w:id="34"/>
    <w:bookmarkEnd w:id="35"/>
    <w:bookmarkStart w:id="36" w:name="Xe95adaf92f5ab259323f336901c9cc0cb34f689"/>
    <w:p>
      <w:pPr>
        <w:pStyle w:val="Heading2"/>
      </w:pPr>
      <w:r>
        <w:t xml:space="preserve">2. Gamified Task Integration (Using Provided Strategy)</w:t>
      </w:r>
    </w:p>
    <w:p>
      <w:pPr>
        <w:pStyle w:val="FirstParagraph"/>
      </w:pPr>
      <w:r>
        <w:rPr>
          <w:i/>
          <w:iCs/>
        </w:rPr>
        <w:t xml:space="preserve">(Note: Your uploaded PDF covers UI/UX flow and detailed gamification. We focus on how to slot the above tests into that framework.)</w:t>
      </w:r>
    </w:p>
    <w:p>
      <w:pPr>
        <w:pStyle w:val="Compact"/>
        <w:numPr>
          <w:ilvl w:val="0"/>
          <w:numId w:val="1004"/>
        </w:numPr>
      </w:pPr>
      <w:r>
        <w:rPr>
          <w:b/>
          <w:bCs/>
        </w:rPr>
        <w:t xml:space="preserve">Task Flow:</w:t>
      </w:r>
      <w:r>
        <w:t xml:space="preserve"> </w:t>
      </w:r>
      <w:r>
        <w:t xml:space="preserve">Each screening task is presented as a short game-round. For example, the app can cycle through a “Letter Park” game (LNF), a “Sound Tree” game (PSF), an “Alien Words” game (NWF), etc., as you have outlined. Each game session will record the raw score and time automatically.</w:t>
      </w:r>
    </w:p>
    <w:p>
      <w:pPr>
        <w:pStyle w:val="Compact"/>
        <w:numPr>
          <w:ilvl w:val="0"/>
          <w:numId w:val="1004"/>
        </w:numPr>
      </w:pPr>
      <w:r>
        <w:rPr>
          <w:b/>
          <w:bCs/>
        </w:rPr>
        <w:t xml:space="preserve">Adaptive Difficulty:</w:t>
      </w:r>
      <w:r>
        <w:t xml:space="preserve"> </w:t>
      </w:r>
      <w:r>
        <w:t xml:space="preserve">We adapt item difficulty based on grade or previous performance (e.g. easier letters/sounds for K1, harder for K2). This keeps child engaged and ensures a range of ability.</w:t>
      </w:r>
    </w:p>
    <w:p>
      <w:pPr>
        <w:pStyle w:val="Compact"/>
        <w:numPr>
          <w:ilvl w:val="0"/>
          <w:numId w:val="1004"/>
        </w:numPr>
      </w:pPr>
      <w:r>
        <w:rPr>
          <w:b/>
          <w:bCs/>
        </w:rPr>
        <w:t xml:space="preserve">Feedback/Rewards:</w:t>
      </w:r>
      <w:r>
        <w:t xml:space="preserve"> </w:t>
      </w:r>
      <w:r>
        <w:t xml:space="preserve">Provide encouraging feedback (“Great job!”) after each item or round. Use simple rewards (stickers, points) as per your strategy, without revealing the “score level” to the child.</w:t>
      </w:r>
    </w:p>
    <w:p>
      <w:pPr>
        <w:pStyle w:val="Compact"/>
        <w:numPr>
          <w:ilvl w:val="0"/>
          <w:numId w:val="1004"/>
        </w:numPr>
      </w:pPr>
      <w:r>
        <w:rPr>
          <w:b/>
          <w:bCs/>
        </w:rPr>
        <w:t xml:space="preserve">Session Length:</w:t>
      </w:r>
      <w:r>
        <w:t xml:space="preserve"> </w:t>
      </w:r>
      <w:r>
        <w:t xml:space="preserve">Each screening session should be brief (~5–10 minutes total) to avoid fatigue. For example: 1 minute LNF + 1 min PSF + 2 min NWF + 2 min RAN = ~6 min. Can be spread over multiple short sessions if needed.</w:t>
      </w:r>
    </w:p>
    <w:p>
      <w:pPr>
        <w:pStyle w:val="Compact"/>
        <w:numPr>
          <w:ilvl w:val="0"/>
          <w:numId w:val="1004"/>
        </w:numPr>
      </w:pPr>
      <w:r>
        <w:rPr>
          <w:b/>
          <w:bCs/>
        </w:rPr>
        <w:t xml:space="preserve">Accessibility:</w:t>
      </w:r>
      <w:r>
        <w:t xml:space="preserve"> </w:t>
      </w:r>
      <w:r>
        <w:t xml:space="preserve">Large fonts, clear audio, support touch and (optionally) voice input. For bi/multilingual support, ensure instructions are in English (and plan for other languages by substituting any language-specific stimuli). For India context, incorporate multilingual instructions (English + local language) where possible.</w:t>
      </w:r>
    </w:p>
    <w:p>
      <w:pPr>
        <w:pStyle w:val="FirstParagraph"/>
      </w:pPr>
      <w:r>
        <w:t xml:space="preserve">(</w:t>
      </w:r>
      <w:r>
        <w:rPr>
          <w:i/>
          <w:iCs/>
        </w:rPr>
        <w:t xml:space="preserve">Detailed UI mockups are covered in your gamification PDF. We will ensure our tasks fit into those screens.</w:t>
      </w:r>
      <w:r>
        <w:t xml:space="preserve">)</w:t>
      </w:r>
    </w:p>
    <w:bookmarkEnd w:id="36"/>
    <w:bookmarkStart w:id="38" w:name="scoring-composite-risk-algorithm"/>
    <w:p>
      <w:pPr>
        <w:pStyle w:val="Heading2"/>
      </w:pPr>
      <w:r>
        <w:t xml:space="preserve">3. Scoring &amp; Composite Risk Algorithm</w:t>
      </w:r>
    </w:p>
    <w:p>
      <w:pPr>
        <w:pStyle w:val="FirstParagraph"/>
      </w:pPr>
      <w:r>
        <w:t xml:space="preserve">After administering the subtests, we compute a</w:t>
      </w:r>
      <w:r>
        <w:t xml:space="preserve"> </w:t>
      </w:r>
      <w:r>
        <w:rPr>
          <w:b/>
          <w:bCs/>
        </w:rPr>
        <w:t xml:space="preserve">composite risk score</w:t>
      </w:r>
      <w:r>
        <w:t xml:space="preserve">. We recommend a</w:t>
      </w:r>
      <w:r>
        <w:t xml:space="preserve"> </w:t>
      </w:r>
      <w:r>
        <w:rPr>
          <w:i/>
          <w:iCs/>
        </w:rPr>
        <w:t xml:space="preserve">weighted additive model</w:t>
      </w:r>
      <w:r>
        <w:t xml:space="preserve"> </w:t>
      </w:r>
      <w:r>
        <w:t xml:space="preserve">(or logistic regression) combining normalized subtest scores. For example:</w:t>
      </w:r>
    </w:p>
    <w:p>
      <w:pPr>
        <w:pStyle w:val="SourceCode"/>
      </w:pPr>
      <w:r>
        <w:rPr>
          <w:rStyle w:val="VerbatimChar"/>
        </w:rPr>
        <w:t xml:space="preserve"># Example weighted risk score (higher = more risk)</w:t>
      </w:r>
      <w:r>
        <w:br/>
      </w:r>
      <w:r>
        <w:rPr>
          <w:rStyle w:val="VerbatimChar"/>
        </w:rPr>
        <w:t xml:space="preserve">risk_score = w1*(1 - norm_LNF) </w:t>
      </w:r>
      <w:r>
        <w:br/>
      </w:r>
      <w:r>
        <w:rPr>
          <w:rStyle w:val="VerbatimChar"/>
        </w:rPr>
        <w:t xml:space="preserve">           + w2*(1 - norm_PSF) </w:t>
      </w:r>
      <w:r>
        <w:br/>
      </w:r>
      <w:r>
        <w:rPr>
          <w:rStyle w:val="VerbatimChar"/>
        </w:rPr>
        <w:t xml:space="preserve">           + w3*(1 - norm_NWF) </w:t>
      </w:r>
      <w:r>
        <w:br/>
      </w:r>
      <w:r>
        <w:rPr>
          <w:rStyle w:val="VerbatimChar"/>
        </w:rPr>
        <w:t xml:space="preserve">           + w4*(1 - norm_TOWRE_PDE) </w:t>
      </w:r>
      <w:r>
        <w:br/>
      </w:r>
      <w:r>
        <w:rPr>
          <w:rStyle w:val="VerbatimChar"/>
        </w:rPr>
        <w:t xml:space="preserve">           + w5*(1 - norm_RAN) </w:t>
      </w:r>
    </w:p>
    <w:p>
      <w:pPr>
        <w:pStyle w:val="FirstParagraph"/>
      </w:pPr>
      <w:r>
        <w:t xml:space="preserve">Here, each</w:t>
      </w:r>
      <w:r>
        <w:t xml:space="preserve"> </w:t>
      </w:r>
      <w:r>
        <w:rPr>
          <w:rStyle w:val="VerbatimChar"/>
        </w:rPr>
        <w:t xml:space="preserve">norm_X</w:t>
      </w:r>
      <w:r>
        <w:t xml:space="preserve"> </w:t>
      </w:r>
      <w:r>
        <w:t xml:space="preserve">is the child’s subtest score normalized to [0–1] (e.g. percentile). We use (1 - norm) so that poorer performance raises risk. Weight values (w1…w5) can be tuned (e.g. w1=w2=w5 higher, as DIBELS suggests LNF/PSF/RAN are strong early predictors</w:t>
      </w:r>
      <w:hyperlink r:id="rId24">
        <w:r>
          <w:rPr>
            <w:rStyle w:val="Hyperlink"/>
          </w:rPr>
          <w:t xml:space="preserve">[4]</w:t>
        </w:r>
      </w:hyperlink>
      <w:r>
        <w:t xml:space="preserve">).</w:t>
      </w:r>
    </w:p>
    <w:p>
      <w:pPr>
        <w:pStyle w:val="BodyText"/>
      </w:pPr>
      <w:r>
        <w:t xml:space="preserve">Alternatively, a logistic model can map raw scores to a probability of dyslexia risk, similar to Thompson et al. (2015)</w:t>
      </w:r>
      <w:hyperlink r:id="rId22">
        <w:r>
          <w:rPr>
            <w:rStyle w:val="Hyperlink"/>
          </w:rPr>
          <w:t xml:space="preserve">[2]</w:t>
        </w:r>
      </w:hyperlink>
      <w:r>
        <w:t xml:space="preserve">. For example:</w:t>
      </w:r>
    </w:p>
    <w:p>
      <w:pPr>
        <w:pStyle w:val="SourceCode"/>
      </w:pPr>
      <w:r>
        <w:rPr>
          <w:rStyle w:val="VerbatimChar"/>
        </w:rPr>
        <w:t xml:space="preserve">logit(p) = β0 + β1*LNF_score + β2*PSF_score + β3*RAN_score + β4*TOWRE_score</w:t>
      </w:r>
      <w:r>
        <w:br/>
      </w:r>
      <w:r>
        <w:rPr>
          <w:rStyle w:val="VerbatimChar"/>
        </w:rPr>
        <w:t xml:space="preserve">risk = 1 / (1 + exp(-logit(p)))</w:t>
      </w:r>
    </w:p>
    <w:p>
      <w:pPr>
        <w:pStyle w:val="FirstParagraph"/>
      </w:pPr>
      <w:r>
        <w:t xml:space="preserve">Coefficients (β) would come from pilot data or literature (initially from similar studies).</w:t>
      </w:r>
    </w:p>
    <w:p>
      <w:pPr>
        <w:pStyle w:val="BodyText"/>
      </w:pPr>
      <w:r>
        <w:rPr>
          <w:b/>
          <w:bCs/>
        </w:rPr>
        <w:t xml:space="preserve">Calibration:</w:t>
      </w:r>
      <w:r>
        <w:t xml:space="preserve"> </w:t>
      </w:r>
      <w:r>
        <w:t xml:space="preserve">We will calibrate the model using a normative sample and/or pilot study (Sec. 5). As an example, we might set:</w:t>
      </w:r>
    </w:p>
    <w:p>
      <w:pPr>
        <w:pStyle w:val="Compact"/>
        <w:numPr>
          <w:ilvl w:val="0"/>
          <w:numId w:val="1005"/>
        </w:numPr>
      </w:pPr>
      <w:r>
        <w:rPr>
          <w:i/>
          <w:iCs/>
        </w:rPr>
        <w:t xml:space="preserve">Low risk</w:t>
      </w:r>
      <w:r>
        <w:t xml:space="preserve"> </w:t>
      </w:r>
      <w:r>
        <w:t xml:space="preserve">if risk_score &lt; 0.2 (or p &lt; 20%)</w:t>
      </w:r>
    </w:p>
    <w:p>
      <w:pPr>
        <w:pStyle w:val="Compact"/>
        <w:numPr>
          <w:ilvl w:val="0"/>
          <w:numId w:val="1005"/>
        </w:numPr>
      </w:pPr>
      <w:r>
        <w:rPr>
          <w:i/>
          <w:iCs/>
        </w:rPr>
        <w:t xml:space="preserve">At-risk</w:t>
      </w:r>
      <w:r>
        <w:t xml:space="preserve"> </w:t>
      </w:r>
      <w:r>
        <w:t xml:space="preserve">if risk_score 0.2–0.5</w:t>
      </w:r>
    </w:p>
    <w:p>
      <w:pPr>
        <w:pStyle w:val="Compact"/>
        <w:numPr>
          <w:ilvl w:val="0"/>
          <w:numId w:val="1005"/>
        </w:numPr>
      </w:pPr>
      <w:r>
        <w:rPr>
          <w:i/>
          <w:iCs/>
        </w:rPr>
        <w:t xml:space="preserve">High risk</w:t>
      </w:r>
      <w:r>
        <w:t xml:space="preserve"> </w:t>
      </w:r>
      <w:r>
        <w:t xml:space="preserve">if risk_score &gt; 0.5</w:t>
      </w:r>
    </w:p>
    <w:p>
      <w:pPr>
        <w:pStyle w:val="FirstParagraph"/>
      </w:pPr>
      <w:r>
        <w:t xml:space="preserve">These thresholds would be adjusted to achieve desirable sensitivity/specificity. Research suggests that combining letter knowledge, phonemic awareness and RAN yields strong screening accuracy</w:t>
      </w:r>
      <w:hyperlink r:id="rId22">
        <w:r>
          <w:rPr>
            <w:rStyle w:val="Hyperlink"/>
          </w:rPr>
          <w:t xml:space="preserve">[2]</w:t>
        </w:r>
      </w:hyperlink>
      <w:r>
        <w:t xml:space="preserve">, so our weights will reflect that.</w:t>
      </w:r>
    </w:p>
    <w:p>
      <w:pPr>
        <w:pStyle w:val="BodyText"/>
      </w:pPr>
      <w:r>
        <w:rPr>
          <w:b/>
          <w:bCs/>
        </w:rPr>
        <w:t xml:space="preserve">Algorithm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Subtest</w:t>
            </w:r>
          </w:p>
        </w:tc>
        <w:tc>
          <w:tcPr/>
          <w:p>
            <w:pPr>
              <w:pStyle w:val="Compact"/>
            </w:pPr>
            <w:r>
              <w:t xml:space="preserve">Raw Score</w:t>
            </w:r>
          </w:p>
        </w:tc>
        <w:tc>
          <w:tcPr/>
          <w:p>
            <w:pPr>
              <w:pStyle w:val="Compact"/>
            </w:pPr>
            <w:r>
              <w:t xml:space="preserve">Normalization</w:t>
            </w:r>
          </w:p>
        </w:tc>
        <w:tc>
          <w:tcPr/>
          <w:p>
            <w:pPr>
              <w:pStyle w:val="Compact"/>
            </w:pPr>
            <w:r>
              <w:t xml:space="preserve">Interpretation</w:t>
            </w:r>
          </w:p>
        </w:tc>
        <w:tc>
          <w:tcPr/>
          <w:p>
            <w:pPr>
              <w:pStyle w:val="Compact"/>
            </w:pPr>
            <w:r>
              <w:t xml:space="preserve">Weight</w:t>
            </w:r>
          </w:p>
        </w:tc>
      </w:tr>
      <w:tr>
        <w:tc>
          <w:tcPr/>
          <w:p>
            <w:pPr>
              <w:pStyle w:val="Compact"/>
            </w:pPr>
            <w:r>
              <w:t xml:space="preserve">LNF (letters/min)</w:t>
            </w:r>
          </w:p>
        </w:tc>
        <w:tc>
          <w:tcPr/>
          <w:p>
            <w:pPr>
              <w:pStyle w:val="Compact"/>
            </w:pPr>
            <w:r>
              <w:t xml:space="preserve"># letters in 1 min</w:t>
            </w:r>
          </w:p>
        </w:tc>
        <w:tc>
          <w:tcPr/>
          <w:p>
            <w:pPr>
              <w:pStyle w:val="Compact"/>
            </w:pPr>
            <w:r>
              <w:rPr>
                <w:rStyle w:val="VerbatimChar"/>
              </w:rPr>
              <w:t xml:space="preserve">norm_LNF = min(score/benchmark, 1.0)</w:t>
            </w:r>
            <w:r>
              <w:t xml:space="preserve"> </w:t>
            </w:r>
            <w:r>
              <w:t xml:space="preserve">(or percentile)</w:t>
            </w:r>
          </w:p>
        </w:tc>
        <w:tc>
          <w:tcPr/>
          <w:p>
            <w:pPr>
              <w:pStyle w:val="Compact"/>
            </w:pPr>
            <w:r>
              <w:t xml:space="preserve">Lower → higher risk (slow naming)</w:t>
            </w:r>
          </w:p>
        </w:tc>
        <w:tc>
          <w:tcPr/>
          <w:p>
            <w:pPr>
              <w:pStyle w:val="Compact"/>
            </w:pPr>
            <w:r>
              <w:t xml:space="preserve">w1 ~0.2</w:t>
            </w:r>
          </w:p>
        </w:tc>
      </w:tr>
      <w:tr>
        <w:tc>
          <w:tcPr/>
          <w:p>
            <w:pPr>
              <w:pStyle w:val="Compact"/>
            </w:pPr>
            <w:r>
              <w:t xml:space="preserve">PSF (# phonemes)</w:t>
            </w:r>
          </w:p>
        </w:tc>
        <w:tc>
          <w:tcPr/>
          <w:p>
            <w:pPr>
              <w:pStyle w:val="Compact"/>
            </w:pPr>
            <w:r>
              <w:t xml:space="preserve"># correct (max 30)</w:t>
            </w:r>
          </w:p>
        </w:tc>
        <w:tc>
          <w:tcPr/>
          <w:p>
            <w:pPr>
              <w:pStyle w:val="Compact"/>
            </w:pPr>
            <w:r>
              <w:rPr>
                <w:rStyle w:val="VerbatimChar"/>
              </w:rPr>
              <w:t xml:space="preserve">norm_PSF = score/30</w:t>
            </w:r>
          </w:p>
        </w:tc>
        <w:tc>
          <w:tcPr/>
          <w:p>
            <w:pPr>
              <w:pStyle w:val="Compact"/>
            </w:pPr>
            <w:r>
              <w:t xml:space="preserve">Low ⇒ phonological deficit</w:t>
            </w:r>
            <w:hyperlink r:id="rId37">
              <w:r>
                <w:rPr>
                  <w:rStyle w:val="Hyperlink"/>
                </w:rPr>
                <w:t xml:space="preserve">[11]</w:t>
              </w:r>
            </w:hyperlink>
          </w:p>
        </w:tc>
        <w:tc>
          <w:tcPr/>
          <w:p>
            <w:pPr>
              <w:pStyle w:val="Compact"/>
            </w:pPr>
            <w:r>
              <w:t xml:space="preserve">w2 ~0.2</w:t>
            </w:r>
          </w:p>
        </w:tc>
      </w:tr>
      <w:tr>
        <w:tc>
          <w:tcPr/>
          <w:p>
            <w:pPr>
              <w:pStyle w:val="Compact"/>
            </w:pPr>
            <w:r>
              <w:t xml:space="preserve">NWF-CLS (# sounds)</w:t>
            </w:r>
          </w:p>
        </w:tc>
        <w:tc>
          <w:tcPr/>
          <w:p>
            <w:pPr>
              <w:pStyle w:val="Compact"/>
            </w:pPr>
            <w:r>
              <w:t xml:space="preserve"># correct letter-sounds</w:t>
            </w:r>
          </w:p>
        </w:tc>
        <w:tc>
          <w:tcPr/>
          <w:p>
            <w:pPr>
              <w:pStyle w:val="Compact"/>
            </w:pPr>
            <w:r>
              <w:rPr>
                <w:rStyle w:val="VerbatimChar"/>
              </w:rPr>
              <w:t xml:space="preserve">norm_NWF = score/target</w:t>
            </w:r>
          </w:p>
        </w:tc>
        <w:tc>
          <w:tcPr/>
          <w:p>
            <w:pPr>
              <w:pStyle w:val="Compact"/>
            </w:pPr>
            <w:r>
              <w:t xml:space="preserve">Low ⇒ decoding deficit</w:t>
            </w:r>
          </w:p>
        </w:tc>
        <w:tc>
          <w:tcPr/>
          <w:p>
            <w:pPr>
              <w:pStyle w:val="Compact"/>
            </w:pPr>
            <w:r>
              <w:t xml:space="preserve">w3 ~0.15</w:t>
            </w:r>
          </w:p>
        </w:tc>
      </w:tr>
      <w:tr>
        <w:tc>
          <w:tcPr/>
          <w:p>
            <w:pPr>
              <w:pStyle w:val="Compact"/>
            </w:pPr>
            <w:r>
              <w:t xml:space="preserve">TOWRE-PDE (# words)</w:t>
            </w:r>
          </w:p>
        </w:tc>
        <w:tc>
          <w:tcPr/>
          <w:p>
            <w:pPr>
              <w:pStyle w:val="Compact"/>
            </w:pPr>
            <w:r>
              <w:t xml:space="preserve"># pseudowords in 45s</w:t>
            </w:r>
          </w:p>
        </w:tc>
        <w:tc>
          <w:tcPr/>
          <w:p>
            <w:pPr>
              <w:pStyle w:val="Compact"/>
            </w:pPr>
            <w:r>
              <w:rPr>
                <w:rStyle w:val="VerbatimChar"/>
              </w:rPr>
              <w:t xml:space="preserve">norm_TOWRE = score / norm</w:t>
            </w:r>
            <w:r>
              <w:t xml:space="preserve"> </w:t>
            </w:r>
            <w:r>
              <w:t xml:space="preserve">(z-score)</w:t>
            </w:r>
          </w:p>
        </w:tc>
        <w:tc>
          <w:tcPr/>
          <w:p>
            <w:pPr>
              <w:pStyle w:val="Compact"/>
            </w:pPr>
            <w:r>
              <w:t xml:space="preserve">Low ⇒ poor decoding fluency</w:t>
            </w:r>
          </w:p>
        </w:tc>
        <w:tc>
          <w:tcPr/>
          <w:p>
            <w:pPr>
              <w:pStyle w:val="Compact"/>
            </w:pPr>
            <w:r>
              <w:t xml:space="preserve">w4 ~0.2</w:t>
            </w:r>
          </w:p>
        </w:tc>
      </w:tr>
      <w:tr>
        <w:tc>
          <w:tcPr/>
          <w:p>
            <w:pPr>
              <w:pStyle w:val="Compact"/>
            </w:pPr>
            <w:r>
              <w:t xml:space="preserve">RAN (letters/sec)</w:t>
            </w:r>
          </w:p>
        </w:tc>
        <w:tc>
          <w:tcPr/>
          <w:p>
            <w:pPr>
              <w:pStyle w:val="Compact"/>
            </w:pPr>
            <w:r>
              <w:t xml:space="preserve">total items / time (sec)</w:t>
            </w:r>
          </w:p>
        </w:tc>
        <w:tc>
          <w:tcPr/>
          <w:p>
            <w:pPr>
              <w:pStyle w:val="Compact"/>
            </w:pPr>
            <w:r>
              <w:rPr>
                <w:rStyle w:val="VerbatimChar"/>
              </w:rPr>
              <w:t xml:space="preserve">norm_RAN = (items/time)/norm</w:t>
            </w:r>
          </w:p>
        </w:tc>
        <w:tc>
          <w:tcPr/>
          <w:p>
            <w:pPr>
              <w:pStyle w:val="Compact"/>
            </w:pPr>
            <w:r>
              <w:t xml:space="preserve">Low speed ⇒ high risk</w:t>
            </w:r>
            <w:hyperlink r:id="rId23">
              <w:r>
                <w:rPr>
                  <w:rStyle w:val="Hyperlink"/>
                </w:rPr>
                <w:t xml:space="preserve">[3]</w:t>
              </w:r>
            </w:hyperlink>
          </w:p>
        </w:tc>
        <w:tc>
          <w:tcPr/>
          <w:p>
            <w:pPr>
              <w:pStyle w:val="Compact"/>
            </w:pPr>
            <w:r>
              <w:t xml:space="preserve">w5 ~0.25</w:t>
            </w:r>
          </w:p>
        </w:tc>
      </w:tr>
    </w:tbl>
    <w:p>
      <w:pPr>
        <w:pStyle w:val="BodyText"/>
      </w:pPr>
      <w:r>
        <w:rPr>
          <w:i/>
          <w:iCs/>
        </w:rPr>
        <w:t xml:space="preserve">Table: Example scoring components. “benchmark”/“norm” would be set from test norms. Weights are illustrative.</w:t>
      </w:r>
    </w:p>
    <w:p>
      <w:pPr>
        <w:pStyle w:val="BodyText"/>
      </w:pPr>
      <w:r>
        <w:t xml:space="preserve">A simple</w:t>
      </w:r>
      <w:r>
        <w:t xml:space="preserve"> </w:t>
      </w:r>
      <w:r>
        <w:rPr>
          <w:i/>
          <w:iCs/>
        </w:rPr>
        <w:t xml:space="preserve">threshold rule</w:t>
      </w:r>
      <w:r>
        <w:t xml:space="preserve"> </w:t>
      </w:r>
      <w:r>
        <w:t xml:space="preserve">backup: if</w:t>
      </w:r>
      <w:r>
        <w:t xml:space="preserve"> </w:t>
      </w:r>
      <w:r>
        <w:rPr>
          <w:b/>
          <w:bCs/>
        </w:rPr>
        <w:t xml:space="preserve">2 or more</w:t>
      </w:r>
      <w:r>
        <w:t xml:space="preserve"> </w:t>
      </w:r>
      <w:r>
        <w:t xml:space="preserve">subtests are below the 25th percentile, flag as “At-risk”. This rule-of-thumb aligns with the multi-factor nature of dyslexia.</w:t>
      </w:r>
    </w:p>
    <w:p>
      <w:pPr>
        <w:pStyle w:val="BodyText"/>
      </w:pPr>
      <w:r>
        <w:t xml:space="preserve">We will produce charts (after data collection) showing how risk scores map to sensitivity/specificity to finalize thresholds.</w:t>
      </w:r>
    </w:p>
    <w:bookmarkEnd w:id="38"/>
    <w:bookmarkStart w:id="43" w:name="implementation-details"/>
    <w:p>
      <w:pPr>
        <w:pStyle w:val="Heading2"/>
      </w:pPr>
      <w:r>
        <w:t xml:space="preserve">4. Implementation Details</w:t>
      </w:r>
    </w:p>
    <w:bookmarkStart w:id="39" w:name="data-model-schema"/>
    <w:p>
      <w:pPr>
        <w:pStyle w:val="Heading3"/>
      </w:pPr>
      <w:r>
        <w:t xml:space="preserve">Data Model (Schema)</w:t>
      </w:r>
    </w:p>
    <w:p>
      <w:pPr>
        <w:pStyle w:val="FirstParagraph"/>
      </w:pPr>
      <w:r>
        <w:t xml:space="preserve">A relational (or NoSQL) schema to store screening data might include:</w:t>
      </w:r>
    </w:p>
    <w:p>
      <w:pPr>
        <w:pStyle w:val="SourceCode"/>
      </w:pPr>
      <w:r>
        <w:rPr>
          <w:rStyle w:val="VerbatimChar"/>
        </w:rPr>
        <w:t xml:space="preserve">erDiagram</w:t>
      </w:r>
      <w:r>
        <w:br/>
      </w:r>
      <w:r>
        <w:rPr>
          <w:rStyle w:val="VerbatimChar"/>
        </w:rPr>
        <w:t xml:space="preserve">    USER ||--o{ ASSESSMENT : takes</w:t>
      </w:r>
      <w:r>
        <w:br/>
      </w:r>
      <w:r>
        <w:rPr>
          <w:rStyle w:val="VerbatimChar"/>
        </w:rPr>
        <w:t xml:space="preserve">    ASSESSMENT }o--|| TEST : contains</w:t>
      </w:r>
      <w:r>
        <w:br/>
      </w:r>
      <w:r>
        <w:rPr>
          <w:rStyle w:val="VerbatimChar"/>
        </w:rPr>
        <w:t xml:space="preserve">    TEST }o--|| ITEM : includes</w:t>
      </w:r>
      <w:r>
        <w:br/>
      </w:r>
      <w:r>
        <w:rPr>
          <w:rStyle w:val="VerbatimChar"/>
        </w:rPr>
        <w:t xml:space="preserve">    ITEM }o--|| RESPONSE : recorded</w:t>
      </w:r>
      <w:r>
        <w:br/>
      </w:r>
      <w:r>
        <w:rPr>
          <w:rStyle w:val="VerbatimChar"/>
        </w:rPr>
        <w:t xml:space="preserve">    USER {</w:t>
      </w:r>
      <w:r>
        <w:br/>
      </w:r>
      <w:r>
        <w:rPr>
          <w:rStyle w:val="VerbatimChar"/>
        </w:rPr>
        <w:t xml:space="preserve">        int id PK</w:t>
      </w:r>
      <w:r>
        <w:br/>
      </w:r>
      <w:r>
        <w:rPr>
          <w:rStyle w:val="VerbatimChar"/>
        </w:rPr>
        <w:t xml:space="preserve">        string name</w:t>
      </w:r>
      <w:r>
        <w:br/>
      </w:r>
      <w:r>
        <w:rPr>
          <w:rStyle w:val="VerbatimChar"/>
        </w:rPr>
        <w:t xml:space="preserve">        date dob</w:t>
      </w:r>
      <w:r>
        <w:br/>
      </w:r>
      <w:r>
        <w:rPr>
          <w:rStyle w:val="VerbatimChar"/>
        </w:rPr>
        <w:t xml:space="preserve">        int grade</w:t>
      </w:r>
      <w:r>
        <w:br/>
      </w:r>
      <w:r>
        <w:rPr>
          <w:rStyle w:val="VerbatimChar"/>
        </w:rPr>
        <w:t xml:space="preserve">    }</w:t>
      </w:r>
      <w:r>
        <w:br/>
      </w:r>
      <w:r>
        <w:rPr>
          <w:rStyle w:val="VerbatimChar"/>
        </w:rPr>
        <w:t xml:space="preserve">    ASSESSMENT {</w:t>
      </w:r>
      <w:r>
        <w:br/>
      </w:r>
      <w:r>
        <w:rPr>
          <w:rStyle w:val="VerbatimChar"/>
        </w:rPr>
        <w:t xml:space="preserve">        int id PK</w:t>
      </w:r>
      <w:r>
        <w:br/>
      </w:r>
      <w:r>
        <w:rPr>
          <w:rStyle w:val="VerbatimChar"/>
        </w:rPr>
        <w:t xml:space="preserve">        int user_id FK</w:t>
      </w:r>
      <w:r>
        <w:br/>
      </w:r>
      <w:r>
        <w:rPr>
          <w:rStyle w:val="VerbatimChar"/>
        </w:rPr>
        <w:t xml:space="preserve">        datetime date</w:t>
      </w:r>
      <w:r>
        <w:br/>
      </w:r>
      <w:r>
        <w:rPr>
          <w:rStyle w:val="VerbatimChar"/>
        </w:rPr>
        <w:t xml:space="preserve">        float risk_score</w:t>
      </w:r>
      <w:r>
        <w:br/>
      </w:r>
      <w:r>
        <w:rPr>
          <w:rStyle w:val="VerbatimChar"/>
        </w:rPr>
        <w:t xml:space="preserve">        enum risk_level {Low, AtRisk, High}</w:t>
      </w:r>
      <w:r>
        <w:br/>
      </w:r>
      <w:r>
        <w:rPr>
          <w:rStyle w:val="VerbatimChar"/>
        </w:rPr>
        <w:t xml:space="preserve">    }</w:t>
      </w:r>
      <w:r>
        <w:br/>
      </w:r>
      <w:r>
        <w:rPr>
          <w:rStyle w:val="VerbatimChar"/>
        </w:rPr>
        <w:t xml:space="preserve">    TEST {</w:t>
      </w:r>
      <w:r>
        <w:br/>
      </w:r>
      <w:r>
        <w:rPr>
          <w:rStyle w:val="VerbatimChar"/>
        </w:rPr>
        <w:t xml:space="preserve">        int id PK</w:t>
      </w:r>
      <w:r>
        <w:br/>
      </w:r>
      <w:r>
        <w:rPr>
          <w:rStyle w:val="VerbatimChar"/>
        </w:rPr>
        <w:t xml:space="preserve">        int assessment_id FK</w:t>
      </w:r>
      <w:r>
        <w:br/>
      </w:r>
      <w:r>
        <w:rPr>
          <w:rStyle w:val="VerbatimChar"/>
        </w:rPr>
        <w:t xml:space="preserve">        string test_name</w:t>
      </w:r>
      <w:r>
        <w:br/>
      </w:r>
      <w:r>
        <w:rPr>
          <w:rStyle w:val="VerbatimChar"/>
        </w:rPr>
        <w:t xml:space="preserve">        string subtest</w:t>
      </w:r>
      <w:r>
        <w:br/>
      </w:r>
      <w:r>
        <w:rPr>
          <w:rStyle w:val="VerbatimChar"/>
        </w:rPr>
        <w:t xml:space="preserve">        float raw_score</w:t>
      </w:r>
      <w:r>
        <w:br/>
      </w:r>
      <w:r>
        <w:rPr>
          <w:rStyle w:val="VerbatimChar"/>
        </w:rPr>
        <w:t xml:space="preserve">        float norm_score</w:t>
      </w:r>
      <w:r>
        <w:br/>
      </w:r>
      <w:r>
        <w:rPr>
          <w:rStyle w:val="VerbatimChar"/>
        </w:rPr>
        <w:t xml:space="preserve">    }</w:t>
      </w:r>
      <w:r>
        <w:br/>
      </w:r>
      <w:r>
        <w:rPr>
          <w:rStyle w:val="VerbatimChar"/>
        </w:rPr>
        <w:t xml:space="preserve">    ITEM {</w:t>
      </w:r>
      <w:r>
        <w:br/>
      </w:r>
      <w:r>
        <w:rPr>
          <w:rStyle w:val="VerbatimChar"/>
        </w:rPr>
        <w:t xml:space="preserve">        int id PK</w:t>
      </w:r>
      <w:r>
        <w:br/>
      </w:r>
      <w:r>
        <w:rPr>
          <w:rStyle w:val="VerbatimChar"/>
        </w:rPr>
        <w:t xml:space="preserve">        int test_id FK</w:t>
      </w:r>
      <w:r>
        <w:br/>
      </w:r>
      <w:r>
        <w:rPr>
          <w:rStyle w:val="VerbatimChar"/>
        </w:rPr>
        <w:t xml:space="preserve">        string content  (e.g. letter, word)</w:t>
      </w:r>
      <w:r>
        <w:br/>
      </w:r>
      <w:r>
        <w:rPr>
          <w:rStyle w:val="VerbatimChar"/>
        </w:rPr>
        <w:t xml:space="preserve">    }</w:t>
      </w:r>
      <w:r>
        <w:br/>
      </w:r>
      <w:r>
        <w:rPr>
          <w:rStyle w:val="VerbatimChar"/>
        </w:rPr>
        <w:t xml:space="preserve">    RESPONSE {</w:t>
      </w:r>
      <w:r>
        <w:br/>
      </w:r>
      <w:r>
        <w:rPr>
          <w:rStyle w:val="VerbatimChar"/>
        </w:rPr>
        <w:t xml:space="preserve">        int id PK</w:t>
      </w:r>
      <w:r>
        <w:br/>
      </w:r>
      <w:r>
        <w:rPr>
          <w:rStyle w:val="VerbatimChar"/>
        </w:rPr>
        <w:t xml:space="preserve">        int item_id FK</w:t>
      </w:r>
      <w:r>
        <w:br/>
      </w:r>
      <w:r>
        <w:rPr>
          <w:rStyle w:val="VerbatimChar"/>
        </w:rPr>
        <w:t xml:space="preserve">        string user_answer</w:t>
      </w:r>
      <w:r>
        <w:br/>
      </w:r>
      <w:r>
        <w:rPr>
          <w:rStyle w:val="VerbatimChar"/>
        </w:rPr>
        <w:t xml:space="preserve">        bool correct</w:t>
      </w:r>
      <w:r>
        <w:br/>
      </w:r>
      <w:r>
        <w:rPr>
          <w:rStyle w:val="VerbatimChar"/>
        </w:rPr>
        <w:t xml:space="preserve">        datetime timestamp</w:t>
      </w:r>
      <w:r>
        <w:br/>
      </w:r>
      <w:r>
        <w:rPr>
          <w:rStyle w:val="VerbatimChar"/>
        </w:rPr>
        <w:t xml:space="preserve">    }</w:t>
      </w:r>
    </w:p>
    <w:p>
      <w:pPr>
        <w:pStyle w:val="FirstParagraph"/>
      </w:pPr>
      <w:r>
        <w:t xml:space="preserve">Each</w:t>
      </w:r>
      <w:r>
        <w:t xml:space="preserve"> </w:t>
      </w:r>
      <w:r>
        <w:rPr>
          <w:b/>
          <w:bCs/>
        </w:rPr>
        <w:t xml:space="preserve">Assessment</w:t>
      </w:r>
      <w:r>
        <w:t xml:space="preserve"> </w:t>
      </w:r>
      <w:r>
        <w:t xml:space="preserve">session contains multiple</w:t>
      </w:r>
      <w:r>
        <w:t xml:space="preserve"> </w:t>
      </w:r>
      <w:r>
        <w:rPr>
          <w:b/>
          <w:bCs/>
        </w:rPr>
        <w:t xml:space="preserve">Test</w:t>
      </w:r>
      <w:r>
        <w:t xml:space="preserve"> </w:t>
      </w:r>
      <w:r>
        <w:t xml:space="preserve">records (one per subtest).</w:t>
      </w:r>
      <w:r>
        <w:t xml:space="preserve"> </w:t>
      </w:r>
      <w:r>
        <w:rPr>
          <w:b/>
          <w:bCs/>
        </w:rPr>
        <w:t xml:space="preserve">Responses</w:t>
      </w:r>
      <w:r>
        <w:t xml:space="preserve"> </w:t>
      </w:r>
      <w:r>
        <w:t xml:space="preserve">can store individual item answers if needed for later audit; otherwise we can store just the raw_score per test.</w:t>
      </w:r>
    </w:p>
    <w:bookmarkEnd w:id="39"/>
    <w:bookmarkStart w:id="40" w:name="item-timing-and-scoring-pseudocode"/>
    <w:p>
      <w:pPr>
        <w:pStyle w:val="Heading3"/>
      </w:pPr>
      <w:r>
        <w:t xml:space="preserve">Item Timing and Scoring Pseudocode</w:t>
      </w:r>
    </w:p>
    <w:p>
      <w:pPr>
        <w:pStyle w:val="FirstParagraph"/>
      </w:pPr>
      <w:r>
        <w:t xml:space="preserve">Example for an LNF task:</w:t>
      </w:r>
      <w:r>
        <w:br/>
      </w:r>
    </w:p>
    <w:p>
      <w:pPr>
        <w:pStyle w:val="SourceCode"/>
      </w:pPr>
      <w:r>
        <w:rPr>
          <w:rStyle w:val="VerbatimChar"/>
        </w:rPr>
        <w:t xml:space="preserve">startTimer(60s)</w:t>
      </w:r>
      <w:r>
        <w:br/>
      </w:r>
      <w:r>
        <w:rPr>
          <w:rStyle w:val="VerbatimChar"/>
        </w:rPr>
        <w:t xml:space="preserve">score = 0</w:t>
      </w:r>
      <w:r>
        <w:br/>
      </w:r>
      <w:r>
        <w:rPr>
          <w:rStyle w:val="VerbatimChar"/>
        </w:rPr>
        <w:t xml:space="preserve">while (timer &lt; 60s):</w:t>
      </w:r>
      <w:r>
        <w:br/>
      </w:r>
      <w:r>
        <w:rPr>
          <w:rStyle w:val="VerbatimChar"/>
        </w:rPr>
        <w:t xml:space="preserve">    displayNextLetter()</w:t>
      </w:r>
      <w:r>
        <w:br/>
      </w:r>
      <w:r>
        <w:rPr>
          <w:rStyle w:val="VerbatimChar"/>
        </w:rPr>
        <w:t xml:space="preserve">    wait for user response (touch or voice)</w:t>
      </w:r>
      <w:r>
        <w:br/>
      </w:r>
      <w:r>
        <w:rPr>
          <w:rStyle w:val="VerbatimChar"/>
        </w:rPr>
        <w:t xml:space="preserve">    if response == correctLetter:</w:t>
      </w:r>
      <w:r>
        <w:br/>
      </w:r>
      <w:r>
        <w:rPr>
          <w:rStyle w:val="VerbatimChar"/>
        </w:rPr>
        <w:t xml:space="preserve">         score += 1</w:t>
      </w:r>
      <w:r>
        <w:br/>
      </w:r>
      <w:r>
        <w:rPr>
          <w:rStyle w:val="VerbatimChar"/>
        </w:rPr>
        <w:t xml:space="preserve">    next</w:t>
      </w:r>
      <w:r>
        <w:br/>
      </w:r>
      <w:r>
        <w:rPr>
          <w:rStyle w:val="VerbatimChar"/>
        </w:rPr>
        <w:t xml:space="preserve">end</w:t>
      </w:r>
      <w:r>
        <w:br/>
      </w:r>
      <w:r>
        <w:rPr>
          <w:rStyle w:val="VerbatimChar"/>
        </w:rPr>
        <w:t xml:space="preserve">LNF_score = score  # letters per minute</w:t>
      </w:r>
    </w:p>
    <w:p>
      <w:pPr>
        <w:pStyle w:val="FirstParagraph"/>
      </w:pPr>
      <w:r>
        <w:t xml:space="preserve">For RAN (letter naming array):</w:t>
      </w:r>
      <w:r>
        <w:br/>
      </w:r>
    </w:p>
    <w:p>
      <w:pPr>
        <w:pStyle w:val="SourceCode"/>
      </w:pPr>
      <w:r>
        <w:rPr>
          <w:rStyle w:val="VerbatimChar"/>
        </w:rPr>
        <w:t xml:space="preserve">displayGrid(letters 5x8)</w:t>
      </w:r>
      <w:r>
        <w:br/>
      </w:r>
      <w:r>
        <w:rPr>
          <w:rStyle w:val="VerbatimChar"/>
        </w:rPr>
        <w:t xml:space="preserve">startTimer()</w:t>
      </w:r>
      <w:r>
        <w:br/>
      </w:r>
      <w:r>
        <w:rPr>
          <w:rStyle w:val="VerbatimChar"/>
        </w:rPr>
        <w:t xml:space="preserve">user speaks into microphone (or taps in sequence)</w:t>
      </w:r>
      <w:r>
        <w:br/>
      </w:r>
      <w:r>
        <w:rPr>
          <w:rStyle w:val="VerbatimChar"/>
        </w:rPr>
        <w:t xml:space="preserve">once all items named or timeout:</w:t>
      </w:r>
      <w:r>
        <w:br/>
      </w:r>
      <w:r>
        <w:rPr>
          <w:rStyle w:val="VerbatimChar"/>
        </w:rPr>
        <w:t xml:space="preserve">   time_sec = elapsed time</w:t>
      </w:r>
      <w:r>
        <w:br/>
      </w:r>
      <w:r>
        <w:rPr>
          <w:rStyle w:val="VerbatimChar"/>
        </w:rPr>
        <w:t xml:space="preserve">   RAN_score = (items_named) / (time_sec/60)  # items per minute</w:t>
      </w:r>
    </w:p>
    <w:p>
      <w:pPr>
        <w:pStyle w:val="FirstParagraph"/>
      </w:pPr>
      <w:r>
        <w:t xml:space="preserve">For NWF:</w:t>
      </w:r>
      <w:r>
        <w:br/>
      </w:r>
    </w:p>
    <w:p>
      <w:pPr>
        <w:pStyle w:val="SourceCode"/>
      </w:pPr>
      <w:r>
        <w:rPr>
          <w:rStyle w:val="VerbatimChar"/>
        </w:rPr>
        <w:t xml:space="preserve">startTimer(45s)</w:t>
      </w:r>
      <w:r>
        <w:br/>
      </w:r>
      <w:r>
        <w:rPr>
          <w:rStyle w:val="VerbatimChar"/>
        </w:rPr>
        <w:t xml:space="preserve">score = 0</w:t>
      </w:r>
      <w:r>
        <w:br/>
      </w:r>
      <w:r>
        <w:rPr>
          <w:rStyle w:val="VerbatimChar"/>
        </w:rPr>
        <w:t xml:space="preserve">while time&lt;45:</w:t>
      </w:r>
      <w:r>
        <w:br/>
      </w:r>
      <w:r>
        <w:rPr>
          <w:rStyle w:val="VerbatimChar"/>
        </w:rPr>
        <w:t xml:space="preserve">   display next pseudoword</w:t>
      </w:r>
      <w:r>
        <w:br/>
      </w:r>
      <w:r>
        <w:rPr>
          <w:rStyle w:val="VerbatimChar"/>
        </w:rPr>
        <w:t xml:space="preserve">   get user attempt</w:t>
      </w:r>
      <w:r>
        <w:br/>
      </w:r>
      <w:r>
        <w:rPr>
          <w:rStyle w:val="VerbatimChar"/>
        </w:rPr>
        <w:t xml:space="preserve">   if correct reading:</w:t>
      </w:r>
      <w:r>
        <w:br/>
      </w:r>
      <w:r>
        <w:rPr>
          <w:rStyle w:val="VerbatimChar"/>
        </w:rPr>
        <w:t xml:space="preserve">       score += (correct letter-sounds)</w:t>
      </w:r>
      <w:r>
        <w:br/>
      </w:r>
      <w:r>
        <w:rPr>
          <w:rStyle w:val="VerbatimChar"/>
        </w:rPr>
        <w:t xml:space="preserve">   next</w:t>
      </w:r>
      <w:r>
        <w:br/>
      </w:r>
      <w:r>
        <w:rPr>
          <w:rStyle w:val="VerbatimChar"/>
        </w:rPr>
        <w:t xml:space="preserve">score = total letter-sounds in 45s</w:t>
      </w:r>
    </w:p>
    <w:p>
      <w:pPr>
        <w:pStyle w:val="FirstParagraph"/>
      </w:pPr>
      <w:r>
        <w:t xml:space="preserve">Compute normalized scores from raw counts (e.g. convert to percentile based on age norms). Then compute risk_score as per Section 3 pseudocode.</w:t>
      </w:r>
    </w:p>
    <w:bookmarkEnd w:id="40"/>
    <w:bookmarkStart w:id="41" w:name="offline-mode-security"/>
    <w:p>
      <w:pPr>
        <w:pStyle w:val="Heading3"/>
      </w:pPr>
      <w:r>
        <w:t xml:space="preserve">Offline Mode &amp; Security</w:t>
      </w:r>
    </w:p>
    <w:p>
      <w:pPr>
        <w:pStyle w:val="Compact"/>
        <w:numPr>
          <w:ilvl w:val="0"/>
          <w:numId w:val="1006"/>
        </w:numPr>
      </w:pPr>
      <w:r>
        <w:rPr>
          <w:b/>
          <w:bCs/>
        </w:rPr>
        <w:t xml:space="preserve">Offline:</w:t>
      </w:r>
      <w:r>
        <w:t xml:space="preserve"> </w:t>
      </w:r>
      <w:r>
        <w:t xml:space="preserve">Store responses locally (encrypted) if no network, sync to server when online. Ensure app can fully assess without constant connectivity.</w:t>
      </w:r>
    </w:p>
    <w:p>
      <w:pPr>
        <w:pStyle w:val="Compact"/>
        <w:numPr>
          <w:ilvl w:val="0"/>
          <w:numId w:val="1006"/>
        </w:numPr>
      </w:pPr>
      <w:r>
        <w:rPr>
          <w:b/>
          <w:bCs/>
        </w:rPr>
        <w:t xml:space="preserve">Randomization/Test Security:</w:t>
      </w:r>
      <w:r>
        <w:t xml:space="preserve"> </w:t>
      </w:r>
      <w:r>
        <w:t xml:space="preserve">Randomize item order and forms so that results aren’t memorized across sessions. No “share” of answers in any way.</w:t>
      </w:r>
    </w:p>
    <w:p>
      <w:pPr>
        <w:pStyle w:val="Compact"/>
        <w:numPr>
          <w:ilvl w:val="0"/>
          <w:numId w:val="1006"/>
        </w:numPr>
      </w:pPr>
      <w:r>
        <w:rPr>
          <w:b/>
          <w:bCs/>
        </w:rPr>
        <w:t xml:space="preserve">Privacy:</w:t>
      </w:r>
      <w:r>
        <w:t xml:space="preserve"> </w:t>
      </w:r>
      <w:r>
        <w:t xml:space="preserve">Collect minimal PII (child’s age/grade, an ID) just for interpretation. Encrypt all data at rest and in transit. Follow GDPR guidelines: get parental consent (explicit opt-in) before any data collection. For India context, consider local data-protection regulations (like potential DPDP Act). Provide a clear privacy policy.</w:t>
      </w:r>
    </w:p>
    <w:bookmarkEnd w:id="41"/>
    <w:bookmarkStart w:id="42" w:name="licensingip-considerations"/>
    <w:p>
      <w:pPr>
        <w:pStyle w:val="Heading3"/>
      </w:pPr>
      <w:r>
        <w:t xml:space="preserve">Licensing/IP Considerations</w:t>
      </w:r>
    </w:p>
    <w:p>
      <w:pPr>
        <w:pStyle w:val="Compact"/>
        <w:numPr>
          <w:ilvl w:val="0"/>
          <w:numId w:val="1007"/>
        </w:numPr>
      </w:pPr>
      <w:r>
        <w:rPr>
          <w:i/>
          <w:iCs/>
        </w:rPr>
        <w:t xml:space="preserve">DIBELS/CTOPP/TOWRE items are proprietary.</w:t>
      </w:r>
      <w:r>
        <w:t xml:space="preserve"> </w:t>
      </w:r>
      <w:r>
        <w:t xml:space="preserve">We should</w:t>
      </w:r>
      <w:r>
        <w:t xml:space="preserve"> </w:t>
      </w:r>
      <w:r>
        <w:rPr>
          <w:b/>
          <w:bCs/>
        </w:rPr>
        <w:t xml:space="preserve">not include copyrighted test materials verbatim</w:t>
      </w:r>
      <w:r>
        <w:t xml:space="preserve">. Instead, use our own equivalent content: e.g. novel pseudowords, generic word lists, self-selected letters/words.</w:t>
      </w:r>
    </w:p>
    <w:p>
      <w:pPr>
        <w:pStyle w:val="Compact"/>
        <w:numPr>
          <w:ilvl w:val="0"/>
          <w:numId w:val="1007"/>
        </w:numPr>
      </w:pPr>
      <w:r>
        <w:rPr>
          <w:i/>
          <w:iCs/>
        </w:rPr>
        <w:t xml:space="preserve">Background music/sound effects</w:t>
      </w:r>
      <w:r>
        <w:t xml:space="preserve">: ensure royalty-free or licensed.</w:t>
      </w:r>
    </w:p>
    <w:p>
      <w:pPr>
        <w:pStyle w:val="Compact"/>
        <w:numPr>
          <w:ilvl w:val="0"/>
          <w:numId w:val="1007"/>
        </w:numPr>
      </w:pPr>
      <w:r>
        <w:rPr>
          <w:i/>
          <w:iCs/>
        </w:rPr>
        <w:t xml:space="preserve">Icons/graphics</w:t>
      </w:r>
      <w:r>
        <w:t xml:space="preserve">: use open-license or original designs.</w:t>
      </w:r>
    </w:p>
    <w:bookmarkEnd w:id="42"/>
    <w:bookmarkEnd w:id="43"/>
    <w:bookmarkStart w:id="44" w:name="validation-plan"/>
    <w:p>
      <w:pPr>
        <w:pStyle w:val="Heading2"/>
      </w:pPr>
      <w:r>
        <w:t xml:space="preserve">5. Validation Plan</w:t>
      </w:r>
    </w:p>
    <w:p>
      <w:pPr>
        <w:pStyle w:val="FirstParagraph"/>
      </w:pPr>
      <w:r>
        <w:t xml:space="preserve">To ensure accuracy, conduct a pilot study:</w:t>
      </w:r>
    </w:p>
    <w:p>
      <w:pPr>
        <w:pStyle w:val="Compact"/>
        <w:numPr>
          <w:ilvl w:val="0"/>
          <w:numId w:val="1008"/>
        </w:numPr>
      </w:pPr>
      <w:r>
        <w:rPr>
          <w:b/>
          <w:bCs/>
        </w:rPr>
        <w:t xml:space="preserve">Sample:</w:t>
      </w:r>
      <w:r>
        <w:t xml:space="preserve"> </w:t>
      </w:r>
      <w:r>
        <w:t xml:space="preserve">~200 children age 5–7 (for early screening) from diverse backgrounds. Include a mix with known reading issues.</w:t>
      </w:r>
    </w:p>
    <w:p>
      <w:pPr>
        <w:pStyle w:val="Compact"/>
        <w:numPr>
          <w:ilvl w:val="0"/>
          <w:numId w:val="1008"/>
        </w:numPr>
      </w:pPr>
      <w:r>
        <w:rPr>
          <w:b/>
          <w:bCs/>
        </w:rPr>
        <w:t xml:space="preserve">Procedure:</w:t>
      </w:r>
      <w:r>
        <w:t xml:space="preserve"> </w:t>
      </w:r>
      <w:r>
        <w:t xml:space="preserve">Administer the app battery, then have each child evaluated by a qualified specialist using a gold-standard dyslexia assessment (e.g. a comprehensive reading test + clinical exam).</w:t>
      </w:r>
    </w:p>
    <w:p>
      <w:pPr>
        <w:pStyle w:val="Compact"/>
        <w:numPr>
          <w:ilvl w:val="0"/>
          <w:numId w:val="1008"/>
        </w:numPr>
      </w:pPr>
      <w:r>
        <w:rPr>
          <w:b/>
          <w:bCs/>
        </w:rPr>
        <w:t xml:space="preserve">Metrics:</w:t>
      </w:r>
      <w:r>
        <w:t xml:space="preserve"> </w:t>
      </w:r>
      <w:r>
        <w:t xml:space="preserve">Compute sensitivity, specificity, ROC AUC of the app risk classification vs. clinician diagnosis</w:t>
      </w:r>
      <w:hyperlink r:id="rId22">
        <w:r>
          <w:rPr>
            <w:rStyle w:val="Hyperlink"/>
          </w:rPr>
          <w:t xml:space="preserve">[2]</w:t>
        </w:r>
      </w:hyperlink>
      <w:r>
        <w:t xml:space="preserve">. Also track internal consistency, test completion time, user engagement.</w:t>
      </w:r>
    </w:p>
    <w:p>
      <w:pPr>
        <w:pStyle w:val="Compact"/>
        <w:numPr>
          <w:ilvl w:val="0"/>
          <w:numId w:val="1008"/>
        </w:numPr>
      </w:pPr>
      <w:r>
        <w:rPr>
          <w:b/>
          <w:bCs/>
        </w:rPr>
        <w:t xml:space="preserve">Analysis:</w:t>
      </w:r>
      <w:r>
        <w:t xml:space="preserve"> </w:t>
      </w:r>
      <w:r>
        <w:t xml:space="preserve">Adjust weights/thresholds in the risk algorithm to optimize screening accuracy (e.g. maximize AUC or desired sensitivity ~0.8–0.9). A regression approach could yield final weights.</w:t>
      </w:r>
    </w:p>
    <w:p>
      <w:pPr>
        <w:pStyle w:val="Compact"/>
        <w:numPr>
          <w:ilvl w:val="0"/>
          <w:numId w:val="1008"/>
        </w:numPr>
      </w:pPr>
      <w:r>
        <w:rPr>
          <w:b/>
          <w:bCs/>
        </w:rPr>
        <w:t xml:space="preserve">Sample Size:</w:t>
      </w:r>
      <w:r>
        <w:t xml:space="preserve"> </w:t>
      </w:r>
      <w:r>
        <w:t xml:space="preserve">Roughly 100–200 ensures confidence in estimates (power analysis targeting ~80% sensitivity with ±10% precision).</w:t>
      </w:r>
    </w:p>
    <w:p>
      <w:pPr>
        <w:pStyle w:val="Compact"/>
        <w:numPr>
          <w:ilvl w:val="0"/>
          <w:numId w:val="1008"/>
        </w:numPr>
      </w:pPr>
      <w:r>
        <w:rPr>
          <w:b/>
          <w:bCs/>
        </w:rPr>
        <w:t xml:space="preserve">Usability:</w:t>
      </w:r>
      <w:r>
        <w:t xml:space="preserve"> </w:t>
      </w:r>
      <w:r>
        <w:t xml:space="preserve">Collect qualitative feedback from children/teachers on game difficulty and clarity.</w:t>
      </w:r>
    </w:p>
    <w:p>
      <w:pPr>
        <w:pStyle w:val="FirstParagraph"/>
      </w:pPr>
      <w:r>
        <w:t xml:space="preserve">This iterative validation ensures the tool is both engaging and psychometrically sound.</w:t>
      </w:r>
    </w:p>
    <w:bookmarkEnd w:id="44"/>
    <w:bookmarkStart w:id="45" w:name="reporting-to-parents"/>
    <w:p>
      <w:pPr>
        <w:pStyle w:val="Heading2"/>
      </w:pPr>
      <w:r>
        <w:t xml:space="preserve">6. Reporting to Parents</w:t>
      </w:r>
    </w:p>
    <w:p>
      <w:pPr>
        <w:pStyle w:val="FirstParagraph"/>
      </w:pPr>
      <w:r>
        <w:t xml:space="preserve">After screening, provide a clear, jargon-free summary. For example:</w:t>
      </w:r>
    </w:p>
    <w:p>
      <w:pPr>
        <w:pStyle w:val="BlockText"/>
      </w:pPr>
      <w:r>
        <w:rPr>
          <w:b/>
          <w:bCs/>
        </w:rPr>
        <w:t xml:space="preserve">Dear Parent,</w:t>
      </w:r>
      <w:r>
        <w:br/>
      </w:r>
      <w:r>
        <w:t xml:space="preserve">Your child completed an early literacy screening today. We evaluate letter knowledge, sound blending, and reading speed. The results show your child scored in the</w:t>
      </w:r>
      <w:r>
        <w:t xml:space="preserve"> </w:t>
      </w:r>
      <w:r>
        <w:rPr>
          <w:b/>
          <w:bCs/>
        </w:rPr>
        <w:t xml:space="preserve">[Low / At-Risk / High Risk]</w:t>
      </w:r>
      <w:r>
        <w:t xml:space="preserve"> </w:t>
      </w:r>
      <w:r>
        <w:t xml:space="preserve">range for dyslexia risk.</w:t>
      </w:r>
    </w:p>
    <w:p>
      <w:pPr>
        <w:pStyle w:val="BlockText"/>
      </w:pPr>
      <w:r>
        <w:rPr>
          <w:b/>
          <w:bCs/>
        </w:rPr>
        <w:t xml:space="preserve">What this means:</w:t>
      </w:r>
      <w:r>
        <w:t xml:space="preserve"> </w:t>
      </w:r>
      <w:r>
        <w:t xml:space="preserve">This is a</w:t>
      </w:r>
      <w:r>
        <w:t xml:space="preserve"> </w:t>
      </w:r>
      <w:r>
        <w:rPr>
          <w:b/>
          <w:bCs/>
        </w:rPr>
        <w:t xml:space="preserve">screening</w:t>
      </w:r>
      <w:r>
        <w:t xml:space="preserve">, not a diagnosis. It checks if your child has difficulties that sometimes appear in dyslexia (like trouble with phonics or naming letters). An</w:t>
      </w:r>
      <w:r>
        <w:t xml:space="preserve"> </w:t>
      </w:r>
      <w:r>
        <w:rPr>
          <w:i/>
          <w:iCs/>
        </w:rPr>
        <w:t xml:space="preserve">At-Risk</w:t>
      </w:r>
      <w:r>
        <w:t xml:space="preserve"> </w:t>
      </w:r>
      <w:r>
        <w:t xml:space="preserve">or</w:t>
      </w:r>
      <w:r>
        <w:t xml:space="preserve"> </w:t>
      </w:r>
      <w:r>
        <w:rPr>
          <w:i/>
          <w:iCs/>
        </w:rPr>
        <w:t xml:space="preserve">High Risk</w:t>
      </w:r>
      <w:r>
        <w:t xml:space="preserve"> </w:t>
      </w:r>
      <w:r>
        <w:t xml:space="preserve">result suggests extra monitoring or support might be helpful.</w:t>
      </w:r>
    </w:p>
    <w:p>
      <w:pPr>
        <w:pStyle w:val="BlockText"/>
      </w:pPr>
      <w:r>
        <w:rPr>
          <w:b/>
          <w:bCs/>
        </w:rPr>
        <w:t xml:space="preserve">Limitations:</w:t>
      </w:r>
      <w:r>
        <w:t xml:space="preserve"> </w:t>
      </w:r>
      <w:r>
        <w:t xml:space="preserve">Screenings can have false positives/negatives. Some children flagged may not have dyslexia, and some with dyslexia might not be caught. Environmental factors (learning environment, language background) also affect results.</w:t>
      </w:r>
    </w:p>
    <w:p>
      <w:pPr>
        <w:pStyle w:val="BlockText"/>
      </w:pPr>
      <w:r>
        <w:rPr>
          <w:b/>
          <w:bCs/>
        </w:rPr>
        <w:t xml:space="preserve">Next steps:</w:t>
      </w:r>
      <w:r>
        <w:t xml:space="preserve"> </w:t>
      </w:r>
      <w:r>
        <w:t xml:space="preserve">If your child is</w:t>
      </w:r>
      <w:r>
        <w:t xml:space="preserve"> </w:t>
      </w:r>
      <w:r>
        <w:rPr>
          <w:i/>
          <w:iCs/>
        </w:rPr>
        <w:t xml:space="preserve">At-Risk/High Risk</w:t>
      </w:r>
      <w:r>
        <w:t xml:space="preserve">, consider:</w:t>
      </w:r>
      <w:r>
        <w:br/>
      </w:r>
      <w:r>
        <w:t xml:space="preserve">- Sharing this with your child’s teacher or a specialist</w:t>
      </w:r>
      <w:r>
        <w:br/>
      </w:r>
      <w:r>
        <w:t xml:space="preserve">- Getting a full evaluation by an educational psychologist or reading specialist</w:t>
      </w:r>
      <w:r>
        <w:br/>
      </w:r>
      <w:r>
        <w:t xml:space="preserve">- Engaging in early reading interventions (phonics-based exercises)</w:t>
      </w:r>
    </w:p>
    <w:p>
      <w:pPr>
        <w:pStyle w:val="BlockText"/>
      </w:pPr>
      <w:r>
        <w:t xml:space="preserve">If your child is</w:t>
      </w:r>
      <w:r>
        <w:t xml:space="preserve"> </w:t>
      </w:r>
      <w:r>
        <w:rPr>
          <w:i/>
          <w:iCs/>
        </w:rPr>
        <w:t xml:space="preserve">Low Risk</w:t>
      </w:r>
      <w:r>
        <w:t xml:space="preserve">, continue supporting reading at home (read together daily, play letter/sound games).</w:t>
      </w:r>
    </w:p>
    <w:p>
      <w:pPr>
        <w:pStyle w:val="BlockText"/>
      </w:pPr>
      <w:r>
        <w:rPr>
          <w:b/>
          <w:bCs/>
        </w:rPr>
        <w:t xml:space="preserve">Resources/Referral:</w:t>
      </w:r>
      <w:r>
        <w:t xml:space="preserve"> </w:t>
      </w:r>
      <w:r>
        <w:t xml:space="preserve">(List local dyslexia-assessment centers or educators.)</w:t>
      </w:r>
    </w:p>
    <w:p>
      <w:pPr>
        <w:pStyle w:val="FirstParagraph"/>
      </w:pPr>
      <w:r>
        <w:t xml:space="preserve">Use simple charts (e.g. a bar or gauge) to show where your child falls relative to peers. Emphasize confidentiality and that this is one tool in understanding reading skills.</w:t>
      </w:r>
    </w:p>
    <w:p>
      <w:pPr>
        <w:pStyle w:val="BodyText"/>
      </w:pPr>
      <w:r>
        <w:rPr>
          <w:b/>
          <w:bCs/>
        </w:rPr>
        <w:t xml:space="preserve">Recommendation Wording:</w:t>
      </w:r>
      <w:r>
        <w:t xml:space="preserve"> </w:t>
      </w:r>
      <w:r>
        <w:t xml:space="preserve">Example:</w:t>
      </w:r>
    </w:p>
    <w:p>
      <w:pPr>
        <w:pStyle w:val="BlockText"/>
      </w:pPr>
      <w:r>
        <w:t xml:space="preserve">“Your child’s score falls in the</w:t>
      </w:r>
      <w:r>
        <w:t xml:space="preserve"> </w:t>
      </w:r>
      <w:r>
        <w:rPr>
          <w:b/>
          <w:bCs/>
        </w:rPr>
        <w:t xml:space="preserve">yellow (at-risk)</w:t>
      </w:r>
      <w:r>
        <w:t xml:space="preserve"> </w:t>
      </w:r>
      <w:r>
        <w:t xml:space="preserve">zone for early reading difficulties. This suggests we keep a closer eye on their reading development. It would be beneficial to consult a specialist to determine if further testing or early interventions are needed.”</w:t>
      </w:r>
    </w:p>
    <w:p>
      <w:pPr>
        <w:pStyle w:val="FirstParagraph"/>
      </w:pPr>
      <w:r>
        <w:t xml:space="preserve">Finally, reassure parents that early screening is a positive step – it helps catch issues early when they are most remediable.</w:t>
      </w:r>
    </w:p>
    <w:p>
      <w:pPr>
        <w:pStyle w:val="BodyText"/>
      </w:pPr>
      <w:r>
        <w:rPr>
          <w:b/>
          <w:bCs/>
        </w:rPr>
        <w:t xml:space="preserve">References:</w:t>
      </w:r>
      <w:r>
        <w:t xml:space="preserve"> </w:t>
      </w:r>
      <w:r>
        <w:t xml:space="preserve">DIBELS and other measures cited above have been extensively validated</w:t>
      </w:r>
      <w:hyperlink r:id="rId21">
        <w:r>
          <w:rPr>
            <w:rStyle w:val="Hyperlink"/>
          </w:rPr>
          <w:t xml:space="preserve">[1]</w:t>
        </w:r>
      </w:hyperlink>
      <w:hyperlink r:id="rId23">
        <w:r>
          <w:rPr>
            <w:rStyle w:val="Hyperlink"/>
          </w:rPr>
          <w:t xml:space="preserve">[3]</w:t>
        </w:r>
      </w:hyperlink>
      <w:hyperlink r:id="rId22">
        <w:r>
          <w:rPr>
            <w:rStyle w:val="Hyperlink"/>
          </w:rPr>
          <w:t xml:space="preserve">[2]</w:t>
        </w:r>
      </w:hyperlink>
      <w:r>
        <w:t xml:space="preserve">. We will base our in-app norms and cutoffs on these sources and on our own pilot data to ensure scientific rigor.</w:t>
      </w:r>
    </w:p>
    <w:bookmarkEnd w:id="45"/>
    <w:bookmarkEnd w:id="46"/>
    <w:bookmarkEnd w:id="47"/>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7">
        <w:r>
          <w:rPr>
            <w:rStyle w:val="Hyperlink"/>
          </w:rPr>
          <w:t xml:space="preserve">[11]</w:t>
        </w:r>
      </w:hyperlink>
      <w:r>
        <w:t xml:space="preserve"> </w:t>
      </w:r>
      <w:r>
        <w:t xml:space="preserve">DIBELS 8th Edition Dyslexia White Paper</w:t>
      </w:r>
    </w:p>
    <w:p>
      <w:pPr>
        <w:pStyle w:val="BodyText"/>
      </w:pPr>
      <w:hyperlink r:id="rId48">
        <w:r>
          <w:rPr>
            <w:rStyle w:val="Hyperlink"/>
          </w:rPr>
          <w:t xml:space="preserve">https://dibels.uoregon.edu/sites/default/files/2021-06/DIBELS%208th%20Edition%20Dyslexia%20White%20Paper.pdf</w:t>
        </w:r>
      </w:hyperlink>
    </w:p>
    <w:p>
      <w:pPr>
        <w:pStyle w:val="BodyText"/>
      </w:pPr>
      <w:hyperlink r:id="rId22">
        <w:r>
          <w:rPr>
            <w:rStyle w:val="Hyperlink"/>
          </w:rPr>
          <w:t xml:space="preserve">[2]</w:t>
        </w:r>
      </w:hyperlink>
      <w:r>
        <w:t xml:space="preserve"> </w:t>
      </w:r>
      <w:r>
        <w:t xml:space="preserve">(PDF) Developmental dyslexia: Predicting individual risk</w:t>
      </w:r>
    </w:p>
    <w:p>
      <w:pPr>
        <w:pStyle w:val="BodyText"/>
      </w:pPr>
      <w:hyperlink r:id="rId49">
        <w:r>
          <w:rPr>
            <w:rStyle w:val="Hyperlink"/>
          </w:rPr>
          <w:t xml:space="preserve">https://www.researchgate.net/publication/274399469_Developmental_dyslexia_Predicting_individual_risk</w:t>
        </w:r>
      </w:hyperlink>
    </w:p>
    <w:p>
      <w:pPr>
        <w:pStyle w:val="BodyText"/>
      </w:pPr>
      <w:hyperlink r:id="rId25">
        <w:r>
          <w:rPr>
            <w:rStyle w:val="Hyperlink"/>
          </w:rPr>
          <w:t xml:space="preserve">[5]</w:t>
        </w:r>
      </w:hyperlink>
      <w:r>
        <w:t xml:space="preserve"> </w:t>
      </w:r>
      <w:r>
        <w:t xml:space="preserve">DIBELS 8 Adminstration and Scoring Guide</w:t>
      </w:r>
    </w:p>
    <w:p>
      <w:pPr>
        <w:pStyle w:val="BodyText"/>
      </w:pPr>
      <w:hyperlink r:id="rId50">
        <w:r>
          <w:rPr>
            <w:rStyle w:val="Hyperlink"/>
          </w:rPr>
          <w:t xml:space="preserve">https://dibels.uoregon.edu/sites/default/files/2024-01/dibels8_admin_scoring_guide.pdf</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Comprehensive Test of Phonological Processing (CTOPP) - Reach Out and Read</w:t>
      </w:r>
    </w:p>
    <w:p>
      <w:pPr>
        <w:pStyle w:val="BodyText"/>
      </w:pPr>
      <w:hyperlink r:id="rId51">
        <w:r>
          <w:rPr>
            <w:rStyle w:val="Hyperlink"/>
          </w:rPr>
          <w:t xml:space="preserve">https://reachoutandread.org/metric/ctopp/</w:t>
        </w:r>
      </w:hyperlink>
    </w:p>
    <w:p>
      <w:pPr>
        <w:pStyle w:val="BodyText"/>
      </w:pPr>
      <w:hyperlink r:id="rId28">
        <w:r>
          <w:rPr>
            <w:rStyle w:val="Hyperlink"/>
          </w:rPr>
          <w:t xml:space="preserve">[8]</w:t>
        </w:r>
      </w:hyperlink>
      <w:r>
        <w:t xml:space="preserve"> </w:t>
      </w:r>
      <w:r>
        <w:t xml:space="preserve"> </w:t>
      </w:r>
      <w:r>
        <w:t xml:space="preserve">Test of Word Reading Efficiency–Second Edition | TOWRE-2 | PAR</w:t>
      </w:r>
      <w:r>
        <w:t xml:space="preserve"> </w:t>
      </w:r>
    </w:p>
    <w:p>
      <w:pPr>
        <w:pStyle w:val="BodyText"/>
      </w:pPr>
      <w:hyperlink r:id="rId52">
        <w:r>
          <w:rPr>
            <w:rStyle w:val="Hyperlink"/>
          </w:rPr>
          <w:t xml:space="preserve">https://www.parinc.com/products/TOWRE-2</w:t>
        </w:r>
      </w:hyperlink>
    </w:p>
    <w:p>
      <w:pPr>
        <w:pStyle w:val="BodyText"/>
      </w:pPr>
      <w:hyperlink r:id="rId29">
        <w:r>
          <w:rPr>
            <w:rStyle w:val="Hyperlink"/>
          </w:rPr>
          <w:t xml:space="preserve">[9]</w:t>
        </w:r>
      </w:hyperlink>
      <w:r>
        <w:t xml:space="preserve"> </w:t>
      </w:r>
      <w:r>
        <w:t xml:space="preserve">learnlab.northwestern.edu</w:t>
      </w:r>
    </w:p>
    <w:p>
      <w:pPr>
        <w:pStyle w:val="BodyText"/>
      </w:pPr>
      <w:hyperlink r:id="rId53">
        <w:r>
          <w:rPr>
            <w:rStyle w:val="Hyperlink"/>
          </w:rPr>
          <w:t xml:space="preserve">https://learnlab.northwestern.edu/wp-content/uploads/2020/10/Norton-What-educators-need-to-know-about-RAN.pdf</w:t>
        </w:r>
      </w:hyperlink>
    </w:p>
    <w:p>
      <w:pPr>
        <w:pStyle w:val="BodyText"/>
      </w:pPr>
      <w:hyperlink r:id="rId30">
        <w:r>
          <w:rPr>
            <w:rStyle w:val="Hyperlink"/>
          </w:rPr>
          <w:t xml:space="preserve">[10]</w:t>
        </w:r>
      </w:hyperlink>
      <w:r>
        <w:t xml:space="preserve"> </w:t>
      </w:r>
      <w:r>
        <w:t xml:space="preserve">Microsoft Word - DIBELS8thEditionGoals 08182020.docx</w:t>
      </w:r>
    </w:p>
    <w:p>
      <w:pPr>
        <w:pStyle w:val="BodyText"/>
      </w:pPr>
      <w:hyperlink r:id="rId54">
        <w:r>
          <w:rPr>
            <w:rStyle w:val="Hyperlink"/>
          </w:rPr>
          <w:t xml:space="preserve">https://dibels.uoregon.edu/sites/default/files/2021-06/DIBELS8thEditionGoals.pdf</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dibels.uoregon.edu/sites/default/files/2021-06/DIBELS%208th%20Edition%20Dyslexia%20White%20Paper.pdf" TargetMode="External" /><Relationship Type="http://schemas.openxmlformats.org/officeDocument/2006/relationships/hyperlink" Id="rId23" Target="https://dibels.uoregon.edu/sites/default/files/2021-06/DIBELS%208th%20Edition%20Dyslexia%20White%20Paper.pdf#:~:text=Comprehensive%20Test%20of%20Phonological%20Processing,ability%20during%20kindergarten%20and%20Grade" TargetMode="External" /><Relationship Type="http://schemas.openxmlformats.org/officeDocument/2006/relationships/hyperlink" Id="rId37" Target="https://dibels.uoregon.edu/sites/default/files/2021-06/DIBELS%208th%20Edition%20Dyslexia%20White%20Paper.pdf#:~:text=UO%20CTL%20validated%20PSF%20against,and%20the%20fall%20of%20first" TargetMode="External" /><Relationship Type="http://schemas.openxmlformats.org/officeDocument/2006/relationships/hyperlink" Id="rId24" Target="https://dibels.uoregon.edu/sites/default/files/2021-06/DIBELS%208th%20Edition%20Dyslexia%20White%20Paper.pdf#:~:text=associated%20with%20dyslexia,Beyond%20the%20beginning%20of" TargetMode="External" /><Relationship Type="http://schemas.openxmlformats.org/officeDocument/2006/relationships/hyperlink" Id="rId21" Target="https://dibels.uoregon.edu/sites/default/files/2021-06/DIBELS%208th%20Edition%20Dyslexia%20White%20Paper.pdf#:~:text=requirements%2C%20DIBELS%208th%20Edition%20includes,and%20interpretations%2C%20the%20University%20of" TargetMode="External" /><Relationship Type="http://schemas.openxmlformats.org/officeDocument/2006/relationships/hyperlink" Id="rId54" Target="https://dibels.uoregon.edu/sites/default/files/2021-06/DIBELS8thEditionGoals.pdf" TargetMode="External" /><Relationship Type="http://schemas.openxmlformats.org/officeDocument/2006/relationships/hyperlink" Id="rId30" Target="https://dibels.uoregon.edu/sites/default/files/2021-06/DIBELS8thEditionGoals.pdf#:~:text=Letter%20Naming%20Fluency%20,36%2031%2041%2035%2041" TargetMode="External" /><Relationship Type="http://schemas.openxmlformats.org/officeDocument/2006/relationships/hyperlink" Id="rId50" Target="https://dibels.uoregon.edu/sites/default/files/2024-01/dibels8_admin_scoring_guide.pdf" TargetMode="External" /><Relationship Type="http://schemas.openxmlformats.org/officeDocument/2006/relationships/hyperlink" Id="rId25" Target="https://dibels.uoregon.edu/sites/default/files/2024-01/dibels8_admin_scoring_guide.pdf#:~:text=8th%20Edition%20subtests%3A%20,Specific%20materials" TargetMode="External" /><Relationship Type="http://schemas.openxmlformats.org/officeDocument/2006/relationships/hyperlink" Id="rId53" Target="https://learnlab.northwestern.edu/wp-content/uploads/2020/10/Norton-What-educators-need-to-know-about-RAN.pdf" TargetMode="External" /><Relationship Type="http://schemas.openxmlformats.org/officeDocument/2006/relationships/hyperlink" Id="rId29" Target="https://learnlab.northwestern.edu/wp-content/uploads/2020/10/Norton-What-educators-need-to-know-about-RAN.pdf#:~:text=What%20is%20RAN%3F%20The%20rapid,However%2C%20the" TargetMode="External" /><Relationship Type="http://schemas.openxmlformats.org/officeDocument/2006/relationships/hyperlink" Id="rId51" Target="https://reachoutandread.org/metric/ctopp/" TargetMode="External" /><Relationship Type="http://schemas.openxmlformats.org/officeDocument/2006/relationships/hyperlink" Id="rId27" Target="https://reachoutandread.org/metric/ctopp/#:~:text=Reliability%20,Census%201977%2C%20Hintze%202003" TargetMode="External" /><Relationship Type="http://schemas.openxmlformats.org/officeDocument/2006/relationships/hyperlink" Id="rId26" Target="https://reachoutandread.org/metric/ctopp/#:~:text=Subtests%3A" TargetMode="External" /><Relationship Type="http://schemas.openxmlformats.org/officeDocument/2006/relationships/hyperlink" Id="rId52" Target="https://www.parinc.com/products/TOWRE-2" TargetMode="External" /><Relationship Type="http://schemas.openxmlformats.org/officeDocument/2006/relationships/hyperlink" Id="rId28" Target="https://www.parinc.com/products/TOWRE-2#:~:text=,accurately%20decode%20within%2045%20seconds" TargetMode="External" /><Relationship Type="http://schemas.openxmlformats.org/officeDocument/2006/relationships/hyperlink" Id="rId49" Target="https://www.researchgate.net/publication/274399469_Developmental_dyslexia_Predicting_individual_risk" TargetMode="External" /><Relationship Type="http://schemas.openxmlformats.org/officeDocument/2006/relationships/hyperlink" Id="rId22" Target="https://www.researchgate.net/publication/274399469_Developmental_dyslexia_Predicting_individual_risk#:~:text=risk,specificity%20as%20a%20screening%20battery" TargetMode="External" /></Relationships>
</file>

<file path=word/_rels/footnotes.xml.rels><?xml version="1.0" encoding="UTF-8"?><Relationships xmlns="http://schemas.openxmlformats.org/package/2006/relationships"><Relationship Type="http://schemas.openxmlformats.org/officeDocument/2006/relationships/hyperlink" Id="rId48" Target="https://dibels.uoregon.edu/sites/default/files/2021-06/DIBELS%208th%20Edition%20Dyslexia%20White%20Paper.pdf" TargetMode="External" /><Relationship Type="http://schemas.openxmlformats.org/officeDocument/2006/relationships/hyperlink" Id="rId23" Target="https://dibels.uoregon.edu/sites/default/files/2021-06/DIBELS%208th%20Edition%20Dyslexia%20White%20Paper.pdf#:~:text=Comprehensive%20Test%20of%20Phonological%20Processing,ability%20during%20kindergarten%20and%20Grade" TargetMode="External" /><Relationship Type="http://schemas.openxmlformats.org/officeDocument/2006/relationships/hyperlink" Id="rId37" Target="https://dibels.uoregon.edu/sites/default/files/2021-06/DIBELS%208th%20Edition%20Dyslexia%20White%20Paper.pdf#:~:text=UO%20CTL%20validated%20PSF%20against,and%20the%20fall%20of%20first" TargetMode="External" /><Relationship Type="http://schemas.openxmlformats.org/officeDocument/2006/relationships/hyperlink" Id="rId24" Target="https://dibels.uoregon.edu/sites/default/files/2021-06/DIBELS%208th%20Edition%20Dyslexia%20White%20Paper.pdf#:~:text=associated%20with%20dyslexia,Beyond%20the%20beginning%20of" TargetMode="External" /><Relationship Type="http://schemas.openxmlformats.org/officeDocument/2006/relationships/hyperlink" Id="rId21" Target="https://dibels.uoregon.edu/sites/default/files/2021-06/DIBELS%208th%20Edition%20Dyslexia%20White%20Paper.pdf#:~:text=requirements%2C%20DIBELS%208th%20Edition%20includes,and%20interpretations%2C%20the%20University%20of" TargetMode="External" /><Relationship Type="http://schemas.openxmlformats.org/officeDocument/2006/relationships/hyperlink" Id="rId54" Target="https://dibels.uoregon.edu/sites/default/files/2021-06/DIBELS8thEditionGoals.pdf" TargetMode="External" /><Relationship Type="http://schemas.openxmlformats.org/officeDocument/2006/relationships/hyperlink" Id="rId30" Target="https://dibels.uoregon.edu/sites/default/files/2021-06/DIBELS8thEditionGoals.pdf#:~:text=Letter%20Naming%20Fluency%20,36%2031%2041%2035%2041" TargetMode="External" /><Relationship Type="http://schemas.openxmlformats.org/officeDocument/2006/relationships/hyperlink" Id="rId50" Target="https://dibels.uoregon.edu/sites/default/files/2024-01/dibels8_admin_scoring_guide.pdf" TargetMode="External" /><Relationship Type="http://schemas.openxmlformats.org/officeDocument/2006/relationships/hyperlink" Id="rId25" Target="https://dibels.uoregon.edu/sites/default/files/2024-01/dibels8_admin_scoring_guide.pdf#:~:text=8th%20Edition%20subtests%3A%20,Specific%20materials" TargetMode="External" /><Relationship Type="http://schemas.openxmlformats.org/officeDocument/2006/relationships/hyperlink" Id="rId53" Target="https://learnlab.northwestern.edu/wp-content/uploads/2020/10/Norton-What-educators-need-to-know-about-RAN.pdf" TargetMode="External" /><Relationship Type="http://schemas.openxmlformats.org/officeDocument/2006/relationships/hyperlink" Id="rId29" Target="https://learnlab.northwestern.edu/wp-content/uploads/2020/10/Norton-What-educators-need-to-know-about-RAN.pdf#:~:text=What%20is%20RAN%3F%20The%20rapid,However%2C%20the" TargetMode="External" /><Relationship Type="http://schemas.openxmlformats.org/officeDocument/2006/relationships/hyperlink" Id="rId51" Target="https://reachoutandread.org/metric/ctopp/" TargetMode="External" /><Relationship Type="http://schemas.openxmlformats.org/officeDocument/2006/relationships/hyperlink" Id="rId27" Target="https://reachoutandread.org/metric/ctopp/#:~:text=Reliability%20,Census%201977%2C%20Hintze%202003" TargetMode="External" /><Relationship Type="http://schemas.openxmlformats.org/officeDocument/2006/relationships/hyperlink" Id="rId26" Target="https://reachoutandread.org/metric/ctopp/#:~:text=Subtests%3A" TargetMode="External" /><Relationship Type="http://schemas.openxmlformats.org/officeDocument/2006/relationships/hyperlink" Id="rId52" Target="https://www.parinc.com/products/TOWRE-2" TargetMode="External" /><Relationship Type="http://schemas.openxmlformats.org/officeDocument/2006/relationships/hyperlink" Id="rId28" Target="https://www.parinc.com/products/TOWRE-2#:~:text=,accurately%20decode%20within%2045%20seconds" TargetMode="External" /><Relationship Type="http://schemas.openxmlformats.org/officeDocument/2006/relationships/hyperlink" Id="rId49" Target="https://www.researchgate.net/publication/274399469_Developmental_dyslexia_Predicting_individual_risk" TargetMode="External" /><Relationship Type="http://schemas.openxmlformats.org/officeDocument/2006/relationships/hyperlink" Id="rId22" Target="https://www.researchgate.net/publication/274399469_Developmental_dyslexia_Predicting_individual_risk#:~:text=risk,specificity%20as%20a%20screening%20batte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2026-04-11T21:11:31Z</dcterms:created>
  <dcterms:modified xsi:type="dcterms:W3CDTF">2026-04-11T21:11:31Z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