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Intelligent Credit Risk Scoring Engine</w:t>
        <w:br/>
        <w:t>Milestone 1 Project Report</w:t>
      </w:r>
    </w:p>
    <w:p>
      <w:pPr>
        <w:jc w:val="center"/>
      </w:pPr>
      <w:r>
        <w:rPr>
          <w:i/>
          <w:sz w:val="24"/>
        </w:rPr>
        <w:t>Behavioral Credit Risk Classification using Classical Machine Learning and Streamlit Deployment</w:t>
      </w:r>
    </w:p>
    <w:p/>
    <w:p>
      <w:r>
        <w:rPr>
          <w:b/>
          <w:sz w:val="28"/>
        </w:rPr>
        <w:t>Abstract</w:t>
      </w:r>
    </w:p>
    <w:p>
      <w:pPr>
        <w:spacing w:line="360" w:lineRule="auto"/>
      </w:pPr>
      <w:r>
        <w:t>This report presents the implementation of an intelligent credit risk scoring engine that predicts borrower risk across four priority classes using behavioral and financial features derived from internal bank records and CIBIL bureau data. The system deliberately excludes the Credit Score to ensure predictions are based on behavioral indicators rather than replicating existing bureau scores. Three supervised machine learning models—Decision Tree, Random Forest, and HistGradientBoosting—were trained and evaluated on a stratified dataset. A cost-sensitive gradient boosting model achieved the best performance, significantly improving medium-risk detection while maintaining overall accuracy. The trained model was deployed using Streamlit and Streamlit Community Cloud, providing an interactive interface for real-time risk prediction.</w:t>
      </w:r>
    </w:p>
    <w:p>
      <w:r>
        <w:rPr>
          <w:b/>
          <w:sz w:val="28"/>
        </w:rPr>
        <w:t>1. Introduction</w:t>
      </w:r>
    </w:p>
    <w:p>
      <w:pPr>
        <w:spacing w:line="360" w:lineRule="auto"/>
      </w:pPr>
      <w:r>
        <w:t>Credit risk assessment is fundamental to lending decisions. Traditional credit scoring systems rely heavily on static bureau scores, which provide limited interpretability regarding behavioral risk factors. Machine learning enables predictive modeling using borrower behavior, repayment history, enquiry activity, and credit exposure patterns.</w:t>
        <w:br/>
        <w:br/>
        <w:t>The objective of this milestone is to build a complete machine learning pipeline including dataset merging, preprocessing, feature engineering, model training, evaluation, and deployment via a Streamlit web interface.</w:t>
      </w:r>
    </w:p>
    <w:p>
      <w:r>
        <w:rPr>
          <w:b/>
          <w:sz w:val="28"/>
        </w:rPr>
        <w:t>2. Dataset Description</w:t>
      </w:r>
    </w:p>
    <w:p>
      <w:pPr>
        <w:spacing w:line="360" w:lineRule="auto"/>
      </w:pPr>
      <w:r>
        <w:t>The system integrates two datasets joined using PROSPECT_ID: an internal bank dataset containing 25 trade line features and an external CIBIL dataset containing over 60 behavioral, delinquency, enquiry, and demographic features. Features include account counts, missed payments, credit utilization, enquiry frequency, loan category breakdown, and account age metrics.</w:t>
        <w:br/>
        <w:br/>
        <w:t>The target variable Approved_Flag was mapped to four risk tiers: P1 (Very Low Risk), P2 (Low Risk), P3 (Medium Risk), and P4 (High Risk).</w:t>
      </w:r>
    </w:p>
    <w:p>
      <w:r>
        <w:rPr>
          <w:b/>
          <w:sz w:val="28"/>
        </w:rPr>
        <w:t>3. Data Preprocessing</w:t>
      </w:r>
    </w:p>
    <w:p>
      <w:pPr>
        <w:spacing w:line="360" w:lineRule="auto"/>
      </w:pPr>
      <w:r>
        <w:t>Sentinel values (-99999) were replaced with missing values. Columns with excessive missing data were removed. Delinquency-related null values were filled with zero, and remaining numeric fields were imputed using median values. Duplicate records were removed. Categorical variables were encoded using one-hot encoding, and the Credit Score feature was removed to prevent model leakage and ensure behavior-based learning.</w:t>
      </w:r>
    </w:p>
    <w:p>
      <w:r>
        <w:rPr>
          <w:b/>
          <w:sz w:val="28"/>
        </w:rPr>
        <w:t>4. Model Development</w:t>
      </w:r>
    </w:p>
    <w:p>
      <w:pPr>
        <w:spacing w:line="360" w:lineRule="auto"/>
      </w:pPr>
      <w:r>
        <w:t>Three supervised learning models were trained using an 80/20 stratified split.</w:t>
        <w:br/>
        <w:br/>
        <w:t>Decision Tree (max_depth=5) achieved 78% accuracy but poor medium-risk recall (0.31).</w:t>
        <w:br/>
        <w:br/>
        <w:t>Random Forest with GridSearchCV tuning improved Macro F1 to 0.70 and medium-risk recall to 0.41.</w:t>
        <w:br/>
        <w:br/>
        <w:t>HistGradientBoosting with cost-sensitive weighting (max_depth=8, learning_rate=0.05, max_iter=300) improved medium-risk recall to 0.65, making it the final selected model.</w:t>
      </w:r>
    </w:p>
    <w:p>
      <w:r>
        <w:rPr>
          <w:b/>
          <w:sz w:val="28"/>
        </w:rPr>
        <w:t>5. Results</w:t>
      </w:r>
    </w:p>
    <w:p>
      <w:pPr>
        <w:spacing w:line="360" w:lineRule="auto"/>
      </w:pPr>
      <w:r>
        <w:t>The final model was evaluated on a 10,268-sample test set. It achieved weighted precision of 0.81, weighted recall of 0.78, and macro F1-score of 0.73. Medium-risk detection improved significantly compared to baseline models. This demonstrates the effectiveness of cost-sensitive learning in addressing class imbalance.</w:t>
      </w:r>
    </w:p>
    <w:p>
      <w:r>
        <w:rPr>
          <w:b/>
          <w:sz w:val="28"/>
        </w:rPr>
        <w:t>6. Streamlit Deployment</w:t>
      </w:r>
    </w:p>
    <w:p>
      <w:pPr>
        <w:spacing w:line="360" w:lineRule="auto"/>
      </w:pPr>
      <w:r>
        <w:t>A Streamlit application was developed to provide real-time credit risk prediction. Users can select prospects, adjust trade line features, and receive risk predictions with probability breakdowns. The application mirrors the full preprocessing pipeline and loads the trained HistGradientBoosting model using joblib. The system is deployed on Streamlit Community Cloud for accessibility.</w:t>
      </w:r>
    </w:p>
    <w:p>
      <w:r>
        <w:rPr>
          <w:b/>
          <w:sz w:val="28"/>
        </w:rPr>
        <w:t>7. Tools and Technologies</w:t>
      </w:r>
    </w:p>
    <w:p>
      <w:pPr>
        <w:spacing w:line="360" w:lineRule="auto"/>
      </w:pPr>
      <w:r>
        <w:t>Python, scikit-learn, pandas, NumPy, Matplotlib, Seaborn, Streamlit, joblib, Jupyter Notebook, and GitHub were used for development, training, evaluation, and deployment.</w:t>
      </w:r>
    </w:p>
    <w:p>
      <w:r>
        <w:rPr>
          <w:b/>
          <w:sz w:val="28"/>
        </w:rPr>
        <w:t>8. Conclusion</w:t>
      </w:r>
    </w:p>
    <w:p>
      <w:pPr>
        <w:spacing w:line="360" w:lineRule="auto"/>
      </w:pPr>
      <w:r>
        <w:t>This milestone successfully implemented a behavioral credit risk prediction system using classical machine learning. The cost-sensitive HistGradientBoosting model provided the best performance, particularly improving medium-risk borrower detection. The deployed Streamlit application demonstrates practical usability. Future milestones will extend the system with advanced AI reasoning and automated decision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