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07BD0" w14:textId="77777777" w:rsidR="003D2B09" w:rsidRPr="00DD16C6" w:rsidRDefault="003D2B09" w:rsidP="003D2B09">
      <w:pPr>
        <w:jc w:val="center"/>
        <w:rPr>
          <w:rFonts w:ascii="YaleNew" w:hAnsi="YaleNew"/>
          <w:b/>
          <w:bCs/>
          <w:smallCaps/>
          <w:u w:val="single"/>
        </w:rPr>
      </w:pPr>
      <w:bookmarkStart w:id="0" w:name="_Toc244884899"/>
      <w:r w:rsidRPr="00DD16C6">
        <w:rPr>
          <w:rFonts w:ascii="YaleNew" w:hAnsi="YaleNew"/>
          <w:b/>
          <w:bCs/>
          <w:smallCaps/>
          <w:u w:val="single"/>
        </w:rPr>
        <w:t>Cover Sheet</w:t>
      </w:r>
    </w:p>
    <w:p w14:paraId="05EA9370" w14:textId="77777777" w:rsidR="003D2B09" w:rsidRDefault="003D2B09" w:rsidP="003D2B09">
      <w:pPr>
        <w:rPr>
          <w:rFonts w:ascii="YaleNew" w:hAnsi="YaleNew"/>
          <w:b/>
          <w:bCs/>
          <w:smallCaps/>
        </w:rPr>
      </w:pPr>
    </w:p>
    <w:p w14:paraId="1326DDFF" w14:textId="77777777" w:rsidR="003D2B09" w:rsidRPr="00DD16C6" w:rsidRDefault="003D2B09" w:rsidP="003D2B09">
      <w:pPr>
        <w:pBdr>
          <w:top w:val="single" w:sz="4" w:space="1" w:color="auto"/>
          <w:left w:val="single" w:sz="4" w:space="4" w:color="auto"/>
          <w:bottom w:val="single" w:sz="4" w:space="1" w:color="auto"/>
          <w:right w:val="single" w:sz="4" w:space="4" w:color="auto"/>
        </w:pBdr>
        <w:rPr>
          <w:rFonts w:ascii="YaleNew" w:hAnsi="YaleNew"/>
          <w:b/>
          <w:bCs/>
          <w:smallCaps/>
        </w:rPr>
      </w:pPr>
      <w:r w:rsidRPr="00DD16C6">
        <w:rPr>
          <w:rFonts w:ascii="YaleNew" w:hAnsi="YaleNew"/>
          <w:b/>
          <w:bCs/>
          <w:smallCaps/>
        </w:rPr>
        <w:t xml:space="preserve">Title: </w:t>
      </w:r>
      <w:r>
        <w:rPr>
          <w:rFonts w:ascii="YaleNew" w:hAnsi="YaleNew"/>
          <w:b/>
          <w:bCs/>
          <w:smallCaps/>
        </w:rPr>
        <w:t>The Fourth Amendment and General Law</w:t>
      </w:r>
      <w:r>
        <w:rPr>
          <w:rFonts w:ascii="YaleNew" w:hAnsi="YaleNew"/>
          <w:b/>
          <w:bCs/>
          <w:smallCaps/>
        </w:rPr>
        <w:tab/>
      </w:r>
    </w:p>
    <w:p w14:paraId="551F3CDA" w14:textId="77777777" w:rsidR="003D2B09" w:rsidRDefault="003D2B09" w:rsidP="003D2B09">
      <w:pPr>
        <w:rPr>
          <w:rFonts w:ascii="YaleNew" w:hAnsi="YaleNew"/>
          <w:smallCaps/>
        </w:rPr>
      </w:pPr>
    </w:p>
    <w:p w14:paraId="2A6E6065" w14:textId="77777777" w:rsidR="003D2B09" w:rsidRPr="00DD16C6" w:rsidRDefault="003D2B09" w:rsidP="003D2B09">
      <w:pPr>
        <w:pBdr>
          <w:top w:val="single" w:sz="4" w:space="1" w:color="auto"/>
          <w:left w:val="single" w:sz="4" w:space="4" w:color="auto"/>
          <w:bottom w:val="single" w:sz="4" w:space="1" w:color="auto"/>
          <w:right w:val="single" w:sz="4" w:space="4" w:color="auto"/>
        </w:pBdr>
        <w:rPr>
          <w:rFonts w:ascii="YaleNew" w:hAnsi="YaleNew"/>
          <w:b/>
          <w:bCs/>
          <w:smallCaps/>
        </w:rPr>
      </w:pPr>
      <w:r w:rsidRPr="00DD16C6">
        <w:rPr>
          <w:rFonts w:ascii="YaleNew" w:hAnsi="YaleNew"/>
          <w:b/>
          <w:bCs/>
          <w:smallCaps/>
        </w:rPr>
        <w:t>Author</w:t>
      </w:r>
      <w:r>
        <w:rPr>
          <w:rFonts w:ascii="YaleNew" w:hAnsi="YaleNew"/>
          <w:b/>
          <w:bCs/>
          <w:smallCaps/>
        </w:rPr>
        <w:t>s</w:t>
      </w:r>
      <w:r w:rsidRPr="00DD16C6">
        <w:rPr>
          <w:rFonts w:ascii="YaleNew" w:hAnsi="YaleNew"/>
          <w:b/>
          <w:bCs/>
          <w:smallCaps/>
        </w:rPr>
        <w:t>:</w:t>
      </w:r>
      <w:r>
        <w:rPr>
          <w:rFonts w:ascii="YaleNew" w:hAnsi="YaleNew"/>
          <w:b/>
          <w:bCs/>
          <w:smallCaps/>
        </w:rPr>
        <w:t xml:space="preserve"> Danielle D’Onfro &amp; Daniel Epps</w:t>
      </w:r>
    </w:p>
    <w:p w14:paraId="6774DD6D" w14:textId="77777777" w:rsidR="003D2B09" w:rsidRDefault="003D2B09" w:rsidP="003D2B09">
      <w:pPr>
        <w:rPr>
          <w:rFonts w:ascii="YaleNew" w:hAnsi="YaleNew"/>
          <w:smallCaps/>
        </w:rPr>
      </w:pPr>
    </w:p>
    <w:p w14:paraId="095F9D88" w14:textId="77777777" w:rsidR="003D2B09" w:rsidRPr="00DD16C6" w:rsidRDefault="003D2B09" w:rsidP="003D2B09">
      <w:pPr>
        <w:pBdr>
          <w:top w:val="single" w:sz="4" w:space="1" w:color="auto"/>
          <w:left w:val="single" w:sz="4" w:space="4" w:color="auto"/>
          <w:bottom w:val="single" w:sz="4" w:space="1" w:color="auto"/>
          <w:right w:val="single" w:sz="4" w:space="4" w:color="auto"/>
        </w:pBdr>
        <w:rPr>
          <w:rFonts w:ascii="YaleNew" w:hAnsi="YaleNew"/>
          <w:b/>
          <w:bCs/>
          <w:smallCaps/>
        </w:rPr>
      </w:pPr>
      <w:r w:rsidRPr="00DD16C6">
        <w:rPr>
          <w:rFonts w:ascii="YaleNew" w:hAnsi="YaleNew"/>
          <w:b/>
          <w:bCs/>
          <w:smallCaps/>
        </w:rPr>
        <w:t>Lead Editor</w:t>
      </w:r>
      <w:r>
        <w:rPr>
          <w:rFonts w:ascii="YaleNew" w:hAnsi="YaleNew"/>
          <w:b/>
          <w:bCs/>
          <w:smallCaps/>
        </w:rPr>
        <w:t>s</w:t>
      </w:r>
      <w:r w:rsidRPr="00DD16C6">
        <w:rPr>
          <w:rFonts w:ascii="YaleNew" w:hAnsi="YaleNew"/>
          <w:b/>
          <w:bCs/>
          <w:smallCaps/>
        </w:rPr>
        <w:t>:</w:t>
      </w:r>
      <w:r>
        <w:rPr>
          <w:rFonts w:ascii="YaleNew" w:hAnsi="YaleNew"/>
          <w:b/>
          <w:bCs/>
          <w:smallCaps/>
        </w:rPr>
        <w:t xml:space="preserve"> Nick Pellitta and Nelson Barrette</w:t>
      </w:r>
    </w:p>
    <w:p w14:paraId="342B1258" w14:textId="77777777" w:rsidR="003D2B09" w:rsidRDefault="003D2B09" w:rsidP="003D2B09">
      <w:pPr>
        <w:rPr>
          <w:rFonts w:ascii="YaleNew" w:hAnsi="YaleNew"/>
          <w:smallCaps/>
        </w:rPr>
      </w:pPr>
    </w:p>
    <w:p w14:paraId="736B8CB0" w14:textId="77777777" w:rsidR="003D2B09" w:rsidRDefault="003D2B09" w:rsidP="003D2B09">
      <w:pPr>
        <w:pBdr>
          <w:top w:val="single" w:sz="4" w:space="1" w:color="auto"/>
          <w:left w:val="single" w:sz="4" w:space="4" w:color="auto"/>
          <w:bottom w:val="single" w:sz="4" w:space="1" w:color="auto"/>
          <w:right w:val="single" w:sz="4" w:space="4" w:color="auto"/>
        </w:pBdr>
        <w:rPr>
          <w:rFonts w:ascii="YaleNew" w:hAnsi="YaleNew"/>
          <w:b/>
          <w:bCs/>
          <w:smallCaps/>
        </w:rPr>
      </w:pPr>
      <w:r w:rsidRPr="00DD16C6">
        <w:rPr>
          <w:rFonts w:ascii="YaleNew" w:hAnsi="YaleNew"/>
          <w:b/>
          <w:bCs/>
          <w:smallCaps/>
        </w:rPr>
        <w:t xml:space="preserve">Style </w:t>
      </w:r>
      <w:r>
        <w:rPr>
          <w:rFonts w:ascii="YaleNew" w:hAnsi="YaleNew"/>
          <w:b/>
          <w:bCs/>
          <w:smallCaps/>
        </w:rPr>
        <w:t>D</w:t>
      </w:r>
      <w:r w:rsidRPr="00DD16C6">
        <w:rPr>
          <w:rFonts w:ascii="YaleNew" w:hAnsi="YaleNew"/>
          <w:b/>
          <w:bCs/>
          <w:smallCaps/>
        </w:rPr>
        <w:t>ecisions:</w:t>
      </w:r>
      <w:r>
        <w:rPr>
          <w:rFonts w:ascii="YaleNew" w:hAnsi="YaleNew"/>
          <w:b/>
          <w:bCs/>
          <w:smallCaps/>
        </w:rPr>
        <w:t xml:space="preserve"> N/A</w:t>
      </w:r>
      <w:r>
        <w:rPr>
          <w:rFonts w:ascii="YaleNew" w:hAnsi="YaleNew"/>
          <w:b/>
          <w:bCs/>
          <w:smallCaps/>
        </w:rPr>
        <w:tab/>
      </w:r>
    </w:p>
    <w:p w14:paraId="00012A29" w14:textId="77777777" w:rsidR="003D2B09" w:rsidRDefault="003D2B09" w:rsidP="003D2B09">
      <w:pPr>
        <w:pBdr>
          <w:top w:val="single" w:sz="4" w:space="1" w:color="auto"/>
          <w:left w:val="single" w:sz="4" w:space="4" w:color="auto"/>
          <w:bottom w:val="single" w:sz="4" w:space="1" w:color="auto"/>
          <w:right w:val="single" w:sz="4" w:space="4" w:color="auto"/>
        </w:pBdr>
        <w:rPr>
          <w:rFonts w:ascii="YaleNew" w:hAnsi="YaleNew"/>
          <w:b/>
          <w:bCs/>
          <w:smallCaps/>
        </w:rPr>
      </w:pPr>
    </w:p>
    <w:p w14:paraId="47BB21DD" w14:textId="77777777" w:rsidR="003D2B09" w:rsidRPr="00DD16C6" w:rsidRDefault="003D2B09" w:rsidP="003D2B09">
      <w:pPr>
        <w:pBdr>
          <w:top w:val="single" w:sz="4" w:space="1" w:color="auto"/>
          <w:left w:val="single" w:sz="4" w:space="4" w:color="auto"/>
          <w:bottom w:val="single" w:sz="4" w:space="1" w:color="auto"/>
          <w:right w:val="single" w:sz="4" w:space="4" w:color="auto"/>
        </w:pBdr>
        <w:rPr>
          <w:rFonts w:ascii="YaleNew" w:hAnsi="YaleNew"/>
          <w:b/>
          <w:bCs/>
          <w:smallCaps/>
        </w:rPr>
      </w:pPr>
    </w:p>
    <w:p w14:paraId="710EF340" w14:textId="77777777" w:rsidR="003D2B09" w:rsidRDefault="003D2B09" w:rsidP="003D2B09">
      <w:pPr>
        <w:rPr>
          <w:rFonts w:ascii="YaleNew" w:hAnsi="YaleNew"/>
          <w:smallCaps/>
        </w:rPr>
      </w:pPr>
    </w:p>
    <w:p w14:paraId="6596CF64" w14:textId="77777777" w:rsidR="003D2B09" w:rsidRDefault="003D2B09" w:rsidP="003D2B09">
      <w:pPr>
        <w:pBdr>
          <w:top w:val="single" w:sz="4" w:space="1" w:color="auto"/>
          <w:left w:val="single" w:sz="4" w:space="4" w:color="auto"/>
          <w:bottom w:val="single" w:sz="4" w:space="1" w:color="auto"/>
          <w:right w:val="single" w:sz="4" w:space="4" w:color="auto"/>
        </w:pBdr>
        <w:rPr>
          <w:rFonts w:ascii="YaleNew" w:hAnsi="YaleNew"/>
          <w:b/>
          <w:bCs/>
          <w:smallCaps/>
        </w:rPr>
      </w:pPr>
      <w:r w:rsidRPr="00DD16C6">
        <w:rPr>
          <w:rFonts w:ascii="YaleNew" w:hAnsi="YaleNew"/>
          <w:b/>
          <w:bCs/>
          <w:smallCaps/>
        </w:rPr>
        <w:t xml:space="preserve">Additional </w:t>
      </w:r>
      <w:r>
        <w:rPr>
          <w:rFonts w:ascii="YaleNew" w:hAnsi="YaleNew"/>
          <w:b/>
          <w:bCs/>
          <w:smallCaps/>
        </w:rPr>
        <w:t>G</w:t>
      </w:r>
      <w:r w:rsidRPr="00DD16C6">
        <w:rPr>
          <w:rFonts w:ascii="YaleNew" w:hAnsi="YaleNew"/>
          <w:b/>
          <w:bCs/>
          <w:smallCaps/>
        </w:rPr>
        <w:t>uidance:</w:t>
      </w:r>
      <w:r>
        <w:rPr>
          <w:rFonts w:ascii="YaleNew" w:hAnsi="YaleNew"/>
          <w:b/>
          <w:bCs/>
          <w:smallCaps/>
        </w:rPr>
        <w:t xml:space="preserve"> N/A</w:t>
      </w:r>
    </w:p>
    <w:p w14:paraId="659F13F4" w14:textId="77777777" w:rsidR="003D2B09" w:rsidRDefault="003D2B09" w:rsidP="003D2B09">
      <w:pPr>
        <w:pBdr>
          <w:top w:val="single" w:sz="4" w:space="1" w:color="auto"/>
          <w:left w:val="single" w:sz="4" w:space="4" w:color="auto"/>
          <w:bottom w:val="single" w:sz="4" w:space="1" w:color="auto"/>
          <w:right w:val="single" w:sz="4" w:space="4" w:color="auto"/>
        </w:pBdr>
        <w:rPr>
          <w:rFonts w:ascii="YaleNew" w:hAnsi="YaleNew"/>
          <w:b/>
          <w:bCs/>
          <w:smallCaps/>
        </w:rPr>
      </w:pPr>
    </w:p>
    <w:p w14:paraId="5A82D763" w14:textId="77777777" w:rsidR="003D2B09" w:rsidRDefault="003D2B09" w:rsidP="00F22B0B">
      <w:pPr>
        <w:pStyle w:val="Title"/>
        <w:rPr>
          <w:rFonts w:ascii="Garamond Premr Pro Capt" w:hAnsi="Garamond Premr Pro Capt"/>
          <w:b w:val="0"/>
          <w:bCs w:val="0"/>
          <w:sz w:val="44"/>
          <w:szCs w:val="44"/>
        </w:rPr>
      </w:pPr>
    </w:p>
    <w:p w14:paraId="24565F3E" w14:textId="77777777" w:rsidR="003D2B09" w:rsidRDefault="003D2B09" w:rsidP="00F22B0B">
      <w:pPr>
        <w:pStyle w:val="Title"/>
        <w:rPr>
          <w:rFonts w:ascii="Garamond Premr Pro Capt" w:hAnsi="Garamond Premr Pro Capt"/>
          <w:b w:val="0"/>
          <w:bCs w:val="0"/>
          <w:sz w:val="44"/>
          <w:szCs w:val="44"/>
        </w:rPr>
      </w:pPr>
    </w:p>
    <w:p w14:paraId="6297CFD6" w14:textId="77777777" w:rsidR="003D2B09" w:rsidRDefault="003D2B09" w:rsidP="00F22B0B">
      <w:pPr>
        <w:pStyle w:val="Title"/>
        <w:rPr>
          <w:rFonts w:ascii="Garamond Premr Pro Capt" w:hAnsi="Garamond Premr Pro Capt"/>
          <w:b w:val="0"/>
          <w:bCs w:val="0"/>
          <w:sz w:val="44"/>
          <w:szCs w:val="44"/>
        </w:rPr>
      </w:pPr>
    </w:p>
    <w:p w14:paraId="1318EEC7" w14:textId="77777777" w:rsidR="003D2B09" w:rsidRDefault="003D2B09" w:rsidP="00F22B0B">
      <w:pPr>
        <w:pStyle w:val="Title"/>
        <w:rPr>
          <w:rFonts w:ascii="Garamond Premr Pro Capt" w:hAnsi="Garamond Premr Pro Capt"/>
          <w:b w:val="0"/>
          <w:bCs w:val="0"/>
          <w:sz w:val="44"/>
          <w:szCs w:val="44"/>
        </w:rPr>
      </w:pPr>
    </w:p>
    <w:p w14:paraId="4449E7B8" w14:textId="77777777" w:rsidR="003D2B09" w:rsidRDefault="003D2B09" w:rsidP="00F22B0B">
      <w:pPr>
        <w:pStyle w:val="Title"/>
        <w:rPr>
          <w:rFonts w:ascii="Garamond Premr Pro Capt" w:hAnsi="Garamond Premr Pro Capt"/>
          <w:b w:val="0"/>
          <w:bCs w:val="0"/>
          <w:sz w:val="44"/>
          <w:szCs w:val="44"/>
        </w:rPr>
      </w:pPr>
    </w:p>
    <w:p w14:paraId="7D58FE4C" w14:textId="77777777" w:rsidR="003D2B09" w:rsidRDefault="003D2B09" w:rsidP="00F22B0B">
      <w:pPr>
        <w:pStyle w:val="Title"/>
        <w:rPr>
          <w:rFonts w:ascii="Garamond Premr Pro Capt" w:hAnsi="Garamond Premr Pro Capt"/>
          <w:b w:val="0"/>
          <w:bCs w:val="0"/>
          <w:sz w:val="44"/>
          <w:szCs w:val="44"/>
        </w:rPr>
      </w:pPr>
    </w:p>
    <w:p w14:paraId="31F16461" w14:textId="77777777" w:rsidR="003D2B09" w:rsidRDefault="003D2B09" w:rsidP="00F22B0B">
      <w:pPr>
        <w:pStyle w:val="Title"/>
        <w:rPr>
          <w:rFonts w:ascii="Garamond Premr Pro Capt" w:hAnsi="Garamond Premr Pro Capt"/>
          <w:b w:val="0"/>
          <w:bCs w:val="0"/>
          <w:sz w:val="44"/>
          <w:szCs w:val="44"/>
        </w:rPr>
      </w:pPr>
    </w:p>
    <w:p w14:paraId="0D6C7350" w14:textId="77777777" w:rsidR="003D2B09" w:rsidRDefault="003D2B09" w:rsidP="00F22B0B">
      <w:pPr>
        <w:pStyle w:val="Title"/>
        <w:rPr>
          <w:rFonts w:ascii="Garamond Premr Pro Capt" w:hAnsi="Garamond Premr Pro Capt"/>
          <w:b w:val="0"/>
          <w:bCs w:val="0"/>
          <w:sz w:val="44"/>
          <w:szCs w:val="44"/>
        </w:rPr>
      </w:pPr>
    </w:p>
    <w:p w14:paraId="3769E0A2" w14:textId="14A4B2CF" w:rsidR="00F919C6" w:rsidRPr="00C5136C" w:rsidRDefault="002C5514" w:rsidP="00F22B0B">
      <w:pPr>
        <w:pStyle w:val="Title"/>
        <w:rPr>
          <w:rFonts w:ascii="Garamond Premr Pro Capt" w:hAnsi="Garamond Premr Pro Capt"/>
          <w:b w:val="0"/>
          <w:bCs w:val="0"/>
          <w:sz w:val="44"/>
          <w:szCs w:val="44"/>
        </w:rPr>
      </w:pPr>
      <w:r w:rsidRPr="00C5136C">
        <w:rPr>
          <w:rFonts w:ascii="Garamond Premr Pro Capt" w:hAnsi="Garamond Premr Pro Capt"/>
          <w:b w:val="0"/>
          <w:bCs w:val="0"/>
          <w:sz w:val="44"/>
          <w:szCs w:val="44"/>
        </w:rPr>
        <w:lastRenderedPageBreak/>
        <w:t>The Fourth Amendment</w:t>
      </w:r>
      <w:r w:rsidR="002E6D15" w:rsidRPr="00C5136C">
        <w:rPr>
          <w:rFonts w:ascii="Garamond Premr Pro Capt" w:hAnsi="Garamond Premr Pro Capt"/>
          <w:b w:val="0"/>
          <w:bCs w:val="0"/>
          <w:sz w:val="44"/>
          <w:szCs w:val="44"/>
        </w:rPr>
        <w:t xml:space="preserve"> and General Law</w:t>
      </w:r>
    </w:p>
    <w:p w14:paraId="5B1C0A4A" w14:textId="0B52B082" w:rsidR="00F919C6" w:rsidRDefault="005B1D44" w:rsidP="00F22B0B">
      <w:pPr>
        <w:pStyle w:val="Author"/>
        <w:rPr>
          <w:rFonts w:ascii="Garamond Premr Pro Capt" w:hAnsi="Garamond Premr Pro Capt"/>
          <w:i/>
          <w:iCs/>
        </w:rPr>
      </w:pPr>
      <w:r w:rsidRPr="001244BC">
        <w:rPr>
          <w:rFonts w:ascii="Garamond Premr Pro Capt" w:hAnsi="Garamond Premr Pro Capt"/>
          <w:i/>
          <w:iCs/>
        </w:rPr>
        <w:t>Daniel</w:t>
      </w:r>
      <w:r w:rsidR="00D92CF0">
        <w:rPr>
          <w:rFonts w:ascii="Garamond Premr Pro Capt" w:hAnsi="Garamond Premr Pro Capt"/>
          <w:i/>
          <w:iCs/>
        </w:rPr>
        <w:t>le</w:t>
      </w:r>
      <w:r w:rsidRPr="001244BC">
        <w:rPr>
          <w:rFonts w:ascii="Garamond Premr Pro Capt" w:hAnsi="Garamond Premr Pro Capt"/>
          <w:i/>
          <w:iCs/>
        </w:rPr>
        <w:t xml:space="preserve"> </w:t>
      </w:r>
      <w:r w:rsidR="00D92CF0">
        <w:rPr>
          <w:rFonts w:ascii="Garamond Premr Pro Capt" w:hAnsi="Garamond Premr Pro Capt"/>
          <w:i/>
          <w:iCs/>
        </w:rPr>
        <w:t>D’Onfro</w:t>
      </w:r>
      <w:r w:rsidR="00C36315" w:rsidRPr="001F4217">
        <w:rPr>
          <w:rFonts w:ascii="Garamond Premr Pro Capt" w:hAnsi="Garamond Premr Pro Capt"/>
          <w:iCs/>
          <w:szCs w:val="22"/>
          <w:vertAlign w:val="superscript"/>
        </w:rPr>
        <w:t>*</w:t>
      </w:r>
      <w:r w:rsidR="003C760D">
        <w:rPr>
          <w:rFonts w:ascii="Garamond Premr Pro Capt" w:hAnsi="Garamond Premr Pro Capt"/>
          <w:iCs/>
          <w:szCs w:val="22"/>
          <w:vertAlign w:val="superscript"/>
        </w:rPr>
        <w:t xml:space="preserve"> </w:t>
      </w:r>
      <w:r w:rsidR="003C760D">
        <w:rPr>
          <w:rFonts w:ascii="Garamond Premr Pro Capt" w:hAnsi="Garamond Premr Pro Capt"/>
          <w:i/>
          <w:iCs/>
        </w:rPr>
        <w:t>&amp; Daniel Epps</w:t>
      </w:r>
      <w:bookmarkStart w:id="1" w:name="_Hlk67497850"/>
      <w:r w:rsidR="003C760D" w:rsidRPr="001F4217">
        <w:rPr>
          <w:rFonts w:ascii="Garamond Premr Pro Capt" w:hAnsi="Garamond Premr Pro Capt"/>
          <w:iCs/>
          <w:szCs w:val="22"/>
          <w:vertAlign w:val="superscript"/>
        </w:rPr>
        <w:t>*</w:t>
      </w:r>
      <w:bookmarkEnd w:id="1"/>
      <w:r w:rsidR="003C760D" w:rsidRPr="001F4217">
        <w:rPr>
          <w:rFonts w:ascii="Garamond Premr Pro Capt" w:hAnsi="Garamond Premr Pro Capt"/>
          <w:iCs/>
          <w:szCs w:val="22"/>
          <w:vertAlign w:val="superscript"/>
        </w:rPr>
        <w:t>*</w:t>
      </w:r>
      <w:r w:rsidR="003C760D">
        <w:rPr>
          <w:rFonts w:ascii="Garamond Premr Pro Capt" w:hAnsi="Garamond Premr Pro Capt"/>
          <w:i/>
          <w:iCs/>
        </w:rPr>
        <w:t xml:space="preserve"> </w:t>
      </w:r>
    </w:p>
    <w:p w14:paraId="23A3ECA2" w14:textId="49CB47AC" w:rsidR="00B140E2" w:rsidRPr="0061728E" w:rsidRDefault="0061728E" w:rsidP="00F22B0B">
      <w:pPr>
        <w:pStyle w:val="Author"/>
        <w:rPr>
          <w:rFonts w:ascii="Garamond Premr Pro Capt" w:hAnsi="Garamond Premr Pro Capt"/>
          <w:szCs w:val="22"/>
          <w:vertAlign w:val="superscript"/>
        </w:rPr>
      </w:pPr>
      <w:r>
        <w:rPr>
          <w:rFonts w:ascii="Garamond Premr Pro Capt" w:hAnsi="Garamond Premr Pro Capt"/>
        </w:rPr>
        <w:t xml:space="preserve">132 </w:t>
      </w:r>
      <w:r>
        <w:rPr>
          <w:rFonts w:ascii="Garamond Premr Pro Capt" w:hAnsi="Garamond Premr Pro Capt"/>
          <w:smallCaps/>
        </w:rPr>
        <w:t>Yale Law Journal _</w:t>
      </w:r>
      <w:r>
        <w:rPr>
          <w:rFonts w:ascii="Garamond Premr Pro Capt" w:hAnsi="Garamond Premr Pro Capt"/>
        </w:rPr>
        <w:t xml:space="preserve"> (forthcoming</w:t>
      </w:r>
      <w:r w:rsidR="00FA0A3D">
        <w:rPr>
          <w:rFonts w:ascii="Garamond Premr Pro Capt" w:hAnsi="Garamond Premr Pro Capt"/>
        </w:rPr>
        <w:t xml:space="preserve"> 2023</w:t>
      </w:r>
      <w:r>
        <w:rPr>
          <w:rFonts w:ascii="Garamond Premr Pro Capt" w:hAnsi="Garamond Premr Pro Capt"/>
        </w:rPr>
        <w:t xml:space="preserve">) </w:t>
      </w:r>
    </w:p>
    <w:p w14:paraId="73214F2F" w14:textId="1B1393BC" w:rsidR="00461D0A" w:rsidRDefault="008F01A0" w:rsidP="00DE360E">
      <w:pPr>
        <w:pStyle w:val="Author"/>
        <w:spacing w:after="0"/>
      </w:pPr>
      <w:r w:rsidRPr="00B140E2">
        <w:t>[</w:t>
      </w:r>
      <w:r w:rsidR="00D755C5" w:rsidRPr="00B140E2">
        <w:rPr>
          <w:b/>
        </w:rPr>
        <w:t>DRAFT</w:t>
      </w:r>
      <w:r w:rsidR="00036BC3" w:rsidRPr="00B140E2">
        <w:rPr>
          <w:b/>
        </w:rPr>
        <w:t xml:space="preserve"> </w:t>
      </w:r>
      <w:r w:rsidR="000B4F35" w:rsidRPr="00B140E2">
        <w:fldChar w:fldCharType="begin"/>
      </w:r>
      <w:r w:rsidR="000B4F35" w:rsidRPr="00B140E2">
        <w:instrText xml:space="preserve"> TIME \@ "MMMM d, </w:instrText>
      </w:r>
      <w:r w:rsidR="00A3117E" w:rsidRPr="00B140E2">
        <w:instrText>yyy</w:instrText>
      </w:r>
      <w:r w:rsidR="000B4F35" w:rsidRPr="00B140E2">
        <w:instrText xml:space="preserve">y" </w:instrText>
      </w:r>
      <w:r w:rsidR="000B4F35" w:rsidRPr="00B140E2">
        <w:fldChar w:fldCharType="separate"/>
      </w:r>
      <w:r w:rsidR="00E27AC7">
        <w:rPr>
          <w:noProof/>
        </w:rPr>
        <w:t>April 4, 2023</w:t>
      </w:r>
      <w:r w:rsidR="000B4F35" w:rsidRPr="00B140E2">
        <w:fldChar w:fldCharType="end"/>
      </w:r>
      <w:r w:rsidRPr="00B140E2">
        <w:t>]</w:t>
      </w:r>
    </w:p>
    <w:p w14:paraId="012117AB" w14:textId="77777777" w:rsidR="00DE360E" w:rsidRPr="00DE360E" w:rsidRDefault="00DE360E" w:rsidP="00DE360E">
      <w:pPr>
        <w:pStyle w:val="Author"/>
        <w:spacing w:after="0"/>
      </w:pPr>
    </w:p>
    <w:p w14:paraId="607EFA84" w14:textId="6784E384" w:rsidR="000765C4" w:rsidRPr="00510691" w:rsidRDefault="007457E8" w:rsidP="00020C62">
      <w:pPr>
        <w:pStyle w:val="Abstract"/>
        <w:rPr>
          <w:iCs/>
        </w:rPr>
      </w:pPr>
      <w:r w:rsidRPr="00510691">
        <w:rPr>
          <w:iCs/>
        </w:rPr>
        <w:t xml:space="preserve">For decades, Fourth Amendment protections </w:t>
      </w:r>
      <w:r w:rsidR="00DA7853" w:rsidRPr="00510691">
        <w:rPr>
          <w:iCs/>
        </w:rPr>
        <w:t xml:space="preserve">have turned on </w:t>
      </w:r>
      <w:r w:rsidR="001D70BA" w:rsidRPr="00510691">
        <w:rPr>
          <w:iCs/>
        </w:rPr>
        <w:t xml:space="preserve">“reasonable expectations </w:t>
      </w:r>
      <w:r w:rsidR="001F6DA5" w:rsidRPr="00510691">
        <w:rPr>
          <w:iCs/>
        </w:rPr>
        <w:t>of</w:t>
      </w:r>
      <w:r w:rsidR="001D70BA" w:rsidRPr="00510691">
        <w:rPr>
          <w:iCs/>
        </w:rPr>
        <w:t xml:space="preserve"> privacy.” </w:t>
      </w:r>
      <w:r w:rsidR="007F0141" w:rsidRPr="00510691">
        <w:rPr>
          <w:iCs/>
        </w:rPr>
        <w:t xml:space="preserve">But a new </w:t>
      </w:r>
      <w:r w:rsidR="00055D84" w:rsidRPr="00510691">
        <w:rPr>
          <w:iCs/>
        </w:rPr>
        <w:t xml:space="preserve">era may be dawning. </w:t>
      </w:r>
      <w:r w:rsidR="006050E8" w:rsidRPr="00510691">
        <w:rPr>
          <w:iCs/>
        </w:rPr>
        <w:t xml:space="preserve">There is growing interest among judges and scholars in </w:t>
      </w:r>
      <w:r w:rsidR="000A1AF9" w:rsidRPr="00510691">
        <w:rPr>
          <w:iCs/>
        </w:rPr>
        <w:t>turning away from priv</w:t>
      </w:r>
      <w:r w:rsidR="002169B1" w:rsidRPr="00510691">
        <w:rPr>
          <w:iCs/>
        </w:rPr>
        <w:t xml:space="preserve">acy </w:t>
      </w:r>
      <w:r w:rsidR="00CF0FD8" w:rsidRPr="00510691">
        <w:rPr>
          <w:iCs/>
        </w:rPr>
        <w:t>towards</w:t>
      </w:r>
      <w:r w:rsidR="007947D2" w:rsidRPr="00510691">
        <w:rPr>
          <w:iCs/>
        </w:rPr>
        <w:t xml:space="preserve"> property or po</w:t>
      </w:r>
      <w:r w:rsidR="00E8074C" w:rsidRPr="00510691">
        <w:rPr>
          <w:iCs/>
        </w:rPr>
        <w:t>sitive l</w:t>
      </w:r>
      <w:r w:rsidR="007E16D2" w:rsidRPr="00510691">
        <w:rPr>
          <w:iCs/>
        </w:rPr>
        <w:t>aw</w:t>
      </w:r>
      <w:r w:rsidR="00CF0FD8" w:rsidRPr="00510691">
        <w:rPr>
          <w:iCs/>
        </w:rPr>
        <w:t xml:space="preserve"> as the </w:t>
      </w:r>
      <w:r w:rsidR="00731C79" w:rsidRPr="00510691">
        <w:rPr>
          <w:iCs/>
        </w:rPr>
        <w:t>touchstone for Fourth Amendment protect</w:t>
      </w:r>
      <w:r w:rsidR="0070063E" w:rsidRPr="00510691">
        <w:rPr>
          <w:iCs/>
        </w:rPr>
        <w:t>ions</w:t>
      </w:r>
      <w:r w:rsidR="007E16D2" w:rsidRPr="00510691">
        <w:rPr>
          <w:iCs/>
        </w:rPr>
        <w:t xml:space="preserve">. </w:t>
      </w:r>
      <w:r w:rsidR="002F7B7A">
        <w:t>Yet</w:t>
      </w:r>
      <w:r w:rsidR="00671E99" w:rsidRPr="00510691">
        <w:rPr>
          <w:iCs/>
        </w:rPr>
        <w:t xml:space="preserve"> </w:t>
      </w:r>
      <w:r w:rsidR="00AD0B0F" w:rsidRPr="00510691">
        <w:rPr>
          <w:iCs/>
        </w:rPr>
        <w:t>many questions</w:t>
      </w:r>
      <w:r w:rsidR="0057525E" w:rsidRPr="00510691">
        <w:rPr>
          <w:iCs/>
        </w:rPr>
        <w:t xml:space="preserve"> remain</w:t>
      </w:r>
      <w:r w:rsidR="00AD0B0F" w:rsidRPr="00510691">
        <w:rPr>
          <w:iCs/>
        </w:rPr>
        <w:t xml:space="preserve"> about</w:t>
      </w:r>
      <w:r w:rsidR="004B28E5" w:rsidRPr="00510691">
        <w:rPr>
          <w:iCs/>
        </w:rPr>
        <w:t xml:space="preserve"> </w:t>
      </w:r>
      <w:r w:rsidR="00EE29A9" w:rsidRPr="00510691">
        <w:rPr>
          <w:iCs/>
        </w:rPr>
        <w:t>how</w:t>
      </w:r>
      <w:r w:rsidR="008B4633" w:rsidRPr="00510691">
        <w:rPr>
          <w:iCs/>
        </w:rPr>
        <w:t xml:space="preserve"> </w:t>
      </w:r>
      <w:r w:rsidR="00FC4727" w:rsidRPr="00510691">
        <w:rPr>
          <w:iCs/>
        </w:rPr>
        <w:t>that</w:t>
      </w:r>
      <w:r w:rsidR="00E01828" w:rsidRPr="00510691">
        <w:rPr>
          <w:iCs/>
        </w:rPr>
        <w:t xml:space="preserve"> approach </w:t>
      </w:r>
      <w:r w:rsidR="000C7CE8" w:rsidRPr="00510691">
        <w:rPr>
          <w:iCs/>
        </w:rPr>
        <w:t>should</w:t>
      </w:r>
      <w:r w:rsidR="008B4633" w:rsidRPr="00510691">
        <w:rPr>
          <w:iCs/>
        </w:rPr>
        <w:t xml:space="preserve"> </w:t>
      </w:r>
      <w:r w:rsidR="000654BB" w:rsidRPr="00510691">
        <w:rPr>
          <w:iCs/>
        </w:rPr>
        <w:t>work</w:t>
      </w:r>
      <w:r w:rsidR="00B41226" w:rsidRPr="00510691">
        <w:rPr>
          <w:iCs/>
        </w:rPr>
        <w:t xml:space="preserve">, </w:t>
      </w:r>
      <w:r w:rsidR="00AE04A0" w:rsidRPr="00510691">
        <w:rPr>
          <w:iCs/>
        </w:rPr>
        <w:t>such as where judg</w:t>
      </w:r>
      <w:r w:rsidR="00397AFB" w:rsidRPr="00510691">
        <w:rPr>
          <w:iCs/>
        </w:rPr>
        <w:t>es should l</w:t>
      </w:r>
      <w:r w:rsidR="00335595" w:rsidRPr="00510691">
        <w:rPr>
          <w:iCs/>
        </w:rPr>
        <w:t xml:space="preserve">ook </w:t>
      </w:r>
      <w:r w:rsidR="00E56295" w:rsidRPr="00510691">
        <w:rPr>
          <w:iCs/>
        </w:rPr>
        <w:t>for</w:t>
      </w:r>
      <w:r w:rsidR="008C4457" w:rsidRPr="00510691">
        <w:rPr>
          <w:iCs/>
        </w:rPr>
        <w:t xml:space="preserve"> positive law</w:t>
      </w:r>
      <w:r w:rsidR="00DB359A" w:rsidRPr="00510691">
        <w:rPr>
          <w:iCs/>
        </w:rPr>
        <w:t xml:space="preserve"> and </w:t>
      </w:r>
      <w:r w:rsidR="008E673F" w:rsidRPr="00510691">
        <w:rPr>
          <w:iCs/>
        </w:rPr>
        <w:t>p</w:t>
      </w:r>
      <w:r w:rsidR="001C1DD7" w:rsidRPr="00510691">
        <w:rPr>
          <w:iCs/>
        </w:rPr>
        <w:t xml:space="preserve">recisely </w:t>
      </w:r>
      <w:r w:rsidR="00DB359A" w:rsidRPr="00510691">
        <w:rPr>
          <w:iCs/>
        </w:rPr>
        <w:t xml:space="preserve">what role </w:t>
      </w:r>
      <w:r w:rsidR="006B7847" w:rsidRPr="00510691">
        <w:rPr>
          <w:iCs/>
        </w:rPr>
        <w:t>positive law</w:t>
      </w:r>
      <w:r w:rsidR="00DB359A" w:rsidRPr="00510691">
        <w:rPr>
          <w:iCs/>
        </w:rPr>
        <w:t xml:space="preserve"> should play</w:t>
      </w:r>
      <w:r w:rsidR="00A7790D" w:rsidRPr="00510691">
        <w:rPr>
          <w:iCs/>
        </w:rPr>
        <w:t xml:space="preserve"> in Fourth Amendment analysis</w:t>
      </w:r>
      <w:r w:rsidR="002C1E63" w:rsidRPr="00510691">
        <w:rPr>
          <w:iCs/>
        </w:rPr>
        <w:t>.</w:t>
      </w:r>
    </w:p>
    <w:p w14:paraId="40EE53C6" w14:textId="13456BF9" w:rsidR="008C1866" w:rsidRPr="00510691" w:rsidRDefault="008C1866" w:rsidP="00020C62">
      <w:pPr>
        <w:pStyle w:val="Abstract"/>
        <w:rPr>
          <w:iCs/>
        </w:rPr>
      </w:pPr>
      <w:r w:rsidRPr="00510691">
        <w:rPr>
          <w:iCs/>
        </w:rPr>
        <w:t xml:space="preserve">This Article answers those questions, and in so doing </w:t>
      </w:r>
      <w:r w:rsidR="00F86BA0" w:rsidRPr="00510691">
        <w:rPr>
          <w:iCs/>
        </w:rPr>
        <w:t>lays forth a new</w:t>
      </w:r>
      <w:r w:rsidR="00112DC7" w:rsidRPr="00510691">
        <w:rPr>
          <w:iCs/>
        </w:rPr>
        <w:t>, com</w:t>
      </w:r>
      <w:r w:rsidR="00B81883" w:rsidRPr="00510691">
        <w:rPr>
          <w:iCs/>
        </w:rPr>
        <w:t>prehensive</w:t>
      </w:r>
      <w:r w:rsidR="00F86BA0" w:rsidRPr="00510691">
        <w:rPr>
          <w:iCs/>
        </w:rPr>
        <w:t xml:space="preserve"> theory of the Fourth Amendment. </w:t>
      </w:r>
      <w:r w:rsidR="002C1E63" w:rsidRPr="00510691">
        <w:rPr>
          <w:iCs/>
        </w:rPr>
        <w:t xml:space="preserve">We argue that </w:t>
      </w:r>
      <w:r w:rsidR="00EB64A4" w:rsidRPr="00510691">
        <w:rPr>
          <w:iCs/>
        </w:rPr>
        <w:t>c</w:t>
      </w:r>
      <w:r w:rsidR="005E0C0F" w:rsidRPr="00510691">
        <w:rPr>
          <w:iCs/>
        </w:rPr>
        <w:t xml:space="preserve">ourts should </w:t>
      </w:r>
      <w:r w:rsidR="00335215" w:rsidRPr="00510691">
        <w:rPr>
          <w:iCs/>
        </w:rPr>
        <w:t>interpret the Fourth Amendment’s protections b</w:t>
      </w:r>
      <w:r w:rsidR="00713AAA" w:rsidRPr="00510691">
        <w:rPr>
          <w:iCs/>
        </w:rPr>
        <w:t xml:space="preserve">y looking to </w:t>
      </w:r>
      <w:r w:rsidR="00C30B7F" w:rsidRPr="00510691">
        <w:rPr>
          <w:iCs/>
        </w:rPr>
        <w:t>“</w:t>
      </w:r>
      <w:r w:rsidR="00D270B6" w:rsidRPr="00510691">
        <w:rPr>
          <w:iCs/>
        </w:rPr>
        <w:t>general law</w:t>
      </w:r>
      <w:r w:rsidR="00A90F3A" w:rsidRPr="00510691">
        <w:rPr>
          <w:iCs/>
        </w:rPr>
        <w:t>”</w:t>
      </w:r>
      <w:r w:rsidR="00D270B6" w:rsidRPr="00510691">
        <w:rPr>
          <w:iCs/>
        </w:rPr>
        <w:t>—</w:t>
      </w:r>
      <w:r w:rsidR="0063232D" w:rsidRPr="00510691">
        <w:rPr>
          <w:iCs/>
        </w:rPr>
        <w:t xml:space="preserve">the common law </w:t>
      </w:r>
      <w:r w:rsidR="004414E3" w:rsidRPr="00510691">
        <w:rPr>
          <w:iCs/>
        </w:rPr>
        <w:t xml:space="preserve">under </w:t>
      </w:r>
      <w:r w:rsidR="00862382" w:rsidRPr="00510691">
        <w:rPr>
          <w:iCs/>
        </w:rPr>
        <w:t xml:space="preserve">the control of no particular sovereign. </w:t>
      </w:r>
      <w:r w:rsidR="0081638B" w:rsidRPr="00510691">
        <w:rPr>
          <w:iCs/>
        </w:rPr>
        <w:t>Cou</w:t>
      </w:r>
      <w:r w:rsidR="00A65527" w:rsidRPr="00510691">
        <w:rPr>
          <w:iCs/>
        </w:rPr>
        <w:t xml:space="preserve">rts looking to general law would draw on ancient </w:t>
      </w:r>
      <w:r w:rsidR="00B0464F">
        <w:t>property</w:t>
      </w:r>
      <w:r w:rsidR="005C7BA5" w:rsidRPr="00510691">
        <w:rPr>
          <w:iCs/>
        </w:rPr>
        <w:t xml:space="preserve"> concepts such as t</w:t>
      </w:r>
      <w:r w:rsidR="00B83B3A" w:rsidRPr="00510691">
        <w:rPr>
          <w:iCs/>
        </w:rPr>
        <w:t>respass, license, and bailm</w:t>
      </w:r>
      <w:r w:rsidR="001B30CC" w:rsidRPr="00510691">
        <w:rPr>
          <w:iCs/>
        </w:rPr>
        <w:t>ents</w:t>
      </w:r>
      <w:r w:rsidR="002C439D" w:rsidRPr="00510691">
        <w:rPr>
          <w:iCs/>
        </w:rPr>
        <w:t xml:space="preserve"> </w:t>
      </w:r>
      <w:r w:rsidR="003A2CD0" w:rsidRPr="00510691">
        <w:rPr>
          <w:iCs/>
        </w:rPr>
        <w:t>in</w:t>
      </w:r>
      <w:r w:rsidR="007400A0" w:rsidRPr="00510691">
        <w:rPr>
          <w:iCs/>
        </w:rPr>
        <w:t xml:space="preserve"> det</w:t>
      </w:r>
      <w:r w:rsidR="0056157C" w:rsidRPr="00510691">
        <w:rPr>
          <w:iCs/>
        </w:rPr>
        <w:t>ermi</w:t>
      </w:r>
      <w:r w:rsidR="00403971" w:rsidRPr="00510691">
        <w:rPr>
          <w:iCs/>
        </w:rPr>
        <w:t>ning</w:t>
      </w:r>
      <w:r w:rsidR="0056157C" w:rsidRPr="00510691">
        <w:rPr>
          <w:iCs/>
        </w:rPr>
        <w:t xml:space="preserve"> the scope of protections</w:t>
      </w:r>
      <w:r w:rsidR="001B30CC" w:rsidRPr="00510691">
        <w:rPr>
          <w:iCs/>
        </w:rPr>
        <w:t xml:space="preserve">. But they would </w:t>
      </w:r>
      <w:r w:rsidR="00BA7D43" w:rsidRPr="00510691">
        <w:rPr>
          <w:iCs/>
        </w:rPr>
        <w:t>also</w:t>
      </w:r>
      <w:r w:rsidR="00FC2D08" w:rsidRPr="00510691">
        <w:rPr>
          <w:iCs/>
        </w:rPr>
        <w:t xml:space="preserve"> draw on </w:t>
      </w:r>
      <w:r w:rsidR="00152744" w:rsidRPr="00510691">
        <w:rPr>
          <w:iCs/>
        </w:rPr>
        <w:t>custom, social practic</w:t>
      </w:r>
      <w:r w:rsidR="00E205C6" w:rsidRPr="00510691">
        <w:rPr>
          <w:iCs/>
        </w:rPr>
        <w:t>es</w:t>
      </w:r>
      <w:r w:rsidR="007F2681" w:rsidRPr="00510691">
        <w:rPr>
          <w:iCs/>
        </w:rPr>
        <w:t xml:space="preserve">, and </w:t>
      </w:r>
      <w:r w:rsidR="00DE0937" w:rsidRPr="00510691">
        <w:rPr>
          <w:iCs/>
        </w:rPr>
        <w:t>modern</w:t>
      </w:r>
      <w:r w:rsidR="007F2681" w:rsidRPr="00510691">
        <w:rPr>
          <w:iCs/>
        </w:rPr>
        <w:t xml:space="preserve"> </w:t>
      </w:r>
      <w:r w:rsidR="000F3270" w:rsidRPr="00510691">
        <w:rPr>
          <w:iCs/>
        </w:rPr>
        <w:t>legal devel</w:t>
      </w:r>
      <w:r w:rsidR="00382E00" w:rsidRPr="00510691">
        <w:rPr>
          <w:iCs/>
        </w:rPr>
        <w:t>o</w:t>
      </w:r>
      <w:r w:rsidR="001959BF" w:rsidRPr="00510691">
        <w:rPr>
          <w:iCs/>
        </w:rPr>
        <w:t xml:space="preserve">pments </w:t>
      </w:r>
      <w:r w:rsidR="009C2EC2" w:rsidRPr="00510691">
        <w:rPr>
          <w:iCs/>
        </w:rPr>
        <w:t xml:space="preserve">to identify </w:t>
      </w:r>
      <w:r w:rsidR="00826C71" w:rsidRPr="00510691">
        <w:rPr>
          <w:iCs/>
        </w:rPr>
        <w:t xml:space="preserve">and </w:t>
      </w:r>
      <w:r w:rsidR="00BF3E66" w:rsidRPr="00510691">
        <w:rPr>
          <w:iCs/>
        </w:rPr>
        <w:t xml:space="preserve">flesh out </w:t>
      </w:r>
      <w:r w:rsidR="007704E1" w:rsidRPr="00510691">
        <w:rPr>
          <w:iCs/>
        </w:rPr>
        <w:t>common</w:t>
      </w:r>
      <w:r w:rsidR="00873074" w:rsidRPr="00510691">
        <w:rPr>
          <w:iCs/>
        </w:rPr>
        <w:t>-law rules</w:t>
      </w:r>
      <w:r w:rsidR="009C2EC2" w:rsidRPr="00510691">
        <w:rPr>
          <w:iCs/>
        </w:rPr>
        <w:t xml:space="preserve"> </w:t>
      </w:r>
      <w:r w:rsidR="001E7F73" w:rsidRPr="00510691">
        <w:rPr>
          <w:iCs/>
        </w:rPr>
        <w:t xml:space="preserve">unknown at </w:t>
      </w:r>
      <w:r w:rsidR="001F2295" w:rsidRPr="00510691">
        <w:rPr>
          <w:iCs/>
        </w:rPr>
        <w:t>the Founding.</w:t>
      </w:r>
    </w:p>
    <w:p w14:paraId="6AF8463B" w14:textId="0B5DB986" w:rsidR="00A90F3A" w:rsidRPr="00510691" w:rsidRDefault="00A90F3A" w:rsidP="00020C62">
      <w:pPr>
        <w:pStyle w:val="Abstract"/>
        <w:rPr>
          <w:iCs/>
        </w:rPr>
      </w:pPr>
      <w:r w:rsidRPr="00510691">
        <w:rPr>
          <w:iCs/>
        </w:rPr>
        <w:t>T</w:t>
      </w:r>
      <w:r w:rsidR="007F30B2" w:rsidRPr="00510691">
        <w:rPr>
          <w:iCs/>
        </w:rPr>
        <w:t xml:space="preserve">he general-law approach </w:t>
      </w:r>
      <w:r w:rsidR="00AC59DF" w:rsidRPr="00510691">
        <w:rPr>
          <w:iCs/>
        </w:rPr>
        <w:t>has numerous adva</w:t>
      </w:r>
      <w:r w:rsidR="004905C4" w:rsidRPr="00510691">
        <w:rPr>
          <w:iCs/>
        </w:rPr>
        <w:t>ntages</w:t>
      </w:r>
      <w:r w:rsidR="00886BCD" w:rsidRPr="00510691">
        <w:rPr>
          <w:iCs/>
        </w:rPr>
        <w:t xml:space="preserve"> over competitor</w:t>
      </w:r>
      <w:r w:rsidR="00A2609B" w:rsidRPr="00510691">
        <w:rPr>
          <w:iCs/>
        </w:rPr>
        <w:t xml:space="preserve"> theories</w:t>
      </w:r>
      <w:r w:rsidR="004905C4" w:rsidRPr="00510691">
        <w:rPr>
          <w:iCs/>
        </w:rPr>
        <w:t xml:space="preserve">. It </w:t>
      </w:r>
      <w:r w:rsidR="002E5CD3" w:rsidRPr="00510691">
        <w:rPr>
          <w:iCs/>
        </w:rPr>
        <w:t xml:space="preserve">makes </w:t>
      </w:r>
      <w:r w:rsidR="007D6B8A">
        <w:rPr>
          <w:iCs/>
        </w:rPr>
        <w:t>better</w:t>
      </w:r>
      <w:r w:rsidR="007D6B8A" w:rsidRPr="00510691">
        <w:rPr>
          <w:iCs/>
        </w:rPr>
        <w:t xml:space="preserve"> </w:t>
      </w:r>
      <w:r w:rsidR="00583F56" w:rsidRPr="00510691">
        <w:rPr>
          <w:iCs/>
        </w:rPr>
        <w:t>sense of the</w:t>
      </w:r>
      <w:r w:rsidR="00683241" w:rsidRPr="00510691">
        <w:rPr>
          <w:iCs/>
        </w:rPr>
        <w:t xml:space="preserve"> Fourth Amendment’s</w:t>
      </w:r>
      <w:r w:rsidR="00583F56" w:rsidRPr="00510691">
        <w:rPr>
          <w:iCs/>
        </w:rPr>
        <w:t xml:space="preserve"> te</w:t>
      </w:r>
      <w:r w:rsidR="007E7B8C" w:rsidRPr="00510691">
        <w:rPr>
          <w:iCs/>
        </w:rPr>
        <w:t xml:space="preserve">xt and has deeper roots </w:t>
      </w:r>
      <w:r w:rsidR="003E4F7A" w:rsidRPr="00510691">
        <w:rPr>
          <w:iCs/>
        </w:rPr>
        <w:t xml:space="preserve">in </w:t>
      </w:r>
      <w:r w:rsidR="005C7EB0" w:rsidRPr="00510691">
        <w:rPr>
          <w:iCs/>
        </w:rPr>
        <w:t xml:space="preserve">its </w:t>
      </w:r>
      <w:r w:rsidR="004905C4" w:rsidRPr="00510691">
        <w:rPr>
          <w:iCs/>
        </w:rPr>
        <w:t>h</w:t>
      </w:r>
      <w:r w:rsidR="00FA30D7" w:rsidRPr="00510691">
        <w:rPr>
          <w:iCs/>
        </w:rPr>
        <w:t>istor</w:t>
      </w:r>
      <w:r w:rsidR="007114EC" w:rsidRPr="00510691">
        <w:rPr>
          <w:iCs/>
        </w:rPr>
        <w:t>y</w:t>
      </w:r>
      <w:r w:rsidR="00952C0A" w:rsidRPr="00510691">
        <w:rPr>
          <w:iCs/>
        </w:rPr>
        <w:t xml:space="preserve">. </w:t>
      </w:r>
      <w:r w:rsidR="0060243A" w:rsidRPr="00510691">
        <w:rPr>
          <w:iCs/>
        </w:rPr>
        <w:t>It is surprisingly easy to reconcil</w:t>
      </w:r>
      <w:r w:rsidR="004D26E8" w:rsidRPr="00510691">
        <w:rPr>
          <w:iCs/>
        </w:rPr>
        <w:t xml:space="preserve">e with </w:t>
      </w:r>
      <w:r w:rsidR="00953E94" w:rsidRPr="00510691">
        <w:rPr>
          <w:iCs/>
        </w:rPr>
        <w:t xml:space="preserve">a great </w:t>
      </w:r>
      <w:r w:rsidR="0001492F" w:rsidRPr="00510691">
        <w:rPr>
          <w:iCs/>
        </w:rPr>
        <w:t xml:space="preserve">deal of </w:t>
      </w:r>
      <w:r w:rsidR="00B22129" w:rsidRPr="00510691">
        <w:rPr>
          <w:iCs/>
        </w:rPr>
        <w:t>Fourth Amendment</w:t>
      </w:r>
      <w:r w:rsidR="0001492F" w:rsidRPr="00510691">
        <w:rPr>
          <w:iCs/>
        </w:rPr>
        <w:t xml:space="preserve"> </w:t>
      </w:r>
      <w:r w:rsidR="00CE61C6" w:rsidRPr="00510691">
        <w:rPr>
          <w:iCs/>
        </w:rPr>
        <w:t>doctrine</w:t>
      </w:r>
      <w:r w:rsidR="006A7977" w:rsidRPr="00510691">
        <w:rPr>
          <w:iCs/>
        </w:rPr>
        <w:t xml:space="preserve">, while also suggesting </w:t>
      </w:r>
      <w:r w:rsidR="00A2609B" w:rsidRPr="00510691">
        <w:rPr>
          <w:iCs/>
        </w:rPr>
        <w:t>important refin</w:t>
      </w:r>
      <w:r w:rsidR="0002309B" w:rsidRPr="00510691">
        <w:rPr>
          <w:iCs/>
        </w:rPr>
        <w:t>ements</w:t>
      </w:r>
      <w:r w:rsidR="007463B7" w:rsidRPr="00510691">
        <w:rPr>
          <w:iCs/>
        </w:rPr>
        <w:t xml:space="preserve"> in </w:t>
      </w:r>
      <w:r w:rsidR="00BF24D8" w:rsidRPr="00510691">
        <w:rPr>
          <w:iCs/>
        </w:rPr>
        <w:t>various areas</w:t>
      </w:r>
      <w:r w:rsidR="00E64E31" w:rsidRPr="00510691">
        <w:rPr>
          <w:iCs/>
        </w:rPr>
        <w:t xml:space="preserve">. </w:t>
      </w:r>
      <w:r w:rsidR="00F56D16" w:rsidRPr="00510691">
        <w:rPr>
          <w:iCs/>
        </w:rPr>
        <w:t xml:space="preserve">And it gives </w:t>
      </w:r>
      <w:r w:rsidR="006C108C" w:rsidRPr="00510691">
        <w:rPr>
          <w:iCs/>
        </w:rPr>
        <w:t>courts the</w:t>
      </w:r>
      <w:r w:rsidR="00397EFA" w:rsidRPr="00510691">
        <w:rPr>
          <w:iCs/>
        </w:rPr>
        <w:t xml:space="preserve"> </w:t>
      </w:r>
      <w:r w:rsidR="00E86054" w:rsidRPr="00510691">
        <w:rPr>
          <w:iCs/>
        </w:rPr>
        <w:t>flexibility</w:t>
      </w:r>
      <w:r w:rsidR="006C108C" w:rsidRPr="00510691">
        <w:rPr>
          <w:iCs/>
        </w:rPr>
        <w:t xml:space="preserve"> to </w:t>
      </w:r>
      <w:r w:rsidR="00BC69F6" w:rsidRPr="00510691">
        <w:rPr>
          <w:iCs/>
        </w:rPr>
        <w:t>protect</w:t>
      </w:r>
      <w:r w:rsidR="00902410" w:rsidRPr="00510691">
        <w:rPr>
          <w:iCs/>
        </w:rPr>
        <w:t xml:space="preserve"> Fourth Amendment </w:t>
      </w:r>
      <w:r w:rsidR="00BC69F6" w:rsidRPr="00510691">
        <w:rPr>
          <w:iCs/>
        </w:rPr>
        <w:t>values</w:t>
      </w:r>
      <w:r w:rsidR="006C108C" w:rsidRPr="00510691">
        <w:rPr>
          <w:iCs/>
        </w:rPr>
        <w:t xml:space="preserve"> </w:t>
      </w:r>
      <w:r w:rsidR="00E422A2" w:rsidRPr="00510691">
        <w:rPr>
          <w:iCs/>
        </w:rPr>
        <w:t>i</w:t>
      </w:r>
      <w:r w:rsidR="009E35C5" w:rsidRPr="00510691">
        <w:rPr>
          <w:iCs/>
        </w:rPr>
        <w:t xml:space="preserve">n a </w:t>
      </w:r>
      <w:r w:rsidR="00EB2B67" w:rsidRPr="00510691">
        <w:rPr>
          <w:iCs/>
        </w:rPr>
        <w:t xml:space="preserve">changing world while also </w:t>
      </w:r>
      <w:r w:rsidR="002A0D7A" w:rsidRPr="00510691">
        <w:rPr>
          <w:iCs/>
        </w:rPr>
        <w:t>structuring and g</w:t>
      </w:r>
      <w:r w:rsidR="00E17FA9" w:rsidRPr="00510691">
        <w:rPr>
          <w:iCs/>
        </w:rPr>
        <w:t>uiding the j</w:t>
      </w:r>
      <w:r w:rsidR="003D753D" w:rsidRPr="00510691">
        <w:rPr>
          <w:iCs/>
        </w:rPr>
        <w:t>udicial ta</w:t>
      </w:r>
      <w:r w:rsidR="00C93B77" w:rsidRPr="00510691">
        <w:rPr>
          <w:iCs/>
        </w:rPr>
        <w:t>sk</w:t>
      </w:r>
      <w:r w:rsidR="003E0D53" w:rsidRPr="00510691">
        <w:rPr>
          <w:iCs/>
        </w:rPr>
        <w:t xml:space="preserve"> more than </w:t>
      </w:r>
      <w:r w:rsidR="00262790" w:rsidRPr="00510691">
        <w:rPr>
          <w:iCs/>
        </w:rPr>
        <w:t>a</w:t>
      </w:r>
      <w:r w:rsidR="004D6C07" w:rsidRPr="00510691">
        <w:rPr>
          <w:iCs/>
        </w:rPr>
        <w:t>n unte</w:t>
      </w:r>
      <w:r w:rsidR="00562D1A" w:rsidRPr="00510691">
        <w:rPr>
          <w:iCs/>
        </w:rPr>
        <w:t>thered inquiry in</w:t>
      </w:r>
      <w:r w:rsidR="00A0577F" w:rsidRPr="00510691">
        <w:rPr>
          <w:iCs/>
        </w:rPr>
        <w:t>to privacy expec</w:t>
      </w:r>
      <w:r w:rsidR="00DD543A" w:rsidRPr="00510691">
        <w:rPr>
          <w:iCs/>
        </w:rPr>
        <w:t>tations.</w:t>
      </w:r>
      <w:r w:rsidR="00C93B77" w:rsidRPr="00510691">
        <w:rPr>
          <w:iCs/>
        </w:rPr>
        <w:t xml:space="preserve"> </w:t>
      </w:r>
      <w:r w:rsidR="001E5363" w:rsidRPr="00510691">
        <w:rPr>
          <w:iCs/>
        </w:rPr>
        <w:t>Private law</w:t>
      </w:r>
      <w:r w:rsidR="00F904C5" w:rsidRPr="00510691">
        <w:rPr>
          <w:iCs/>
        </w:rPr>
        <w:t xml:space="preserve">, then, </w:t>
      </w:r>
      <w:r w:rsidR="00F562CB" w:rsidRPr="00510691">
        <w:rPr>
          <w:iCs/>
        </w:rPr>
        <w:t>holds</w:t>
      </w:r>
      <w:r w:rsidR="00C643D6" w:rsidRPr="00510691">
        <w:rPr>
          <w:iCs/>
        </w:rPr>
        <w:t xml:space="preserve"> t</w:t>
      </w:r>
      <w:r w:rsidR="00AB35FD" w:rsidRPr="00510691">
        <w:rPr>
          <w:iCs/>
        </w:rPr>
        <w:t xml:space="preserve">he key to understanding </w:t>
      </w:r>
      <w:r w:rsidR="003D5EB7" w:rsidRPr="00510691">
        <w:rPr>
          <w:iCs/>
        </w:rPr>
        <w:t>the</w:t>
      </w:r>
      <w:r w:rsidR="00157458" w:rsidRPr="00510691">
        <w:rPr>
          <w:iCs/>
        </w:rPr>
        <w:t xml:space="preserve"> </w:t>
      </w:r>
      <w:r w:rsidR="003D5EB7" w:rsidRPr="00510691">
        <w:rPr>
          <w:iCs/>
        </w:rPr>
        <w:t xml:space="preserve">Fourth </w:t>
      </w:r>
      <w:r w:rsidR="00410A51" w:rsidRPr="00510691">
        <w:rPr>
          <w:iCs/>
        </w:rPr>
        <w:t>Amendment</w:t>
      </w:r>
      <w:r w:rsidR="004246BA" w:rsidRPr="00510691">
        <w:rPr>
          <w:iCs/>
        </w:rPr>
        <w:t xml:space="preserve">’s </w:t>
      </w:r>
      <w:r w:rsidR="00157458" w:rsidRPr="00510691">
        <w:rPr>
          <w:iCs/>
        </w:rPr>
        <w:t>l</w:t>
      </w:r>
      <w:r w:rsidR="00B32324" w:rsidRPr="00510691">
        <w:rPr>
          <w:iCs/>
        </w:rPr>
        <w:t>imits on public power.</w:t>
      </w:r>
    </w:p>
    <w:p w14:paraId="6819F34C" w14:textId="46978E1D" w:rsidR="003131F4" w:rsidRPr="00B332BD" w:rsidRDefault="003131F4" w:rsidP="003131F4">
      <w:pPr>
        <w:rPr>
          <w:i/>
          <w:iCs/>
          <w:sz w:val="23"/>
          <w:szCs w:val="23"/>
        </w:rPr>
      </w:pPr>
    </w:p>
    <w:p w14:paraId="26256DB6" w14:textId="2FAE76FF" w:rsidR="003131F4" w:rsidRDefault="00D61BAF" w:rsidP="00D61BAF">
      <w:pPr>
        <w:rPr>
          <w:sz w:val="23"/>
          <w:szCs w:val="23"/>
        </w:rPr>
      </w:pPr>
      <w:r>
        <w:rPr>
          <w:sz w:val="23"/>
          <w:szCs w:val="23"/>
        </w:rPr>
        <w:br w:type="page"/>
      </w:r>
    </w:p>
    <w:p w14:paraId="5D709F0D" w14:textId="6EAFA646" w:rsidR="009B7991" w:rsidRPr="003D52B1" w:rsidRDefault="009B7991" w:rsidP="003D52B1">
      <w:pPr>
        <w:pStyle w:val="TOCHeading"/>
      </w:pPr>
      <w:r w:rsidRPr="003D52B1">
        <w:lastRenderedPageBreak/>
        <w:t>CONTENTS</w:t>
      </w:r>
    </w:p>
    <w:p w14:paraId="00D91F3F" w14:textId="77777777" w:rsidR="009B7991" w:rsidRDefault="009B7991" w:rsidP="00D61BAF">
      <w:pPr>
        <w:rPr>
          <w:sz w:val="23"/>
          <w:szCs w:val="23"/>
        </w:rPr>
      </w:pPr>
    </w:p>
    <w:bookmarkEnd w:id="0"/>
    <w:p w14:paraId="67120174" w14:textId="39AC132C" w:rsidR="007C26F2" w:rsidRDefault="009B7991">
      <w:pPr>
        <w:pStyle w:val="TOC1"/>
        <w:rPr>
          <w:rFonts w:asciiTheme="minorHAnsi" w:eastAsiaTheme="minorEastAsia" w:hAnsiTheme="minorHAnsi" w:cstheme="minorBidi"/>
        </w:rPr>
      </w:pPr>
      <w:r>
        <w:rPr>
          <w:sz w:val="22"/>
          <w:szCs w:val="22"/>
        </w:rPr>
        <w:fldChar w:fldCharType="begin"/>
      </w:r>
      <w:r>
        <w:rPr>
          <w:sz w:val="22"/>
          <w:szCs w:val="22"/>
        </w:rPr>
        <w:instrText xml:space="preserve"> TOC \o "1-4" \h \z \u </w:instrText>
      </w:r>
      <w:r>
        <w:rPr>
          <w:sz w:val="22"/>
          <w:szCs w:val="22"/>
        </w:rPr>
        <w:fldChar w:fldCharType="separate"/>
      </w:r>
      <w:hyperlink w:anchor="_Toc111723664" w:history="1">
        <w:r w:rsidR="007C26F2" w:rsidRPr="00FB7D51">
          <w:rPr>
            <w:rStyle w:val="Hyperlink"/>
            <w:rFonts w:eastAsia="MS Mincho"/>
            <w:noProof/>
          </w:rPr>
          <w:t>INTRODUCTION</w:t>
        </w:r>
        <w:r w:rsidR="007C26F2">
          <w:rPr>
            <w:noProof/>
            <w:webHidden/>
          </w:rPr>
          <w:tab/>
        </w:r>
        <w:r w:rsidR="007C26F2">
          <w:rPr>
            <w:noProof/>
            <w:webHidden/>
          </w:rPr>
          <w:fldChar w:fldCharType="begin"/>
        </w:r>
        <w:r w:rsidR="007C26F2">
          <w:rPr>
            <w:noProof/>
            <w:webHidden/>
          </w:rPr>
          <w:instrText xml:space="preserve"> PAGEREF _Toc111723664 \h </w:instrText>
        </w:r>
        <w:r w:rsidR="007C26F2">
          <w:rPr>
            <w:noProof/>
            <w:webHidden/>
          </w:rPr>
        </w:r>
        <w:r w:rsidR="007C26F2">
          <w:rPr>
            <w:noProof/>
            <w:webHidden/>
          </w:rPr>
          <w:fldChar w:fldCharType="separate"/>
        </w:r>
        <w:r w:rsidR="00012DCE">
          <w:rPr>
            <w:noProof/>
            <w:webHidden/>
          </w:rPr>
          <w:t>1</w:t>
        </w:r>
        <w:r w:rsidR="007C26F2">
          <w:rPr>
            <w:noProof/>
            <w:webHidden/>
          </w:rPr>
          <w:fldChar w:fldCharType="end"/>
        </w:r>
      </w:hyperlink>
    </w:p>
    <w:p w14:paraId="38CEAEB6" w14:textId="4F55F42A" w:rsidR="007C26F2" w:rsidRDefault="00000000">
      <w:pPr>
        <w:pStyle w:val="TOC1"/>
        <w:rPr>
          <w:rFonts w:asciiTheme="minorHAnsi" w:eastAsiaTheme="minorEastAsia" w:hAnsiTheme="minorHAnsi" w:cstheme="minorBidi"/>
        </w:rPr>
      </w:pPr>
      <w:hyperlink w:anchor="_Toc111723665" w:history="1">
        <w:r w:rsidR="007C26F2" w:rsidRPr="00FB7D51">
          <w:rPr>
            <w:rStyle w:val="Hyperlink"/>
            <w:rFonts w:eastAsia="MS Mincho"/>
            <w:noProof/>
          </w:rPr>
          <w:t>I.</w:t>
        </w:r>
        <w:r w:rsidR="007C26F2">
          <w:rPr>
            <w:rFonts w:asciiTheme="minorHAnsi" w:eastAsiaTheme="minorEastAsia" w:hAnsiTheme="minorHAnsi" w:cstheme="minorBidi"/>
          </w:rPr>
          <w:tab/>
        </w:r>
        <w:r w:rsidR="007C26F2" w:rsidRPr="00FB7D51">
          <w:rPr>
            <w:rStyle w:val="Hyperlink"/>
            <w:rFonts w:eastAsia="MS Mincho"/>
            <w:noProof/>
          </w:rPr>
          <w:t>The ascent of positive law</w:t>
        </w:r>
        <w:r w:rsidR="007C26F2">
          <w:rPr>
            <w:noProof/>
            <w:webHidden/>
          </w:rPr>
          <w:tab/>
        </w:r>
        <w:r w:rsidR="007C26F2">
          <w:rPr>
            <w:noProof/>
            <w:webHidden/>
          </w:rPr>
          <w:fldChar w:fldCharType="begin"/>
        </w:r>
        <w:r w:rsidR="007C26F2">
          <w:rPr>
            <w:noProof/>
            <w:webHidden/>
          </w:rPr>
          <w:instrText xml:space="preserve"> PAGEREF _Toc111723665 \h </w:instrText>
        </w:r>
        <w:r w:rsidR="007C26F2">
          <w:rPr>
            <w:noProof/>
            <w:webHidden/>
          </w:rPr>
        </w:r>
        <w:r w:rsidR="007C26F2">
          <w:rPr>
            <w:noProof/>
            <w:webHidden/>
          </w:rPr>
          <w:fldChar w:fldCharType="separate"/>
        </w:r>
        <w:r w:rsidR="00012DCE">
          <w:rPr>
            <w:noProof/>
            <w:webHidden/>
          </w:rPr>
          <w:t>7</w:t>
        </w:r>
        <w:r w:rsidR="007C26F2">
          <w:rPr>
            <w:noProof/>
            <w:webHidden/>
          </w:rPr>
          <w:fldChar w:fldCharType="end"/>
        </w:r>
      </w:hyperlink>
    </w:p>
    <w:p w14:paraId="6C114159" w14:textId="16769AFC" w:rsidR="007C26F2" w:rsidRDefault="00000000">
      <w:pPr>
        <w:pStyle w:val="TOC2"/>
        <w:rPr>
          <w:rFonts w:asciiTheme="minorHAnsi" w:eastAsiaTheme="minorEastAsia" w:hAnsiTheme="minorHAnsi" w:cstheme="minorBidi"/>
          <w:szCs w:val="24"/>
        </w:rPr>
      </w:pPr>
      <w:hyperlink w:anchor="_Toc111723666" w:history="1">
        <w:r w:rsidR="007C26F2" w:rsidRPr="00FB7D51">
          <w:rPr>
            <w:rStyle w:val="Hyperlink"/>
            <w:rFonts w:eastAsia="MS Mincho"/>
            <w:i/>
          </w:rPr>
          <w:t>A.</w:t>
        </w:r>
        <w:r w:rsidR="007C26F2">
          <w:rPr>
            <w:rFonts w:asciiTheme="minorHAnsi" w:eastAsiaTheme="minorEastAsia" w:hAnsiTheme="minorHAnsi" w:cstheme="minorBidi"/>
            <w:szCs w:val="24"/>
          </w:rPr>
          <w:tab/>
        </w:r>
        <w:r w:rsidR="007C26F2" w:rsidRPr="00FB7D51">
          <w:rPr>
            <w:rStyle w:val="Hyperlink"/>
            <w:rFonts w:eastAsia="MS Mincho"/>
            <w:i/>
            <w:iCs/>
          </w:rPr>
          <w:t xml:space="preserve">The </w:t>
        </w:r>
        <w:r w:rsidR="007C26F2" w:rsidRPr="00FB7D51">
          <w:rPr>
            <w:rStyle w:val="Hyperlink"/>
            <w:rFonts w:eastAsia="MS Mincho"/>
          </w:rPr>
          <w:t>Katz</w:t>
        </w:r>
        <w:r w:rsidR="007C26F2" w:rsidRPr="00FB7D51">
          <w:rPr>
            <w:rStyle w:val="Hyperlink"/>
            <w:rFonts w:eastAsia="MS Mincho"/>
            <w:i/>
            <w:iCs/>
          </w:rPr>
          <w:t xml:space="preserve"> Era</w:t>
        </w:r>
        <w:r w:rsidR="007C26F2">
          <w:rPr>
            <w:webHidden/>
          </w:rPr>
          <w:tab/>
        </w:r>
        <w:r w:rsidR="007C26F2">
          <w:rPr>
            <w:webHidden/>
          </w:rPr>
          <w:fldChar w:fldCharType="begin"/>
        </w:r>
        <w:r w:rsidR="007C26F2">
          <w:rPr>
            <w:webHidden/>
          </w:rPr>
          <w:instrText xml:space="preserve"> PAGEREF _Toc111723666 \h </w:instrText>
        </w:r>
        <w:r w:rsidR="007C26F2">
          <w:rPr>
            <w:webHidden/>
          </w:rPr>
        </w:r>
        <w:r w:rsidR="007C26F2">
          <w:rPr>
            <w:webHidden/>
          </w:rPr>
          <w:fldChar w:fldCharType="separate"/>
        </w:r>
        <w:r w:rsidR="00012DCE">
          <w:rPr>
            <w:webHidden/>
          </w:rPr>
          <w:t>7</w:t>
        </w:r>
        <w:r w:rsidR="007C26F2">
          <w:rPr>
            <w:webHidden/>
          </w:rPr>
          <w:fldChar w:fldCharType="end"/>
        </w:r>
      </w:hyperlink>
    </w:p>
    <w:p w14:paraId="6D04ED3D" w14:textId="17308B10" w:rsidR="007C26F2" w:rsidRDefault="00000000">
      <w:pPr>
        <w:pStyle w:val="TOC2"/>
        <w:rPr>
          <w:rFonts w:asciiTheme="minorHAnsi" w:eastAsiaTheme="minorEastAsia" w:hAnsiTheme="minorHAnsi" w:cstheme="minorBidi"/>
          <w:szCs w:val="24"/>
        </w:rPr>
      </w:pPr>
      <w:hyperlink w:anchor="_Toc111723667" w:history="1">
        <w:r w:rsidR="007C26F2" w:rsidRPr="00FB7D51">
          <w:rPr>
            <w:rStyle w:val="Hyperlink"/>
            <w:rFonts w:eastAsia="MS Mincho"/>
            <w:i/>
            <w:iCs/>
          </w:rPr>
          <w:t>B.</w:t>
        </w:r>
        <w:r w:rsidR="007C26F2">
          <w:rPr>
            <w:rFonts w:asciiTheme="minorHAnsi" w:eastAsiaTheme="minorEastAsia" w:hAnsiTheme="minorHAnsi" w:cstheme="minorBidi"/>
            <w:szCs w:val="24"/>
          </w:rPr>
          <w:tab/>
        </w:r>
        <w:r w:rsidR="007C26F2" w:rsidRPr="00FB7D51">
          <w:rPr>
            <w:rStyle w:val="Hyperlink"/>
            <w:rFonts w:eastAsia="MS Mincho"/>
            <w:i/>
            <w:iCs/>
          </w:rPr>
          <w:t>The Rise of a Positive-Law Approach</w:t>
        </w:r>
        <w:r w:rsidR="007C26F2">
          <w:rPr>
            <w:webHidden/>
          </w:rPr>
          <w:tab/>
        </w:r>
        <w:r w:rsidR="007C26F2">
          <w:rPr>
            <w:webHidden/>
          </w:rPr>
          <w:fldChar w:fldCharType="begin"/>
        </w:r>
        <w:r w:rsidR="007C26F2">
          <w:rPr>
            <w:webHidden/>
          </w:rPr>
          <w:instrText xml:space="preserve"> PAGEREF _Toc111723667 \h </w:instrText>
        </w:r>
        <w:r w:rsidR="007C26F2">
          <w:rPr>
            <w:webHidden/>
          </w:rPr>
        </w:r>
        <w:r w:rsidR="007C26F2">
          <w:rPr>
            <w:webHidden/>
          </w:rPr>
          <w:fldChar w:fldCharType="separate"/>
        </w:r>
        <w:r w:rsidR="00012DCE">
          <w:rPr>
            <w:webHidden/>
          </w:rPr>
          <w:t>9</w:t>
        </w:r>
        <w:r w:rsidR="007C26F2">
          <w:rPr>
            <w:webHidden/>
          </w:rPr>
          <w:fldChar w:fldCharType="end"/>
        </w:r>
      </w:hyperlink>
    </w:p>
    <w:p w14:paraId="710E2B61" w14:textId="71A696C8" w:rsidR="007C26F2" w:rsidRDefault="00000000">
      <w:pPr>
        <w:pStyle w:val="TOC2"/>
        <w:rPr>
          <w:rFonts w:asciiTheme="minorHAnsi" w:eastAsiaTheme="minorEastAsia" w:hAnsiTheme="minorHAnsi" w:cstheme="minorBidi"/>
          <w:szCs w:val="24"/>
        </w:rPr>
      </w:pPr>
      <w:hyperlink w:anchor="_Toc111723668" w:history="1">
        <w:r w:rsidR="007C26F2" w:rsidRPr="00FB7D51">
          <w:rPr>
            <w:rStyle w:val="Hyperlink"/>
            <w:rFonts w:eastAsia="MS Mincho"/>
            <w:i/>
            <w:iCs/>
          </w:rPr>
          <w:t>C.</w:t>
        </w:r>
        <w:r w:rsidR="007C26F2">
          <w:rPr>
            <w:rFonts w:asciiTheme="minorHAnsi" w:eastAsiaTheme="minorEastAsia" w:hAnsiTheme="minorHAnsi" w:cstheme="minorBidi"/>
            <w:szCs w:val="24"/>
          </w:rPr>
          <w:tab/>
        </w:r>
        <w:r w:rsidR="007C26F2" w:rsidRPr="00FB7D51">
          <w:rPr>
            <w:rStyle w:val="Hyperlink"/>
            <w:rFonts w:eastAsia="MS Mincho"/>
            <w:i/>
            <w:iCs/>
          </w:rPr>
          <w:t>Unanswered Questions</w:t>
        </w:r>
        <w:r w:rsidR="007C26F2">
          <w:rPr>
            <w:webHidden/>
          </w:rPr>
          <w:tab/>
        </w:r>
        <w:r w:rsidR="007C26F2">
          <w:rPr>
            <w:webHidden/>
          </w:rPr>
          <w:fldChar w:fldCharType="begin"/>
        </w:r>
        <w:r w:rsidR="007C26F2">
          <w:rPr>
            <w:webHidden/>
          </w:rPr>
          <w:instrText xml:space="preserve"> PAGEREF _Toc111723668 \h </w:instrText>
        </w:r>
        <w:r w:rsidR="007C26F2">
          <w:rPr>
            <w:webHidden/>
          </w:rPr>
        </w:r>
        <w:r w:rsidR="007C26F2">
          <w:rPr>
            <w:webHidden/>
          </w:rPr>
          <w:fldChar w:fldCharType="separate"/>
        </w:r>
        <w:r w:rsidR="00012DCE">
          <w:rPr>
            <w:webHidden/>
          </w:rPr>
          <w:t>13</w:t>
        </w:r>
        <w:r w:rsidR="007C26F2">
          <w:rPr>
            <w:webHidden/>
          </w:rPr>
          <w:fldChar w:fldCharType="end"/>
        </w:r>
      </w:hyperlink>
    </w:p>
    <w:p w14:paraId="47A30992" w14:textId="79103689" w:rsidR="007C26F2" w:rsidRDefault="00000000">
      <w:pPr>
        <w:pStyle w:val="TOC1"/>
        <w:rPr>
          <w:rFonts w:asciiTheme="minorHAnsi" w:eastAsiaTheme="minorEastAsia" w:hAnsiTheme="minorHAnsi" w:cstheme="minorBidi"/>
        </w:rPr>
      </w:pPr>
      <w:hyperlink w:anchor="_Toc111723669" w:history="1">
        <w:r w:rsidR="007C26F2" w:rsidRPr="00FB7D51">
          <w:rPr>
            <w:rStyle w:val="Hyperlink"/>
            <w:rFonts w:eastAsia="MS Mincho"/>
            <w:noProof/>
          </w:rPr>
          <w:t>II.</w:t>
        </w:r>
        <w:r w:rsidR="007C26F2">
          <w:rPr>
            <w:rFonts w:asciiTheme="minorHAnsi" w:eastAsiaTheme="minorEastAsia" w:hAnsiTheme="minorHAnsi" w:cstheme="minorBidi"/>
          </w:rPr>
          <w:tab/>
        </w:r>
        <w:r w:rsidR="007C26F2" w:rsidRPr="00FB7D51">
          <w:rPr>
            <w:rStyle w:val="Hyperlink"/>
            <w:rFonts w:eastAsia="MS Mincho"/>
            <w:noProof/>
          </w:rPr>
          <w:t>The General-law approach</w:t>
        </w:r>
        <w:r w:rsidR="007C26F2">
          <w:rPr>
            <w:noProof/>
            <w:webHidden/>
          </w:rPr>
          <w:tab/>
        </w:r>
        <w:r w:rsidR="007C26F2">
          <w:rPr>
            <w:noProof/>
            <w:webHidden/>
          </w:rPr>
          <w:fldChar w:fldCharType="begin"/>
        </w:r>
        <w:r w:rsidR="007C26F2">
          <w:rPr>
            <w:noProof/>
            <w:webHidden/>
          </w:rPr>
          <w:instrText xml:space="preserve"> PAGEREF _Toc111723669 \h </w:instrText>
        </w:r>
        <w:r w:rsidR="007C26F2">
          <w:rPr>
            <w:noProof/>
            <w:webHidden/>
          </w:rPr>
        </w:r>
        <w:r w:rsidR="007C26F2">
          <w:rPr>
            <w:noProof/>
            <w:webHidden/>
          </w:rPr>
          <w:fldChar w:fldCharType="separate"/>
        </w:r>
        <w:r w:rsidR="00012DCE">
          <w:rPr>
            <w:noProof/>
            <w:webHidden/>
          </w:rPr>
          <w:t>13</w:t>
        </w:r>
        <w:r w:rsidR="007C26F2">
          <w:rPr>
            <w:noProof/>
            <w:webHidden/>
          </w:rPr>
          <w:fldChar w:fldCharType="end"/>
        </w:r>
      </w:hyperlink>
    </w:p>
    <w:p w14:paraId="54B2FE14" w14:textId="3FE8B471" w:rsidR="007C26F2" w:rsidRDefault="00000000">
      <w:pPr>
        <w:pStyle w:val="TOC2"/>
        <w:rPr>
          <w:rFonts w:asciiTheme="minorHAnsi" w:eastAsiaTheme="minorEastAsia" w:hAnsiTheme="minorHAnsi" w:cstheme="minorBidi"/>
          <w:szCs w:val="24"/>
        </w:rPr>
      </w:pPr>
      <w:hyperlink w:anchor="_Toc111723670" w:history="1">
        <w:r w:rsidR="007C26F2" w:rsidRPr="00FB7D51">
          <w:rPr>
            <w:rStyle w:val="Hyperlink"/>
            <w:rFonts w:eastAsia="MS Mincho"/>
            <w:i/>
            <w:iCs/>
          </w:rPr>
          <w:t>A.</w:t>
        </w:r>
        <w:r w:rsidR="007C26F2">
          <w:rPr>
            <w:rFonts w:asciiTheme="minorHAnsi" w:eastAsiaTheme="minorEastAsia" w:hAnsiTheme="minorHAnsi" w:cstheme="minorBidi"/>
            <w:szCs w:val="24"/>
          </w:rPr>
          <w:tab/>
        </w:r>
        <w:r w:rsidR="007C26F2" w:rsidRPr="00FB7D51">
          <w:rPr>
            <w:rStyle w:val="Hyperlink"/>
            <w:rFonts w:eastAsia="MS Mincho"/>
            <w:i/>
            <w:iCs/>
          </w:rPr>
          <w:t>Understanding General Law</w:t>
        </w:r>
        <w:r w:rsidR="007C26F2">
          <w:rPr>
            <w:webHidden/>
          </w:rPr>
          <w:tab/>
        </w:r>
        <w:r w:rsidR="007C26F2">
          <w:rPr>
            <w:webHidden/>
          </w:rPr>
          <w:fldChar w:fldCharType="begin"/>
        </w:r>
        <w:r w:rsidR="007C26F2">
          <w:rPr>
            <w:webHidden/>
          </w:rPr>
          <w:instrText xml:space="preserve"> PAGEREF _Toc111723670 \h </w:instrText>
        </w:r>
        <w:r w:rsidR="007C26F2">
          <w:rPr>
            <w:webHidden/>
          </w:rPr>
        </w:r>
        <w:r w:rsidR="007C26F2">
          <w:rPr>
            <w:webHidden/>
          </w:rPr>
          <w:fldChar w:fldCharType="separate"/>
        </w:r>
        <w:r w:rsidR="00012DCE">
          <w:rPr>
            <w:webHidden/>
          </w:rPr>
          <w:t>14</w:t>
        </w:r>
        <w:r w:rsidR="007C26F2">
          <w:rPr>
            <w:webHidden/>
          </w:rPr>
          <w:fldChar w:fldCharType="end"/>
        </w:r>
      </w:hyperlink>
    </w:p>
    <w:p w14:paraId="71CA2F83" w14:textId="2921634B" w:rsidR="007C26F2" w:rsidRDefault="00000000">
      <w:pPr>
        <w:pStyle w:val="TOC2"/>
        <w:rPr>
          <w:rFonts w:asciiTheme="minorHAnsi" w:eastAsiaTheme="minorEastAsia" w:hAnsiTheme="minorHAnsi" w:cstheme="minorBidi"/>
          <w:szCs w:val="24"/>
        </w:rPr>
      </w:pPr>
      <w:hyperlink w:anchor="_Toc111723671" w:history="1">
        <w:r w:rsidR="007C26F2" w:rsidRPr="00FB7D51">
          <w:rPr>
            <w:rStyle w:val="Hyperlink"/>
            <w:rFonts w:eastAsia="MS Mincho"/>
            <w:i/>
            <w:iCs/>
          </w:rPr>
          <w:t>B.</w:t>
        </w:r>
        <w:r w:rsidR="007C26F2">
          <w:rPr>
            <w:rFonts w:asciiTheme="minorHAnsi" w:eastAsiaTheme="minorEastAsia" w:hAnsiTheme="minorHAnsi" w:cstheme="minorBidi"/>
            <w:szCs w:val="24"/>
          </w:rPr>
          <w:tab/>
        </w:r>
        <w:r w:rsidR="007C26F2" w:rsidRPr="00FB7D51">
          <w:rPr>
            <w:rStyle w:val="Hyperlink"/>
            <w:rFonts w:eastAsia="MS Mincho"/>
            <w:i/>
            <w:iCs/>
          </w:rPr>
          <w:t>The General-Law Approach and How it Works</w:t>
        </w:r>
        <w:r w:rsidR="007C26F2">
          <w:rPr>
            <w:webHidden/>
          </w:rPr>
          <w:tab/>
        </w:r>
        <w:r w:rsidR="007C26F2">
          <w:rPr>
            <w:webHidden/>
          </w:rPr>
          <w:fldChar w:fldCharType="begin"/>
        </w:r>
        <w:r w:rsidR="007C26F2">
          <w:rPr>
            <w:webHidden/>
          </w:rPr>
          <w:instrText xml:space="preserve"> PAGEREF _Toc111723671 \h </w:instrText>
        </w:r>
        <w:r w:rsidR="007C26F2">
          <w:rPr>
            <w:webHidden/>
          </w:rPr>
        </w:r>
        <w:r w:rsidR="007C26F2">
          <w:rPr>
            <w:webHidden/>
          </w:rPr>
          <w:fldChar w:fldCharType="separate"/>
        </w:r>
        <w:r w:rsidR="00012DCE">
          <w:rPr>
            <w:webHidden/>
          </w:rPr>
          <w:t>18</w:t>
        </w:r>
        <w:r w:rsidR="007C26F2">
          <w:rPr>
            <w:webHidden/>
          </w:rPr>
          <w:fldChar w:fldCharType="end"/>
        </w:r>
      </w:hyperlink>
    </w:p>
    <w:p w14:paraId="748DA428" w14:textId="50EA9D4E" w:rsidR="007C26F2" w:rsidRDefault="00000000">
      <w:pPr>
        <w:pStyle w:val="TOC2"/>
        <w:rPr>
          <w:rFonts w:asciiTheme="minorHAnsi" w:eastAsiaTheme="minorEastAsia" w:hAnsiTheme="minorHAnsi" w:cstheme="minorBidi"/>
          <w:szCs w:val="24"/>
        </w:rPr>
      </w:pPr>
      <w:hyperlink w:anchor="_Toc111723672" w:history="1">
        <w:r w:rsidR="007C26F2" w:rsidRPr="00FB7D51">
          <w:rPr>
            <w:rStyle w:val="Hyperlink"/>
            <w:rFonts w:eastAsia="MS Mincho"/>
            <w:i/>
            <w:iCs/>
          </w:rPr>
          <w:t>C.</w:t>
        </w:r>
        <w:r w:rsidR="007C26F2">
          <w:rPr>
            <w:rFonts w:asciiTheme="minorHAnsi" w:eastAsiaTheme="minorEastAsia" w:hAnsiTheme="minorHAnsi" w:cstheme="minorBidi"/>
            <w:szCs w:val="24"/>
          </w:rPr>
          <w:tab/>
        </w:r>
        <w:r w:rsidR="007C26F2" w:rsidRPr="00FB7D51">
          <w:rPr>
            <w:rStyle w:val="Hyperlink"/>
            <w:rFonts w:eastAsia="MS Mincho"/>
            <w:i/>
            <w:iCs/>
          </w:rPr>
          <w:t>Justifying the General-Law Approach</w:t>
        </w:r>
        <w:r w:rsidR="007C26F2">
          <w:rPr>
            <w:webHidden/>
          </w:rPr>
          <w:tab/>
        </w:r>
        <w:r w:rsidR="007C26F2">
          <w:rPr>
            <w:webHidden/>
          </w:rPr>
          <w:fldChar w:fldCharType="begin"/>
        </w:r>
        <w:r w:rsidR="007C26F2">
          <w:rPr>
            <w:webHidden/>
          </w:rPr>
          <w:instrText xml:space="preserve"> PAGEREF _Toc111723672 \h </w:instrText>
        </w:r>
        <w:r w:rsidR="007C26F2">
          <w:rPr>
            <w:webHidden/>
          </w:rPr>
        </w:r>
        <w:r w:rsidR="007C26F2">
          <w:rPr>
            <w:webHidden/>
          </w:rPr>
          <w:fldChar w:fldCharType="separate"/>
        </w:r>
        <w:r w:rsidR="00012DCE">
          <w:rPr>
            <w:webHidden/>
          </w:rPr>
          <w:t>22</w:t>
        </w:r>
        <w:r w:rsidR="007C26F2">
          <w:rPr>
            <w:webHidden/>
          </w:rPr>
          <w:fldChar w:fldCharType="end"/>
        </w:r>
      </w:hyperlink>
    </w:p>
    <w:p w14:paraId="78DF7E33" w14:textId="7BEADC33" w:rsidR="007C26F2" w:rsidRDefault="00000000">
      <w:pPr>
        <w:pStyle w:val="TOC3"/>
        <w:rPr>
          <w:rFonts w:asciiTheme="minorHAnsi" w:eastAsiaTheme="minorEastAsia" w:hAnsiTheme="minorHAnsi" w:cstheme="minorBidi"/>
          <w:noProof/>
          <w:szCs w:val="24"/>
        </w:rPr>
      </w:pPr>
      <w:hyperlink w:anchor="_Toc111723673" w:history="1">
        <w:r w:rsidR="007C26F2" w:rsidRPr="00FB7D51">
          <w:rPr>
            <w:rStyle w:val="Hyperlink"/>
            <w:rFonts w:eastAsia="MS Mincho"/>
            <w:noProof/>
          </w:rPr>
          <w:t>1.</w:t>
        </w:r>
        <w:r w:rsidR="007C26F2">
          <w:rPr>
            <w:rFonts w:asciiTheme="minorHAnsi" w:eastAsiaTheme="minorEastAsia" w:hAnsiTheme="minorHAnsi" w:cstheme="minorBidi"/>
            <w:noProof/>
            <w:szCs w:val="24"/>
          </w:rPr>
          <w:tab/>
        </w:r>
        <w:r w:rsidR="007C26F2" w:rsidRPr="00FB7D51">
          <w:rPr>
            <w:rStyle w:val="Hyperlink"/>
            <w:rFonts w:eastAsia="MS Mincho"/>
            <w:noProof/>
          </w:rPr>
          <w:t>Text, Original Meaning, and History</w:t>
        </w:r>
        <w:r w:rsidR="007C26F2">
          <w:rPr>
            <w:noProof/>
            <w:webHidden/>
          </w:rPr>
          <w:tab/>
        </w:r>
        <w:r w:rsidR="007C26F2">
          <w:rPr>
            <w:noProof/>
            <w:webHidden/>
          </w:rPr>
          <w:fldChar w:fldCharType="begin"/>
        </w:r>
        <w:r w:rsidR="007C26F2">
          <w:rPr>
            <w:noProof/>
            <w:webHidden/>
          </w:rPr>
          <w:instrText xml:space="preserve"> PAGEREF _Toc111723673 \h </w:instrText>
        </w:r>
        <w:r w:rsidR="007C26F2">
          <w:rPr>
            <w:noProof/>
            <w:webHidden/>
          </w:rPr>
        </w:r>
        <w:r w:rsidR="007C26F2">
          <w:rPr>
            <w:noProof/>
            <w:webHidden/>
          </w:rPr>
          <w:fldChar w:fldCharType="separate"/>
        </w:r>
        <w:r w:rsidR="00012DCE">
          <w:rPr>
            <w:noProof/>
            <w:webHidden/>
          </w:rPr>
          <w:t>22</w:t>
        </w:r>
        <w:r w:rsidR="007C26F2">
          <w:rPr>
            <w:noProof/>
            <w:webHidden/>
          </w:rPr>
          <w:fldChar w:fldCharType="end"/>
        </w:r>
      </w:hyperlink>
    </w:p>
    <w:p w14:paraId="30F96B7B" w14:textId="55B948EB" w:rsidR="007C26F2" w:rsidRDefault="00000000">
      <w:pPr>
        <w:pStyle w:val="TOC3"/>
        <w:rPr>
          <w:rFonts w:asciiTheme="minorHAnsi" w:eastAsiaTheme="minorEastAsia" w:hAnsiTheme="minorHAnsi" w:cstheme="minorBidi"/>
          <w:noProof/>
          <w:szCs w:val="24"/>
        </w:rPr>
      </w:pPr>
      <w:hyperlink w:anchor="_Toc111723674" w:history="1">
        <w:r w:rsidR="007C26F2" w:rsidRPr="00FB7D51">
          <w:rPr>
            <w:rStyle w:val="Hyperlink"/>
            <w:rFonts w:eastAsia="MS Mincho"/>
            <w:noProof/>
          </w:rPr>
          <w:t>2.</w:t>
        </w:r>
        <w:r w:rsidR="007C26F2">
          <w:rPr>
            <w:rFonts w:asciiTheme="minorHAnsi" w:eastAsiaTheme="minorEastAsia" w:hAnsiTheme="minorHAnsi" w:cstheme="minorBidi"/>
            <w:noProof/>
            <w:szCs w:val="24"/>
          </w:rPr>
          <w:tab/>
        </w:r>
        <w:r w:rsidR="007C26F2" w:rsidRPr="00FB7D51">
          <w:rPr>
            <w:rStyle w:val="Hyperlink"/>
            <w:rFonts w:eastAsia="MS Mincho"/>
            <w:noProof/>
          </w:rPr>
          <w:t>Precedent</w:t>
        </w:r>
        <w:r w:rsidR="007C26F2">
          <w:rPr>
            <w:noProof/>
            <w:webHidden/>
          </w:rPr>
          <w:tab/>
        </w:r>
        <w:r w:rsidR="007C26F2">
          <w:rPr>
            <w:noProof/>
            <w:webHidden/>
          </w:rPr>
          <w:fldChar w:fldCharType="begin"/>
        </w:r>
        <w:r w:rsidR="007C26F2">
          <w:rPr>
            <w:noProof/>
            <w:webHidden/>
          </w:rPr>
          <w:instrText xml:space="preserve"> PAGEREF _Toc111723674 \h </w:instrText>
        </w:r>
        <w:r w:rsidR="007C26F2">
          <w:rPr>
            <w:noProof/>
            <w:webHidden/>
          </w:rPr>
        </w:r>
        <w:r w:rsidR="007C26F2">
          <w:rPr>
            <w:noProof/>
            <w:webHidden/>
          </w:rPr>
          <w:fldChar w:fldCharType="separate"/>
        </w:r>
        <w:r w:rsidR="00012DCE">
          <w:rPr>
            <w:noProof/>
            <w:webHidden/>
          </w:rPr>
          <w:t>30</w:t>
        </w:r>
        <w:r w:rsidR="007C26F2">
          <w:rPr>
            <w:noProof/>
            <w:webHidden/>
          </w:rPr>
          <w:fldChar w:fldCharType="end"/>
        </w:r>
      </w:hyperlink>
    </w:p>
    <w:p w14:paraId="6B9D1863" w14:textId="708A0914" w:rsidR="007C26F2" w:rsidRDefault="00000000">
      <w:pPr>
        <w:pStyle w:val="TOC3"/>
        <w:rPr>
          <w:rFonts w:asciiTheme="minorHAnsi" w:eastAsiaTheme="minorEastAsia" w:hAnsiTheme="minorHAnsi" w:cstheme="minorBidi"/>
          <w:noProof/>
          <w:szCs w:val="24"/>
        </w:rPr>
      </w:pPr>
      <w:hyperlink w:anchor="_Toc111723675" w:history="1">
        <w:r w:rsidR="007C26F2" w:rsidRPr="00FB7D51">
          <w:rPr>
            <w:rStyle w:val="Hyperlink"/>
            <w:rFonts w:eastAsia="MS Mincho"/>
            <w:noProof/>
          </w:rPr>
          <w:t>3.</w:t>
        </w:r>
        <w:r w:rsidR="007C26F2">
          <w:rPr>
            <w:rFonts w:asciiTheme="minorHAnsi" w:eastAsiaTheme="minorEastAsia" w:hAnsiTheme="minorHAnsi" w:cstheme="minorBidi"/>
            <w:noProof/>
            <w:szCs w:val="24"/>
          </w:rPr>
          <w:tab/>
        </w:r>
        <w:r w:rsidR="007C26F2" w:rsidRPr="00FB7D51">
          <w:rPr>
            <w:rStyle w:val="Hyperlink"/>
            <w:rFonts w:eastAsia="MS Mincho"/>
            <w:noProof/>
          </w:rPr>
          <w:t>The Normative Case</w:t>
        </w:r>
        <w:r w:rsidR="007C26F2">
          <w:rPr>
            <w:noProof/>
            <w:webHidden/>
          </w:rPr>
          <w:tab/>
        </w:r>
        <w:r w:rsidR="007C26F2">
          <w:rPr>
            <w:noProof/>
            <w:webHidden/>
          </w:rPr>
          <w:fldChar w:fldCharType="begin"/>
        </w:r>
        <w:r w:rsidR="007C26F2">
          <w:rPr>
            <w:noProof/>
            <w:webHidden/>
          </w:rPr>
          <w:instrText xml:space="preserve"> PAGEREF _Toc111723675 \h </w:instrText>
        </w:r>
        <w:r w:rsidR="007C26F2">
          <w:rPr>
            <w:noProof/>
            <w:webHidden/>
          </w:rPr>
        </w:r>
        <w:r w:rsidR="007C26F2">
          <w:rPr>
            <w:noProof/>
            <w:webHidden/>
          </w:rPr>
          <w:fldChar w:fldCharType="separate"/>
        </w:r>
        <w:r w:rsidR="00012DCE">
          <w:rPr>
            <w:noProof/>
            <w:webHidden/>
          </w:rPr>
          <w:t>34</w:t>
        </w:r>
        <w:r w:rsidR="007C26F2">
          <w:rPr>
            <w:noProof/>
            <w:webHidden/>
          </w:rPr>
          <w:fldChar w:fldCharType="end"/>
        </w:r>
      </w:hyperlink>
    </w:p>
    <w:p w14:paraId="04BD6B7B" w14:textId="4830EAFC" w:rsidR="007C26F2" w:rsidRDefault="00000000">
      <w:pPr>
        <w:pStyle w:val="TOC4"/>
        <w:tabs>
          <w:tab w:val="left" w:pos="1939"/>
        </w:tabs>
        <w:rPr>
          <w:rFonts w:asciiTheme="minorHAnsi" w:eastAsiaTheme="minorEastAsia" w:hAnsiTheme="minorHAnsi" w:cstheme="minorBidi"/>
          <w:noProof/>
          <w:szCs w:val="24"/>
        </w:rPr>
      </w:pPr>
      <w:hyperlink w:anchor="_Toc111723676" w:history="1">
        <w:r w:rsidR="007C26F2" w:rsidRPr="00FB7D51">
          <w:rPr>
            <w:rStyle w:val="Hyperlink"/>
            <w:rFonts w:eastAsia="MS Mincho"/>
            <w:noProof/>
          </w:rPr>
          <w:t>(a)</w:t>
        </w:r>
        <w:r w:rsidR="007C26F2">
          <w:rPr>
            <w:rFonts w:asciiTheme="minorHAnsi" w:eastAsiaTheme="minorEastAsia" w:hAnsiTheme="minorHAnsi" w:cstheme="minorBidi"/>
            <w:noProof/>
            <w:szCs w:val="24"/>
          </w:rPr>
          <w:tab/>
        </w:r>
        <w:r w:rsidR="007C26F2" w:rsidRPr="00FB7D51">
          <w:rPr>
            <w:rStyle w:val="Hyperlink"/>
            <w:rFonts w:eastAsia="MS Mincho"/>
            <w:noProof/>
          </w:rPr>
          <w:t>Fourth Amendment Values</w:t>
        </w:r>
        <w:r w:rsidR="007C26F2">
          <w:rPr>
            <w:noProof/>
            <w:webHidden/>
          </w:rPr>
          <w:tab/>
        </w:r>
        <w:r w:rsidR="007C26F2">
          <w:rPr>
            <w:noProof/>
            <w:webHidden/>
          </w:rPr>
          <w:fldChar w:fldCharType="begin"/>
        </w:r>
        <w:r w:rsidR="007C26F2">
          <w:rPr>
            <w:noProof/>
            <w:webHidden/>
          </w:rPr>
          <w:instrText xml:space="preserve"> PAGEREF _Toc111723676 \h </w:instrText>
        </w:r>
        <w:r w:rsidR="007C26F2">
          <w:rPr>
            <w:noProof/>
            <w:webHidden/>
          </w:rPr>
        </w:r>
        <w:r w:rsidR="007C26F2">
          <w:rPr>
            <w:noProof/>
            <w:webHidden/>
          </w:rPr>
          <w:fldChar w:fldCharType="separate"/>
        </w:r>
        <w:r w:rsidR="00012DCE">
          <w:rPr>
            <w:noProof/>
            <w:webHidden/>
          </w:rPr>
          <w:t>34</w:t>
        </w:r>
        <w:r w:rsidR="007C26F2">
          <w:rPr>
            <w:noProof/>
            <w:webHidden/>
          </w:rPr>
          <w:fldChar w:fldCharType="end"/>
        </w:r>
      </w:hyperlink>
    </w:p>
    <w:p w14:paraId="71D0F52B" w14:textId="5F97BA6A" w:rsidR="007C26F2" w:rsidRDefault="00000000">
      <w:pPr>
        <w:pStyle w:val="TOC4"/>
        <w:tabs>
          <w:tab w:val="left" w:pos="1960"/>
        </w:tabs>
        <w:rPr>
          <w:rFonts w:asciiTheme="minorHAnsi" w:eastAsiaTheme="minorEastAsia" w:hAnsiTheme="minorHAnsi" w:cstheme="minorBidi"/>
          <w:noProof/>
          <w:szCs w:val="24"/>
        </w:rPr>
      </w:pPr>
      <w:hyperlink w:anchor="_Toc111723677" w:history="1">
        <w:r w:rsidR="007C26F2" w:rsidRPr="00FB7D51">
          <w:rPr>
            <w:rStyle w:val="Hyperlink"/>
            <w:rFonts w:eastAsia="MS Mincho"/>
            <w:noProof/>
          </w:rPr>
          <w:t>(b)</w:t>
        </w:r>
        <w:r w:rsidR="007C26F2">
          <w:rPr>
            <w:rFonts w:asciiTheme="minorHAnsi" w:eastAsiaTheme="minorEastAsia" w:hAnsiTheme="minorHAnsi" w:cstheme="minorBidi"/>
            <w:noProof/>
            <w:szCs w:val="24"/>
          </w:rPr>
          <w:tab/>
        </w:r>
        <w:r w:rsidR="007C26F2" w:rsidRPr="00FB7D51">
          <w:rPr>
            <w:rStyle w:val="Hyperlink"/>
            <w:rFonts w:eastAsia="MS Mincho"/>
            <w:noProof/>
          </w:rPr>
          <w:t>Flexibility and Constraint</w:t>
        </w:r>
        <w:r w:rsidR="007C26F2">
          <w:rPr>
            <w:noProof/>
            <w:webHidden/>
          </w:rPr>
          <w:tab/>
        </w:r>
        <w:r w:rsidR="007C26F2">
          <w:rPr>
            <w:noProof/>
            <w:webHidden/>
          </w:rPr>
          <w:fldChar w:fldCharType="begin"/>
        </w:r>
        <w:r w:rsidR="007C26F2">
          <w:rPr>
            <w:noProof/>
            <w:webHidden/>
          </w:rPr>
          <w:instrText xml:space="preserve"> PAGEREF _Toc111723677 \h </w:instrText>
        </w:r>
        <w:r w:rsidR="007C26F2">
          <w:rPr>
            <w:noProof/>
            <w:webHidden/>
          </w:rPr>
        </w:r>
        <w:r w:rsidR="007C26F2">
          <w:rPr>
            <w:noProof/>
            <w:webHidden/>
          </w:rPr>
          <w:fldChar w:fldCharType="separate"/>
        </w:r>
        <w:r w:rsidR="00012DCE">
          <w:rPr>
            <w:noProof/>
            <w:webHidden/>
          </w:rPr>
          <w:t>36</w:t>
        </w:r>
        <w:r w:rsidR="007C26F2">
          <w:rPr>
            <w:noProof/>
            <w:webHidden/>
          </w:rPr>
          <w:fldChar w:fldCharType="end"/>
        </w:r>
      </w:hyperlink>
    </w:p>
    <w:p w14:paraId="785A6841" w14:textId="116F77CD" w:rsidR="007C26F2" w:rsidRDefault="00000000">
      <w:pPr>
        <w:pStyle w:val="TOC1"/>
        <w:rPr>
          <w:rFonts w:asciiTheme="minorHAnsi" w:eastAsiaTheme="minorEastAsia" w:hAnsiTheme="minorHAnsi" w:cstheme="minorBidi"/>
        </w:rPr>
      </w:pPr>
      <w:hyperlink w:anchor="_Toc111723678" w:history="1">
        <w:r w:rsidR="007C26F2" w:rsidRPr="00FB7D51">
          <w:rPr>
            <w:rStyle w:val="Hyperlink"/>
            <w:rFonts w:eastAsia="MS Mincho"/>
            <w:noProof/>
          </w:rPr>
          <w:t>III.</w:t>
        </w:r>
        <w:r w:rsidR="007C26F2">
          <w:rPr>
            <w:rFonts w:asciiTheme="minorHAnsi" w:eastAsiaTheme="minorEastAsia" w:hAnsiTheme="minorHAnsi" w:cstheme="minorBidi"/>
          </w:rPr>
          <w:tab/>
        </w:r>
        <w:r w:rsidR="007C26F2" w:rsidRPr="00FB7D51">
          <w:rPr>
            <w:rStyle w:val="Hyperlink"/>
            <w:rFonts w:eastAsia="MS Mincho"/>
            <w:noProof/>
          </w:rPr>
          <w:t>applying the general-law Approach</w:t>
        </w:r>
        <w:r w:rsidR="007C26F2">
          <w:rPr>
            <w:noProof/>
            <w:webHidden/>
          </w:rPr>
          <w:tab/>
        </w:r>
        <w:r w:rsidR="007C26F2">
          <w:rPr>
            <w:noProof/>
            <w:webHidden/>
          </w:rPr>
          <w:fldChar w:fldCharType="begin"/>
        </w:r>
        <w:r w:rsidR="007C26F2">
          <w:rPr>
            <w:noProof/>
            <w:webHidden/>
          </w:rPr>
          <w:instrText xml:space="preserve"> PAGEREF _Toc111723678 \h </w:instrText>
        </w:r>
        <w:r w:rsidR="007C26F2">
          <w:rPr>
            <w:noProof/>
            <w:webHidden/>
          </w:rPr>
        </w:r>
        <w:r w:rsidR="007C26F2">
          <w:rPr>
            <w:noProof/>
            <w:webHidden/>
          </w:rPr>
          <w:fldChar w:fldCharType="separate"/>
        </w:r>
        <w:r w:rsidR="00012DCE">
          <w:rPr>
            <w:noProof/>
            <w:webHidden/>
          </w:rPr>
          <w:t>38</w:t>
        </w:r>
        <w:r w:rsidR="007C26F2">
          <w:rPr>
            <w:noProof/>
            <w:webHidden/>
          </w:rPr>
          <w:fldChar w:fldCharType="end"/>
        </w:r>
      </w:hyperlink>
    </w:p>
    <w:p w14:paraId="3F5E8CB6" w14:textId="2F415513" w:rsidR="007C26F2" w:rsidRDefault="00000000">
      <w:pPr>
        <w:pStyle w:val="TOC2"/>
        <w:rPr>
          <w:rFonts w:asciiTheme="minorHAnsi" w:eastAsiaTheme="minorEastAsia" w:hAnsiTheme="minorHAnsi" w:cstheme="minorBidi"/>
          <w:szCs w:val="24"/>
        </w:rPr>
      </w:pPr>
      <w:hyperlink w:anchor="_Toc111723679" w:history="1">
        <w:r w:rsidR="007C26F2" w:rsidRPr="00FB7D51">
          <w:rPr>
            <w:rStyle w:val="Hyperlink"/>
            <w:rFonts w:eastAsia="MS Mincho"/>
            <w:i/>
            <w:iCs/>
          </w:rPr>
          <w:t>A.</w:t>
        </w:r>
        <w:r w:rsidR="007C26F2">
          <w:rPr>
            <w:rFonts w:asciiTheme="minorHAnsi" w:eastAsiaTheme="minorEastAsia" w:hAnsiTheme="minorHAnsi" w:cstheme="minorBidi"/>
            <w:szCs w:val="24"/>
          </w:rPr>
          <w:tab/>
        </w:r>
        <w:r w:rsidR="007C26F2" w:rsidRPr="00FB7D51">
          <w:rPr>
            <w:rStyle w:val="Hyperlink"/>
            <w:rFonts w:eastAsia="MS Mincho"/>
            <w:i/>
            <w:iCs/>
          </w:rPr>
          <w:t>Trespass</w:t>
        </w:r>
        <w:r w:rsidR="007C26F2">
          <w:rPr>
            <w:webHidden/>
          </w:rPr>
          <w:tab/>
        </w:r>
        <w:r w:rsidR="007C26F2">
          <w:rPr>
            <w:webHidden/>
          </w:rPr>
          <w:fldChar w:fldCharType="begin"/>
        </w:r>
        <w:r w:rsidR="007C26F2">
          <w:rPr>
            <w:webHidden/>
          </w:rPr>
          <w:instrText xml:space="preserve"> PAGEREF _Toc111723679 \h </w:instrText>
        </w:r>
        <w:r w:rsidR="007C26F2">
          <w:rPr>
            <w:webHidden/>
          </w:rPr>
        </w:r>
        <w:r w:rsidR="007C26F2">
          <w:rPr>
            <w:webHidden/>
          </w:rPr>
          <w:fldChar w:fldCharType="separate"/>
        </w:r>
        <w:r w:rsidR="00012DCE">
          <w:rPr>
            <w:webHidden/>
          </w:rPr>
          <w:t>38</w:t>
        </w:r>
        <w:r w:rsidR="007C26F2">
          <w:rPr>
            <w:webHidden/>
          </w:rPr>
          <w:fldChar w:fldCharType="end"/>
        </w:r>
      </w:hyperlink>
    </w:p>
    <w:p w14:paraId="2948E8C7" w14:textId="00E364EA" w:rsidR="007C26F2" w:rsidRDefault="00000000">
      <w:pPr>
        <w:pStyle w:val="TOC3"/>
        <w:rPr>
          <w:rFonts w:asciiTheme="minorHAnsi" w:eastAsiaTheme="minorEastAsia" w:hAnsiTheme="minorHAnsi" w:cstheme="minorBidi"/>
          <w:noProof/>
          <w:szCs w:val="24"/>
        </w:rPr>
      </w:pPr>
      <w:hyperlink w:anchor="_Toc111723680" w:history="1">
        <w:r w:rsidR="007C26F2" w:rsidRPr="00FB7D51">
          <w:rPr>
            <w:rStyle w:val="Hyperlink"/>
            <w:rFonts w:eastAsia="MS Mincho"/>
            <w:noProof/>
          </w:rPr>
          <w:t>1.</w:t>
        </w:r>
        <w:r w:rsidR="007C26F2">
          <w:rPr>
            <w:rFonts w:asciiTheme="minorHAnsi" w:eastAsiaTheme="minorEastAsia" w:hAnsiTheme="minorHAnsi" w:cstheme="minorBidi"/>
            <w:noProof/>
            <w:szCs w:val="24"/>
          </w:rPr>
          <w:tab/>
        </w:r>
        <w:r w:rsidR="007C26F2" w:rsidRPr="00FB7D51">
          <w:rPr>
            <w:rStyle w:val="Hyperlink"/>
            <w:rFonts w:eastAsia="MS Mincho"/>
            <w:noProof/>
          </w:rPr>
          <w:t>The Scope of the Right to Exclude</w:t>
        </w:r>
        <w:r w:rsidR="007C26F2">
          <w:rPr>
            <w:noProof/>
            <w:webHidden/>
          </w:rPr>
          <w:tab/>
        </w:r>
        <w:r w:rsidR="007C26F2">
          <w:rPr>
            <w:noProof/>
            <w:webHidden/>
          </w:rPr>
          <w:fldChar w:fldCharType="begin"/>
        </w:r>
        <w:r w:rsidR="007C26F2">
          <w:rPr>
            <w:noProof/>
            <w:webHidden/>
          </w:rPr>
          <w:instrText xml:space="preserve"> PAGEREF _Toc111723680 \h </w:instrText>
        </w:r>
        <w:r w:rsidR="007C26F2">
          <w:rPr>
            <w:noProof/>
            <w:webHidden/>
          </w:rPr>
        </w:r>
        <w:r w:rsidR="007C26F2">
          <w:rPr>
            <w:noProof/>
            <w:webHidden/>
          </w:rPr>
          <w:fldChar w:fldCharType="separate"/>
        </w:r>
        <w:r w:rsidR="00012DCE">
          <w:rPr>
            <w:noProof/>
            <w:webHidden/>
          </w:rPr>
          <w:t>40</w:t>
        </w:r>
        <w:r w:rsidR="007C26F2">
          <w:rPr>
            <w:noProof/>
            <w:webHidden/>
          </w:rPr>
          <w:fldChar w:fldCharType="end"/>
        </w:r>
      </w:hyperlink>
    </w:p>
    <w:p w14:paraId="6D16D8C8" w14:textId="3F3D3DC2" w:rsidR="007C26F2" w:rsidRDefault="00000000">
      <w:pPr>
        <w:pStyle w:val="TOC3"/>
        <w:rPr>
          <w:rFonts w:asciiTheme="minorHAnsi" w:eastAsiaTheme="minorEastAsia" w:hAnsiTheme="minorHAnsi" w:cstheme="minorBidi"/>
          <w:noProof/>
          <w:szCs w:val="24"/>
        </w:rPr>
      </w:pPr>
      <w:hyperlink w:anchor="_Toc111723681" w:history="1">
        <w:r w:rsidR="007C26F2" w:rsidRPr="00FB7D51">
          <w:rPr>
            <w:rStyle w:val="Hyperlink"/>
            <w:rFonts w:eastAsia="MS Mincho"/>
            <w:noProof/>
          </w:rPr>
          <w:t>2.</w:t>
        </w:r>
        <w:r w:rsidR="007C26F2">
          <w:rPr>
            <w:rFonts w:asciiTheme="minorHAnsi" w:eastAsiaTheme="minorEastAsia" w:hAnsiTheme="minorHAnsi" w:cstheme="minorBidi"/>
            <w:noProof/>
            <w:szCs w:val="24"/>
          </w:rPr>
          <w:tab/>
        </w:r>
        <w:r w:rsidR="007C26F2" w:rsidRPr="00FB7D51">
          <w:rPr>
            <w:rStyle w:val="Hyperlink"/>
            <w:rFonts w:eastAsia="MS Mincho"/>
            <w:noProof/>
          </w:rPr>
          <w:t>Delegating the Right to Exclude</w:t>
        </w:r>
        <w:r w:rsidR="007C26F2">
          <w:rPr>
            <w:noProof/>
            <w:webHidden/>
          </w:rPr>
          <w:tab/>
        </w:r>
        <w:r w:rsidR="007C26F2">
          <w:rPr>
            <w:noProof/>
            <w:webHidden/>
          </w:rPr>
          <w:fldChar w:fldCharType="begin"/>
        </w:r>
        <w:r w:rsidR="007C26F2">
          <w:rPr>
            <w:noProof/>
            <w:webHidden/>
          </w:rPr>
          <w:instrText xml:space="preserve"> PAGEREF _Toc111723681 \h </w:instrText>
        </w:r>
        <w:r w:rsidR="007C26F2">
          <w:rPr>
            <w:noProof/>
            <w:webHidden/>
          </w:rPr>
        </w:r>
        <w:r w:rsidR="007C26F2">
          <w:rPr>
            <w:noProof/>
            <w:webHidden/>
          </w:rPr>
          <w:fldChar w:fldCharType="separate"/>
        </w:r>
        <w:r w:rsidR="00012DCE">
          <w:rPr>
            <w:noProof/>
            <w:webHidden/>
          </w:rPr>
          <w:t>45</w:t>
        </w:r>
        <w:r w:rsidR="007C26F2">
          <w:rPr>
            <w:noProof/>
            <w:webHidden/>
          </w:rPr>
          <w:fldChar w:fldCharType="end"/>
        </w:r>
      </w:hyperlink>
    </w:p>
    <w:p w14:paraId="20875D3B" w14:textId="12DFA18C" w:rsidR="007C26F2" w:rsidRDefault="00000000">
      <w:pPr>
        <w:pStyle w:val="TOC2"/>
        <w:rPr>
          <w:rFonts w:asciiTheme="minorHAnsi" w:eastAsiaTheme="minorEastAsia" w:hAnsiTheme="minorHAnsi" w:cstheme="minorBidi"/>
          <w:szCs w:val="24"/>
        </w:rPr>
      </w:pPr>
      <w:hyperlink w:anchor="_Toc111723682" w:history="1">
        <w:r w:rsidR="007C26F2" w:rsidRPr="00FB7D51">
          <w:rPr>
            <w:rStyle w:val="Hyperlink"/>
            <w:rFonts w:eastAsia="MS Mincho"/>
            <w:i/>
            <w:iCs/>
          </w:rPr>
          <w:t>B.</w:t>
        </w:r>
        <w:r w:rsidR="007C26F2">
          <w:rPr>
            <w:rFonts w:asciiTheme="minorHAnsi" w:eastAsiaTheme="minorEastAsia" w:hAnsiTheme="minorHAnsi" w:cstheme="minorBidi"/>
            <w:szCs w:val="24"/>
          </w:rPr>
          <w:tab/>
        </w:r>
        <w:r w:rsidR="007C26F2" w:rsidRPr="00FB7D51">
          <w:rPr>
            <w:rStyle w:val="Hyperlink"/>
            <w:rFonts w:eastAsia="MS Mincho"/>
            <w:i/>
            <w:iCs/>
          </w:rPr>
          <w:t>Abandonment</w:t>
        </w:r>
        <w:r w:rsidR="007C26F2">
          <w:rPr>
            <w:webHidden/>
          </w:rPr>
          <w:tab/>
        </w:r>
        <w:r w:rsidR="007C26F2">
          <w:rPr>
            <w:webHidden/>
          </w:rPr>
          <w:fldChar w:fldCharType="begin"/>
        </w:r>
        <w:r w:rsidR="007C26F2">
          <w:rPr>
            <w:webHidden/>
          </w:rPr>
          <w:instrText xml:space="preserve"> PAGEREF _Toc111723682 \h </w:instrText>
        </w:r>
        <w:r w:rsidR="007C26F2">
          <w:rPr>
            <w:webHidden/>
          </w:rPr>
        </w:r>
        <w:r w:rsidR="007C26F2">
          <w:rPr>
            <w:webHidden/>
          </w:rPr>
          <w:fldChar w:fldCharType="separate"/>
        </w:r>
        <w:r w:rsidR="00012DCE">
          <w:rPr>
            <w:webHidden/>
          </w:rPr>
          <w:t>46</w:t>
        </w:r>
        <w:r w:rsidR="007C26F2">
          <w:rPr>
            <w:webHidden/>
          </w:rPr>
          <w:fldChar w:fldCharType="end"/>
        </w:r>
      </w:hyperlink>
    </w:p>
    <w:p w14:paraId="04105B8E" w14:textId="02234254" w:rsidR="007C26F2" w:rsidRDefault="00000000">
      <w:pPr>
        <w:pStyle w:val="TOC3"/>
        <w:rPr>
          <w:rFonts w:asciiTheme="minorHAnsi" w:eastAsiaTheme="minorEastAsia" w:hAnsiTheme="minorHAnsi" w:cstheme="minorBidi"/>
          <w:noProof/>
          <w:szCs w:val="24"/>
        </w:rPr>
      </w:pPr>
      <w:hyperlink w:anchor="_Toc111723683" w:history="1">
        <w:r w:rsidR="007C26F2" w:rsidRPr="00FB7D51">
          <w:rPr>
            <w:rStyle w:val="Hyperlink"/>
            <w:rFonts w:eastAsia="MS Mincho"/>
            <w:noProof/>
          </w:rPr>
          <w:t>1.</w:t>
        </w:r>
        <w:r w:rsidR="007C26F2">
          <w:rPr>
            <w:rFonts w:asciiTheme="minorHAnsi" w:eastAsiaTheme="minorEastAsia" w:hAnsiTheme="minorHAnsi" w:cstheme="minorBidi"/>
            <w:noProof/>
            <w:szCs w:val="24"/>
          </w:rPr>
          <w:tab/>
        </w:r>
        <w:r w:rsidR="007C26F2" w:rsidRPr="00FB7D51">
          <w:rPr>
            <w:rStyle w:val="Hyperlink"/>
            <w:rFonts w:eastAsia="MS Mincho"/>
            <w:noProof/>
          </w:rPr>
          <w:t>Chattels</w:t>
        </w:r>
        <w:r w:rsidR="007C26F2">
          <w:rPr>
            <w:noProof/>
            <w:webHidden/>
          </w:rPr>
          <w:tab/>
        </w:r>
        <w:r w:rsidR="007C26F2">
          <w:rPr>
            <w:noProof/>
            <w:webHidden/>
          </w:rPr>
          <w:fldChar w:fldCharType="begin"/>
        </w:r>
        <w:r w:rsidR="007C26F2">
          <w:rPr>
            <w:noProof/>
            <w:webHidden/>
          </w:rPr>
          <w:instrText xml:space="preserve"> PAGEREF _Toc111723683 \h </w:instrText>
        </w:r>
        <w:r w:rsidR="007C26F2">
          <w:rPr>
            <w:noProof/>
            <w:webHidden/>
          </w:rPr>
        </w:r>
        <w:r w:rsidR="007C26F2">
          <w:rPr>
            <w:noProof/>
            <w:webHidden/>
          </w:rPr>
          <w:fldChar w:fldCharType="separate"/>
        </w:r>
        <w:r w:rsidR="00012DCE">
          <w:rPr>
            <w:noProof/>
            <w:webHidden/>
          </w:rPr>
          <w:t>47</w:t>
        </w:r>
        <w:r w:rsidR="007C26F2">
          <w:rPr>
            <w:noProof/>
            <w:webHidden/>
          </w:rPr>
          <w:fldChar w:fldCharType="end"/>
        </w:r>
      </w:hyperlink>
    </w:p>
    <w:p w14:paraId="02951621" w14:textId="29CEDFDC" w:rsidR="007C26F2" w:rsidRDefault="00000000">
      <w:pPr>
        <w:pStyle w:val="TOC3"/>
        <w:rPr>
          <w:rFonts w:asciiTheme="minorHAnsi" w:eastAsiaTheme="minorEastAsia" w:hAnsiTheme="minorHAnsi" w:cstheme="minorBidi"/>
          <w:noProof/>
          <w:szCs w:val="24"/>
        </w:rPr>
      </w:pPr>
      <w:hyperlink w:anchor="_Toc111723684" w:history="1">
        <w:r w:rsidR="007C26F2" w:rsidRPr="00FB7D51">
          <w:rPr>
            <w:rStyle w:val="Hyperlink"/>
            <w:rFonts w:eastAsia="MS Mincho"/>
            <w:noProof/>
          </w:rPr>
          <w:t>2.</w:t>
        </w:r>
        <w:r w:rsidR="007C26F2">
          <w:rPr>
            <w:rFonts w:asciiTheme="minorHAnsi" w:eastAsiaTheme="minorEastAsia" w:hAnsiTheme="minorHAnsi" w:cstheme="minorBidi"/>
            <w:noProof/>
            <w:szCs w:val="24"/>
          </w:rPr>
          <w:tab/>
        </w:r>
        <w:r w:rsidR="007C26F2" w:rsidRPr="00FB7D51">
          <w:rPr>
            <w:rStyle w:val="Hyperlink"/>
            <w:rFonts w:eastAsia="MS Mincho"/>
            <w:noProof/>
          </w:rPr>
          <w:t>Real Property</w:t>
        </w:r>
        <w:r w:rsidR="007C26F2">
          <w:rPr>
            <w:noProof/>
            <w:webHidden/>
          </w:rPr>
          <w:tab/>
        </w:r>
        <w:r w:rsidR="007C26F2">
          <w:rPr>
            <w:noProof/>
            <w:webHidden/>
          </w:rPr>
          <w:fldChar w:fldCharType="begin"/>
        </w:r>
        <w:r w:rsidR="007C26F2">
          <w:rPr>
            <w:noProof/>
            <w:webHidden/>
          </w:rPr>
          <w:instrText xml:space="preserve"> PAGEREF _Toc111723684 \h </w:instrText>
        </w:r>
        <w:r w:rsidR="007C26F2">
          <w:rPr>
            <w:noProof/>
            <w:webHidden/>
          </w:rPr>
        </w:r>
        <w:r w:rsidR="007C26F2">
          <w:rPr>
            <w:noProof/>
            <w:webHidden/>
          </w:rPr>
          <w:fldChar w:fldCharType="separate"/>
        </w:r>
        <w:r w:rsidR="00012DCE">
          <w:rPr>
            <w:noProof/>
            <w:webHidden/>
          </w:rPr>
          <w:t>49</w:t>
        </w:r>
        <w:r w:rsidR="007C26F2">
          <w:rPr>
            <w:noProof/>
            <w:webHidden/>
          </w:rPr>
          <w:fldChar w:fldCharType="end"/>
        </w:r>
      </w:hyperlink>
    </w:p>
    <w:p w14:paraId="2C7EA4AA" w14:textId="35723F32" w:rsidR="007C26F2" w:rsidRDefault="00000000">
      <w:pPr>
        <w:pStyle w:val="TOC3"/>
        <w:rPr>
          <w:rFonts w:asciiTheme="minorHAnsi" w:eastAsiaTheme="minorEastAsia" w:hAnsiTheme="minorHAnsi" w:cstheme="minorBidi"/>
          <w:noProof/>
          <w:szCs w:val="24"/>
        </w:rPr>
      </w:pPr>
      <w:hyperlink w:anchor="_Toc111723685" w:history="1">
        <w:r w:rsidR="007C26F2" w:rsidRPr="00FB7D51">
          <w:rPr>
            <w:rStyle w:val="Hyperlink"/>
            <w:rFonts w:eastAsia="MS Mincho"/>
            <w:noProof/>
          </w:rPr>
          <w:t>3.</w:t>
        </w:r>
        <w:r w:rsidR="007C26F2">
          <w:rPr>
            <w:rFonts w:asciiTheme="minorHAnsi" w:eastAsiaTheme="minorEastAsia" w:hAnsiTheme="minorHAnsi" w:cstheme="minorBidi"/>
            <w:noProof/>
            <w:szCs w:val="24"/>
          </w:rPr>
          <w:tab/>
        </w:r>
        <w:r w:rsidR="007C26F2" w:rsidRPr="00FB7D51">
          <w:rPr>
            <w:rStyle w:val="Hyperlink"/>
            <w:rFonts w:eastAsia="MS Mincho"/>
            <w:noProof/>
          </w:rPr>
          <w:t>Intangibles</w:t>
        </w:r>
        <w:r w:rsidR="007C26F2">
          <w:rPr>
            <w:noProof/>
            <w:webHidden/>
          </w:rPr>
          <w:tab/>
        </w:r>
        <w:r w:rsidR="007C26F2">
          <w:rPr>
            <w:noProof/>
            <w:webHidden/>
          </w:rPr>
          <w:fldChar w:fldCharType="begin"/>
        </w:r>
        <w:r w:rsidR="007C26F2">
          <w:rPr>
            <w:noProof/>
            <w:webHidden/>
          </w:rPr>
          <w:instrText xml:space="preserve"> PAGEREF _Toc111723685 \h </w:instrText>
        </w:r>
        <w:r w:rsidR="007C26F2">
          <w:rPr>
            <w:noProof/>
            <w:webHidden/>
          </w:rPr>
        </w:r>
        <w:r w:rsidR="007C26F2">
          <w:rPr>
            <w:noProof/>
            <w:webHidden/>
          </w:rPr>
          <w:fldChar w:fldCharType="separate"/>
        </w:r>
        <w:r w:rsidR="00012DCE">
          <w:rPr>
            <w:noProof/>
            <w:webHidden/>
          </w:rPr>
          <w:t>51</w:t>
        </w:r>
        <w:r w:rsidR="007C26F2">
          <w:rPr>
            <w:noProof/>
            <w:webHidden/>
          </w:rPr>
          <w:fldChar w:fldCharType="end"/>
        </w:r>
      </w:hyperlink>
    </w:p>
    <w:p w14:paraId="117FDBD7" w14:textId="45D45CB7" w:rsidR="007C26F2" w:rsidRDefault="00000000">
      <w:pPr>
        <w:pStyle w:val="TOC2"/>
        <w:rPr>
          <w:rFonts w:asciiTheme="minorHAnsi" w:eastAsiaTheme="minorEastAsia" w:hAnsiTheme="minorHAnsi" w:cstheme="minorBidi"/>
          <w:szCs w:val="24"/>
        </w:rPr>
      </w:pPr>
      <w:hyperlink w:anchor="_Toc111723686" w:history="1">
        <w:r w:rsidR="007C26F2" w:rsidRPr="00FB7D51">
          <w:rPr>
            <w:rStyle w:val="Hyperlink"/>
            <w:rFonts w:eastAsia="MS Mincho"/>
            <w:i/>
            <w:iCs/>
          </w:rPr>
          <w:t>C.</w:t>
        </w:r>
        <w:r w:rsidR="007C26F2">
          <w:rPr>
            <w:rFonts w:asciiTheme="minorHAnsi" w:eastAsiaTheme="minorEastAsia" w:hAnsiTheme="minorHAnsi" w:cstheme="minorBidi"/>
            <w:szCs w:val="24"/>
          </w:rPr>
          <w:tab/>
        </w:r>
        <w:r w:rsidR="007C26F2" w:rsidRPr="00FB7D51">
          <w:rPr>
            <w:rStyle w:val="Hyperlink"/>
            <w:rFonts w:eastAsia="MS Mincho"/>
            <w:i/>
            <w:iCs/>
          </w:rPr>
          <w:t>Bailments</w:t>
        </w:r>
        <w:r w:rsidR="007C26F2">
          <w:rPr>
            <w:webHidden/>
          </w:rPr>
          <w:tab/>
        </w:r>
        <w:r w:rsidR="007C26F2">
          <w:rPr>
            <w:webHidden/>
          </w:rPr>
          <w:fldChar w:fldCharType="begin"/>
        </w:r>
        <w:r w:rsidR="007C26F2">
          <w:rPr>
            <w:webHidden/>
          </w:rPr>
          <w:instrText xml:space="preserve"> PAGEREF _Toc111723686 \h </w:instrText>
        </w:r>
        <w:r w:rsidR="007C26F2">
          <w:rPr>
            <w:webHidden/>
          </w:rPr>
        </w:r>
        <w:r w:rsidR="007C26F2">
          <w:rPr>
            <w:webHidden/>
          </w:rPr>
          <w:fldChar w:fldCharType="separate"/>
        </w:r>
        <w:r w:rsidR="00012DCE">
          <w:rPr>
            <w:webHidden/>
          </w:rPr>
          <w:t>52</w:t>
        </w:r>
        <w:r w:rsidR="007C26F2">
          <w:rPr>
            <w:webHidden/>
          </w:rPr>
          <w:fldChar w:fldCharType="end"/>
        </w:r>
      </w:hyperlink>
    </w:p>
    <w:p w14:paraId="7121758F" w14:textId="344DB3E0" w:rsidR="007C26F2" w:rsidRDefault="00000000">
      <w:pPr>
        <w:pStyle w:val="TOC3"/>
        <w:rPr>
          <w:rFonts w:asciiTheme="minorHAnsi" w:eastAsiaTheme="minorEastAsia" w:hAnsiTheme="minorHAnsi" w:cstheme="minorBidi"/>
          <w:noProof/>
          <w:szCs w:val="24"/>
        </w:rPr>
      </w:pPr>
      <w:hyperlink w:anchor="_Toc111723687" w:history="1">
        <w:r w:rsidR="007C26F2" w:rsidRPr="00FB7D51">
          <w:rPr>
            <w:rStyle w:val="Hyperlink"/>
            <w:rFonts w:eastAsia="MS Mincho"/>
            <w:noProof/>
          </w:rPr>
          <w:t>1.</w:t>
        </w:r>
        <w:r w:rsidR="007C26F2">
          <w:rPr>
            <w:rFonts w:asciiTheme="minorHAnsi" w:eastAsiaTheme="minorEastAsia" w:hAnsiTheme="minorHAnsi" w:cstheme="minorBidi"/>
            <w:noProof/>
            <w:szCs w:val="24"/>
          </w:rPr>
          <w:tab/>
        </w:r>
        <w:r w:rsidR="007C26F2" w:rsidRPr="00FB7D51">
          <w:rPr>
            <w:rStyle w:val="Hyperlink"/>
            <w:rFonts w:eastAsia="MS Mincho"/>
            <w:noProof/>
          </w:rPr>
          <w:t>Tangibles</w:t>
        </w:r>
        <w:r w:rsidR="007C26F2">
          <w:rPr>
            <w:noProof/>
            <w:webHidden/>
          </w:rPr>
          <w:tab/>
        </w:r>
        <w:r w:rsidR="007C26F2">
          <w:rPr>
            <w:noProof/>
            <w:webHidden/>
          </w:rPr>
          <w:fldChar w:fldCharType="begin"/>
        </w:r>
        <w:r w:rsidR="007C26F2">
          <w:rPr>
            <w:noProof/>
            <w:webHidden/>
          </w:rPr>
          <w:instrText xml:space="preserve"> PAGEREF _Toc111723687 \h </w:instrText>
        </w:r>
        <w:r w:rsidR="007C26F2">
          <w:rPr>
            <w:noProof/>
            <w:webHidden/>
          </w:rPr>
        </w:r>
        <w:r w:rsidR="007C26F2">
          <w:rPr>
            <w:noProof/>
            <w:webHidden/>
          </w:rPr>
          <w:fldChar w:fldCharType="separate"/>
        </w:r>
        <w:r w:rsidR="00012DCE">
          <w:rPr>
            <w:noProof/>
            <w:webHidden/>
          </w:rPr>
          <w:t>52</w:t>
        </w:r>
        <w:r w:rsidR="007C26F2">
          <w:rPr>
            <w:noProof/>
            <w:webHidden/>
          </w:rPr>
          <w:fldChar w:fldCharType="end"/>
        </w:r>
      </w:hyperlink>
    </w:p>
    <w:p w14:paraId="2BA7E078" w14:textId="56702285" w:rsidR="007C26F2" w:rsidRDefault="00000000">
      <w:pPr>
        <w:pStyle w:val="TOC3"/>
        <w:rPr>
          <w:rFonts w:asciiTheme="minorHAnsi" w:eastAsiaTheme="minorEastAsia" w:hAnsiTheme="minorHAnsi" w:cstheme="minorBidi"/>
          <w:noProof/>
          <w:szCs w:val="24"/>
        </w:rPr>
      </w:pPr>
      <w:hyperlink w:anchor="_Toc111723688" w:history="1">
        <w:r w:rsidR="007C26F2" w:rsidRPr="00FB7D51">
          <w:rPr>
            <w:rStyle w:val="Hyperlink"/>
            <w:rFonts w:eastAsia="MS Mincho"/>
            <w:noProof/>
          </w:rPr>
          <w:t>2.</w:t>
        </w:r>
        <w:r w:rsidR="007C26F2">
          <w:rPr>
            <w:rFonts w:asciiTheme="minorHAnsi" w:eastAsiaTheme="minorEastAsia" w:hAnsiTheme="minorHAnsi" w:cstheme="minorBidi"/>
            <w:noProof/>
            <w:szCs w:val="24"/>
          </w:rPr>
          <w:tab/>
        </w:r>
        <w:r w:rsidR="007C26F2" w:rsidRPr="00FB7D51">
          <w:rPr>
            <w:rStyle w:val="Hyperlink"/>
            <w:rFonts w:eastAsia="MS Mincho"/>
            <w:noProof/>
          </w:rPr>
          <w:t>Intangibles</w:t>
        </w:r>
        <w:r w:rsidR="007C26F2">
          <w:rPr>
            <w:noProof/>
            <w:webHidden/>
          </w:rPr>
          <w:tab/>
        </w:r>
        <w:r w:rsidR="007C26F2">
          <w:rPr>
            <w:noProof/>
            <w:webHidden/>
          </w:rPr>
          <w:fldChar w:fldCharType="begin"/>
        </w:r>
        <w:r w:rsidR="007C26F2">
          <w:rPr>
            <w:noProof/>
            <w:webHidden/>
          </w:rPr>
          <w:instrText xml:space="preserve"> PAGEREF _Toc111723688 \h </w:instrText>
        </w:r>
        <w:r w:rsidR="007C26F2">
          <w:rPr>
            <w:noProof/>
            <w:webHidden/>
          </w:rPr>
        </w:r>
        <w:r w:rsidR="007C26F2">
          <w:rPr>
            <w:noProof/>
            <w:webHidden/>
          </w:rPr>
          <w:fldChar w:fldCharType="separate"/>
        </w:r>
        <w:r w:rsidR="00012DCE">
          <w:rPr>
            <w:noProof/>
            <w:webHidden/>
          </w:rPr>
          <w:t>57</w:t>
        </w:r>
        <w:r w:rsidR="007C26F2">
          <w:rPr>
            <w:noProof/>
            <w:webHidden/>
          </w:rPr>
          <w:fldChar w:fldCharType="end"/>
        </w:r>
      </w:hyperlink>
    </w:p>
    <w:p w14:paraId="625B1643" w14:textId="586E6E99" w:rsidR="007C26F2" w:rsidRDefault="00000000">
      <w:pPr>
        <w:pStyle w:val="TOC2"/>
        <w:rPr>
          <w:rFonts w:asciiTheme="minorHAnsi" w:eastAsiaTheme="minorEastAsia" w:hAnsiTheme="minorHAnsi" w:cstheme="minorBidi"/>
          <w:szCs w:val="24"/>
        </w:rPr>
      </w:pPr>
      <w:hyperlink w:anchor="_Toc111723689" w:history="1">
        <w:r w:rsidR="007C26F2" w:rsidRPr="00FB7D51">
          <w:rPr>
            <w:rStyle w:val="Hyperlink"/>
            <w:rFonts w:eastAsia="MS Mincho"/>
            <w:i/>
            <w:iCs/>
          </w:rPr>
          <w:t>D.</w:t>
        </w:r>
        <w:r w:rsidR="007C26F2">
          <w:rPr>
            <w:rFonts w:asciiTheme="minorHAnsi" w:eastAsiaTheme="minorEastAsia" w:hAnsiTheme="minorHAnsi" w:cstheme="minorBidi"/>
            <w:szCs w:val="24"/>
          </w:rPr>
          <w:tab/>
        </w:r>
        <w:r w:rsidR="007C26F2" w:rsidRPr="00FB7D51">
          <w:rPr>
            <w:rStyle w:val="Hyperlink"/>
            <w:rFonts w:eastAsia="MS Mincho"/>
            <w:i/>
            <w:iCs/>
          </w:rPr>
          <w:t>Privacy Torts</w:t>
        </w:r>
        <w:r w:rsidR="007C26F2">
          <w:rPr>
            <w:webHidden/>
          </w:rPr>
          <w:tab/>
        </w:r>
        <w:r w:rsidR="007C26F2">
          <w:rPr>
            <w:webHidden/>
          </w:rPr>
          <w:fldChar w:fldCharType="begin"/>
        </w:r>
        <w:r w:rsidR="007C26F2">
          <w:rPr>
            <w:webHidden/>
          </w:rPr>
          <w:instrText xml:space="preserve"> PAGEREF _Toc111723689 \h </w:instrText>
        </w:r>
        <w:r w:rsidR="007C26F2">
          <w:rPr>
            <w:webHidden/>
          </w:rPr>
        </w:r>
        <w:r w:rsidR="007C26F2">
          <w:rPr>
            <w:webHidden/>
          </w:rPr>
          <w:fldChar w:fldCharType="separate"/>
        </w:r>
        <w:r w:rsidR="00012DCE">
          <w:rPr>
            <w:webHidden/>
          </w:rPr>
          <w:t>59</w:t>
        </w:r>
        <w:r w:rsidR="007C26F2">
          <w:rPr>
            <w:webHidden/>
          </w:rPr>
          <w:fldChar w:fldCharType="end"/>
        </w:r>
      </w:hyperlink>
    </w:p>
    <w:p w14:paraId="5B71EACB" w14:textId="523F7F7D" w:rsidR="007C26F2" w:rsidRDefault="00000000">
      <w:pPr>
        <w:pStyle w:val="TOC3"/>
        <w:rPr>
          <w:rFonts w:asciiTheme="minorHAnsi" w:eastAsiaTheme="minorEastAsia" w:hAnsiTheme="minorHAnsi" w:cstheme="minorBidi"/>
          <w:noProof/>
          <w:szCs w:val="24"/>
        </w:rPr>
      </w:pPr>
      <w:hyperlink w:anchor="_Toc111723690" w:history="1">
        <w:r w:rsidR="007C26F2" w:rsidRPr="00FB7D51">
          <w:rPr>
            <w:rStyle w:val="Hyperlink"/>
            <w:rFonts w:eastAsia="MS Mincho"/>
            <w:noProof/>
          </w:rPr>
          <w:t>1.</w:t>
        </w:r>
        <w:r w:rsidR="007C26F2">
          <w:rPr>
            <w:rFonts w:asciiTheme="minorHAnsi" w:eastAsiaTheme="minorEastAsia" w:hAnsiTheme="minorHAnsi" w:cstheme="minorBidi"/>
            <w:noProof/>
            <w:szCs w:val="24"/>
          </w:rPr>
          <w:tab/>
        </w:r>
        <w:r w:rsidR="007C26F2" w:rsidRPr="00FB7D51">
          <w:rPr>
            <w:rStyle w:val="Hyperlink"/>
            <w:rFonts w:eastAsia="MS Mincho"/>
            <w:noProof/>
          </w:rPr>
          <w:t>Intrusion on Seclusion</w:t>
        </w:r>
        <w:r w:rsidR="007C26F2">
          <w:rPr>
            <w:noProof/>
            <w:webHidden/>
          </w:rPr>
          <w:tab/>
        </w:r>
        <w:r w:rsidR="007C26F2">
          <w:rPr>
            <w:noProof/>
            <w:webHidden/>
          </w:rPr>
          <w:fldChar w:fldCharType="begin"/>
        </w:r>
        <w:r w:rsidR="007C26F2">
          <w:rPr>
            <w:noProof/>
            <w:webHidden/>
          </w:rPr>
          <w:instrText xml:space="preserve"> PAGEREF _Toc111723690 \h </w:instrText>
        </w:r>
        <w:r w:rsidR="007C26F2">
          <w:rPr>
            <w:noProof/>
            <w:webHidden/>
          </w:rPr>
        </w:r>
        <w:r w:rsidR="007C26F2">
          <w:rPr>
            <w:noProof/>
            <w:webHidden/>
          </w:rPr>
          <w:fldChar w:fldCharType="separate"/>
        </w:r>
        <w:r w:rsidR="00012DCE">
          <w:rPr>
            <w:noProof/>
            <w:webHidden/>
          </w:rPr>
          <w:t>60</w:t>
        </w:r>
        <w:r w:rsidR="007C26F2">
          <w:rPr>
            <w:noProof/>
            <w:webHidden/>
          </w:rPr>
          <w:fldChar w:fldCharType="end"/>
        </w:r>
      </w:hyperlink>
    </w:p>
    <w:p w14:paraId="3C496183" w14:textId="59E11137" w:rsidR="007C26F2" w:rsidRDefault="00000000">
      <w:pPr>
        <w:pStyle w:val="TOC3"/>
        <w:rPr>
          <w:rFonts w:asciiTheme="minorHAnsi" w:eastAsiaTheme="minorEastAsia" w:hAnsiTheme="minorHAnsi" w:cstheme="minorBidi"/>
          <w:noProof/>
          <w:szCs w:val="24"/>
        </w:rPr>
      </w:pPr>
      <w:hyperlink w:anchor="_Toc111723691" w:history="1">
        <w:r w:rsidR="007C26F2" w:rsidRPr="00FB7D51">
          <w:rPr>
            <w:rStyle w:val="Hyperlink"/>
            <w:rFonts w:eastAsia="MS Mincho"/>
            <w:noProof/>
          </w:rPr>
          <w:t>2.</w:t>
        </w:r>
        <w:r w:rsidR="007C26F2">
          <w:rPr>
            <w:rFonts w:asciiTheme="minorHAnsi" w:eastAsiaTheme="minorEastAsia" w:hAnsiTheme="minorHAnsi" w:cstheme="minorBidi"/>
            <w:noProof/>
            <w:szCs w:val="24"/>
          </w:rPr>
          <w:tab/>
        </w:r>
        <w:r w:rsidR="007C26F2" w:rsidRPr="00FB7D51">
          <w:rPr>
            <w:rStyle w:val="Hyperlink"/>
            <w:rFonts w:eastAsia="MS Mincho"/>
            <w:noProof/>
          </w:rPr>
          <w:t>Public Disclosure of Private Facts</w:t>
        </w:r>
        <w:r w:rsidR="007C26F2">
          <w:rPr>
            <w:noProof/>
            <w:webHidden/>
          </w:rPr>
          <w:tab/>
        </w:r>
        <w:r w:rsidR="007C26F2">
          <w:rPr>
            <w:noProof/>
            <w:webHidden/>
          </w:rPr>
          <w:fldChar w:fldCharType="begin"/>
        </w:r>
        <w:r w:rsidR="007C26F2">
          <w:rPr>
            <w:noProof/>
            <w:webHidden/>
          </w:rPr>
          <w:instrText xml:space="preserve"> PAGEREF _Toc111723691 \h </w:instrText>
        </w:r>
        <w:r w:rsidR="007C26F2">
          <w:rPr>
            <w:noProof/>
            <w:webHidden/>
          </w:rPr>
        </w:r>
        <w:r w:rsidR="007C26F2">
          <w:rPr>
            <w:noProof/>
            <w:webHidden/>
          </w:rPr>
          <w:fldChar w:fldCharType="separate"/>
        </w:r>
        <w:r w:rsidR="00012DCE">
          <w:rPr>
            <w:noProof/>
            <w:webHidden/>
          </w:rPr>
          <w:t>63</w:t>
        </w:r>
        <w:r w:rsidR="007C26F2">
          <w:rPr>
            <w:noProof/>
            <w:webHidden/>
          </w:rPr>
          <w:fldChar w:fldCharType="end"/>
        </w:r>
      </w:hyperlink>
    </w:p>
    <w:p w14:paraId="662EAA6A" w14:textId="00855B4E" w:rsidR="007C26F2" w:rsidRDefault="00000000">
      <w:pPr>
        <w:pStyle w:val="TOC3"/>
        <w:rPr>
          <w:rFonts w:asciiTheme="minorHAnsi" w:eastAsiaTheme="minorEastAsia" w:hAnsiTheme="minorHAnsi" w:cstheme="minorBidi"/>
          <w:noProof/>
          <w:szCs w:val="24"/>
        </w:rPr>
      </w:pPr>
      <w:r>
        <w:fldChar w:fldCharType="begin"/>
      </w:r>
      <w:r>
        <w:instrText>HYPERLINK \l "_Toc111723692"</w:instrText>
      </w:r>
      <w:r>
        <w:fldChar w:fldCharType="separate"/>
      </w:r>
      <w:r w:rsidR="007C26F2" w:rsidRPr="00FB7D51">
        <w:rPr>
          <w:rStyle w:val="Hyperlink"/>
          <w:rFonts w:eastAsia="MS Mincho"/>
          <w:noProof/>
        </w:rPr>
        <w:t>3.</w:t>
      </w:r>
      <w:r w:rsidR="007C26F2">
        <w:rPr>
          <w:rFonts w:asciiTheme="minorHAnsi" w:eastAsiaTheme="minorEastAsia" w:hAnsiTheme="minorHAnsi" w:cstheme="minorBidi"/>
          <w:noProof/>
          <w:szCs w:val="24"/>
        </w:rPr>
        <w:tab/>
      </w:r>
      <w:r w:rsidR="007C26F2" w:rsidRPr="00FB7D51">
        <w:rPr>
          <w:rStyle w:val="Hyperlink"/>
          <w:rFonts w:eastAsia="MS Mincho"/>
          <w:noProof/>
        </w:rPr>
        <w:t>Breach of Confidentiality</w:t>
      </w:r>
      <w:r w:rsidR="007C26F2">
        <w:rPr>
          <w:noProof/>
          <w:webHidden/>
        </w:rPr>
        <w:tab/>
      </w:r>
      <w:r w:rsidR="007C26F2">
        <w:rPr>
          <w:noProof/>
          <w:webHidden/>
        </w:rPr>
        <w:fldChar w:fldCharType="begin"/>
      </w:r>
      <w:r w:rsidR="007C26F2">
        <w:rPr>
          <w:noProof/>
          <w:webHidden/>
        </w:rPr>
        <w:instrText xml:space="preserve"> PAGEREF _Toc111723692 \h </w:instrText>
      </w:r>
      <w:r w:rsidR="007C26F2">
        <w:rPr>
          <w:noProof/>
          <w:webHidden/>
        </w:rPr>
      </w:r>
      <w:r w:rsidR="007C26F2">
        <w:rPr>
          <w:noProof/>
          <w:webHidden/>
        </w:rPr>
        <w:fldChar w:fldCharType="separate"/>
      </w:r>
      <w:r w:rsidR="00012DCE">
        <w:rPr>
          <w:noProof/>
          <w:webHidden/>
        </w:rPr>
        <w:t>65</w:t>
      </w:r>
      <w:r w:rsidR="007C26F2">
        <w:rPr>
          <w:noProof/>
          <w:webHidden/>
        </w:rPr>
        <w:fldChar w:fldCharType="end"/>
      </w:r>
      <w:r>
        <w:rPr>
          <w:noProof/>
        </w:rPr>
        <w:fldChar w:fldCharType="end"/>
      </w:r>
    </w:p>
    <w:p w14:paraId="274C9DD2" w14:textId="54C29A0B" w:rsidR="007C26F2" w:rsidRDefault="00000000">
      <w:pPr>
        <w:pStyle w:val="TOC2"/>
        <w:rPr>
          <w:rFonts w:asciiTheme="minorHAnsi" w:eastAsiaTheme="minorEastAsia" w:hAnsiTheme="minorHAnsi" w:cstheme="minorBidi"/>
          <w:szCs w:val="24"/>
        </w:rPr>
      </w:pPr>
      <w:hyperlink w:anchor="_Toc111723693" w:history="1">
        <w:r w:rsidR="007C26F2" w:rsidRPr="00FB7D51">
          <w:rPr>
            <w:rStyle w:val="Hyperlink"/>
            <w:rFonts w:eastAsia="MS Mincho"/>
            <w:i/>
            <w:iCs/>
          </w:rPr>
          <w:t>E.</w:t>
        </w:r>
        <w:r w:rsidR="007C26F2">
          <w:rPr>
            <w:rFonts w:asciiTheme="minorHAnsi" w:eastAsiaTheme="minorEastAsia" w:hAnsiTheme="minorHAnsi" w:cstheme="minorBidi"/>
            <w:szCs w:val="24"/>
          </w:rPr>
          <w:tab/>
        </w:r>
        <w:r w:rsidR="007C26F2" w:rsidRPr="00FB7D51">
          <w:rPr>
            <w:rStyle w:val="Hyperlink"/>
            <w:rFonts w:eastAsia="MS Mincho"/>
            <w:i/>
            <w:iCs/>
          </w:rPr>
          <w:t>Additional Issues</w:t>
        </w:r>
        <w:r w:rsidR="007C26F2">
          <w:rPr>
            <w:webHidden/>
          </w:rPr>
          <w:tab/>
        </w:r>
        <w:r w:rsidR="007C26F2">
          <w:rPr>
            <w:webHidden/>
          </w:rPr>
          <w:fldChar w:fldCharType="begin"/>
        </w:r>
        <w:r w:rsidR="007C26F2">
          <w:rPr>
            <w:webHidden/>
          </w:rPr>
          <w:instrText xml:space="preserve"> PAGEREF _Toc111723693 \h </w:instrText>
        </w:r>
        <w:r w:rsidR="007C26F2">
          <w:rPr>
            <w:webHidden/>
          </w:rPr>
        </w:r>
        <w:r w:rsidR="007C26F2">
          <w:rPr>
            <w:webHidden/>
          </w:rPr>
          <w:fldChar w:fldCharType="separate"/>
        </w:r>
        <w:r w:rsidR="00012DCE">
          <w:rPr>
            <w:webHidden/>
          </w:rPr>
          <w:t>66</w:t>
        </w:r>
        <w:r w:rsidR="007C26F2">
          <w:rPr>
            <w:webHidden/>
          </w:rPr>
          <w:fldChar w:fldCharType="end"/>
        </w:r>
      </w:hyperlink>
    </w:p>
    <w:p w14:paraId="414F37B0" w14:textId="36AF2A88" w:rsidR="007C26F2" w:rsidRDefault="00000000">
      <w:pPr>
        <w:pStyle w:val="TOC3"/>
        <w:rPr>
          <w:rFonts w:asciiTheme="minorHAnsi" w:eastAsiaTheme="minorEastAsia" w:hAnsiTheme="minorHAnsi" w:cstheme="minorBidi"/>
          <w:noProof/>
          <w:szCs w:val="24"/>
        </w:rPr>
      </w:pPr>
      <w:hyperlink w:anchor="_Toc111723694" w:history="1">
        <w:r w:rsidR="007C26F2" w:rsidRPr="00FB7D51">
          <w:rPr>
            <w:rStyle w:val="Hyperlink"/>
            <w:rFonts w:eastAsia="MS Mincho"/>
            <w:noProof/>
          </w:rPr>
          <w:t>1.</w:t>
        </w:r>
        <w:r w:rsidR="007C26F2">
          <w:rPr>
            <w:rFonts w:asciiTheme="minorHAnsi" w:eastAsiaTheme="minorEastAsia" w:hAnsiTheme="minorHAnsi" w:cstheme="minorBidi"/>
            <w:noProof/>
            <w:szCs w:val="24"/>
          </w:rPr>
          <w:tab/>
        </w:r>
        <w:r w:rsidR="007C26F2" w:rsidRPr="00FB7D51">
          <w:rPr>
            <w:rStyle w:val="Hyperlink"/>
            <w:rFonts w:eastAsia="MS Mincho"/>
            <w:noProof/>
          </w:rPr>
          <w:t>Seizures of the Person</w:t>
        </w:r>
        <w:r w:rsidR="007C26F2">
          <w:rPr>
            <w:noProof/>
            <w:webHidden/>
          </w:rPr>
          <w:tab/>
        </w:r>
        <w:r w:rsidR="007C26F2">
          <w:rPr>
            <w:noProof/>
            <w:webHidden/>
          </w:rPr>
          <w:fldChar w:fldCharType="begin"/>
        </w:r>
        <w:r w:rsidR="007C26F2">
          <w:rPr>
            <w:noProof/>
            <w:webHidden/>
          </w:rPr>
          <w:instrText xml:space="preserve"> PAGEREF _Toc111723694 \h </w:instrText>
        </w:r>
        <w:r w:rsidR="007C26F2">
          <w:rPr>
            <w:noProof/>
            <w:webHidden/>
          </w:rPr>
        </w:r>
        <w:r w:rsidR="007C26F2">
          <w:rPr>
            <w:noProof/>
            <w:webHidden/>
          </w:rPr>
          <w:fldChar w:fldCharType="separate"/>
        </w:r>
        <w:r w:rsidR="00012DCE">
          <w:rPr>
            <w:noProof/>
            <w:webHidden/>
          </w:rPr>
          <w:t>66</w:t>
        </w:r>
        <w:r w:rsidR="007C26F2">
          <w:rPr>
            <w:noProof/>
            <w:webHidden/>
          </w:rPr>
          <w:fldChar w:fldCharType="end"/>
        </w:r>
      </w:hyperlink>
    </w:p>
    <w:p w14:paraId="17182FD6" w14:textId="7BB6F417" w:rsidR="007C26F2" w:rsidRDefault="00000000">
      <w:pPr>
        <w:pStyle w:val="TOC3"/>
        <w:rPr>
          <w:rFonts w:asciiTheme="minorHAnsi" w:eastAsiaTheme="minorEastAsia" w:hAnsiTheme="minorHAnsi" w:cstheme="minorBidi"/>
          <w:noProof/>
          <w:szCs w:val="24"/>
        </w:rPr>
      </w:pPr>
      <w:hyperlink w:anchor="_Toc111723695" w:history="1">
        <w:r w:rsidR="007C26F2" w:rsidRPr="00FB7D51">
          <w:rPr>
            <w:rStyle w:val="Hyperlink"/>
            <w:rFonts w:eastAsia="MS Mincho"/>
            <w:noProof/>
          </w:rPr>
          <w:t>2.</w:t>
        </w:r>
        <w:r w:rsidR="007C26F2">
          <w:rPr>
            <w:rFonts w:asciiTheme="minorHAnsi" w:eastAsiaTheme="minorEastAsia" w:hAnsiTheme="minorHAnsi" w:cstheme="minorBidi"/>
            <w:noProof/>
            <w:szCs w:val="24"/>
          </w:rPr>
          <w:tab/>
        </w:r>
        <w:r w:rsidR="007C26F2" w:rsidRPr="00FB7D51">
          <w:rPr>
            <w:rStyle w:val="Hyperlink"/>
            <w:rFonts w:eastAsia="MS Mincho"/>
            <w:noProof/>
          </w:rPr>
          <w:t>The Role of Warrants</w:t>
        </w:r>
        <w:r w:rsidR="007C26F2">
          <w:rPr>
            <w:noProof/>
            <w:webHidden/>
          </w:rPr>
          <w:tab/>
        </w:r>
        <w:r w:rsidR="007C26F2">
          <w:rPr>
            <w:noProof/>
            <w:webHidden/>
          </w:rPr>
          <w:fldChar w:fldCharType="begin"/>
        </w:r>
        <w:r w:rsidR="007C26F2">
          <w:rPr>
            <w:noProof/>
            <w:webHidden/>
          </w:rPr>
          <w:instrText xml:space="preserve"> PAGEREF _Toc111723695 \h </w:instrText>
        </w:r>
        <w:r w:rsidR="007C26F2">
          <w:rPr>
            <w:noProof/>
            <w:webHidden/>
          </w:rPr>
        </w:r>
        <w:r w:rsidR="007C26F2">
          <w:rPr>
            <w:noProof/>
            <w:webHidden/>
          </w:rPr>
          <w:fldChar w:fldCharType="separate"/>
        </w:r>
        <w:r w:rsidR="00012DCE">
          <w:rPr>
            <w:noProof/>
            <w:webHidden/>
          </w:rPr>
          <w:t>67</w:t>
        </w:r>
        <w:r w:rsidR="007C26F2">
          <w:rPr>
            <w:noProof/>
            <w:webHidden/>
          </w:rPr>
          <w:fldChar w:fldCharType="end"/>
        </w:r>
      </w:hyperlink>
    </w:p>
    <w:p w14:paraId="15EFD081" w14:textId="22443886" w:rsidR="007C26F2" w:rsidRDefault="00000000">
      <w:pPr>
        <w:pStyle w:val="TOC3"/>
        <w:rPr>
          <w:rFonts w:asciiTheme="minorHAnsi" w:eastAsiaTheme="minorEastAsia" w:hAnsiTheme="minorHAnsi" w:cstheme="minorBidi"/>
          <w:noProof/>
          <w:szCs w:val="24"/>
        </w:rPr>
      </w:pPr>
      <w:hyperlink w:anchor="_Toc111723696" w:history="1">
        <w:r w:rsidR="007C26F2" w:rsidRPr="00FB7D51">
          <w:rPr>
            <w:rStyle w:val="Hyperlink"/>
            <w:rFonts w:eastAsia="MS Mincho"/>
            <w:noProof/>
          </w:rPr>
          <w:t>3.</w:t>
        </w:r>
        <w:r w:rsidR="007C26F2">
          <w:rPr>
            <w:rFonts w:asciiTheme="minorHAnsi" w:eastAsiaTheme="minorEastAsia" w:hAnsiTheme="minorHAnsi" w:cstheme="minorBidi"/>
            <w:noProof/>
            <w:szCs w:val="24"/>
          </w:rPr>
          <w:tab/>
        </w:r>
        <w:r w:rsidR="007C26F2" w:rsidRPr="00FB7D51">
          <w:rPr>
            <w:rStyle w:val="Hyperlink"/>
            <w:rFonts w:eastAsia="MS Mincho"/>
            <w:noProof/>
          </w:rPr>
          <w:t>Racialized Policing</w:t>
        </w:r>
        <w:r w:rsidR="007C26F2">
          <w:rPr>
            <w:noProof/>
            <w:webHidden/>
          </w:rPr>
          <w:tab/>
        </w:r>
        <w:r w:rsidR="007C26F2">
          <w:rPr>
            <w:noProof/>
            <w:webHidden/>
          </w:rPr>
          <w:fldChar w:fldCharType="begin"/>
        </w:r>
        <w:r w:rsidR="007C26F2">
          <w:rPr>
            <w:noProof/>
            <w:webHidden/>
          </w:rPr>
          <w:instrText xml:space="preserve"> PAGEREF _Toc111723696 \h </w:instrText>
        </w:r>
        <w:r w:rsidR="007C26F2">
          <w:rPr>
            <w:noProof/>
            <w:webHidden/>
          </w:rPr>
        </w:r>
        <w:r w:rsidR="007C26F2">
          <w:rPr>
            <w:noProof/>
            <w:webHidden/>
          </w:rPr>
          <w:fldChar w:fldCharType="separate"/>
        </w:r>
        <w:r w:rsidR="00012DCE">
          <w:rPr>
            <w:noProof/>
            <w:webHidden/>
          </w:rPr>
          <w:t>69</w:t>
        </w:r>
        <w:r w:rsidR="007C26F2">
          <w:rPr>
            <w:noProof/>
            <w:webHidden/>
          </w:rPr>
          <w:fldChar w:fldCharType="end"/>
        </w:r>
      </w:hyperlink>
    </w:p>
    <w:p w14:paraId="2C1E9B56" w14:textId="65985664" w:rsidR="007C26F2" w:rsidRDefault="00000000">
      <w:pPr>
        <w:pStyle w:val="TOC1"/>
        <w:rPr>
          <w:rFonts w:asciiTheme="minorHAnsi" w:eastAsiaTheme="minorEastAsia" w:hAnsiTheme="minorHAnsi" w:cstheme="minorBidi"/>
        </w:rPr>
      </w:pPr>
      <w:hyperlink w:anchor="_Toc111723697" w:history="1">
        <w:r w:rsidR="007C26F2" w:rsidRPr="00FB7D51">
          <w:rPr>
            <w:rStyle w:val="Hyperlink"/>
            <w:rFonts w:eastAsia="MS Mincho"/>
            <w:noProof/>
          </w:rPr>
          <w:t>CONCLUSION</w:t>
        </w:r>
        <w:r w:rsidR="007C26F2">
          <w:rPr>
            <w:noProof/>
            <w:webHidden/>
          </w:rPr>
          <w:tab/>
        </w:r>
        <w:r w:rsidR="007C26F2">
          <w:rPr>
            <w:noProof/>
            <w:webHidden/>
          </w:rPr>
          <w:fldChar w:fldCharType="begin"/>
        </w:r>
        <w:r w:rsidR="007C26F2">
          <w:rPr>
            <w:noProof/>
            <w:webHidden/>
          </w:rPr>
          <w:instrText xml:space="preserve"> PAGEREF _Toc111723697 \h </w:instrText>
        </w:r>
        <w:r w:rsidR="007C26F2">
          <w:rPr>
            <w:noProof/>
            <w:webHidden/>
          </w:rPr>
        </w:r>
        <w:r w:rsidR="007C26F2">
          <w:rPr>
            <w:noProof/>
            <w:webHidden/>
          </w:rPr>
          <w:fldChar w:fldCharType="separate"/>
        </w:r>
        <w:r w:rsidR="00012DCE">
          <w:rPr>
            <w:noProof/>
            <w:webHidden/>
          </w:rPr>
          <w:t>70</w:t>
        </w:r>
        <w:r w:rsidR="007C26F2">
          <w:rPr>
            <w:noProof/>
            <w:webHidden/>
          </w:rPr>
          <w:fldChar w:fldCharType="end"/>
        </w:r>
      </w:hyperlink>
    </w:p>
    <w:p w14:paraId="6FEF23F5" w14:textId="164D121E" w:rsidR="00B028B6" w:rsidRPr="00C81260" w:rsidRDefault="009B7991">
      <w:pPr>
        <w:rPr>
          <w:sz w:val="22"/>
          <w:szCs w:val="22"/>
        </w:rPr>
        <w:sectPr w:rsidR="00B028B6" w:rsidRPr="00C81260" w:rsidSect="00D80F01">
          <w:headerReference w:type="even" r:id="rId12"/>
          <w:headerReference w:type="default" r:id="rId13"/>
          <w:footerReference w:type="even" r:id="rId14"/>
          <w:footerReference w:type="default" r:id="rId15"/>
          <w:headerReference w:type="first" r:id="rId16"/>
          <w:footerReference w:type="first" r:id="rId17"/>
          <w:pgSz w:w="12240" w:h="15840" w:code="1"/>
          <w:pgMar w:top="1800" w:right="2160" w:bottom="1800" w:left="2160" w:header="1080" w:footer="1080" w:gutter="0"/>
          <w:pgNumType w:fmt="lowerRoman" w:start="1"/>
          <w:cols w:space="720"/>
          <w:titlePg/>
          <w:docGrid w:linePitch="354"/>
        </w:sectPr>
      </w:pPr>
      <w:r>
        <w:rPr>
          <w:caps/>
          <w:sz w:val="22"/>
          <w:szCs w:val="22"/>
        </w:rPr>
        <w:fldChar w:fldCharType="end"/>
      </w:r>
    </w:p>
    <w:p w14:paraId="1FF83A83" w14:textId="7964EF30" w:rsidR="003D473E" w:rsidRDefault="003D473E" w:rsidP="003D473E">
      <w:pPr>
        <w:pStyle w:val="IntroConclusion"/>
      </w:pPr>
      <w:bookmarkStart w:id="2" w:name="_Toc96093538"/>
      <w:bookmarkStart w:id="3" w:name="_Toc111723664"/>
      <w:r>
        <w:lastRenderedPageBreak/>
        <w:t>INTRODUCTION</w:t>
      </w:r>
      <w:bookmarkEnd w:id="2"/>
      <w:bookmarkEnd w:id="3"/>
    </w:p>
    <w:p w14:paraId="0A9DAAD7" w14:textId="0CC4343C" w:rsidR="00CD34AB" w:rsidRDefault="00C454CC" w:rsidP="00D92CF0">
      <w:pPr>
        <w:pStyle w:val="BodyText"/>
      </w:pPr>
      <w:r>
        <w:t>The modern era of Fourth Amendment jurisprudence began</w:t>
      </w:r>
      <w:r w:rsidR="000417D2">
        <w:t xml:space="preserve"> in 1967</w:t>
      </w:r>
      <w:r>
        <w:t xml:space="preserve"> with</w:t>
      </w:r>
      <w:r w:rsidR="00FD4798">
        <w:t xml:space="preserve"> </w:t>
      </w:r>
      <w:r w:rsidR="00FD4798">
        <w:rPr>
          <w:i/>
          <w:iCs/>
        </w:rPr>
        <w:t>Katz v. United States</w:t>
      </w:r>
      <w:r w:rsidR="000417D2">
        <w:t>.</w:t>
      </w:r>
      <w:r w:rsidR="00FC200B" w:rsidRPr="002A4234">
        <w:rPr>
          <w:rStyle w:val="FootnoteReference"/>
        </w:rPr>
        <w:footnoteReference w:id="2"/>
      </w:r>
      <w:r w:rsidR="000417D2">
        <w:t xml:space="preserve"> Th</w:t>
      </w:r>
      <w:r w:rsidR="008606BD">
        <w:t xml:space="preserve">at case, and </w:t>
      </w:r>
      <w:r w:rsidR="00437980">
        <w:t xml:space="preserve">especially </w:t>
      </w:r>
      <w:r w:rsidR="008606BD">
        <w:t>Justice Harlan</w:t>
      </w:r>
      <w:r w:rsidR="00423724">
        <w:t>’s</w:t>
      </w:r>
      <w:r w:rsidR="008606BD">
        <w:t xml:space="preserve"> concurrence,</w:t>
      </w:r>
      <w:r w:rsidR="00202F2A" w:rsidRPr="002A4234">
        <w:rPr>
          <w:rStyle w:val="FootnoteReference"/>
        </w:rPr>
        <w:footnoteReference w:id="3"/>
      </w:r>
      <w:r w:rsidR="008606BD">
        <w:t xml:space="preserve"> heralded a new approach in which the Amendment’s protections turned </w:t>
      </w:r>
      <w:r w:rsidR="00015F64">
        <w:t>on “reasonable expec</w:t>
      </w:r>
      <w:r w:rsidR="00331F92">
        <w:t>t</w:t>
      </w:r>
      <w:r w:rsidR="00015F64">
        <w:t>ation</w:t>
      </w:r>
      <w:r w:rsidR="00C90B4C">
        <w:t>[</w:t>
      </w:r>
      <w:r w:rsidR="00015F64">
        <w:t>s</w:t>
      </w:r>
      <w:r w:rsidR="00C90B4C">
        <w:t>]</w:t>
      </w:r>
      <w:r w:rsidR="00015F64">
        <w:t xml:space="preserve"> of privacy.” </w:t>
      </w:r>
      <w:r w:rsidR="006A0F22">
        <w:t xml:space="preserve">In the decades since, </w:t>
      </w:r>
      <w:r w:rsidR="00E82331">
        <w:t>the</w:t>
      </w:r>
      <w:r w:rsidR="00331F92">
        <w:t xml:space="preserve"> Supreme Court </w:t>
      </w:r>
      <w:r w:rsidR="006A0F22">
        <w:t>has used</w:t>
      </w:r>
      <w:r w:rsidR="00331F92">
        <w:t xml:space="preserve"> this approach </w:t>
      </w:r>
      <w:r w:rsidR="0053509A">
        <w:t xml:space="preserve">to </w:t>
      </w:r>
      <w:r w:rsidR="00A456E7">
        <w:t xml:space="preserve">build a </w:t>
      </w:r>
      <w:r w:rsidR="00ED1E30">
        <w:t>grand</w:t>
      </w:r>
      <w:r w:rsidR="00A456E7">
        <w:t xml:space="preserve"> edifice of Fourth Amendment doctrine. </w:t>
      </w:r>
      <w:r w:rsidR="000B20FB">
        <w:t>But</w:t>
      </w:r>
      <w:r w:rsidR="00A456E7">
        <w:t xml:space="preserve"> now, </w:t>
      </w:r>
      <w:r w:rsidR="000B20FB">
        <w:t>just over</w:t>
      </w:r>
      <w:r w:rsidR="001427A8">
        <w:t xml:space="preserve"> half a century later, the </w:t>
      </w:r>
      <w:r w:rsidR="001427A8">
        <w:rPr>
          <w:i/>
          <w:iCs/>
        </w:rPr>
        <w:t>Katz</w:t>
      </w:r>
      <w:r w:rsidR="001427A8">
        <w:t xml:space="preserve"> era </w:t>
      </w:r>
      <w:r w:rsidR="00D1615B">
        <w:t>could</w:t>
      </w:r>
      <w:r w:rsidR="001427A8">
        <w:t xml:space="preserve"> </w:t>
      </w:r>
      <w:r w:rsidR="00155EB8">
        <w:t xml:space="preserve">be nearing its end. </w:t>
      </w:r>
      <w:r w:rsidR="00AE204D">
        <w:t>R</w:t>
      </w:r>
      <w:r w:rsidR="00155EB8">
        <w:t xml:space="preserve">ecent cases have </w:t>
      </w:r>
      <w:r w:rsidR="00363096">
        <w:t>revealed interest among some</w:t>
      </w:r>
      <w:r w:rsidR="00E82331">
        <w:t xml:space="preserve"> originalist</w:t>
      </w:r>
      <w:r w:rsidR="00363096">
        <w:t xml:space="preserve"> </w:t>
      </w:r>
      <w:r w:rsidR="00564B2B">
        <w:t>J</w:t>
      </w:r>
      <w:r w:rsidR="00363096">
        <w:t>ustices</w:t>
      </w:r>
      <w:r w:rsidR="00E82331">
        <w:t xml:space="preserve"> </w:t>
      </w:r>
      <w:r w:rsidR="00363096">
        <w:t xml:space="preserve">in </w:t>
      </w:r>
      <w:r w:rsidR="00E12C93">
        <w:t>restoring</w:t>
      </w:r>
      <w:r w:rsidR="00AF5758">
        <w:t xml:space="preserve"> </w:t>
      </w:r>
      <w:r w:rsidR="00D1615B">
        <w:t>a</w:t>
      </w:r>
      <w:r w:rsidR="00704732">
        <w:t xml:space="preserve"> supp</w:t>
      </w:r>
      <w:r w:rsidR="006252D0">
        <w:t>osed</w:t>
      </w:r>
      <w:r w:rsidR="00D1615B">
        <w:t xml:space="preserve"> pre-</w:t>
      </w:r>
      <w:r w:rsidR="00D1615B">
        <w:rPr>
          <w:i/>
          <w:iCs/>
        </w:rPr>
        <w:t>Katz</w:t>
      </w:r>
      <w:r w:rsidR="00AF5758">
        <w:t xml:space="preserve"> regime </w:t>
      </w:r>
      <w:r w:rsidR="00D1615B">
        <w:t>under</w:t>
      </w:r>
      <w:r w:rsidR="00AF5758">
        <w:t xml:space="preserve"> which Fourth Amendment protections turn on </w:t>
      </w:r>
      <w:r w:rsidR="00384DE7">
        <w:t xml:space="preserve">concepts of property and trespass rather than </w:t>
      </w:r>
      <w:r w:rsidR="00D8386A">
        <w:t xml:space="preserve">amorphous </w:t>
      </w:r>
      <w:r w:rsidR="004066D3">
        <w:t xml:space="preserve">notions of </w:t>
      </w:r>
      <w:r w:rsidR="00C95E90">
        <w:t>privacy</w:t>
      </w:r>
      <w:r w:rsidR="0067007F">
        <w:t>.</w:t>
      </w:r>
      <w:r w:rsidR="00DE5D44" w:rsidRPr="002A4234">
        <w:rPr>
          <w:rStyle w:val="FootnoteReference"/>
        </w:rPr>
        <w:footnoteReference w:id="4"/>
      </w:r>
      <w:r w:rsidR="007A5B0C">
        <w:t xml:space="preserve"> </w:t>
      </w:r>
      <w:r w:rsidR="00F73230">
        <w:t>Aided by</w:t>
      </w:r>
      <w:r w:rsidR="00B37612">
        <w:t xml:space="preserve"> </w:t>
      </w:r>
      <w:r w:rsidR="006B2063">
        <w:t xml:space="preserve">scholarly </w:t>
      </w:r>
      <w:r w:rsidR="00B37612">
        <w:t>efforts</w:t>
      </w:r>
      <w:r w:rsidR="006B2063">
        <w:t>,</w:t>
      </w:r>
      <w:bookmarkStart w:id="4" w:name="_Ref113024660"/>
      <w:r w:rsidR="00010A88" w:rsidRPr="002A4234">
        <w:rPr>
          <w:rStyle w:val="FootnoteReference"/>
        </w:rPr>
        <w:footnoteReference w:id="5"/>
      </w:r>
      <w:bookmarkEnd w:id="4"/>
      <w:r w:rsidR="006B2063">
        <w:t xml:space="preserve"> </w:t>
      </w:r>
      <w:r w:rsidR="00D06C88">
        <w:t>and perhaps by recent changes in the Court’s membership</w:t>
      </w:r>
      <w:r w:rsidR="00F75772">
        <w:t>,</w:t>
      </w:r>
      <w:r w:rsidR="00D06C88">
        <w:t xml:space="preserve"> </w:t>
      </w:r>
      <w:r w:rsidR="00B92521">
        <w:t>some kind of</w:t>
      </w:r>
      <w:r w:rsidR="006B2063">
        <w:t xml:space="preserve"> “positive</w:t>
      </w:r>
      <w:r w:rsidR="002469FC">
        <w:t xml:space="preserve"> </w:t>
      </w:r>
      <w:r w:rsidR="006B2063">
        <w:t xml:space="preserve">law” approach </w:t>
      </w:r>
      <w:r w:rsidR="002469FC">
        <w:t xml:space="preserve">might </w:t>
      </w:r>
      <w:r w:rsidR="00A91D39">
        <w:t>be poised to</w:t>
      </w:r>
      <w:r w:rsidR="004D5BC9">
        <w:t xml:space="preserve"> flourish</w:t>
      </w:r>
      <w:r w:rsidR="00CD34AB">
        <w:t>.</w:t>
      </w:r>
    </w:p>
    <w:p w14:paraId="2FD35F96" w14:textId="10BFDF8B" w:rsidR="00D92CF0" w:rsidRDefault="007D4FA1" w:rsidP="00814FDF">
      <w:pPr>
        <w:pStyle w:val="BodyText"/>
      </w:pPr>
      <w:r>
        <w:t>Yet</w:t>
      </w:r>
      <w:r w:rsidR="00BD279A">
        <w:t>,</w:t>
      </w:r>
      <w:r>
        <w:t xml:space="preserve"> </w:t>
      </w:r>
      <w:r w:rsidR="00BD4292">
        <w:t>Just</w:t>
      </w:r>
      <w:r w:rsidR="00DE058F">
        <w:t>ices drawn to</w:t>
      </w:r>
      <w:r w:rsidR="00DA0BC5">
        <w:t xml:space="preserve"> </w:t>
      </w:r>
      <w:r w:rsidR="00D64A22">
        <w:t>a positive-law approach</w:t>
      </w:r>
      <w:r w:rsidR="00721420">
        <w:t xml:space="preserve"> </w:t>
      </w:r>
      <w:r w:rsidR="00BD279A">
        <w:t>must still</w:t>
      </w:r>
      <w:r w:rsidR="00343043">
        <w:t xml:space="preserve"> resolve </w:t>
      </w:r>
      <w:r w:rsidR="00EA7F56">
        <w:t xml:space="preserve">fundamental questions about what exactly </w:t>
      </w:r>
      <w:r w:rsidR="00484A54">
        <w:t>that</w:t>
      </w:r>
      <w:r w:rsidR="00EA7F56">
        <w:t xml:space="preserve"> approach </w:t>
      </w:r>
      <w:r w:rsidR="00DA0BC5">
        <w:t xml:space="preserve">would </w:t>
      </w:r>
      <w:r w:rsidR="00EA7F56">
        <w:t xml:space="preserve">entail. </w:t>
      </w:r>
      <w:r w:rsidR="007C6911">
        <w:t xml:space="preserve">The leading scholarly </w:t>
      </w:r>
      <w:r w:rsidR="00457DFA">
        <w:t xml:space="preserve">proponents of </w:t>
      </w:r>
      <w:r w:rsidR="003B60F1">
        <w:t>a positive-</w:t>
      </w:r>
      <w:r w:rsidR="00E43881">
        <w:t>law</w:t>
      </w:r>
      <w:r w:rsidR="00457DFA">
        <w:t xml:space="preserve"> approach, William Baude and James </w:t>
      </w:r>
      <w:r w:rsidR="00B550C5">
        <w:t xml:space="preserve">Y. </w:t>
      </w:r>
      <w:r w:rsidR="00457DFA">
        <w:t xml:space="preserve">Stern, argue that </w:t>
      </w:r>
      <w:r w:rsidR="00223F1F">
        <w:t xml:space="preserve">in determining questions of the Fourth Amendment’s scope, courts should </w:t>
      </w:r>
      <w:r w:rsidR="00F72AA6">
        <w:t>ask whether “</w:t>
      </w:r>
      <w:r w:rsidR="00F72AA6" w:rsidRPr="00F72AA6">
        <w:t xml:space="preserve">the government actor </w:t>
      </w:r>
      <w:r w:rsidR="00EE484A">
        <w:t xml:space="preserve">[has] </w:t>
      </w:r>
      <w:r w:rsidR="00F72AA6" w:rsidRPr="00F72AA6">
        <w:t>done something that would be tortious, criminal, or otherwise a violation of some legal duty</w:t>
      </w:r>
      <w:r w:rsidR="00EE484A">
        <w:t xml:space="preserve"> under positive law</w:t>
      </w:r>
      <w:r w:rsidR="00F72AA6">
        <w:t>” if performed by a private person.</w:t>
      </w:r>
      <w:r w:rsidR="00F72AA6" w:rsidRPr="002A4234">
        <w:rPr>
          <w:rStyle w:val="FootnoteReference"/>
        </w:rPr>
        <w:footnoteReference w:id="6"/>
      </w:r>
      <w:r w:rsidR="00223F1F">
        <w:t xml:space="preserve"> </w:t>
      </w:r>
      <w:r w:rsidR="00485A69">
        <w:t>But the</w:t>
      </w:r>
      <w:r w:rsidR="00E53F4A">
        <w:t xml:space="preserve"> </w:t>
      </w:r>
      <w:r w:rsidR="009858E3">
        <w:t>J</w:t>
      </w:r>
      <w:r w:rsidR="00E53F4A">
        <w:t xml:space="preserve">ustices who are receptive to positive-law </w:t>
      </w:r>
      <w:r w:rsidR="001C05AE">
        <w:t>arguments</w:t>
      </w:r>
      <w:r w:rsidR="00E53F4A">
        <w:t xml:space="preserve"> </w:t>
      </w:r>
      <w:r w:rsidR="00485A69">
        <w:lastRenderedPageBreak/>
        <w:t xml:space="preserve">have not </w:t>
      </w:r>
      <w:r w:rsidR="00FF0352">
        <w:t>yet endorsed</w:t>
      </w:r>
      <w:r w:rsidR="00485A69">
        <w:t xml:space="preserve"> </w:t>
      </w:r>
      <w:r w:rsidR="00B30072">
        <w:t xml:space="preserve">Baude and Stern’s </w:t>
      </w:r>
      <w:r w:rsidR="00F623B6">
        <w:t>theory</w:t>
      </w:r>
      <w:r w:rsidR="00E94774">
        <w:t>, which we might call the “pure” positive-law model</w:t>
      </w:r>
      <w:r w:rsidR="00E53F4A">
        <w:t xml:space="preserve">. </w:t>
      </w:r>
      <w:r w:rsidR="00C53932">
        <w:t>Notably</w:t>
      </w:r>
      <w:r w:rsidR="00FA56FD">
        <w:t>, i</w:t>
      </w:r>
      <w:r w:rsidR="000A5D8F">
        <w:t xml:space="preserve">n his dissent in </w:t>
      </w:r>
      <w:r w:rsidR="000A5D8F">
        <w:rPr>
          <w:i/>
          <w:iCs/>
        </w:rPr>
        <w:t>Carpenter v. United States</w:t>
      </w:r>
      <w:r w:rsidR="000A5D8F">
        <w:t>,</w:t>
      </w:r>
      <w:r w:rsidR="00FE45CF" w:rsidRPr="002A4234">
        <w:rPr>
          <w:rStyle w:val="FootnoteReference"/>
        </w:rPr>
        <w:footnoteReference w:id="7"/>
      </w:r>
      <w:r w:rsidR="000A5D8F">
        <w:t xml:space="preserve"> </w:t>
      </w:r>
      <w:r w:rsidR="00E53F4A">
        <w:t xml:space="preserve">Justice Gorsuch </w:t>
      </w:r>
      <w:r w:rsidR="00FA56FD">
        <w:t>stressed</w:t>
      </w:r>
      <w:r w:rsidR="00E22A26">
        <w:t xml:space="preserve"> </w:t>
      </w:r>
      <w:r w:rsidR="00E41496">
        <w:t xml:space="preserve">his uncertainty about </w:t>
      </w:r>
      <w:r w:rsidR="00BD279A">
        <w:t xml:space="preserve">several </w:t>
      </w:r>
      <w:r w:rsidR="00E41496">
        <w:t>matters</w:t>
      </w:r>
      <w:r w:rsidR="00E22A26">
        <w:t>: “</w:t>
      </w:r>
      <w:r w:rsidR="00035893">
        <w:t>[I]</w:t>
      </w:r>
      <w:r w:rsidR="00A303B6" w:rsidRPr="00A303B6">
        <w:t xml:space="preserve">f a house, paper, or effect is yours, you have a Fourth Amendment interest in its protection. But </w:t>
      </w:r>
      <w:r w:rsidR="00A303B6">
        <w:t>w</w:t>
      </w:r>
      <w:r w:rsidR="00E22A26" w:rsidRPr="00E22A26">
        <w:t xml:space="preserve">hat kind of legal interest is sufficient to make something </w:t>
      </w:r>
      <w:r w:rsidR="00E22A26" w:rsidRPr="00A303B6">
        <w:rPr>
          <w:i/>
          <w:iCs/>
        </w:rPr>
        <w:t>yours</w:t>
      </w:r>
      <w:r w:rsidR="00E22A26" w:rsidRPr="00E22A26">
        <w:t>? And what source of law determines that? Current positive law? The common law at 1791, extended by analogy to modern times? Both?</w:t>
      </w:r>
      <w:r w:rsidR="00A303B6">
        <w:t>”</w:t>
      </w:r>
      <w:r w:rsidR="00FE45CF" w:rsidRPr="002A4234">
        <w:rPr>
          <w:rStyle w:val="FootnoteReference"/>
        </w:rPr>
        <w:footnoteReference w:id="8"/>
      </w:r>
    </w:p>
    <w:p w14:paraId="57E595C4" w14:textId="7CEADB70" w:rsidR="000809BC" w:rsidRDefault="00EE484A" w:rsidP="00814FDF">
      <w:pPr>
        <w:pStyle w:val="BodyText"/>
      </w:pPr>
      <w:r>
        <w:t>This Article</w:t>
      </w:r>
      <w:r w:rsidR="00F71606">
        <w:t xml:space="preserve"> offer</w:t>
      </w:r>
      <w:r>
        <w:t>s</w:t>
      </w:r>
      <w:r w:rsidR="00F71606">
        <w:t xml:space="preserve"> a different answer to Justice Gorsuch’s question: </w:t>
      </w:r>
      <w:r w:rsidR="00F71606">
        <w:rPr>
          <w:i/>
          <w:iCs/>
        </w:rPr>
        <w:t>neither</w:t>
      </w:r>
      <w:r w:rsidR="00F71606">
        <w:t xml:space="preserve">. </w:t>
      </w:r>
      <w:r w:rsidR="00DB05AE">
        <w:t xml:space="preserve">The Fourth Amendment should not be read as freezing </w:t>
      </w:r>
      <w:r w:rsidR="003676CD">
        <w:t>specific</w:t>
      </w:r>
      <w:r w:rsidR="00A1247A">
        <w:t xml:space="preserve"> common-law rules</w:t>
      </w:r>
      <w:r w:rsidR="003676CD">
        <w:t xml:space="preserve"> from the Founding</w:t>
      </w:r>
      <w:r w:rsidR="00730285">
        <w:t xml:space="preserve"> era</w:t>
      </w:r>
      <w:r w:rsidR="00A1247A">
        <w:t xml:space="preserve"> in </w:t>
      </w:r>
      <w:r w:rsidR="002A3A0F">
        <w:t>constitutional amber.</w:t>
      </w:r>
      <w:bookmarkStart w:id="5" w:name="_Ref114098122"/>
      <w:r w:rsidR="002A3A0F" w:rsidRPr="002A4234">
        <w:rPr>
          <w:rStyle w:val="FootnoteReference"/>
        </w:rPr>
        <w:footnoteReference w:id="9"/>
      </w:r>
      <w:bookmarkEnd w:id="5"/>
      <w:r w:rsidR="002A3A0F">
        <w:t xml:space="preserve"> Nor should </w:t>
      </w:r>
      <w:r w:rsidR="00580048">
        <w:t xml:space="preserve">it be understood as </w:t>
      </w:r>
      <w:r w:rsidR="00041170">
        <w:t xml:space="preserve">making Fourth Amendment protections </w:t>
      </w:r>
      <w:r w:rsidR="00A05C02">
        <w:t>wholly dependent on</w:t>
      </w:r>
      <w:r>
        <w:t xml:space="preserve"> today’s positive law, </w:t>
      </w:r>
      <w:r w:rsidR="00256659">
        <w:t>that is</w:t>
      </w:r>
      <w:r>
        <w:t>,</w:t>
      </w:r>
      <w:r w:rsidR="00A05C02">
        <w:t xml:space="preserve"> </w:t>
      </w:r>
      <w:r w:rsidR="00145122">
        <w:t xml:space="preserve">on </w:t>
      </w:r>
      <w:r w:rsidR="00A864C0">
        <w:t xml:space="preserve">whether the relevant jurisdiction </w:t>
      </w:r>
      <w:r w:rsidR="006B649D">
        <w:t>in which a search or seizure</w:t>
      </w:r>
      <w:r w:rsidR="00E5770A">
        <w:t xml:space="preserve"> occurs</w:t>
      </w:r>
      <w:r w:rsidR="006B649D">
        <w:t xml:space="preserve"> </w:t>
      </w:r>
      <w:r w:rsidR="00A864C0">
        <w:t>prohibit</w:t>
      </w:r>
      <w:r w:rsidR="00E5770A">
        <w:t>s</w:t>
      </w:r>
      <w:r w:rsidR="00A864C0">
        <w:t xml:space="preserve"> the conduct </w:t>
      </w:r>
      <w:r w:rsidR="00EC0947">
        <w:t xml:space="preserve">at issue for private parties. Instead, </w:t>
      </w:r>
      <w:r w:rsidR="00F97C6D">
        <w:t xml:space="preserve">courts should </w:t>
      </w:r>
      <w:r w:rsidR="003C5DF2">
        <w:t>interpret</w:t>
      </w:r>
      <w:r w:rsidR="00F97C6D">
        <w:t xml:space="preserve"> the Fourth Amendment by turning to </w:t>
      </w:r>
      <w:r w:rsidR="00F97C6D">
        <w:rPr>
          <w:i/>
          <w:iCs/>
        </w:rPr>
        <w:t>general law</w:t>
      </w:r>
      <w:r w:rsidR="00F97C6D">
        <w:t xml:space="preserve">. </w:t>
      </w:r>
      <w:r w:rsidR="00AA4892">
        <w:t xml:space="preserve">The general law, </w:t>
      </w:r>
      <w:r w:rsidR="003C5DF2">
        <w:t xml:space="preserve">in </w:t>
      </w:r>
      <w:r w:rsidR="00CA4784">
        <w:t>Caleb Nelson</w:t>
      </w:r>
      <w:r w:rsidR="00AA4892">
        <w:t>’s words</w:t>
      </w:r>
      <w:r w:rsidR="00CA4784">
        <w:t xml:space="preserve">, </w:t>
      </w:r>
      <w:r w:rsidR="00AA4892">
        <w:t>is a set of</w:t>
      </w:r>
      <w:r w:rsidR="00CA4784">
        <w:t xml:space="preserve"> “</w:t>
      </w:r>
      <w:r w:rsidR="00CA4784" w:rsidRPr="00CA4784">
        <w:t>rules that are not under the control of any single jurisdiction, but instead reflect principles or practices common to many different jurisdictions</w:t>
      </w:r>
      <w:r w:rsidR="00CA4784">
        <w:t>.”</w:t>
      </w:r>
      <w:bookmarkStart w:id="6" w:name="_Ref114089429"/>
      <w:r w:rsidR="00CA4784" w:rsidRPr="002A4234">
        <w:rPr>
          <w:rStyle w:val="FootnoteReference"/>
        </w:rPr>
        <w:footnoteReference w:id="10"/>
      </w:r>
      <w:bookmarkEnd w:id="6"/>
      <w:r w:rsidR="00185C37">
        <w:t xml:space="preserve"> </w:t>
      </w:r>
      <w:r w:rsidR="009A15B7">
        <w:t xml:space="preserve">In other words, </w:t>
      </w:r>
      <w:r w:rsidR="00797538">
        <w:t xml:space="preserve">this approach would ask courts to resolve Fourth Amendment questions </w:t>
      </w:r>
      <w:r w:rsidR="00AA140D">
        <w:t>not by looking to</w:t>
      </w:r>
      <w:r w:rsidR="004701DD">
        <w:t xml:space="preserve"> the common law </w:t>
      </w:r>
      <w:r w:rsidR="00AA140D">
        <w:t xml:space="preserve">of 1791, but instead by using the tools of the common law to determine </w:t>
      </w:r>
      <w:r w:rsidR="00797538">
        <w:t xml:space="preserve">the </w:t>
      </w:r>
      <w:r w:rsidR="002C49E2">
        <w:t xml:space="preserve">general law of the country </w:t>
      </w:r>
      <w:r w:rsidR="002C49E2" w:rsidRPr="00CD7FFD">
        <w:rPr>
          <w:i/>
          <w:iCs/>
        </w:rPr>
        <w:t>today</w:t>
      </w:r>
      <w:r w:rsidR="002C49E2">
        <w:t>.</w:t>
      </w:r>
    </w:p>
    <w:p w14:paraId="1DF119BB" w14:textId="0B87F927" w:rsidR="007423DF" w:rsidRDefault="00813D0B" w:rsidP="00FE031E">
      <w:pPr>
        <w:pStyle w:val="BodyText"/>
      </w:pPr>
      <w:r>
        <w:t xml:space="preserve">What would this approach look like in practice? </w:t>
      </w:r>
      <w:r w:rsidR="00F869C0">
        <w:t xml:space="preserve">A court would begin by </w:t>
      </w:r>
      <w:r w:rsidR="00FE031E">
        <w:t>verifying</w:t>
      </w:r>
      <w:r w:rsidR="00F869C0">
        <w:t xml:space="preserve"> whether </w:t>
      </w:r>
      <w:r w:rsidR="00D601E7">
        <w:t xml:space="preserve">the government conduct </w:t>
      </w:r>
      <w:r w:rsidR="00536201">
        <w:t xml:space="preserve">at issue </w:t>
      </w:r>
      <w:r w:rsidR="00FE031E">
        <w:t>w</w:t>
      </w:r>
      <w:r w:rsidR="00536201">
        <w:t>as a “search” or a “seizure</w:t>
      </w:r>
      <w:r w:rsidR="000945F8">
        <w:t>.</w:t>
      </w:r>
      <w:r w:rsidR="00536201">
        <w:t>”</w:t>
      </w:r>
      <w:r w:rsidR="000945F8">
        <w:t xml:space="preserve"> </w:t>
      </w:r>
      <w:r w:rsidR="00B26380">
        <w:t>Under some approaches, this threshold question is complex</w:t>
      </w:r>
      <w:r w:rsidR="00BD6755">
        <w:t>.</w:t>
      </w:r>
      <w:r w:rsidR="00B26380">
        <w:t xml:space="preserve"> </w:t>
      </w:r>
      <w:r w:rsidR="00D4771C">
        <w:t xml:space="preserve">For example, </w:t>
      </w:r>
      <w:r w:rsidR="00B26380">
        <w:t xml:space="preserve">under </w:t>
      </w:r>
      <w:r w:rsidR="00B26380">
        <w:rPr>
          <w:i/>
          <w:iCs/>
        </w:rPr>
        <w:t>Katz</w:t>
      </w:r>
      <w:r w:rsidR="00B26380">
        <w:t xml:space="preserve">, government conduct is only a “search” if </w:t>
      </w:r>
      <w:r w:rsidR="007613BE">
        <w:t xml:space="preserve">a court concludes </w:t>
      </w:r>
      <w:r w:rsidR="00D4771C">
        <w:t xml:space="preserve">that </w:t>
      </w:r>
      <w:r w:rsidR="007613BE">
        <w:t>it</w:t>
      </w:r>
      <w:r w:rsidR="00B26380">
        <w:t xml:space="preserve"> violates someone’s reasonable expectations of privacy. Similarly, under Baude </w:t>
      </w:r>
      <w:r w:rsidR="00B30072">
        <w:t xml:space="preserve">and </w:t>
      </w:r>
      <w:r w:rsidR="00B26380">
        <w:t xml:space="preserve">Stern’s model, </w:t>
      </w:r>
      <w:r w:rsidR="007613BE">
        <w:t>government only “searches” or “seizes” when it violates</w:t>
      </w:r>
      <w:r w:rsidR="006B5E84">
        <w:t xml:space="preserve"> the</w:t>
      </w:r>
      <w:r w:rsidR="007613BE">
        <w:t xml:space="preserve"> positive law. Under the general-law approach, by contrast, “search” and “seizure” are </w:t>
      </w:r>
      <w:r w:rsidR="005E66B4">
        <w:t xml:space="preserve">read </w:t>
      </w:r>
      <w:r w:rsidR="00872572">
        <w:t>in</w:t>
      </w:r>
      <w:r w:rsidR="007613BE">
        <w:t xml:space="preserve"> a</w:t>
      </w:r>
      <w:r w:rsidR="00C622B6">
        <w:t xml:space="preserve"> broader and</w:t>
      </w:r>
      <w:r w:rsidR="007613BE">
        <w:t xml:space="preserve"> more commonsense way</w:t>
      </w:r>
      <w:r w:rsidR="00AB19B8">
        <w:t>.</w:t>
      </w:r>
      <w:r w:rsidR="003E4E99" w:rsidRPr="002A4234">
        <w:rPr>
          <w:rStyle w:val="FootnoteReference"/>
        </w:rPr>
        <w:footnoteReference w:id="11"/>
      </w:r>
      <w:r w:rsidR="00AB19B8">
        <w:t xml:space="preserve"> </w:t>
      </w:r>
      <w:r w:rsidR="00AC7E37">
        <w:t xml:space="preserve">The general-law reading </w:t>
      </w:r>
      <w:r w:rsidR="00AB19B8">
        <w:t xml:space="preserve">accords with </w:t>
      </w:r>
      <w:r w:rsidR="009F6F38">
        <w:t xml:space="preserve">the </w:t>
      </w:r>
      <w:r w:rsidR="00AB19B8">
        <w:t>plain meaning</w:t>
      </w:r>
      <w:r w:rsidR="003D3FE7">
        <w:t xml:space="preserve"> of those words themselves and </w:t>
      </w:r>
      <w:r w:rsidR="007C545C">
        <w:t>clarifies</w:t>
      </w:r>
      <w:r w:rsidR="002E193B">
        <w:t xml:space="preserve"> </w:t>
      </w:r>
      <w:r w:rsidR="0027592F">
        <w:t>how the</w:t>
      </w:r>
      <w:r w:rsidR="004154A8">
        <w:t xml:space="preserve"> Amendment</w:t>
      </w:r>
      <w:r w:rsidR="00197949">
        <w:t>’s</w:t>
      </w:r>
      <w:r w:rsidR="004154A8">
        <w:t xml:space="preserve"> clauses </w:t>
      </w:r>
      <w:r w:rsidR="0027592F">
        <w:t>interact</w:t>
      </w:r>
      <w:r w:rsidR="003D3FE7">
        <w:t>.</w:t>
      </w:r>
    </w:p>
    <w:p w14:paraId="5F358F28" w14:textId="3E8EF7BE" w:rsidR="007613BE" w:rsidRDefault="00AE2844" w:rsidP="007613BE">
      <w:pPr>
        <w:pStyle w:val="BodyText"/>
      </w:pPr>
      <w:r>
        <w:t>Assuming</w:t>
      </w:r>
      <w:r w:rsidR="000F3666">
        <w:t xml:space="preserve"> </w:t>
      </w:r>
      <w:r w:rsidR="000C7FE3">
        <w:t xml:space="preserve">that the </w:t>
      </w:r>
      <w:r w:rsidR="00CA3E35">
        <w:t xml:space="preserve">government </w:t>
      </w:r>
      <w:r>
        <w:t>conduct qualified as a s</w:t>
      </w:r>
      <w:r w:rsidR="004F0B13">
        <w:t>earch or seizure</w:t>
      </w:r>
      <w:r w:rsidR="007613BE">
        <w:t xml:space="preserve">, </w:t>
      </w:r>
      <w:r w:rsidR="00176612">
        <w:t xml:space="preserve">a court would </w:t>
      </w:r>
      <w:r w:rsidR="00267EE1">
        <w:t>then</w:t>
      </w:r>
      <w:r w:rsidR="0012208F">
        <w:t xml:space="preserve"> </w:t>
      </w:r>
      <w:r w:rsidR="005A34D4">
        <w:t>inquir</w:t>
      </w:r>
      <w:r w:rsidR="007613BE">
        <w:t>e</w:t>
      </w:r>
      <w:r w:rsidR="005A34D4">
        <w:t xml:space="preserve"> whether</w:t>
      </w:r>
      <w:r w:rsidR="007613BE">
        <w:t xml:space="preserve"> </w:t>
      </w:r>
      <w:r w:rsidR="00FB204B">
        <w:t>it</w:t>
      </w:r>
      <w:r w:rsidR="005A34D4">
        <w:t xml:space="preserve"> intruded on</w:t>
      </w:r>
      <w:r w:rsidR="00D601E7">
        <w:t xml:space="preserve"> </w:t>
      </w:r>
      <w:r w:rsidR="00624B13">
        <w:t>someone’s “person[], house[], papers, or effects</w:t>
      </w:r>
      <w:r w:rsidR="00D601E7">
        <w:t>.</w:t>
      </w:r>
      <w:r w:rsidR="00624B13">
        <w:t>”</w:t>
      </w:r>
      <w:r w:rsidR="00D601E7" w:rsidRPr="002A4234">
        <w:rPr>
          <w:rStyle w:val="FootnoteReference"/>
        </w:rPr>
        <w:footnoteReference w:id="12"/>
      </w:r>
      <w:r w:rsidR="00624B13">
        <w:t xml:space="preserve"> </w:t>
      </w:r>
      <w:r w:rsidR="009656E7">
        <w:t xml:space="preserve">In many cases, this inquiry is easy: when police barge into </w:t>
      </w:r>
      <w:r w:rsidR="006B5E84">
        <w:t>some</w:t>
      </w:r>
      <w:r w:rsidR="00804DFB">
        <w:t>one’s</w:t>
      </w:r>
      <w:r w:rsidR="009656E7">
        <w:t xml:space="preserve"> </w:t>
      </w:r>
      <w:r w:rsidR="004C713A">
        <w:t>home</w:t>
      </w:r>
      <w:r w:rsidR="00CB4013">
        <w:t xml:space="preserve">, or physically restrain </w:t>
      </w:r>
      <w:r w:rsidR="003676CD">
        <w:t>someone</w:t>
      </w:r>
      <w:r w:rsidR="00CB4013">
        <w:t xml:space="preserve">, there is little doubt that the Amendment’s protections </w:t>
      </w:r>
      <w:r w:rsidR="00C45FAC">
        <w:t>apply</w:t>
      </w:r>
      <w:r w:rsidR="00CB4013">
        <w:t xml:space="preserve">. But </w:t>
      </w:r>
      <w:r w:rsidR="00BA6C09">
        <w:t>other</w:t>
      </w:r>
      <w:r w:rsidR="00CB4013">
        <w:t xml:space="preserve"> questions are harder: </w:t>
      </w:r>
      <w:r w:rsidR="00425CB9">
        <w:t>can an</w:t>
      </w:r>
      <w:r w:rsidR="00F14D03">
        <w:t xml:space="preserve"> overnight guest </w:t>
      </w:r>
      <w:r w:rsidR="00425CB9">
        <w:t xml:space="preserve">be said </w:t>
      </w:r>
      <w:r w:rsidR="00182510">
        <w:t xml:space="preserve">to be in </w:t>
      </w:r>
      <w:r w:rsidR="00182510">
        <w:rPr>
          <w:i/>
          <w:iCs/>
        </w:rPr>
        <w:t>her own</w:t>
      </w:r>
      <w:r w:rsidR="00182510">
        <w:t xml:space="preserve"> “house” if the home is searched while she is staying </w:t>
      </w:r>
      <w:r w:rsidR="00182510">
        <w:lastRenderedPageBreak/>
        <w:t xml:space="preserve">there? </w:t>
      </w:r>
      <w:r w:rsidR="00B81A3D">
        <w:t>I</w:t>
      </w:r>
      <w:r w:rsidR="00182510">
        <w:t>s a digital copy of a</w:t>
      </w:r>
      <w:r w:rsidR="00DA145A">
        <w:t>n email</w:t>
      </w:r>
      <w:r w:rsidR="00B81A3D">
        <w:t xml:space="preserve"> that resides on a cloud-storage company’s servers </w:t>
      </w:r>
      <w:r w:rsidR="00480F64">
        <w:t>the</w:t>
      </w:r>
      <w:r w:rsidR="00D22979">
        <w:t xml:space="preserve"> “papers” of </w:t>
      </w:r>
      <w:r w:rsidR="00907E5F">
        <w:t>a suspect</w:t>
      </w:r>
      <w:r w:rsidR="00DB7828">
        <w:t>?</w:t>
      </w:r>
      <w:bookmarkStart w:id="7" w:name="_Ref114085953"/>
      <w:r w:rsidR="00A017C6" w:rsidRPr="002A4234">
        <w:rPr>
          <w:rStyle w:val="FootnoteReference"/>
        </w:rPr>
        <w:footnoteReference w:id="13"/>
      </w:r>
      <w:bookmarkEnd w:id="7"/>
      <w:r w:rsidR="00DB7828">
        <w:t xml:space="preserve"> </w:t>
      </w:r>
      <w:r w:rsidR="00C75F86">
        <w:t>Is</w:t>
      </w:r>
      <w:r w:rsidR="00AB7B70">
        <w:t xml:space="preserve"> a </w:t>
      </w:r>
      <w:r w:rsidR="00B50575">
        <w:t>homeowner’s</w:t>
      </w:r>
      <w:r w:rsidR="00C75F86">
        <w:t xml:space="preserve"> trash left </w:t>
      </w:r>
      <w:r w:rsidR="006B5E84">
        <w:t>at the curb</w:t>
      </w:r>
      <w:r w:rsidR="00C75F86">
        <w:t xml:space="preserve"> that person’s “effects”?</w:t>
      </w:r>
      <w:r w:rsidR="00C75F86" w:rsidRPr="002A4234">
        <w:rPr>
          <w:rStyle w:val="FootnoteReference"/>
        </w:rPr>
        <w:footnoteReference w:id="14"/>
      </w:r>
      <w:r w:rsidR="00D119FB">
        <w:t xml:space="preserve"> </w:t>
      </w:r>
      <w:r w:rsidR="00762505">
        <w:t>Courts would answer these questi</w:t>
      </w:r>
      <w:r w:rsidR="00705BF3">
        <w:t xml:space="preserve">ons </w:t>
      </w:r>
      <w:r w:rsidR="005E348C">
        <w:t>by looking to</w:t>
      </w:r>
      <w:r w:rsidR="005503E4">
        <w:t xml:space="preserve"> </w:t>
      </w:r>
      <w:r w:rsidR="009E4A09">
        <w:t>well</w:t>
      </w:r>
      <w:r w:rsidR="00EC73FE">
        <w:t>-establishe</w:t>
      </w:r>
      <w:r w:rsidR="00B74DF2">
        <w:t>d</w:t>
      </w:r>
      <w:r w:rsidR="002F530E">
        <w:t xml:space="preserve"> </w:t>
      </w:r>
      <w:r w:rsidR="00FB1587">
        <w:t>general</w:t>
      </w:r>
      <w:r w:rsidR="004818EB">
        <w:t>-law property conc</w:t>
      </w:r>
      <w:r w:rsidR="002856D1">
        <w:t>epts</w:t>
      </w:r>
      <w:r w:rsidR="008F0DAD">
        <w:t>.</w:t>
      </w:r>
    </w:p>
    <w:p w14:paraId="4CCD6DA3" w14:textId="1CE378C3" w:rsidR="00850179" w:rsidRDefault="00907E5F" w:rsidP="00ED06A7">
      <w:pPr>
        <w:pStyle w:val="BodyText"/>
      </w:pPr>
      <w:r>
        <w:t>I</w:t>
      </w:r>
      <w:r w:rsidR="0063318C">
        <w:t xml:space="preserve">f the </w:t>
      </w:r>
      <w:r w:rsidR="00E83DAC">
        <w:t>search or seizure did intrude on</w:t>
      </w:r>
      <w:r w:rsidR="00E66FDC">
        <w:t xml:space="preserve"> one of the Fourth Amendment’s protected </w:t>
      </w:r>
      <w:r w:rsidR="007C4595">
        <w:t xml:space="preserve">categories, a court would then </w:t>
      </w:r>
      <w:r w:rsidR="00B4374C">
        <w:t xml:space="preserve">determine whether </w:t>
      </w:r>
      <w:r w:rsidR="00327835">
        <w:t>it</w:t>
      </w:r>
      <w:r w:rsidR="00B4374C">
        <w:t xml:space="preserve"> was “unreasonable” by </w:t>
      </w:r>
      <w:r w:rsidR="00EA2D2C">
        <w:t>asking</w:t>
      </w:r>
      <w:r w:rsidR="00B4374C">
        <w:t xml:space="preserve"> whether </w:t>
      </w:r>
      <w:r w:rsidR="00233E5A">
        <w:t>it</w:t>
      </w:r>
      <w:r w:rsidR="00B4374C">
        <w:t xml:space="preserve"> </w:t>
      </w:r>
      <w:r w:rsidR="000A655F">
        <w:t xml:space="preserve">would violate the general law. </w:t>
      </w:r>
      <w:r w:rsidR="00DB7828">
        <w:t xml:space="preserve">In </w:t>
      </w:r>
      <w:r w:rsidR="00E825CA">
        <w:t xml:space="preserve">this </w:t>
      </w:r>
      <w:r w:rsidR="00383023">
        <w:t>analysis</w:t>
      </w:r>
      <w:r w:rsidR="00DB7828">
        <w:t xml:space="preserve">, </w:t>
      </w:r>
      <w:r w:rsidR="003317C8">
        <w:t xml:space="preserve">courts </w:t>
      </w:r>
      <w:r w:rsidR="00152F12">
        <w:t>would no</w:t>
      </w:r>
      <w:r w:rsidR="00E825CA">
        <w:t xml:space="preserve"> longer</w:t>
      </w:r>
      <w:r w:rsidR="00152F12">
        <w:t xml:space="preserve"> make</w:t>
      </w:r>
      <w:r w:rsidR="003317C8">
        <w:t xml:space="preserve"> untethered </w:t>
      </w:r>
      <w:r w:rsidR="00E825CA">
        <w:t xml:space="preserve">and speculative </w:t>
      </w:r>
      <w:r w:rsidR="003317C8">
        <w:t>inquiries into “</w:t>
      </w:r>
      <w:r w:rsidR="00E825CA">
        <w:t xml:space="preserve">reasonable expectations of </w:t>
      </w:r>
      <w:r w:rsidR="003317C8">
        <w:t xml:space="preserve">privacy,” as </w:t>
      </w:r>
      <w:r w:rsidR="00E825CA">
        <w:t>the</w:t>
      </w:r>
      <w:r w:rsidR="003317C8">
        <w:t xml:space="preserve"> </w:t>
      </w:r>
      <w:r w:rsidR="003317C8">
        <w:rPr>
          <w:i/>
          <w:iCs/>
        </w:rPr>
        <w:t>Katz</w:t>
      </w:r>
      <w:r w:rsidR="003317C8">
        <w:t xml:space="preserve"> </w:t>
      </w:r>
      <w:r w:rsidR="00E825CA">
        <w:t xml:space="preserve">test </w:t>
      </w:r>
      <w:r w:rsidR="003317C8">
        <w:t>requires</w:t>
      </w:r>
      <w:r w:rsidR="008606B1">
        <w:t xml:space="preserve"> (though it confusingly does so at the threshold step of determining whether a “search” occurred)</w:t>
      </w:r>
      <w:r w:rsidR="003317C8">
        <w:t xml:space="preserve">. </w:t>
      </w:r>
      <w:r w:rsidR="00F073E8">
        <w:t xml:space="preserve">But neither </w:t>
      </w:r>
      <w:r w:rsidR="00F01995">
        <w:t xml:space="preserve">would </w:t>
      </w:r>
      <w:r w:rsidR="008606B1">
        <w:t>courts</w:t>
      </w:r>
      <w:r w:rsidR="00F01995">
        <w:t xml:space="preserve"> ask</w:t>
      </w:r>
      <w:r w:rsidR="00F073E8">
        <w:t xml:space="preserve"> whether </w:t>
      </w:r>
      <w:r w:rsidR="00FE70B4">
        <w:t xml:space="preserve">common-law jurists in 1791 would have </w:t>
      </w:r>
      <w:r w:rsidR="00330D00">
        <w:t>seen the government conduct</w:t>
      </w:r>
      <w:r w:rsidR="00FE70B4">
        <w:t xml:space="preserve"> as </w:t>
      </w:r>
      <w:r w:rsidR="00330D00">
        <w:t>unlawful</w:t>
      </w:r>
      <w:r w:rsidR="00FE70B4">
        <w:t xml:space="preserve">. </w:t>
      </w:r>
      <w:r w:rsidR="003317C8">
        <w:t xml:space="preserve">Instead, they </w:t>
      </w:r>
      <w:r w:rsidR="001128C8">
        <w:t>w</w:t>
      </w:r>
      <w:r w:rsidR="003317C8">
        <w:t>ould</w:t>
      </w:r>
      <w:r w:rsidR="00DB7828">
        <w:t xml:space="preserve"> use the </w:t>
      </w:r>
      <w:r w:rsidR="00DB7828" w:rsidRPr="00FE70B4">
        <w:rPr>
          <w:i/>
          <w:iCs/>
        </w:rPr>
        <w:t>tools</w:t>
      </w:r>
      <w:r w:rsidR="00DB7828">
        <w:t xml:space="preserve"> of the common law</w:t>
      </w:r>
      <w:r w:rsidR="00F155CC">
        <w:t>, particularly the private law</w:t>
      </w:r>
      <w:r w:rsidR="00FE70B4">
        <w:t xml:space="preserve">, to </w:t>
      </w:r>
      <w:r w:rsidR="00E42DDC">
        <w:t>aid in</w:t>
      </w:r>
      <w:r w:rsidR="00FE70B4">
        <w:t xml:space="preserve"> determin</w:t>
      </w:r>
      <w:r w:rsidR="00E42DDC">
        <w:t>ing</w:t>
      </w:r>
      <w:r w:rsidR="00FE70B4">
        <w:t xml:space="preserve"> how the general law would resolve the question today</w:t>
      </w:r>
      <w:r w:rsidR="00DB7828">
        <w:t xml:space="preserve">. </w:t>
      </w:r>
      <w:r w:rsidR="00E83CD5">
        <w:t>To be sure, m</w:t>
      </w:r>
      <w:r w:rsidR="00DB7828">
        <w:t xml:space="preserve">usty </w:t>
      </w:r>
      <w:r w:rsidR="00DA145A">
        <w:t xml:space="preserve">property-law </w:t>
      </w:r>
      <w:r w:rsidR="00DB7828">
        <w:t>concepts like licenses, bailments,</w:t>
      </w:r>
      <w:r w:rsidR="00DA145A">
        <w:t xml:space="preserve"> and</w:t>
      </w:r>
      <w:r w:rsidR="00DB7828">
        <w:t xml:space="preserve"> </w:t>
      </w:r>
      <w:r w:rsidR="00DA145A">
        <w:t>abandonment can help</w:t>
      </w:r>
      <w:r w:rsidR="00E42DDC">
        <w:t xml:space="preserve"> to</w:t>
      </w:r>
      <w:r w:rsidR="00DA145A">
        <w:t xml:space="preserve"> resolve </w:t>
      </w:r>
      <w:r w:rsidR="00BF2E37">
        <w:t xml:space="preserve">many </w:t>
      </w:r>
      <w:r w:rsidR="002A343F">
        <w:t>hard</w:t>
      </w:r>
      <w:r w:rsidR="00DA145A">
        <w:t xml:space="preserve"> </w:t>
      </w:r>
      <w:r w:rsidR="00BF2E37">
        <w:t xml:space="preserve">Fourth Amendment </w:t>
      </w:r>
      <w:r w:rsidR="00835F5F">
        <w:t xml:space="preserve">questions. </w:t>
      </w:r>
      <w:r w:rsidR="002E3508">
        <w:t>But i</w:t>
      </w:r>
      <w:r w:rsidR="004B5654">
        <w:t xml:space="preserve">n </w:t>
      </w:r>
      <w:r w:rsidR="00025BA0">
        <w:t xml:space="preserve">determining </w:t>
      </w:r>
      <w:r w:rsidR="007613BE">
        <w:t>what searches were “unreasonable</w:t>
      </w:r>
      <w:r w:rsidR="004B5654">
        <w:t>,</w:t>
      </w:r>
      <w:r w:rsidR="007613BE">
        <w:t>”</w:t>
      </w:r>
      <w:r w:rsidR="004B5654">
        <w:t xml:space="preserve"> courts would not be limited to</w:t>
      </w:r>
      <w:r w:rsidR="00F004C5">
        <w:t xml:space="preserve"> </w:t>
      </w:r>
      <w:r w:rsidR="00002410">
        <w:t xml:space="preserve">the </w:t>
      </w:r>
      <w:r w:rsidR="00F004C5">
        <w:t xml:space="preserve">specific common-law rules, or even </w:t>
      </w:r>
      <w:r w:rsidR="00DB2C75">
        <w:t>the</w:t>
      </w:r>
      <w:r w:rsidR="00F004C5">
        <w:t xml:space="preserve"> </w:t>
      </w:r>
      <w:r w:rsidR="0099603A">
        <w:t>broader</w:t>
      </w:r>
      <w:r w:rsidR="004B5654">
        <w:t xml:space="preserve"> common-law categories</w:t>
      </w:r>
      <w:r w:rsidR="00002410">
        <w:t>,</w:t>
      </w:r>
      <w:r w:rsidR="004B5654">
        <w:t xml:space="preserve"> known </w:t>
      </w:r>
      <w:r w:rsidR="007E01E1">
        <w:t>when</w:t>
      </w:r>
      <w:r w:rsidR="00B67738">
        <w:t xml:space="preserve"> </w:t>
      </w:r>
      <w:r w:rsidR="00C63507">
        <w:t>the</w:t>
      </w:r>
      <w:r w:rsidR="00002410">
        <w:t xml:space="preserve"> Fourth Amendment</w:t>
      </w:r>
      <w:r w:rsidR="00B67738">
        <w:t xml:space="preserve"> was </w:t>
      </w:r>
      <w:r w:rsidR="00E42DDC">
        <w:t>ratified</w:t>
      </w:r>
      <w:r w:rsidR="00802FF1">
        <w:t xml:space="preserve">. </w:t>
      </w:r>
      <w:r w:rsidR="0036365D">
        <w:t xml:space="preserve">Instead, </w:t>
      </w:r>
      <w:r w:rsidR="00DB2C75">
        <w:t>judges</w:t>
      </w:r>
      <w:r w:rsidR="0036365D">
        <w:t xml:space="preserve"> would look to how common-law rules have evolved since the Founding</w:t>
      </w:r>
      <w:r w:rsidR="00A316BC">
        <w:t>. A</w:t>
      </w:r>
      <w:r w:rsidR="0036365D">
        <w:t xml:space="preserve">nd </w:t>
      </w:r>
      <w:r w:rsidR="007613BE">
        <w:t>in so doing,</w:t>
      </w:r>
      <w:r w:rsidR="0036365D">
        <w:t xml:space="preserve"> </w:t>
      </w:r>
      <w:r w:rsidR="00DB2C75">
        <w:t>judges</w:t>
      </w:r>
      <w:r w:rsidR="0036365D">
        <w:t xml:space="preserve"> would </w:t>
      </w:r>
      <w:r w:rsidR="00A316BC">
        <w:t xml:space="preserve">also </w:t>
      </w:r>
      <w:r w:rsidR="0036365D">
        <w:t>contribute to that continued evolution.</w:t>
      </w:r>
    </w:p>
    <w:p w14:paraId="5AF1E83F" w14:textId="24124106" w:rsidR="00ED06A7" w:rsidRDefault="00E050BB" w:rsidP="00850179">
      <w:pPr>
        <w:pStyle w:val="BodyText"/>
      </w:pPr>
      <w:r>
        <w:t>U</w:t>
      </w:r>
      <w:r w:rsidR="00A316BC">
        <w:t>nlike</w:t>
      </w:r>
      <w:r w:rsidR="00850179">
        <w:t xml:space="preserve"> </w:t>
      </w:r>
      <w:r w:rsidR="000F0455">
        <w:t>the pure</w:t>
      </w:r>
      <w:r w:rsidR="009A1F11">
        <w:t xml:space="preserve"> </w:t>
      </w:r>
      <w:r w:rsidR="00DB2C75">
        <w:t>positive-law model</w:t>
      </w:r>
      <w:r w:rsidR="00850179">
        <w:t xml:space="preserve">, </w:t>
      </w:r>
      <w:r w:rsidR="007F3E43">
        <w:t>the general-law approach would not</w:t>
      </w:r>
      <w:r w:rsidR="00067262">
        <w:t xml:space="preserve"> </w:t>
      </w:r>
      <w:r w:rsidR="00DB2C75">
        <w:t>treat</w:t>
      </w:r>
      <w:r w:rsidR="00067262">
        <w:t xml:space="preserve"> any </w:t>
      </w:r>
      <w:r w:rsidR="00EB1E70">
        <w:t xml:space="preserve">one </w:t>
      </w:r>
      <w:r w:rsidR="00DB2C75">
        <w:t xml:space="preserve">jurisdiction’s </w:t>
      </w:r>
      <w:r w:rsidR="002B2A3A">
        <w:t>law</w:t>
      </w:r>
      <w:r w:rsidR="00DB2C75">
        <w:t xml:space="preserve"> governing private parties</w:t>
      </w:r>
      <w:r w:rsidR="00992510" w:rsidRPr="00992510">
        <w:t xml:space="preserve"> </w:t>
      </w:r>
      <w:r w:rsidR="00992510">
        <w:t>as controlling</w:t>
      </w:r>
      <w:r w:rsidR="003E7017">
        <w:t xml:space="preserve">. </w:t>
      </w:r>
      <w:r w:rsidR="00A50AAF">
        <w:t>In</w:t>
      </w:r>
      <w:r w:rsidR="00DB2C75">
        <w:t>stead, in</w:t>
      </w:r>
      <w:r w:rsidR="00A50AAF">
        <w:t xml:space="preserve"> trying to identify the </w:t>
      </w:r>
      <w:r w:rsidR="000432F7">
        <w:t>country’s</w:t>
      </w:r>
      <w:r w:rsidR="00A50AAF">
        <w:t xml:space="preserve"> general law, </w:t>
      </w:r>
      <w:r w:rsidR="00DB2C75">
        <w:t>cou</w:t>
      </w:r>
      <w:r w:rsidR="008F3932">
        <w:t>r</w:t>
      </w:r>
      <w:r w:rsidR="00DB2C75">
        <w:t xml:space="preserve">ts would look to </w:t>
      </w:r>
      <w:r w:rsidR="00A50AAF">
        <w:t xml:space="preserve">the laws and practices of </w:t>
      </w:r>
      <w:r w:rsidR="006C7BBE">
        <w:t xml:space="preserve">different </w:t>
      </w:r>
      <w:r w:rsidR="00A50AAF">
        <w:t xml:space="preserve">jurisdictions </w:t>
      </w:r>
      <w:r w:rsidR="00DB2C75">
        <w:t>as</w:t>
      </w:r>
      <w:r w:rsidR="00A50AAF">
        <w:t xml:space="preserve"> relevant data points</w:t>
      </w:r>
      <w:r w:rsidR="001F5FBA">
        <w:t>—persuasive precedent—</w:t>
      </w:r>
      <w:r w:rsidR="00A50AAF">
        <w:t xml:space="preserve">not </w:t>
      </w:r>
      <w:r w:rsidR="00D678B7">
        <w:t>as</w:t>
      </w:r>
      <w:r w:rsidR="00A50AAF">
        <w:t xml:space="preserve"> dispositive</w:t>
      </w:r>
      <w:r w:rsidR="00D678B7">
        <w:t xml:space="preserve"> authorities</w:t>
      </w:r>
      <w:r w:rsidR="00A50AAF">
        <w:t xml:space="preserve">. </w:t>
      </w:r>
      <w:r w:rsidR="00234E75">
        <w:t xml:space="preserve">That is, the inquiry would be </w:t>
      </w:r>
      <w:r w:rsidR="00E357EF">
        <w:t xml:space="preserve">distinct </w:t>
      </w:r>
      <w:r w:rsidR="00234E75">
        <w:t xml:space="preserve">from the way </w:t>
      </w:r>
      <w:r w:rsidR="00185415">
        <w:t xml:space="preserve">that </w:t>
      </w:r>
      <w:r w:rsidR="00234E75">
        <w:t xml:space="preserve">federal courts approach questions of </w:t>
      </w:r>
      <w:r w:rsidR="00B22DA1">
        <w:t>state</w:t>
      </w:r>
      <w:r w:rsidR="00080B7F">
        <w:t xml:space="preserve"> common</w:t>
      </w:r>
      <w:r w:rsidR="00B22DA1">
        <w:t xml:space="preserve"> law governed by </w:t>
      </w:r>
      <w:r w:rsidR="00B22DA1">
        <w:rPr>
          <w:i/>
          <w:iCs/>
        </w:rPr>
        <w:t>Erie Railroad Co. v. Tompkins</w:t>
      </w:r>
      <w:r w:rsidR="00A572CF">
        <w:t xml:space="preserve">, under which </w:t>
      </w:r>
      <w:r w:rsidR="00FC357F">
        <w:t xml:space="preserve">a particular state’s law </w:t>
      </w:r>
      <w:r w:rsidR="00A4450E">
        <w:t>dictates</w:t>
      </w:r>
      <w:r w:rsidR="00FC357F">
        <w:t xml:space="preserve"> the rule </w:t>
      </w:r>
      <w:r w:rsidR="00D678B7">
        <w:t>of</w:t>
      </w:r>
      <w:r w:rsidR="00FC357F">
        <w:t xml:space="preserve"> decision for a federal court</w:t>
      </w:r>
      <w:r w:rsidR="00B22DA1">
        <w:t>.</w:t>
      </w:r>
      <w:r w:rsidR="00BD719A" w:rsidRPr="002A4234">
        <w:rPr>
          <w:rStyle w:val="FootnoteReference"/>
        </w:rPr>
        <w:footnoteReference w:id="15"/>
      </w:r>
      <w:r w:rsidR="00ED57DA">
        <w:t xml:space="preserve"> This is because questions of the Fourth Amendment’s scope </w:t>
      </w:r>
      <w:r w:rsidR="000B53B6">
        <w:t xml:space="preserve">and protections </w:t>
      </w:r>
      <w:r w:rsidR="00ED57DA">
        <w:t>are best understood</w:t>
      </w:r>
      <w:r w:rsidR="008B6F5D">
        <w:t xml:space="preserve"> </w:t>
      </w:r>
      <w:r w:rsidR="00ED57DA">
        <w:t xml:space="preserve">as </w:t>
      </w:r>
      <w:r w:rsidR="00AE0F8A">
        <w:t>matters of general law rather than “local common law.”</w:t>
      </w:r>
      <w:bookmarkStart w:id="8" w:name="_Ref114090797"/>
      <w:r w:rsidR="00AE0F8A" w:rsidRPr="002A4234">
        <w:rPr>
          <w:rStyle w:val="FootnoteReference"/>
        </w:rPr>
        <w:footnoteReference w:id="16"/>
      </w:r>
      <w:bookmarkEnd w:id="8"/>
    </w:p>
    <w:p w14:paraId="2C70EE2E" w14:textId="3D1BE152" w:rsidR="00263C6E" w:rsidRDefault="00ED06A7" w:rsidP="00304EDA">
      <w:pPr>
        <w:pStyle w:val="BodyText"/>
      </w:pPr>
      <w:r>
        <w:t>In fleshing out the general law, courts would apply the common</w:t>
      </w:r>
      <w:r w:rsidR="00A14A89">
        <w:t>-</w:t>
      </w:r>
      <w:r>
        <w:t xml:space="preserve">law </w:t>
      </w:r>
      <w:r w:rsidR="00A14A89">
        <w:t xml:space="preserve">method </w:t>
      </w:r>
      <w:r>
        <w:t>to new scenarios</w:t>
      </w:r>
      <w:r w:rsidR="005E7F12">
        <w:t xml:space="preserve">, </w:t>
      </w:r>
      <w:r>
        <w:t>just as early</w:t>
      </w:r>
      <w:r w:rsidR="00CC7D52">
        <w:t xml:space="preserve"> </w:t>
      </w:r>
      <w:r>
        <w:t>twentieth</w:t>
      </w:r>
      <w:r w:rsidR="00D16217">
        <w:t>-</w:t>
      </w:r>
      <w:r>
        <w:t xml:space="preserve">century courts did in recognizing new privacy-based torts for the modern commercial era. </w:t>
      </w:r>
      <w:r w:rsidR="00594E63">
        <w:t xml:space="preserve">If a court </w:t>
      </w:r>
      <w:r w:rsidR="002B2A3A">
        <w:t>identified</w:t>
      </w:r>
      <w:r w:rsidR="00594E63">
        <w:t xml:space="preserve"> a right</w:t>
      </w:r>
      <w:r w:rsidR="007B513F">
        <w:t xml:space="preserve"> recognized by the general law</w:t>
      </w:r>
      <w:r w:rsidR="00594E63">
        <w:t xml:space="preserve"> that </w:t>
      </w:r>
      <w:r w:rsidR="00075F92">
        <w:t>the government might have infringed</w:t>
      </w:r>
      <w:r w:rsidR="00594E63">
        <w:t xml:space="preserve">, </w:t>
      </w:r>
      <w:r w:rsidR="0098754A">
        <w:t>it</w:t>
      </w:r>
      <w:r w:rsidR="00594E63">
        <w:t xml:space="preserve"> would </w:t>
      </w:r>
      <w:r w:rsidR="00F423D8">
        <w:t xml:space="preserve">ask what protections the general law would extend to that right. </w:t>
      </w:r>
      <w:r w:rsidR="00510137">
        <w:t>For example, i</w:t>
      </w:r>
      <w:r w:rsidR="00F423D8">
        <w:t xml:space="preserve">f an </w:t>
      </w:r>
      <w:r w:rsidR="00F423D8">
        <w:lastRenderedPageBreak/>
        <w:t xml:space="preserve">overnight guest is a </w:t>
      </w:r>
      <w:r w:rsidR="00F423D8" w:rsidRPr="00025BA0">
        <w:rPr>
          <w:i/>
        </w:rPr>
        <w:t>licensee</w:t>
      </w:r>
      <w:r w:rsidR="00A14A89">
        <w:rPr>
          <w:i/>
        </w:rPr>
        <w:t xml:space="preserve"> </w:t>
      </w:r>
      <w:r w:rsidR="00A14A89">
        <w:rPr>
          <w:iCs/>
        </w:rPr>
        <w:t>under general law</w:t>
      </w:r>
      <w:r w:rsidR="00F423D8">
        <w:t>,</w:t>
      </w:r>
      <w:bookmarkStart w:id="9" w:name="_Ref113020807"/>
      <w:r w:rsidR="00A13B01" w:rsidRPr="002A4234">
        <w:rPr>
          <w:rStyle w:val="FootnoteReference"/>
        </w:rPr>
        <w:footnoteReference w:id="17"/>
      </w:r>
      <w:bookmarkEnd w:id="9"/>
      <w:r w:rsidR="00F423D8">
        <w:t xml:space="preserve"> </w:t>
      </w:r>
      <w:r w:rsidR="00433D89">
        <w:t>are such</w:t>
      </w:r>
      <w:r w:rsidR="009955BD">
        <w:t xml:space="preserve"> licensee</w:t>
      </w:r>
      <w:r w:rsidR="00433D89">
        <w:t>s</w:t>
      </w:r>
      <w:r w:rsidR="009955BD">
        <w:t xml:space="preserve"> </w:t>
      </w:r>
      <w:r w:rsidR="00433D89">
        <w:t>protected</w:t>
      </w:r>
      <w:r w:rsidR="009955BD">
        <w:t xml:space="preserve"> against </w:t>
      </w:r>
      <w:r w:rsidR="00017AA5">
        <w:t>nonconsen</w:t>
      </w:r>
      <w:r w:rsidR="00EC4037">
        <w:t>s</w:t>
      </w:r>
      <w:r w:rsidR="00017AA5">
        <w:t>ual</w:t>
      </w:r>
      <w:r w:rsidR="009955BD">
        <w:t xml:space="preserve"> intrusions?</w:t>
      </w:r>
      <w:bookmarkStart w:id="10" w:name="_Ref114099694"/>
      <w:r w:rsidR="00304EDA" w:rsidRPr="002A4234">
        <w:rPr>
          <w:rStyle w:val="FootnoteReference"/>
        </w:rPr>
        <w:footnoteReference w:id="18"/>
      </w:r>
      <w:bookmarkEnd w:id="10"/>
      <w:r w:rsidR="009955BD">
        <w:t xml:space="preserve"> If a cloud-storage company </w:t>
      </w:r>
      <w:r w:rsidR="00B0285B">
        <w:t xml:space="preserve">is best understood as a </w:t>
      </w:r>
      <w:r w:rsidR="00B0285B">
        <w:rPr>
          <w:i/>
          <w:iCs/>
        </w:rPr>
        <w:t>bailee</w:t>
      </w:r>
      <w:r w:rsidR="00B0285B">
        <w:t xml:space="preserve"> of a person’s data,</w:t>
      </w:r>
      <w:r w:rsidR="00A13B01" w:rsidRPr="002A4234">
        <w:rPr>
          <w:rStyle w:val="FootnoteReference"/>
        </w:rPr>
        <w:footnoteReference w:id="19"/>
      </w:r>
      <w:r w:rsidR="00B0285B">
        <w:t xml:space="preserve"> </w:t>
      </w:r>
      <w:r w:rsidR="00723933">
        <w:t xml:space="preserve">then </w:t>
      </w:r>
      <w:r w:rsidR="00B0285B">
        <w:t xml:space="preserve">what protections </w:t>
      </w:r>
      <w:r w:rsidR="00433D89">
        <w:t>should</w:t>
      </w:r>
      <w:r w:rsidR="00B0285B">
        <w:t xml:space="preserve"> the law of bailment </w:t>
      </w:r>
      <w:r w:rsidR="00A01107">
        <w:t>provide</w:t>
      </w:r>
      <w:r w:rsidR="00D72FF1">
        <w:t xml:space="preserve"> the bailor to </w:t>
      </w:r>
      <w:r w:rsidR="00017AA5">
        <w:t>guarantee</w:t>
      </w:r>
      <w:r w:rsidR="00D72FF1">
        <w:t xml:space="preserve"> her security over her belongings? </w:t>
      </w:r>
      <w:r w:rsidR="00263C6E">
        <w:t xml:space="preserve">And </w:t>
      </w:r>
      <w:r>
        <w:t xml:space="preserve">under the </w:t>
      </w:r>
      <w:r w:rsidR="00791646">
        <w:rPr>
          <w:i/>
          <w:iCs/>
        </w:rPr>
        <w:t>ad coelum</w:t>
      </w:r>
      <w:r w:rsidR="00791646">
        <w:t xml:space="preserve"> doctrine,</w:t>
      </w:r>
      <w:r w:rsidR="00A13B01" w:rsidRPr="002A4234">
        <w:rPr>
          <w:rStyle w:val="FootnoteReference"/>
        </w:rPr>
        <w:footnoteReference w:id="20"/>
      </w:r>
      <w:r w:rsidR="00791646">
        <w:t xml:space="preserve"> sh</w:t>
      </w:r>
      <w:r w:rsidR="00263C6E">
        <w:t xml:space="preserve">ould a homeowner have the right to exclude </w:t>
      </w:r>
      <w:r w:rsidR="000F0383">
        <w:t>others</w:t>
      </w:r>
      <w:r w:rsidR="00263C6E">
        <w:t xml:space="preserve"> from flying a drone </w:t>
      </w:r>
      <w:r w:rsidR="00495BF8">
        <w:t>forty</w:t>
      </w:r>
      <w:r w:rsidR="00263C6E">
        <w:t xml:space="preserve"> feet above </w:t>
      </w:r>
      <w:r w:rsidR="000276B2">
        <w:t>her</w:t>
      </w:r>
      <w:r w:rsidR="00B706EF">
        <w:t xml:space="preserve"> backyard?</w:t>
      </w:r>
      <w:r w:rsidR="002620ED" w:rsidRPr="002A4234">
        <w:rPr>
          <w:rStyle w:val="FootnoteReference"/>
        </w:rPr>
        <w:footnoteReference w:id="21"/>
      </w:r>
    </w:p>
    <w:p w14:paraId="62744CC8" w14:textId="23DA8E98" w:rsidR="00AC5821" w:rsidRDefault="00A11219" w:rsidP="00FA48BE">
      <w:pPr>
        <w:pStyle w:val="BodyText"/>
      </w:pPr>
      <w:r>
        <w:t xml:space="preserve">Sometimes </w:t>
      </w:r>
      <w:r w:rsidR="00BD1869">
        <w:t>existing common</w:t>
      </w:r>
      <w:r w:rsidR="00C70225">
        <w:t>-</w:t>
      </w:r>
      <w:r w:rsidR="00BD1869">
        <w:t>law</w:t>
      </w:r>
      <w:r>
        <w:t xml:space="preserve"> </w:t>
      </w:r>
      <w:r w:rsidR="00F477FE">
        <w:t>caselaw</w:t>
      </w:r>
      <w:r>
        <w:t xml:space="preserve"> will </w:t>
      </w:r>
      <w:r w:rsidR="00CF34AD">
        <w:t>reveal a</w:t>
      </w:r>
      <w:r w:rsidR="004B7E9B">
        <w:t xml:space="preserve"> </w:t>
      </w:r>
      <w:r>
        <w:t>well-develope</w:t>
      </w:r>
      <w:r w:rsidR="00AA5DBB">
        <w:t>d</w:t>
      </w:r>
      <w:r>
        <w:t xml:space="preserve"> </w:t>
      </w:r>
      <w:r w:rsidR="009163EC">
        <w:t>consensus about</w:t>
      </w:r>
      <w:r w:rsidR="004A377F">
        <w:t xml:space="preserve"> whether a </w:t>
      </w:r>
      <w:r w:rsidR="000407A6">
        <w:t xml:space="preserve">particular </w:t>
      </w:r>
      <w:r w:rsidR="004A377F">
        <w:t>right exists and what protections it deserves</w:t>
      </w:r>
      <w:r>
        <w:t xml:space="preserve">. </w:t>
      </w:r>
      <w:r w:rsidR="00C2686D">
        <w:t>At other times</w:t>
      </w:r>
      <w:r>
        <w:t xml:space="preserve">, </w:t>
      </w:r>
      <w:r w:rsidR="00B00393">
        <w:t>especially</w:t>
      </w:r>
      <w:r>
        <w:t xml:space="preserve"> in situations</w:t>
      </w:r>
      <w:r w:rsidR="004A377F">
        <w:t xml:space="preserve"> </w:t>
      </w:r>
      <w:r w:rsidR="00AB2D3B">
        <w:t>involving</w:t>
      </w:r>
      <w:r w:rsidR="004A377F">
        <w:t xml:space="preserve"> emerging technologies, </w:t>
      </w:r>
      <w:r w:rsidR="001314DE">
        <w:t>a cour</w:t>
      </w:r>
      <w:r w:rsidR="00561DFA">
        <w:t xml:space="preserve">t </w:t>
      </w:r>
      <w:r w:rsidR="001314DE">
        <w:t xml:space="preserve">will have </w:t>
      </w:r>
      <w:r w:rsidR="00E47476">
        <w:t>much</w:t>
      </w:r>
      <w:r w:rsidR="001314DE">
        <w:t xml:space="preserve"> less to</w:t>
      </w:r>
      <w:r w:rsidR="00BD1869">
        <w:t xml:space="preserve"> draw on. But a court in such a position </w:t>
      </w:r>
      <w:r w:rsidR="000A33BD">
        <w:t xml:space="preserve">is </w:t>
      </w:r>
      <w:r w:rsidR="00BD1869">
        <w:t>no worse off than any common</w:t>
      </w:r>
      <w:r w:rsidR="00ED57DA">
        <w:t>-</w:t>
      </w:r>
      <w:r w:rsidR="00BD1869">
        <w:t xml:space="preserve">law court </w:t>
      </w:r>
      <w:r w:rsidR="003D4F01">
        <w:t xml:space="preserve">(or, for that matter, a court applying the </w:t>
      </w:r>
      <w:r w:rsidR="003D4F01">
        <w:rPr>
          <w:i/>
          <w:iCs/>
        </w:rPr>
        <w:t>Katz</w:t>
      </w:r>
      <w:r w:rsidR="003D4F01">
        <w:t xml:space="preserve"> framework) </w:t>
      </w:r>
      <w:r w:rsidR="00BD1869">
        <w:t xml:space="preserve">confronting a novel factual scenario. Just as common-law courts have </w:t>
      </w:r>
      <w:r w:rsidR="00304EDA">
        <w:t xml:space="preserve">applied the common-law framework to new fact patterns for centuries, so would courts interpreting the Fourth Amendment using a </w:t>
      </w:r>
      <w:r w:rsidR="00CF4740">
        <w:t>general-law approach</w:t>
      </w:r>
      <w:r w:rsidR="00304EDA">
        <w:t>.</w:t>
      </w:r>
    </w:p>
    <w:p w14:paraId="37BAD0F5" w14:textId="55DD4D1C" w:rsidR="00AC5821" w:rsidRDefault="00AC5821" w:rsidP="00304EDA">
      <w:pPr>
        <w:pStyle w:val="BodyText"/>
      </w:pPr>
      <w:r>
        <w:t xml:space="preserve">If a court concluded that a search or seizure did </w:t>
      </w:r>
      <w:bookmarkStart w:id="12" w:name="_Hlk117500883"/>
      <w:r>
        <w:t xml:space="preserve">violate </w:t>
      </w:r>
      <w:bookmarkEnd w:id="12"/>
      <w:r>
        <w:t xml:space="preserve">a claimant’s rights under the general law, the search will be presumptively unlawful if government actors did not obtain a warrant in advance. </w:t>
      </w:r>
      <w:r w:rsidR="005A3B05">
        <w:t>C</w:t>
      </w:r>
      <w:r w:rsidR="00FA48BE">
        <w:t xml:space="preserve">urrent doctrine speaks of a </w:t>
      </w:r>
      <w:r w:rsidR="005143A9">
        <w:t>warrant “require</w:t>
      </w:r>
      <w:r w:rsidR="003464CC">
        <w:t>ment”</w:t>
      </w:r>
      <w:r w:rsidR="00F90857">
        <w:t xml:space="preserve"> </w:t>
      </w:r>
      <w:r w:rsidR="001B1DA2">
        <w:t xml:space="preserve">and its </w:t>
      </w:r>
      <w:r w:rsidR="00066DDF">
        <w:t>“exceptions</w:t>
      </w:r>
      <w:r w:rsidR="0038045D">
        <w:t>.</w:t>
      </w:r>
      <w:r w:rsidR="001B1DA2">
        <w:t>”</w:t>
      </w:r>
      <w:r w:rsidR="00AA140D">
        <w:rPr>
          <w:rStyle w:val="FootnoteReference"/>
        </w:rPr>
        <w:footnoteReference w:id="22"/>
      </w:r>
      <w:r w:rsidR="0038045D">
        <w:t xml:space="preserve"> </w:t>
      </w:r>
      <w:r w:rsidR="00B923BF">
        <w:t>But</w:t>
      </w:r>
      <w:r w:rsidR="004A020E">
        <w:t xml:space="preserve"> t</w:t>
      </w:r>
      <w:r w:rsidR="003464CC">
        <w:t xml:space="preserve">he </w:t>
      </w:r>
      <w:r w:rsidR="008242A4">
        <w:t>better</w:t>
      </w:r>
      <w:r w:rsidR="00D2370A">
        <w:t xml:space="preserve"> way to </w:t>
      </w:r>
      <w:r w:rsidR="0091107A">
        <w:t>read</w:t>
      </w:r>
      <w:r w:rsidR="00D2370A">
        <w:t xml:space="preserve"> the</w:t>
      </w:r>
      <w:r w:rsidR="00355E10">
        <w:t xml:space="preserve"> Fourth </w:t>
      </w:r>
      <w:r w:rsidR="005935C8">
        <w:t>Amendment’s</w:t>
      </w:r>
      <w:r w:rsidR="00D2370A">
        <w:t xml:space="preserve"> text—</w:t>
      </w:r>
      <w:r w:rsidR="005C0EE6">
        <w:t xml:space="preserve">one more </w:t>
      </w:r>
      <w:r w:rsidR="00823D9C">
        <w:t xml:space="preserve">consistent with </w:t>
      </w:r>
      <w:r w:rsidR="003D4F01">
        <w:t>its</w:t>
      </w:r>
      <w:r w:rsidR="00D84196">
        <w:t xml:space="preserve"> historical background</w:t>
      </w:r>
      <w:r w:rsidR="006834C6">
        <w:t>—is</w:t>
      </w:r>
      <w:r w:rsidR="00085E83">
        <w:t xml:space="preserve"> </w:t>
      </w:r>
      <w:r w:rsidR="006834C6">
        <w:t xml:space="preserve">that </w:t>
      </w:r>
      <w:r w:rsidR="004350D9">
        <w:t xml:space="preserve">a </w:t>
      </w:r>
      <w:r w:rsidR="004F50E9">
        <w:t xml:space="preserve">proper warrant </w:t>
      </w:r>
      <w:r w:rsidR="002804E0">
        <w:t>immunizes otherw</w:t>
      </w:r>
      <w:r w:rsidR="00661742">
        <w:t xml:space="preserve">ise unlawful conduct. </w:t>
      </w:r>
      <w:r w:rsidR="00270C9C">
        <w:t>I</w:t>
      </w:r>
      <w:r w:rsidR="000E58E0">
        <w:t xml:space="preserve">n most </w:t>
      </w:r>
      <w:r w:rsidR="003860D2">
        <w:t>contexts where c</w:t>
      </w:r>
      <w:r w:rsidR="00131915">
        <w:t>urrent doctrine sees a</w:t>
      </w:r>
      <w:r w:rsidR="00E032A6">
        <w:t>n “exception” to t</w:t>
      </w:r>
      <w:r w:rsidR="000B3427">
        <w:t xml:space="preserve">he </w:t>
      </w:r>
      <w:r w:rsidR="00285741">
        <w:t xml:space="preserve">supposed </w:t>
      </w:r>
      <w:r w:rsidR="003B7F2E">
        <w:t>warrant requ</w:t>
      </w:r>
      <w:r w:rsidR="0036469A">
        <w:t>irement,</w:t>
      </w:r>
      <w:r w:rsidR="00A30923">
        <w:t xml:space="preserve"> </w:t>
      </w:r>
      <w:r w:rsidR="00EB739F">
        <w:t xml:space="preserve">the better understanding is that </w:t>
      </w:r>
      <w:r w:rsidR="0019450D">
        <w:t xml:space="preserve">the </w:t>
      </w:r>
      <w:r w:rsidR="00F0450C">
        <w:t xml:space="preserve">government </w:t>
      </w:r>
      <w:r w:rsidR="009B7EA0">
        <w:t>conduct simply</w:t>
      </w:r>
      <w:r w:rsidR="009B7EA0" w:rsidRPr="004E2B48">
        <w:rPr>
          <w:i/>
          <w:iCs/>
        </w:rPr>
        <w:t xml:space="preserve"> </w:t>
      </w:r>
      <w:r w:rsidR="00E67201" w:rsidRPr="004E2B48">
        <w:rPr>
          <w:i/>
          <w:iCs/>
        </w:rPr>
        <w:t>do</w:t>
      </w:r>
      <w:r w:rsidR="00C553E4" w:rsidRPr="004E2B48">
        <w:rPr>
          <w:i/>
          <w:iCs/>
        </w:rPr>
        <w:t>es not violate the genera</w:t>
      </w:r>
      <w:r w:rsidR="0052399D" w:rsidRPr="004E2B48">
        <w:rPr>
          <w:i/>
          <w:iCs/>
        </w:rPr>
        <w:t>l law in the first plac</w:t>
      </w:r>
      <w:r w:rsidR="00815FAB" w:rsidRPr="004E2B48">
        <w:rPr>
          <w:i/>
          <w:iCs/>
        </w:rPr>
        <w:t>e</w:t>
      </w:r>
      <w:r w:rsidR="007479D2">
        <w:t>—</w:t>
      </w:r>
      <w:r w:rsidR="00815FAB">
        <w:t xml:space="preserve">and thus is not </w:t>
      </w:r>
      <w:r w:rsidR="008313D7">
        <w:t>“</w:t>
      </w:r>
      <w:r w:rsidR="00C86302">
        <w:t>un</w:t>
      </w:r>
      <w:r w:rsidR="008313D7">
        <w:t>reasonable”</w:t>
      </w:r>
      <w:r w:rsidR="00A853B9">
        <w:t>—</w:t>
      </w:r>
      <w:r w:rsidR="009053D6">
        <w:t xml:space="preserve">for reasons </w:t>
      </w:r>
      <w:r w:rsidR="00BB237F">
        <w:t xml:space="preserve">rooted in </w:t>
      </w:r>
      <w:r w:rsidR="00071FA3">
        <w:t>traditional general</w:t>
      </w:r>
      <w:r w:rsidR="00E76D88">
        <w:t>-law principles.</w:t>
      </w:r>
    </w:p>
    <w:p w14:paraId="5E0502EA" w14:textId="5D9DE922" w:rsidR="0055709B" w:rsidRDefault="00EB3CC4" w:rsidP="00A34726">
      <w:pPr>
        <w:pStyle w:val="BodyText"/>
      </w:pPr>
      <w:r>
        <w:t>The general</w:t>
      </w:r>
      <w:r w:rsidR="00C31679">
        <w:t>-law</w:t>
      </w:r>
      <w:r w:rsidR="002C49E2">
        <w:t xml:space="preserve"> approach has </w:t>
      </w:r>
      <w:r w:rsidR="002468E2">
        <w:t xml:space="preserve">many </w:t>
      </w:r>
      <w:r w:rsidR="002C49E2">
        <w:t xml:space="preserve">advantages over its </w:t>
      </w:r>
      <w:r w:rsidR="009B05C5">
        <w:t xml:space="preserve">competitors. </w:t>
      </w:r>
      <w:r w:rsidR="00935F7C">
        <w:t xml:space="preserve">Some are pragmatic: it is more straightforward to </w:t>
      </w:r>
      <w:r w:rsidR="00936BAD">
        <w:t>apply</w:t>
      </w:r>
      <w:r w:rsidR="00935F7C">
        <w:t xml:space="preserve"> and produces more attractive results. </w:t>
      </w:r>
      <w:r w:rsidR="00FD28FC">
        <w:t>Moreover, u</w:t>
      </w:r>
      <w:r w:rsidR="00F67C50">
        <w:t>nlike the</w:t>
      </w:r>
      <w:r w:rsidR="000455A0">
        <w:t xml:space="preserve"> dominant</w:t>
      </w:r>
      <w:r w:rsidR="00F67C50">
        <w:t xml:space="preserve"> </w:t>
      </w:r>
      <w:r w:rsidR="00F67C50">
        <w:rPr>
          <w:i/>
          <w:iCs/>
        </w:rPr>
        <w:t xml:space="preserve">Katz </w:t>
      </w:r>
      <w:r w:rsidR="00F67C50">
        <w:t xml:space="preserve">approach, it </w:t>
      </w:r>
      <w:r w:rsidR="00FC3536">
        <w:t xml:space="preserve">also </w:t>
      </w:r>
      <w:r w:rsidR="00F67C50">
        <w:t xml:space="preserve">gives courts a firmer foundation </w:t>
      </w:r>
      <w:r w:rsidR="00FC3536">
        <w:t>up</w:t>
      </w:r>
      <w:r w:rsidR="006F67FF">
        <w:t xml:space="preserve">on which to build doctrine than judges’ own </w:t>
      </w:r>
      <w:r w:rsidR="00C276D5">
        <w:t>intuitions</w:t>
      </w:r>
      <w:r w:rsidR="006F67FF">
        <w:t xml:space="preserve"> about privacy expectations.</w:t>
      </w:r>
    </w:p>
    <w:p w14:paraId="67597249" w14:textId="3DD9C94E" w:rsidR="00A73891" w:rsidRDefault="00BD49BB" w:rsidP="001E3EF9">
      <w:pPr>
        <w:pStyle w:val="BodyText"/>
      </w:pPr>
      <w:r>
        <w:lastRenderedPageBreak/>
        <w:t>But i</w:t>
      </w:r>
      <w:r w:rsidR="00A34726">
        <w:t xml:space="preserve">t is also superior to </w:t>
      </w:r>
      <w:r w:rsidR="00D60F3D">
        <w:t xml:space="preserve">previously recognized </w:t>
      </w:r>
      <w:r w:rsidR="001E3EF9">
        <w:t>positive-law-based approaches. U</w:t>
      </w:r>
      <w:r w:rsidR="002A696F">
        <w:t xml:space="preserve">nlike </w:t>
      </w:r>
      <w:r w:rsidR="006C126C">
        <w:t>Baude and Stern’s</w:t>
      </w:r>
      <w:r w:rsidR="002A696F">
        <w:t xml:space="preserve"> </w:t>
      </w:r>
      <w:r w:rsidR="00625B57">
        <w:t>pure</w:t>
      </w:r>
      <w:r w:rsidR="00A941BD">
        <w:t xml:space="preserve"> </w:t>
      </w:r>
      <w:r w:rsidR="00625B57">
        <w:t xml:space="preserve">positive-law </w:t>
      </w:r>
      <w:r w:rsidR="00B84BB5">
        <w:t>model</w:t>
      </w:r>
      <w:r w:rsidR="006C126C">
        <w:t>,</w:t>
      </w:r>
      <w:r w:rsidR="00625B57">
        <w:t xml:space="preserve"> </w:t>
      </w:r>
      <w:r w:rsidR="00387F00">
        <w:t>the general-law approach</w:t>
      </w:r>
      <w:r w:rsidR="00625B57">
        <w:t xml:space="preserve"> </w:t>
      </w:r>
      <w:r w:rsidR="00F75799">
        <w:t>leads to</w:t>
      </w:r>
      <w:r w:rsidR="000F5CE4">
        <w:t xml:space="preserve"> more</w:t>
      </w:r>
      <w:r w:rsidR="00F75799">
        <w:t xml:space="preserve"> uniform rules</w:t>
      </w:r>
      <w:r w:rsidR="00C35685">
        <w:t xml:space="preserve">, </w:t>
      </w:r>
      <w:r w:rsidR="000A28EF">
        <w:t>avoids results that seem arbitrary or strange</w:t>
      </w:r>
      <w:r w:rsidR="00C35685">
        <w:t>,</w:t>
      </w:r>
      <w:r w:rsidR="00F75799">
        <w:t xml:space="preserve"> </w:t>
      </w:r>
      <w:r w:rsidR="00C35685">
        <w:t>a</w:t>
      </w:r>
      <w:r w:rsidR="004524F8">
        <w:t xml:space="preserve">nd </w:t>
      </w:r>
      <w:r w:rsidR="007A4922">
        <w:t xml:space="preserve">neither permits nor </w:t>
      </w:r>
      <w:r w:rsidR="00A90DB9">
        <w:t>encourages</w:t>
      </w:r>
      <w:r w:rsidR="007A4922">
        <w:t xml:space="preserve"> legislatures to eradicate protections by rewriting rules that govern private parties.</w:t>
      </w:r>
      <w:r w:rsidR="00EB6B1B">
        <w:rPr>
          <w:rStyle w:val="FootnoteReference"/>
        </w:rPr>
        <w:footnoteReference w:id="23"/>
      </w:r>
      <w:r w:rsidR="007A4922">
        <w:t xml:space="preserve"> </w:t>
      </w:r>
      <w:r w:rsidR="001E3EF9">
        <w:t xml:space="preserve">It also </w:t>
      </w:r>
      <w:r w:rsidR="00F7773F">
        <w:t>enables court</w:t>
      </w:r>
      <w:r w:rsidR="00467991">
        <w:t xml:space="preserve">s to answer questions that </w:t>
      </w:r>
      <w:r w:rsidR="0086013C">
        <w:t xml:space="preserve">the </w:t>
      </w:r>
      <w:r w:rsidR="000911CE">
        <w:t>pure</w:t>
      </w:r>
      <w:r w:rsidR="00033913">
        <w:t xml:space="preserve"> </w:t>
      </w:r>
      <w:r w:rsidR="0086013C">
        <w:t>positive-law model</w:t>
      </w:r>
      <w:r w:rsidR="0014600E">
        <w:t xml:space="preserve"> </w:t>
      </w:r>
      <w:r w:rsidR="006B0C74">
        <w:t>struggle</w:t>
      </w:r>
      <w:r w:rsidR="001E3EF9">
        <w:t>s</w:t>
      </w:r>
      <w:r w:rsidR="0014600E">
        <w:t xml:space="preserve"> to resolve. As civil</w:t>
      </w:r>
      <w:r w:rsidR="008D3544">
        <w:t>-</w:t>
      </w:r>
      <w:r w:rsidR="0014600E">
        <w:t xml:space="preserve">procedure </w:t>
      </w:r>
      <w:r w:rsidR="008D3544">
        <w:t xml:space="preserve">scholars </w:t>
      </w:r>
      <w:r w:rsidR="0014600E">
        <w:t>have observed, the rise of</w:t>
      </w:r>
      <w:r w:rsidR="00985948">
        <w:t xml:space="preserve"> mandatory</w:t>
      </w:r>
      <w:r w:rsidR="0014600E">
        <w:t xml:space="preserve"> arbitration </w:t>
      </w:r>
      <w:r w:rsidR="003E5336">
        <w:t>is rendering</w:t>
      </w:r>
      <w:r w:rsidR="00C26938">
        <w:t xml:space="preserve"> swaths of substantive law </w:t>
      </w:r>
      <w:r w:rsidR="00BC6B17">
        <w:t>invisible</w:t>
      </w:r>
      <w:r w:rsidR="00517AC4">
        <w:t>,</w:t>
      </w:r>
      <w:r w:rsidR="00C26938">
        <w:t xml:space="preserve"> </w:t>
      </w:r>
      <w:r w:rsidR="0086013C">
        <w:t>even</w:t>
      </w:r>
      <w:r w:rsidR="00C26938">
        <w:t xml:space="preserve"> </w:t>
      </w:r>
      <w:r w:rsidR="004D41CC">
        <w:t>meaningless.</w:t>
      </w:r>
      <w:r w:rsidR="004D41CC" w:rsidRPr="002A4234">
        <w:rPr>
          <w:rStyle w:val="FootnoteReference"/>
        </w:rPr>
        <w:footnoteReference w:id="24"/>
      </w:r>
      <w:r w:rsidR="00985948">
        <w:t xml:space="preserve"> </w:t>
      </w:r>
      <w:r w:rsidR="00936025">
        <w:t xml:space="preserve">A court exercising its judgment over general law </w:t>
      </w:r>
      <w:r w:rsidR="009E6790">
        <w:t>could</w:t>
      </w:r>
      <w:r w:rsidR="00546D08">
        <w:t xml:space="preserve"> protect Fourth Amendment values even </w:t>
      </w:r>
      <w:r w:rsidR="006B0C74">
        <w:t>when</w:t>
      </w:r>
      <w:r w:rsidR="00546D08">
        <w:t xml:space="preserve"> the positive law of a particular jurisdiction</w:t>
      </w:r>
      <w:r w:rsidR="00A11676">
        <w:t xml:space="preserve"> provided no explicit basis for doing so.</w:t>
      </w:r>
    </w:p>
    <w:p w14:paraId="330F8C0D" w14:textId="3369159A" w:rsidR="00D46E70" w:rsidRDefault="00D46E70" w:rsidP="00375279">
      <w:pPr>
        <w:pStyle w:val="BodyText"/>
      </w:pPr>
      <w:r>
        <w:t>The other leading positive-law approach reads the Fourth Amendment as freezing</w:t>
      </w:r>
      <w:r w:rsidR="00A73891">
        <w:t xml:space="preserve"> 1791 common-law rules in place.</w:t>
      </w:r>
      <w:r w:rsidR="000826F8" w:rsidRPr="002A4234">
        <w:rPr>
          <w:rStyle w:val="FootnoteReference"/>
        </w:rPr>
        <w:footnoteReference w:id="25"/>
      </w:r>
      <w:r w:rsidR="00A73891">
        <w:t xml:space="preserve"> </w:t>
      </w:r>
      <w:r>
        <w:t xml:space="preserve">But this approach suffers from its own defects, as </w:t>
      </w:r>
      <w:r w:rsidR="00A73891">
        <w:t>David</w:t>
      </w:r>
      <w:r w:rsidR="00BB0B8E">
        <w:t xml:space="preserve"> A.</w:t>
      </w:r>
      <w:r w:rsidR="00A73891">
        <w:t xml:space="preserve"> Sklansky</w:t>
      </w:r>
      <w:r>
        <w:t xml:space="preserve"> has</w:t>
      </w:r>
      <w:r w:rsidR="00A73891">
        <w:t xml:space="preserve"> persuasively </w:t>
      </w:r>
      <w:r>
        <w:t xml:space="preserve">argued. </w:t>
      </w:r>
      <w:r w:rsidR="008C55AD">
        <w:t>A</w:t>
      </w:r>
      <w:r>
        <w:t xml:space="preserve">s </w:t>
      </w:r>
      <w:r w:rsidR="008A1E84">
        <w:t xml:space="preserve">Sklansky </w:t>
      </w:r>
      <w:r>
        <w:t>observes,</w:t>
      </w:r>
      <w:r w:rsidR="00A73891">
        <w:t xml:space="preserve"> 1791 rules were “</w:t>
      </w:r>
      <w:r w:rsidR="00A73891" w:rsidRPr="004479B0">
        <w:t>hazier and less comprehensive</w:t>
      </w:r>
      <w:r w:rsidR="00A73891">
        <w:t xml:space="preserve">” than originalists </w:t>
      </w:r>
      <w:r w:rsidR="00CD6285">
        <w:t>often</w:t>
      </w:r>
      <w:r w:rsidR="00A73891">
        <w:t xml:space="preserve"> </w:t>
      </w:r>
      <w:r w:rsidR="00D95EE2">
        <w:t>claim</w:t>
      </w:r>
      <w:r w:rsidR="008C55AD">
        <w:t>;</w:t>
      </w:r>
      <w:r w:rsidR="00CD6285">
        <w:t xml:space="preserve"> and</w:t>
      </w:r>
      <w:r w:rsidR="008C55AD">
        <w:t xml:space="preserve"> e</w:t>
      </w:r>
      <w:r>
        <w:t>ven where those rules</w:t>
      </w:r>
      <w:r w:rsidR="002F7CC5">
        <w:t xml:space="preserve"> do</w:t>
      </w:r>
      <w:r>
        <w:t xml:space="preserve"> provide</w:t>
      </w:r>
      <w:r w:rsidR="002F7CC5">
        <w:t xml:space="preserve"> clear</w:t>
      </w:r>
      <w:r>
        <w:t xml:space="preserve"> guidance, </w:t>
      </w:r>
      <w:r w:rsidR="005C00DA">
        <w:t>it</w:t>
      </w:r>
      <w:r w:rsidR="009316A3">
        <w:t xml:space="preserve"> is </w:t>
      </w:r>
      <w:r w:rsidR="00FC7A4C">
        <w:t xml:space="preserve">often </w:t>
      </w:r>
      <w:r w:rsidR="003E259C">
        <w:t>“guidance we should hesitate to follow</w:t>
      </w:r>
      <w:r w:rsidR="002F7CC5">
        <w:t>.</w:t>
      </w:r>
      <w:r w:rsidR="003E259C">
        <w:t>”</w:t>
      </w:r>
      <w:bookmarkStart w:id="13" w:name="_Ref113021312"/>
      <w:r w:rsidR="002F7CC5" w:rsidRPr="002A4234">
        <w:rPr>
          <w:rStyle w:val="FootnoteReference"/>
        </w:rPr>
        <w:footnoteReference w:id="26"/>
      </w:r>
      <w:bookmarkEnd w:id="13"/>
    </w:p>
    <w:p w14:paraId="332202DB" w14:textId="041F189A" w:rsidR="002C49E2" w:rsidRDefault="00A73891" w:rsidP="00375279">
      <w:pPr>
        <w:pStyle w:val="BodyText"/>
      </w:pPr>
      <w:r>
        <w:t>The general-law approach</w:t>
      </w:r>
      <w:r w:rsidR="002F7CC5">
        <w:t xml:space="preserve"> avoids these pitfalls. </w:t>
      </w:r>
      <w:r w:rsidR="008C55AD">
        <w:t>I</w:t>
      </w:r>
      <w:r w:rsidR="002F7CC5">
        <w:t>t</w:t>
      </w:r>
      <w:r>
        <w:t xml:space="preserve"> recognizes that the common law </w:t>
      </w:r>
      <w:r w:rsidR="005F6E7C">
        <w:t>evolves</w:t>
      </w:r>
      <w:r>
        <w:t xml:space="preserve"> and that divining common-law rules is </w:t>
      </w:r>
      <w:r w:rsidR="00891A89">
        <w:t>no</w:t>
      </w:r>
      <w:r>
        <w:t xml:space="preserve"> scientific inquiry.</w:t>
      </w:r>
      <w:r w:rsidR="000F483F">
        <w:t xml:space="preserve"> Trying to map</w:t>
      </w:r>
      <w:r w:rsidR="00B2594D">
        <w:t xml:space="preserve"> novel factual situations onto 1791 common</w:t>
      </w:r>
      <w:r w:rsidR="00F35524">
        <w:t>-</w:t>
      </w:r>
      <w:r w:rsidR="00B2594D">
        <w:t>law rules is</w:t>
      </w:r>
      <w:r w:rsidR="00FA6230">
        <w:t xml:space="preserve"> often</w:t>
      </w:r>
      <w:r w:rsidR="00B2594D">
        <w:t xml:space="preserve"> a</w:t>
      </w:r>
      <w:r w:rsidR="00FA6230">
        <w:t>n</w:t>
      </w:r>
      <w:r w:rsidR="00B2594D">
        <w:t xml:space="preserve"> indeterminate inquiry </w:t>
      </w:r>
      <w:r w:rsidR="00C506B7">
        <w:t xml:space="preserve">that may </w:t>
      </w:r>
      <w:r w:rsidR="003031EF">
        <w:t xml:space="preserve">simply conceal </w:t>
      </w:r>
      <w:r w:rsidR="00176C38">
        <w:t xml:space="preserve">hard </w:t>
      </w:r>
      <w:r w:rsidR="003031EF">
        <w:t xml:space="preserve">value judgments. The </w:t>
      </w:r>
      <w:r w:rsidR="00D1338F">
        <w:t>general-law approach</w:t>
      </w:r>
      <w:r w:rsidR="003031EF">
        <w:t xml:space="preserve"> would </w:t>
      </w:r>
      <w:r w:rsidR="00006BDE">
        <w:t xml:space="preserve">create space for judges to acknowledge those judgments </w:t>
      </w:r>
      <w:r w:rsidR="00176C38">
        <w:t>when</w:t>
      </w:r>
      <w:r w:rsidR="00006BDE">
        <w:t xml:space="preserve"> the general law provides no definitive answers</w:t>
      </w:r>
      <w:r w:rsidR="00D76AA1">
        <w:t xml:space="preserve">. It also gives judges the flexibility to recognize </w:t>
      </w:r>
      <w:r w:rsidR="00CD6285">
        <w:t xml:space="preserve">when old rules no longer make sense </w:t>
      </w:r>
      <w:r w:rsidR="00422BF8">
        <w:t xml:space="preserve">in light of </w:t>
      </w:r>
      <w:r w:rsidR="00D76AA1">
        <w:t xml:space="preserve">modern conditions. But it does so </w:t>
      </w:r>
      <w:r w:rsidR="00D93728">
        <w:t xml:space="preserve">while providing </w:t>
      </w:r>
      <w:r w:rsidR="001C2D46">
        <w:t>enough</w:t>
      </w:r>
      <w:r w:rsidR="00B57447">
        <w:t xml:space="preserve"> </w:t>
      </w:r>
      <w:r w:rsidR="00D93728">
        <w:t>structure and constraint t</w:t>
      </w:r>
      <w:r w:rsidR="00014373">
        <w:t>o prevent the inquiry from becoming a</w:t>
      </w:r>
      <w:r w:rsidR="005E151F">
        <w:t xml:space="preserve"> discretionary free-for-all.</w:t>
      </w:r>
      <w:bookmarkStart w:id="14" w:name="_Ref113025834"/>
      <w:r w:rsidR="00186D84" w:rsidRPr="002A4234">
        <w:rPr>
          <w:rStyle w:val="FootnoteReference"/>
        </w:rPr>
        <w:footnoteReference w:id="27"/>
      </w:r>
      <w:bookmarkEnd w:id="14"/>
    </w:p>
    <w:p w14:paraId="181601E8" w14:textId="21D18BBF" w:rsidR="00495B06" w:rsidRDefault="00B01409" w:rsidP="00814FDF">
      <w:pPr>
        <w:pStyle w:val="BodyText"/>
      </w:pPr>
      <w:r>
        <w:t>These</w:t>
      </w:r>
      <w:r w:rsidR="00495B06">
        <w:t xml:space="preserve"> pragmatic </w:t>
      </w:r>
      <w:r w:rsidR="00F04CA2">
        <w:t>benefits</w:t>
      </w:r>
      <w:r w:rsidR="00495B06">
        <w:t xml:space="preserve"> are not the</w:t>
      </w:r>
      <w:r w:rsidR="00A308EB">
        <w:t xml:space="preserve"> general-law approach’s</w:t>
      </w:r>
      <w:r w:rsidR="00495B06">
        <w:t xml:space="preserve"> only selling point. </w:t>
      </w:r>
      <w:r w:rsidR="00422BF8">
        <w:t>Compared with other approaches, it</w:t>
      </w:r>
      <w:r w:rsidR="00495B06">
        <w:t xml:space="preserve"> is </w:t>
      </w:r>
      <w:r w:rsidR="00211AD2">
        <w:t xml:space="preserve">also </w:t>
      </w:r>
      <w:r w:rsidR="00373D70">
        <w:t xml:space="preserve">easier to square </w:t>
      </w:r>
      <w:r w:rsidR="00422BF8">
        <w:t xml:space="preserve">the general-law approach </w:t>
      </w:r>
      <w:r w:rsidR="00373D70">
        <w:t xml:space="preserve">with the originalist methodology endorsed by </w:t>
      </w:r>
      <w:r w:rsidR="003E4B5E">
        <w:t xml:space="preserve">Supreme Court </w:t>
      </w:r>
      <w:r w:rsidR="003332DB">
        <w:t>J</w:t>
      </w:r>
      <w:r w:rsidR="003E4B5E">
        <w:t xml:space="preserve">ustices </w:t>
      </w:r>
      <w:r w:rsidR="00422BF8">
        <w:t xml:space="preserve">attracted </w:t>
      </w:r>
      <w:r w:rsidR="003E4B5E">
        <w:t>to a</w:t>
      </w:r>
      <w:r w:rsidR="00373D70">
        <w:t xml:space="preserve"> </w:t>
      </w:r>
      <w:r w:rsidR="000D39C3">
        <w:t xml:space="preserve">positive-law </w:t>
      </w:r>
      <w:r w:rsidR="00422BF8">
        <w:t>model</w:t>
      </w:r>
      <w:r w:rsidR="000D39C3">
        <w:t xml:space="preserve">. </w:t>
      </w:r>
      <w:r w:rsidR="001146FD">
        <w:t xml:space="preserve">Given </w:t>
      </w:r>
      <w:r w:rsidR="00FE42F4">
        <w:t>that</w:t>
      </w:r>
      <w:r w:rsidR="001146FD">
        <w:t xml:space="preserve"> the Founding </w:t>
      </w:r>
      <w:r w:rsidR="003763F9">
        <w:t>G</w:t>
      </w:r>
      <w:r w:rsidR="001146FD">
        <w:t xml:space="preserve">eneration understood </w:t>
      </w:r>
      <w:r w:rsidR="004A4092">
        <w:t>the common law</w:t>
      </w:r>
      <w:r w:rsidR="00406C63">
        <w:t xml:space="preserve"> as an evolving</w:t>
      </w:r>
      <w:r w:rsidR="00D115C7">
        <w:t>, almost organic entity</w:t>
      </w:r>
      <w:r w:rsidR="004A4092">
        <w:t>,</w:t>
      </w:r>
      <w:r w:rsidR="00E95D00">
        <w:rPr>
          <w:rStyle w:val="FootnoteReference"/>
        </w:rPr>
        <w:footnoteReference w:id="28"/>
      </w:r>
      <w:r w:rsidR="004A4092">
        <w:t xml:space="preserve"> there is </w:t>
      </w:r>
      <w:r w:rsidR="00A44119">
        <w:t xml:space="preserve">little reason to believe that </w:t>
      </w:r>
      <w:r w:rsidR="00406C63">
        <w:t xml:space="preserve">the Fourth Amendment’s ratifiers would have understood it as </w:t>
      </w:r>
      <w:r w:rsidR="00D115C7">
        <w:t xml:space="preserve">simply </w:t>
      </w:r>
      <w:r w:rsidR="00B50576">
        <w:lastRenderedPageBreak/>
        <w:t>locking</w:t>
      </w:r>
      <w:r w:rsidR="00A308EB">
        <w:t xml:space="preserve"> </w:t>
      </w:r>
      <w:r w:rsidR="00472804">
        <w:t>the state of the common law</w:t>
      </w:r>
      <w:r w:rsidR="00D115C7">
        <w:t xml:space="preserve"> in place </w:t>
      </w:r>
      <w:r w:rsidR="00D2040C">
        <w:t>for all time</w:t>
      </w:r>
      <w:r w:rsidR="00D115C7">
        <w:t xml:space="preserve">. </w:t>
      </w:r>
      <w:r w:rsidR="00436CA8">
        <w:t>T</w:t>
      </w:r>
      <w:r w:rsidR="00D115C7">
        <w:t xml:space="preserve">here is also little </w:t>
      </w:r>
      <w:r w:rsidR="00436CA8">
        <w:t>evidence that they</w:t>
      </w:r>
      <w:r w:rsidR="005B470C">
        <w:t xml:space="preserve"> would have understood the Amendment as making </w:t>
      </w:r>
      <w:r w:rsidR="009A38CD">
        <w:t xml:space="preserve">protections subservient to any </w:t>
      </w:r>
      <w:r w:rsidR="00422BF8">
        <w:t xml:space="preserve">particular </w:t>
      </w:r>
      <w:r w:rsidR="009A38CD">
        <w:t xml:space="preserve">jurisdiction’s </w:t>
      </w:r>
      <w:r w:rsidR="00A367E4">
        <w:t>positive</w:t>
      </w:r>
      <w:r w:rsidR="009A38CD">
        <w:t xml:space="preserve"> law. Indeed, the </w:t>
      </w:r>
      <w:r w:rsidR="00A70B63">
        <w:t>propo</w:t>
      </w:r>
      <w:r w:rsidR="00DC7DD9">
        <w:t>n</w:t>
      </w:r>
      <w:r w:rsidR="00A70B63">
        <w:t>ents of a pur</w:t>
      </w:r>
      <w:r w:rsidR="002F2248">
        <w:t>e</w:t>
      </w:r>
      <w:r w:rsidR="00157FAD">
        <w:t xml:space="preserve"> </w:t>
      </w:r>
      <w:r w:rsidR="009A38CD">
        <w:t xml:space="preserve">positive-law </w:t>
      </w:r>
      <w:r w:rsidR="00A70B63">
        <w:t xml:space="preserve">model </w:t>
      </w:r>
      <w:r w:rsidR="00D150C4">
        <w:t>appear</w:t>
      </w:r>
      <w:r w:rsidR="00A70B63">
        <w:t xml:space="preserve"> to</w:t>
      </w:r>
      <w:r w:rsidR="00463E8E">
        <w:t xml:space="preserve"> be </w:t>
      </w:r>
      <w:r w:rsidR="009444D8">
        <w:t xml:space="preserve">accidentally </w:t>
      </w:r>
      <w:r w:rsidR="00463E8E">
        <w:t xml:space="preserve">infusing the Fourth Amendment with decidedly </w:t>
      </w:r>
      <w:r w:rsidR="00463E8E" w:rsidRPr="0026105B">
        <w:rPr>
          <w:i/>
        </w:rPr>
        <w:t>modern</w:t>
      </w:r>
      <w:r w:rsidR="00463E8E">
        <w:t xml:space="preserve"> legal </w:t>
      </w:r>
      <w:r w:rsidR="009444D8">
        <w:t>values</w:t>
      </w:r>
      <w:r w:rsidR="00422BF8">
        <w:t>.</w:t>
      </w:r>
      <w:r w:rsidR="00A70B63">
        <w:t xml:space="preserve"> </w:t>
      </w:r>
      <w:r w:rsidR="00422BF8">
        <w:t>More specifically, t</w:t>
      </w:r>
      <w:r w:rsidR="0026105B">
        <w:t>hat approach seems to take for granted</w:t>
      </w:r>
      <w:r w:rsidR="009444D8">
        <w:t xml:space="preserve"> the idea </w:t>
      </w:r>
      <w:r w:rsidR="00A308EB">
        <w:t xml:space="preserve">underlying </w:t>
      </w:r>
      <w:r w:rsidR="009444D8">
        <w:rPr>
          <w:i/>
          <w:iCs/>
        </w:rPr>
        <w:t>Erie</w:t>
      </w:r>
      <w:r w:rsidR="009444D8">
        <w:t xml:space="preserve"> that </w:t>
      </w:r>
      <w:r w:rsidR="00522D50">
        <w:t>“</w:t>
      </w:r>
      <w:r w:rsidR="009444D8">
        <w:t>the</w:t>
      </w:r>
      <w:r w:rsidR="00522D50">
        <w:t>”</w:t>
      </w:r>
      <w:r w:rsidR="009444D8">
        <w:t xml:space="preserve"> common law</w:t>
      </w:r>
      <w:r w:rsidR="009736D1">
        <w:t xml:space="preserve"> does not exist</w:t>
      </w:r>
      <w:r w:rsidR="009A4597">
        <w:t>—that common law</w:t>
      </w:r>
      <w:r w:rsidR="009444D8">
        <w:t xml:space="preserve"> is </w:t>
      </w:r>
      <w:r w:rsidR="00B25825">
        <w:t>nothing more than what</w:t>
      </w:r>
      <w:r w:rsidR="00522D50">
        <w:t xml:space="preserve"> the relevant jurisdiction says it is. Instead, the most plausible conclusion </w:t>
      </w:r>
      <w:r w:rsidR="00432946">
        <w:t xml:space="preserve">consistent with originalism is that </w:t>
      </w:r>
      <w:r w:rsidR="00623B80">
        <w:t>courts should determine what counts as an</w:t>
      </w:r>
      <w:r w:rsidR="00432946">
        <w:t xml:space="preserve"> “unreasonable” </w:t>
      </w:r>
      <w:r w:rsidR="00623B80">
        <w:t>search and seizure</w:t>
      </w:r>
      <w:r w:rsidR="00432946">
        <w:t xml:space="preserve"> using the traditional methods of the common law</w:t>
      </w:r>
      <w:r w:rsidR="00623B80">
        <w:t>. A</w:t>
      </w:r>
      <w:r w:rsidR="00432946">
        <w:t xml:space="preserve">nd that means an inquiry into </w:t>
      </w:r>
      <w:r w:rsidR="00432946">
        <w:rPr>
          <w:i/>
          <w:iCs/>
        </w:rPr>
        <w:t>general law</w:t>
      </w:r>
      <w:r w:rsidR="00432946">
        <w:t xml:space="preserve">, not unbending deference to any one </w:t>
      </w:r>
      <w:r w:rsidR="00AB51EB">
        <w:t>sovereign</w:t>
      </w:r>
      <w:r w:rsidR="00211AD2">
        <w:t>.</w:t>
      </w:r>
    </w:p>
    <w:p w14:paraId="6B522D5A" w14:textId="4743164C" w:rsidR="00274134" w:rsidRDefault="00432946" w:rsidP="00D267DF">
      <w:pPr>
        <w:pStyle w:val="BodyText"/>
      </w:pPr>
      <w:r>
        <w:t xml:space="preserve">Finally, the </w:t>
      </w:r>
      <w:r w:rsidR="00D1338F">
        <w:t>general-law approach</w:t>
      </w:r>
      <w:r>
        <w:t xml:space="preserve"> is</w:t>
      </w:r>
      <w:r w:rsidR="00E952EE">
        <w:t xml:space="preserve"> surprisingly</w:t>
      </w:r>
      <w:r w:rsidR="00211AD2">
        <w:t xml:space="preserve"> </w:t>
      </w:r>
      <w:r w:rsidR="00AB51EB">
        <w:t>easy</w:t>
      </w:r>
      <w:r>
        <w:t xml:space="preserve"> to reconcile with </w:t>
      </w:r>
      <w:r w:rsidR="00AB51EB">
        <w:t>a great deal of</w:t>
      </w:r>
      <w:r>
        <w:t xml:space="preserve"> </w:t>
      </w:r>
      <w:r w:rsidR="00211AD2">
        <w:t xml:space="preserve">extant </w:t>
      </w:r>
      <w:r w:rsidR="00374B2B">
        <w:t>Fourth Amendment</w:t>
      </w:r>
      <w:r w:rsidR="00211AD2">
        <w:t xml:space="preserve"> </w:t>
      </w:r>
      <w:r w:rsidR="00C75F01">
        <w:t>caselaw</w:t>
      </w:r>
      <w:r w:rsidR="001B2E93">
        <w:t>, and indeed provides a better explanation of some recent cases than alternative theories</w:t>
      </w:r>
      <w:r w:rsidR="00374B2B">
        <w:t xml:space="preserve">. </w:t>
      </w:r>
      <w:r w:rsidR="00E64E69">
        <w:t xml:space="preserve">In </w:t>
      </w:r>
      <w:r w:rsidR="00D86557">
        <w:t>the</w:t>
      </w:r>
      <w:r w:rsidR="009139A3">
        <w:t xml:space="preserve"> recent</w:t>
      </w:r>
      <w:r w:rsidR="00D86557">
        <w:t xml:space="preserve"> cases in which </w:t>
      </w:r>
      <w:r w:rsidR="007C3588">
        <w:t xml:space="preserve">the </w:t>
      </w:r>
      <w:r w:rsidR="00DC7DD9">
        <w:t>Court</w:t>
      </w:r>
      <w:r w:rsidR="001B2E93">
        <w:t xml:space="preserve"> seemingly</w:t>
      </w:r>
      <w:r w:rsidR="00DC7DD9">
        <w:t xml:space="preserve"> </w:t>
      </w:r>
      <w:r w:rsidR="0074306C">
        <w:t xml:space="preserve">turned </w:t>
      </w:r>
      <w:r w:rsidR="00AB51EB">
        <w:t>towards</w:t>
      </w:r>
      <w:r w:rsidR="0074306C">
        <w:t xml:space="preserve"> </w:t>
      </w:r>
      <w:r w:rsidR="007C3588">
        <w:t>positive</w:t>
      </w:r>
      <w:r w:rsidR="0074306C">
        <w:t xml:space="preserve"> </w:t>
      </w:r>
      <w:r w:rsidR="007C3588">
        <w:t>law</w:t>
      </w:r>
      <w:r w:rsidR="00187931">
        <w:t xml:space="preserve">, </w:t>
      </w:r>
      <w:r w:rsidR="00C4509B">
        <w:t xml:space="preserve">the Court did not </w:t>
      </w:r>
      <w:r w:rsidR="00C01CDD">
        <w:t>look for answers in 1791</w:t>
      </w:r>
      <w:r w:rsidR="006B0338">
        <w:t xml:space="preserve"> common law</w:t>
      </w:r>
      <w:r w:rsidR="00C223E1">
        <w:t xml:space="preserve"> or in</w:t>
      </w:r>
      <w:r w:rsidR="00BD12DD">
        <w:t xml:space="preserve"> </w:t>
      </w:r>
      <w:r w:rsidR="00B25825">
        <w:t xml:space="preserve">the positive law of </w:t>
      </w:r>
      <w:r w:rsidR="00C01CDD">
        <w:t>a particular jurisdiction.</w:t>
      </w:r>
      <w:r w:rsidR="00934C66">
        <w:t xml:space="preserve"> Instead, </w:t>
      </w:r>
      <w:r w:rsidR="00C01CDD">
        <w:t xml:space="preserve">the Court </w:t>
      </w:r>
      <w:r w:rsidR="004F0509">
        <w:t xml:space="preserve">applied traditional common-law </w:t>
      </w:r>
      <w:r w:rsidR="004F0509">
        <w:rPr>
          <w:i/>
          <w:iCs/>
        </w:rPr>
        <w:t>concepts</w:t>
      </w:r>
      <w:r w:rsidR="004F0509">
        <w:t>, such as trespass</w:t>
      </w:r>
      <w:r w:rsidR="001843BD">
        <w:t xml:space="preserve"> and license</w:t>
      </w:r>
      <w:r w:rsidR="004F0509">
        <w:t xml:space="preserve">, </w:t>
      </w:r>
      <w:r w:rsidR="009139A3">
        <w:t xml:space="preserve">to </w:t>
      </w:r>
      <w:r w:rsidR="00CD6AA7">
        <w:t>new facts</w:t>
      </w:r>
      <w:r w:rsidR="001843BD">
        <w:t xml:space="preserve">. The best way to understand </w:t>
      </w:r>
      <w:r w:rsidR="00AA1947">
        <w:t>what the Court did in those cases is that it made</w:t>
      </w:r>
      <w:r w:rsidR="001843BD">
        <w:t xml:space="preserve"> an inquiry into general law.</w:t>
      </w:r>
    </w:p>
    <w:p w14:paraId="0ECBA30E" w14:textId="274B130F" w:rsidR="00D267DF" w:rsidRDefault="00EA438B" w:rsidP="00D267DF">
      <w:pPr>
        <w:pStyle w:val="BodyText"/>
      </w:pPr>
      <w:r>
        <w:t>But t</w:t>
      </w:r>
      <w:r w:rsidR="00D267DF">
        <w:t>he general</w:t>
      </w:r>
      <w:r w:rsidR="00717FD3">
        <w:t>-</w:t>
      </w:r>
      <w:r w:rsidR="00D267DF">
        <w:t>law approach finds support in precedent</w:t>
      </w:r>
      <w:r w:rsidR="00A270D5">
        <w:t xml:space="preserve"> </w:t>
      </w:r>
      <w:r>
        <w:t>going far beyond</w:t>
      </w:r>
      <w:r w:rsidR="00A270D5">
        <w:t xml:space="preserve"> the recent positive-law turn</w:t>
      </w:r>
      <w:r w:rsidR="00D267DF">
        <w:t xml:space="preserve">. </w:t>
      </w:r>
      <w:r w:rsidR="002531A9">
        <w:t xml:space="preserve">The general law has the tools to </w:t>
      </w:r>
      <w:r w:rsidR="00717FD3">
        <w:t>resolve</w:t>
      </w:r>
      <w:r w:rsidR="002531A9">
        <w:t xml:space="preserve"> questions about customs, practices, and expectations of </w:t>
      </w:r>
      <w:r w:rsidR="009F4D31">
        <w:t xml:space="preserve">privacy. Indeed, common-law courts have been grappling with such questions for over a century, first recognizing </w:t>
      </w:r>
      <w:r w:rsidR="006C3954">
        <w:t>several</w:t>
      </w:r>
      <w:r w:rsidR="009F4D31">
        <w:t xml:space="preserve"> new common-law causes of action protecting privacy rights at the turn of the twentieth century. </w:t>
      </w:r>
      <w:r w:rsidR="00837AD0">
        <w:t>Because a general</w:t>
      </w:r>
      <w:r w:rsidR="00937B77">
        <w:t>-</w:t>
      </w:r>
      <w:r w:rsidR="00837AD0">
        <w:t xml:space="preserve">law approach </w:t>
      </w:r>
      <w:r w:rsidR="00C07D4C">
        <w:t>c</w:t>
      </w:r>
      <w:r w:rsidR="0029529C">
        <w:t>ould look to this rich body of common-law decisions,</w:t>
      </w:r>
      <w:r w:rsidR="00837AD0">
        <w:t xml:space="preserve"> a good deal of the Court’s </w:t>
      </w:r>
      <w:r w:rsidR="00837AD0">
        <w:rPr>
          <w:i/>
          <w:iCs/>
        </w:rPr>
        <w:t>Katz</w:t>
      </w:r>
      <w:r w:rsidR="00837AD0">
        <w:t xml:space="preserve"> jurisprudence </w:t>
      </w:r>
      <w:r w:rsidR="004B0D2A">
        <w:t>can</w:t>
      </w:r>
      <w:r w:rsidR="00837AD0">
        <w:t xml:space="preserve"> </w:t>
      </w:r>
      <w:r w:rsidR="004B0D2A">
        <w:t>be</w:t>
      </w:r>
      <w:r w:rsidR="0029529C">
        <w:t xml:space="preserve"> justified under the general</w:t>
      </w:r>
      <w:r w:rsidR="004B0D2A">
        <w:t>-</w:t>
      </w:r>
      <w:r w:rsidR="0029529C">
        <w:t xml:space="preserve">law approach. That is, even if </w:t>
      </w:r>
      <w:r w:rsidR="00037233" w:rsidRPr="00037233">
        <w:rPr>
          <w:i/>
          <w:iCs/>
        </w:rPr>
        <w:t>Katz</w:t>
      </w:r>
      <w:r w:rsidR="00037233">
        <w:t xml:space="preserve"> conceptualized </w:t>
      </w:r>
      <w:r w:rsidR="00A215C6">
        <w:t xml:space="preserve">the relevant inquiry imprecisely—as one into social expectations, rather than into general law as demonstrated by customs and practices—the results </w:t>
      </w:r>
      <w:r w:rsidR="00662C75">
        <w:t xml:space="preserve">that approach has produced may be largely, </w:t>
      </w:r>
      <w:r w:rsidR="00D73031">
        <w:t>though</w:t>
      </w:r>
      <w:r w:rsidR="00662C75">
        <w:t xml:space="preserve"> not </w:t>
      </w:r>
      <w:r w:rsidR="00C07117">
        <w:t>perfectly</w:t>
      </w:r>
      <w:r w:rsidR="00662C75">
        <w:t>, consistent with a general</w:t>
      </w:r>
      <w:r w:rsidR="00C07117">
        <w:t>-</w:t>
      </w:r>
      <w:r w:rsidR="00662C75">
        <w:t>law approach</w:t>
      </w:r>
      <w:r w:rsidR="002D4518">
        <w:t xml:space="preserve">. </w:t>
      </w:r>
      <w:r w:rsidR="00B25825">
        <w:t>This</w:t>
      </w:r>
      <w:r w:rsidR="002D4518">
        <w:t xml:space="preserve"> means that the Court could put Fourth Amendment </w:t>
      </w:r>
      <w:r w:rsidR="00F75E37">
        <w:t>jurisprudence</w:t>
      </w:r>
      <w:r w:rsidR="002D4518">
        <w:t xml:space="preserve"> on a </w:t>
      </w:r>
      <w:r w:rsidR="00891701">
        <w:t>firmer</w:t>
      </w:r>
      <w:r w:rsidR="002D4518">
        <w:t xml:space="preserve"> conceptual </w:t>
      </w:r>
      <w:r w:rsidR="00F75E37">
        <w:t>foundation</w:t>
      </w:r>
      <w:r w:rsidR="002D4518">
        <w:t xml:space="preserve"> </w:t>
      </w:r>
      <w:r w:rsidR="00BE5EB5">
        <w:t>w</w:t>
      </w:r>
      <w:r w:rsidR="00884551">
        <w:t>ithout</w:t>
      </w:r>
      <w:r w:rsidR="002D4518">
        <w:t xml:space="preserve"> </w:t>
      </w:r>
      <w:r w:rsidR="00BE5EB5">
        <w:t>tearing down</w:t>
      </w:r>
      <w:r w:rsidR="0036488A">
        <w:t xml:space="preserve"> </w:t>
      </w:r>
      <w:r w:rsidR="00F75E37">
        <w:t>much of the edifice of existing doctrine.</w:t>
      </w:r>
    </w:p>
    <w:p w14:paraId="23AA3543" w14:textId="3EECE062" w:rsidR="00F75E37" w:rsidRDefault="006E28E3" w:rsidP="00D267DF">
      <w:pPr>
        <w:pStyle w:val="BodyText"/>
      </w:pPr>
      <w:r>
        <w:t xml:space="preserve">We </w:t>
      </w:r>
      <w:r w:rsidR="00C6401B">
        <w:t>make</w:t>
      </w:r>
      <w:r>
        <w:t xml:space="preserve"> the case for the general</w:t>
      </w:r>
      <w:r w:rsidR="009D7111">
        <w:t>-</w:t>
      </w:r>
      <w:r>
        <w:t>law approach as follows. In Part I, we</w:t>
      </w:r>
      <w:r w:rsidR="000E520B">
        <w:t xml:space="preserve"> set </w:t>
      </w:r>
      <w:r w:rsidR="005556CB">
        <w:t>the stage</w:t>
      </w:r>
      <w:r w:rsidR="000E520B">
        <w:t xml:space="preserve"> by</w:t>
      </w:r>
      <w:r>
        <w:t xml:space="preserve"> describ</w:t>
      </w:r>
      <w:r w:rsidR="000E520B">
        <w:t>ing</w:t>
      </w:r>
      <w:r>
        <w:t xml:space="preserve"> the current state of Fourth Amendment jurisprudence. We explain how </w:t>
      </w:r>
      <w:r>
        <w:rPr>
          <w:i/>
          <w:iCs/>
        </w:rPr>
        <w:t>Katz</w:t>
      </w:r>
      <w:r w:rsidR="005C58D0">
        <w:t xml:space="preserve"> arose </w:t>
      </w:r>
      <w:r w:rsidR="00891701">
        <w:t>and</w:t>
      </w:r>
      <w:r w:rsidR="005C58D0">
        <w:t xml:space="preserve"> </w:t>
      </w:r>
      <w:r w:rsidR="002F35FA">
        <w:t xml:space="preserve">how doctrine applying </w:t>
      </w:r>
      <w:r w:rsidR="002F35FA">
        <w:rPr>
          <w:i/>
          <w:iCs/>
        </w:rPr>
        <w:t>Katz</w:t>
      </w:r>
      <w:r w:rsidR="002F35FA">
        <w:t xml:space="preserve"> developed</w:t>
      </w:r>
      <w:r w:rsidR="00520D55">
        <w:t xml:space="preserve">. We then explore the recent </w:t>
      </w:r>
      <w:r w:rsidR="00FA2411">
        <w:t>rise</w:t>
      </w:r>
      <w:r w:rsidR="00520D55">
        <w:t xml:space="preserve"> of a positive-law approach</w:t>
      </w:r>
      <w:r w:rsidR="004B2DCC">
        <w:t xml:space="preserve"> and lay out the unresolved questions for </w:t>
      </w:r>
      <w:r w:rsidR="006D4FEC">
        <w:t>those drawn to that</w:t>
      </w:r>
      <w:r w:rsidR="004B2DCC">
        <w:t xml:space="preserve"> </w:t>
      </w:r>
      <w:r w:rsidR="006D4FEC">
        <w:t>model.</w:t>
      </w:r>
    </w:p>
    <w:p w14:paraId="693B5617" w14:textId="4C2708CE" w:rsidR="004B2DCC" w:rsidRDefault="004B2DCC" w:rsidP="00077DAF">
      <w:pPr>
        <w:pStyle w:val="BodyText"/>
      </w:pPr>
      <w:r>
        <w:t xml:space="preserve">Part II lays out our </w:t>
      </w:r>
      <w:r w:rsidR="00D1338F">
        <w:t>general-law approach</w:t>
      </w:r>
      <w:r>
        <w:t xml:space="preserve">. We begin by </w:t>
      </w:r>
      <w:r w:rsidR="00D540B8">
        <w:t xml:space="preserve">discussing recent scholarship on the general law </w:t>
      </w:r>
      <w:r w:rsidR="00921451">
        <w:t xml:space="preserve">and how </w:t>
      </w:r>
      <w:r w:rsidR="000D58E3">
        <w:t>general law</w:t>
      </w:r>
      <w:r w:rsidR="00921451">
        <w:t xml:space="preserve"> differs from the </w:t>
      </w:r>
      <w:r w:rsidR="00112A7A">
        <w:t>positivist,</w:t>
      </w:r>
      <w:r w:rsidR="00921451">
        <w:t xml:space="preserve"> </w:t>
      </w:r>
      <w:r w:rsidR="00112A7A">
        <w:t>sovereign</w:t>
      </w:r>
      <w:r w:rsidR="00921451">
        <w:t>-</w:t>
      </w:r>
      <w:r w:rsidR="00112A7A">
        <w:t>focused</w:t>
      </w:r>
      <w:r w:rsidR="00921451">
        <w:t xml:space="preserve"> conception of common law </w:t>
      </w:r>
      <w:r w:rsidR="00061F8E">
        <w:t xml:space="preserve">embraced in </w:t>
      </w:r>
      <w:r w:rsidR="00061F8E">
        <w:rPr>
          <w:i/>
          <w:iCs/>
        </w:rPr>
        <w:t>Erie</w:t>
      </w:r>
      <w:r w:rsidR="00061F8E">
        <w:t xml:space="preserve"> and its progeny.</w:t>
      </w:r>
      <w:r w:rsidR="00A263EF">
        <w:t xml:space="preserve"> </w:t>
      </w:r>
      <w:r w:rsidR="00FC228E">
        <w:lastRenderedPageBreak/>
        <w:t xml:space="preserve">Although </w:t>
      </w:r>
      <w:r w:rsidR="00FC228E">
        <w:rPr>
          <w:i/>
        </w:rPr>
        <w:t>Erie</w:t>
      </w:r>
      <w:r w:rsidR="00FC228E">
        <w:rPr>
          <w:iCs/>
        </w:rPr>
        <w:t xml:space="preserve"> claimed that “there is no federal general common law,”</w:t>
      </w:r>
      <w:r w:rsidR="00FC228E" w:rsidRPr="002A4234">
        <w:rPr>
          <w:rStyle w:val="FootnoteReference"/>
        </w:rPr>
        <w:footnoteReference w:id="29"/>
      </w:r>
      <w:r w:rsidR="00061F8E">
        <w:t xml:space="preserve"> </w:t>
      </w:r>
      <w:r w:rsidR="00523301">
        <w:t xml:space="preserve">scholars have increasingly </w:t>
      </w:r>
      <w:r w:rsidR="00751C32">
        <w:t xml:space="preserve">argued that this </w:t>
      </w:r>
      <w:r w:rsidR="00C223B3">
        <w:t xml:space="preserve">claim is </w:t>
      </w:r>
      <w:r w:rsidR="007B6A55">
        <w:t xml:space="preserve">incorrect both as a descriptive matter and as a normative claim about </w:t>
      </w:r>
      <w:r w:rsidR="00D15869">
        <w:t xml:space="preserve">the </w:t>
      </w:r>
      <w:r w:rsidR="008145F1">
        <w:t>role</w:t>
      </w:r>
      <w:r w:rsidR="00D15869">
        <w:t xml:space="preserve"> of common law in</w:t>
      </w:r>
      <w:r w:rsidR="008145F1">
        <w:t xml:space="preserve"> the constitutional system.</w:t>
      </w:r>
      <w:r w:rsidR="00077DAF">
        <w:t xml:space="preserve"> </w:t>
      </w:r>
      <w:r w:rsidR="00AD145F">
        <w:t xml:space="preserve">We then apply these insights to the Fourth Amendment. </w:t>
      </w:r>
      <w:r w:rsidR="00294777">
        <w:t>We contend that “unreasonable” in the Fourth Amendment is best understood as meaning inconsistent with the general law.</w:t>
      </w:r>
      <w:r w:rsidR="0069243B">
        <w:t xml:space="preserve"> </w:t>
      </w:r>
      <w:r w:rsidR="00343871">
        <w:t xml:space="preserve">Rather than freezing in place what the common law would have treated as unreasonable in 1791, however, </w:t>
      </w:r>
      <w:r w:rsidR="008A720D">
        <w:t xml:space="preserve">the Fourth Amendment </w:t>
      </w:r>
      <w:r w:rsidR="00343871">
        <w:t xml:space="preserve">is best understood as </w:t>
      </w:r>
      <w:r w:rsidR="00342367">
        <w:t xml:space="preserve">requiring courts to </w:t>
      </w:r>
      <w:r w:rsidR="00DF6F67">
        <w:t>engage in the general</w:t>
      </w:r>
      <w:r w:rsidR="00445480">
        <w:t>-</w:t>
      </w:r>
      <w:r w:rsidR="00DF6F67">
        <w:t>law mode of analysis</w:t>
      </w:r>
      <w:r w:rsidR="00A263EF">
        <w:t>, developing rules to govern new factual situations</w:t>
      </w:r>
      <w:r w:rsidR="00ED401D">
        <w:t xml:space="preserve"> while </w:t>
      </w:r>
      <w:r w:rsidR="00112A7A">
        <w:t>building on</w:t>
      </w:r>
      <w:r w:rsidR="00ED401D">
        <w:t xml:space="preserve"> </w:t>
      </w:r>
      <w:r w:rsidR="00302998">
        <w:t>old</w:t>
      </w:r>
      <w:r w:rsidR="00ED401D">
        <w:t xml:space="preserve"> </w:t>
      </w:r>
      <w:r w:rsidR="00302998">
        <w:t>common-law</w:t>
      </w:r>
      <w:r w:rsidR="00ED401D">
        <w:t xml:space="preserve"> concepts and tools </w:t>
      </w:r>
      <w:r w:rsidR="00AC2944">
        <w:t>developed over the centuries</w:t>
      </w:r>
      <w:r w:rsidR="00A263EF">
        <w:t>.</w:t>
      </w:r>
      <w:r w:rsidR="00077DAF">
        <w:t xml:space="preserve"> </w:t>
      </w:r>
      <w:r w:rsidR="006D4FEC">
        <w:t>Next, we</w:t>
      </w:r>
      <w:r w:rsidR="00342367">
        <w:t xml:space="preserve"> </w:t>
      </w:r>
      <w:r w:rsidR="00AD145F">
        <w:t>describe</w:t>
      </w:r>
      <w:r>
        <w:t xml:space="preserve"> </w:t>
      </w:r>
      <w:r w:rsidR="00061F8E">
        <w:t>how a</w:t>
      </w:r>
      <w:r w:rsidR="002161EF">
        <w:t xml:space="preserve"> </w:t>
      </w:r>
      <w:r w:rsidR="00AD145F">
        <w:t>general-law method</w:t>
      </w:r>
      <w:r w:rsidR="002161EF">
        <w:t xml:space="preserve"> </w:t>
      </w:r>
      <w:r w:rsidR="00061F8E">
        <w:t xml:space="preserve">would work </w:t>
      </w:r>
      <w:r w:rsidR="004D4743">
        <w:t xml:space="preserve">in practice </w:t>
      </w:r>
      <w:r w:rsidR="002161EF">
        <w:t xml:space="preserve">and what questions it </w:t>
      </w:r>
      <w:r w:rsidR="00AD145F">
        <w:t xml:space="preserve">would require courts to </w:t>
      </w:r>
      <w:r w:rsidR="002161EF">
        <w:t>ask</w:t>
      </w:r>
      <w:r w:rsidR="003345E5">
        <w:t>: how courts would identify rights triggering Fourth Amendment protections</w:t>
      </w:r>
      <w:r w:rsidR="009D5547">
        <w:t xml:space="preserve"> and</w:t>
      </w:r>
      <w:r w:rsidR="003345E5">
        <w:t xml:space="preserve"> how they would </w:t>
      </w:r>
      <w:r w:rsidR="001C7A6B">
        <w:t xml:space="preserve">look to </w:t>
      </w:r>
      <w:r w:rsidR="003345E5">
        <w:t xml:space="preserve">determine whether </w:t>
      </w:r>
      <w:r w:rsidR="00342C2C">
        <w:t>government conduct</w:t>
      </w:r>
      <w:r w:rsidR="003345E5">
        <w:t xml:space="preserve"> impinge</w:t>
      </w:r>
      <w:r w:rsidR="00342C2C">
        <w:t>s</w:t>
      </w:r>
      <w:r w:rsidR="003345E5">
        <w:t xml:space="preserve"> on those rights</w:t>
      </w:r>
      <w:r w:rsidR="009D5547">
        <w:t xml:space="preserve">. Finally, we lay out the </w:t>
      </w:r>
      <w:r w:rsidR="00316E6F">
        <w:t>normative</w:t>
      </w:r>
      <w:r w:rsidR="009D5547">
        <w:t xml:space="preserve"> case for the </w:t>
      </w:r>
      <w:r w:rsidR="00D1338F">
        <w:t>general-law approach</w:t>
      </w:r>
      <w:r w:rsidR="002A6467">
        <w:t xml:space="preserve">, explaining its superiority </w:t>
      </w:r>
      <w:r w:rsidR="00D41816">
        <w:t xml:space="preserve">over other approaches </w:t>
      </w:r>
      <w:r w:rsidR="002A6467">
        <w:t xml:space="preserve">on </w:t>
      </w:r>
      <w:r w:rsidR="00581291">
        <w:t>textual</w:t>
      </w:r>
      <w:r w:rsidR="002A6467">
        <w:t>, historical, doctrinal</w:t>
      </w:r>
      <w:r w:rsidR="00581291">
        <w:t>, and pragmatic grounds</w:t>
      </w:r>
      <w:r w:rsidR="002A6467">
        <w:t>.</w:t>
      </w:r>
    </w:p>
    <w:p w14:paraId="0FF78778" w14:textId="5623BA16" w:rsidR="006E4660" w:rsidRDefault="002A6467" w:rsidP="00FE2B95">
      <w:pPr>
        <w:pStyle w:val="BodyText"/>
      </w:pPr>
      <w:r>
        <w:t xml:space="preserve">Part III </w:t>
      </w:r>
      <w:r w:rsidR="00641B41">
        <w:t>show</w:t>
      </w:r>
      <w:r w:rsidR="00377884">
        <w:t>s</w:t>
      </w:r>
      <w:r w:rsidR="00641B41">
        <w:t xml:space="preserve"> </w:t>
      </w:r>
      <w:r w:rsidR="00C63566">
        <w:t xml:space="preserve">the </w:t>
      </w:r>
      <w:r w:rsidR="00D1338F">
        <w:t xml:space="preserve">general-law </w:t>
      </w:r>
      <w:r w:rsidR="00641B41">
        <w:t>approach’s great promise by applying it</w:t>
      </w:r>
      <w:r w:rsidR="00C63566">
        <w:t xml:space="preserve"> to a wide range of factual scenarios. </w:t>
      </w:r>
      <w:r w:rsidR="00966DB4">
        <w:t xml:space="preserve">As we </w:t>
      </w:r>
      <w:r w:rsidR="00DF368E">
        <w:t>show</w:t>
      </w:r>
      <w:r w:rsidR="00966DB4">
        <w:t xml:space="preserve">, the </w:t>
      </w:r>
      <w:r w:rsidR="00D1338F">
        <w:t>general-law approach</w:t>
      </w:r>
      <w:r w:rsidR="00966DB4">
        <w:t xml:space="preserve"> provides compelling answers to many perplexing Fourth Amendment questions. In many cases, those answers </w:t>
      </w:r>
      <w:r w:rsidR="006D4FEC">
        <w:t>are consistent</w:t>
      </w:r>
      <w:r w:rsidR="00966DB4">
        <w:t xml:space="preserve"> with </w:t>
      </w:r>
      <w:r w:rsidR="00AE0277">
        <w:t>existing doctrine</w:t>
      </w:r>
      <w:r w:rsidR="00966DB4">
        <w:t xml:space="preserve">. But </w:t>
      </w:r>
      <w:r w:rsidR="00AE0277">
        <w:t>elsewhere</w:t>
      </w:r>
      <w:r w:rsidR="00966DB4">
        <w:t xml:space="preserve">, the </w:t>
      </w:r>
      <w:r w:rsidR="00D1338F">
        <w:t>general-law approach</w:t>
      </w:r>
      <w:r w:rsidR="00966DB4">
        <w:t xml:space="preserve"> suggests a different path. </w:t>
      </w:r>
      <w:r w:rsidR="002926D4">
        <w:t xml:space="preserve">Our analysis proceeds by </w:t>
      </w:r>
      <w:r w:rsidR="00316E6F">
        <w:t xml:space="preserve">looking to a number of concepts recognized </w:t>
      </w:r>
      <w:r w:rsidR="0006365B">
        <w:t xml:space="preserve">in the private </w:t>
      </w:r>
      <w:r w:rsidR="004F0E38">
        <w:t>law and</w:t>
      </w:r>
      <w:r w:rsidR="0006365B">
        <w:t xml:space="preserve"> showing how they can map onto Fourth Amendment fact patterns in a useful and illuminating way. </w:t>
      </w:r>
      <w:r w:rsidR="00ED5BC6">
        <w:t xml:space="preserve">For example, we consider how bailment doctrine </w:t>
      </w:r>
      <w:r w:rsidR="00B92AA8">
        <w:t xml:space="preserve">and rules about abandonment </w:t>
      </w:r>
      <w:r w:rsidR="00ED5BC6">
        <w:t xml:space="preserve">could inform Fourth Amendment questions about digital privacy; </w:t>
      </w:r>
      <w:r w:rsidR="00B92AA8">
        <w:t xml:space="preserve">how trespass doctrine can </w:t>
      </w:r>
      <w:r w:rsidR="005A4E5A">
        <w:t xml:space="preserve">help inform questions about drones; and how </w:t>
      </w:r>
      <w:r w:rsidR="00DF7849">
        <w:t xml:space="preserve">privacy torts recognized in the early twentieth century might shed light on </w:t>
      </w:r>
      <w:r w:rsidR="00C761BD">
        <w:t xml:space="preserve">twenty-first century questions about digital surveillance. </w:t>
      </w:r>
      <w:r w:rsidR="008B6275">
        <w:t xml:space="preserve">We also </w:t>
      </w:r>
      <w:r w:rsidR="008D6D33">
        <w:t>reconcile</w:t>
      </w:r>
      <w:r w:rsidR="008B6275">
        <w:t xml:space="preserve"> </w:t>
      </w:r>
      <w:r w:rsidR="00C75F01">
        <w:t>caselaw</w:t>
      </w:r>
      <w:r w:rsidR="008D6D33">
        <w:t xml:space="preserve"> governing seizures of</w:t>
      </w:r>
      <w:r w:rsidR="00754028">
        <w:t xml:space="preserve"> the</w:t>
      </w:r>
      <w:r w:rsidR="008D6D33">
        <w:t xml:space="preserve"> person as well as</w:t>
      </w:r>
      <w:r w:rsidR="008B6275">
        <w:t xml:space="preserve"> the Fourth Amendment</w:t>
      </w:r>
      <w:r w:rsidR="008D6D33">
        <w:t>’s</w:t>
      </w:r>
      <w:r w:rsidR="008B6275">
        <w:t xml:space="preserve"> warrant “requirement” </w:t>
      </w:r>
      <w:r w:rsidR="008D6D33">
        <w:t xml:space="preserve">with </w:t>
      </w:r>
      <w:r w:rsidR="008B6275">
        <w:t xml:space="preserve">our theory. </w:t>
      </w:r>
      <w:r w:rsidR="007C26F2">
        <w:t xml:space="preserve">And we </w:t>
      </w:r>
      <w:r w:rsidR="00DF5AB8">
        <w:t>briefly consider</w:t>
      </w:r>
      <w:r w:rsidR="007C26F2">
        <w:t xml:space="preserve"> how our theory might approach the problem of racialized policing.</w:t>
      </w:r>
    </w:p>
    <w:p w14:paraId="722829B0" w14:textId="33A6CF82" w:rsidR="00FE2B95" w:rsidRPr="00520D55" w:rsidRDefault="006E4660" w:rsidP="00FE2B95">
      <w:pPr>
        <w:pStyle w:val="BodyText"/>
      </w:pPr>
      <w:r>
        <w:t xml:space="preserve">We close by </w:t>
      </w:r>
      <w:r w:rsidR="00BE5EB5">
        <w:t xml:space="preserve">noting several additional </w:t>
      </w:r>
      <w:r w:rsidR="00FA327B">
        <w:t>ways</w:t>
      </w:r>
      <w:r w:rsidR="00C761BD">
        <w:t xml:space="preserve"> the </w:t>
      </w:r>
      <w:r w:rsidR="00D1338F">
        <w:t>general-law approach</w:t>
      </w:r>
      <w:r w:rsidR="00C761BD">
        <w:t xml:space="preserve"> </w:t>
      </w:r>
      <w:r w:rsidR="00FA327B">
        <w:t>might be generative</w:t>
      </w:r>
      <w:r w:rsidR="00E92B91">
        <w:t xml:space="preserve">. It could </w:t>
      </w:r>
      <w:r w:rsidR="00561F4D">
        <w:t>inform</w:t>
      </w:r>
      <w:r w:rsidR="001E4217">
        <w:t xml:space="preserve"> the debate on the proper remedies for Fourth Amendment violations. </w:t>
      </w:r>
      <w:r w:rsidR="002A6F6C">
        <w:t xml:space="preserve">It could </w:t>
      </w:r>
      <w:r w:rsidR="00FA327B">
        <w:t xml:space="preserve">provide solutions to hard questions in other areas of constitutional law. </w:t>
      </w:r>
      <w:r w:rsidR="001E4217">
        <w:t>And i</w:t>
      </w:r>
      <w:r w:rsidR="00E92B91">
        <w:t>t could</w:t>
      </w:r>
      <w:r w:rsidR="00C761BD">
        <w:t xml:space="preserve"> be </w:t>
      </w:r>
      <w:r w:rsidR="00460B08">
        <w:t xml:space="preserve">beneficial to the private law, as it would enable federal courts to develop the general law </w:t>
      </w:r>
      <w:r w:rsidR="001A5976">
        <w:t>in ways that state courts could find helpful in other contexts.</w:t>
      </w:r>
    </w:p>
    <w:p w14:paraId="6963611E" w14:textId="4DDA3B7C" w:rsidR="008B69F8" w:rsidRDefault="008A230F" w:rsidP="00B54544">
      <w:pPr>
        <w:pStyle w:val="Heading1"/>
      </w:pPr>
      <w:bookmarkStart w:id="15" w:name="_Toc96093539"/>
      <w:bookmarkStart w:id="16" w:name="_Toc111723665"/>
      <w:r>
        <w:t xml:space="preserve">The </w:t>
      </w:r>
      <w:r w:rsidR="00B87CD4">
        <w:t>ascent of positive law</w:t>
      </w:r>
      <w:bookmarkEnd w:id="15"/>
      <w:bookmarkEnd w:id="16"/>
    </w:p>
    <w:p w14:paraId="14CD8BF8" w14:textId="3C0D07A9" w:rsidR="00A11E92" w:rsidRDefault="00103322" w:rsidP="00F15E5C">
      <w:pPr>
        <w:pStyle w:val="BodyText"/>
        <w:rPr>
          <w:lang w:eastAsia="ja-JP"/>
        </w:rPr>
      </w:pPr>
      <w:r>
        <w:rPr>
          <w:lang w:eastAsia="ja-JP"/>
        </w:rPr>
        <w:t>This Part</w:t>
      </w:r>
      <w:r w:rsidR="00BE47E6">
        <w:rPr>
          <w:lang w:eastAsia="ja-JP"/>
        </w:rPr>
        <w:t xml:space="preserve"> sets the stage by </w:t>
      </w:r>
      <w:r w:rsidR="00D43F91">
        <w:rPr>
          <w:lang w:eastAsia="ja-JP"/>
        </w:rPr>
        <w:t>recounting</w:t>
      </w:r>
      <w:r w:rsidR="00A44F0F">
        <w:rPr>
          <w:lang w:eastAsia="ja-JP"/>
        </w:rPr>
        <w:t xml:space="preserve"> the recent interest in a positive-law approach</w:t>
      </w:r>
      <w:r w:rsidR="003927D6">
        <w:rPr>
          <w:lang w:eastAsia="ja-JP"/>
        </w:rPr>
        <w:t xml:space="preserve"> to the Fourth Amendment</w:t>
      </w:r>
      <w:r w:rsidR="00A44F0F">
        <w:rPr>
          <w:lang w:eastAsia="ja-JP"/>
        </w:rPr>
        <w:t xml:space="preserve">. Section </w:t>
      </w:r>
      <w:r w:rsidR="0020640C">
        <w:rPr>
          <w:lang w:eastAsia="ja-JP"/>
        </w:rPr>
        <w:t>I.</w:t>
      </w:r>
      <w:r w:rsidR="00A44F0F">
        <w:rPr>
          <w:lang w:eastAsia="ja-JP"/>
        </w:rPr>
        <w:t xml:space="preserve">A </w:t>
      </w:r>
      <w:r w:rsidR="007810ED">
        <w:rPr>
          <w:lang w:eastAsia="ja-JP"/>
        </w:rPr>
        <w:t xml:space="preserve">provides a brief overview of </w:t>
      </w:r>
      <w:r w:rsidR="00FC6199">
        <w:rPr>
          <w:i/>
          <w:iCs/>
          <w:lang w:eastAsia="ja-JP"/>
        </w:rPr>
        <w:t>Katz</w:t>
      </w:r>
      <w:r w:rsidR="00FC6199">
        <w:rPr>
          <w:lang w:eastAsia="ja-JP"/>
        </w:rPr>
        <w:t xml:space="preserve"> </w:t>
      </w:r>
      <w:r w:rsidR="00FC6199">
        <w:rPr>
          <w:lang w:eastAsia="ja-JP"/>
        </w:rPr>
        <w:lastRenderedPageBreak/>
        <w:t xml:space="preserve">and </w:t>
      </w:r>
      <w:r w:rsidR="001309CD">
        <w:rPr>
          <w:lang w:eastAsia="ja-JP"/>
        </w:rPr>
        <w:t>later</w:t>
      </w:r>
      <w:r w:rsidR="00FC6199">
        <w:rPr>
          <w:lang w:eastAsia="ja-JP"/>
        </w:rPr>
        <w:t xml:space="preserve"> doctrinal </w:t>
      </w:r>
      <w:r w:rsidR="00C0067B">
        <w:rPr>
          <w:lang w:eastAsia="ja-JP"/>
        </w:rPr>
        <w:t xml:space="preserve">developments. Section </w:t>
      </w:r>
      <w:r w:rsidR="00360F2E">
        <w:rPr>
          <w:lang w:eastAsia="ja-JP"/>
        </w:rPr>
        <w:t>I.</w:t>
      </w:r>
      <w:r w:rsidR="00C0067B">
        <w:rPr>
          <w:lang w:eastAsia="ja-JP"/>
        </w:rPr>
        <w:t xml:space="preserve">B discusses the recent </w:t>
      </w:r>
      <w:r w:rsidR="00915F0A">
        <w:rPr>
          <w:lang w:eastAsia="ja-JP"/>
        </w:rPr>
        <w:t>emergence</w:t>
      </w:r>
      <w:r w:rsidR="0006550F">
        <w:rPr>
          <w:lang w:eastAsia="ja-JP"/>
        </w:rPr>
        <w:t xml:space="preserve"> </w:t>
      </w:r>
      <w:r w:rsidR="00C0067B">
        <w:rPr>
          <w:lang w:eastAsia="ja-JP"/>
        </w:rPr>
        <w:t xml:space="preserve">of </w:t>
      </w:r>
      <w:r w:rsidR="00915F0A">
        <w:rPr>
          <w:lang w:eastAsia="ja-JP"/>
        </w:rPr>
        <w:t>a</w:t>
      </w:r>
      <w:r w:rsidR="00F15E5C">
        <w:rPr>
          <w:lang w:eastAsia="ja-JP"/>
        </w:rPr>
        <w:t xml:space="preserve"> property-based</w:t>
      </w:r>
      <w:r w:rsidR="00915F0A">
        <w:rPr>
          <w:lang w:eastAsia="ja-JP"/>
        </w:rPr>
        <w:t xml:space="preserve"> or positive-law</w:t>
      </w:r>
      <w:r w:rsidR="00F15E5C">
        <w:rPr>
          <w:lang w:eastAsia="ja-JP"/>
        </w:rPr>
        <w:t xml:space="preserve"> approach </w:t>
      </w:r>
      <w:r w:rsidR="00D10BE7">
        <w:rPr>
          <w:lang w:eastAsia="ja-JP"/>
        </w:rPr>
        <w:t xml:space="preserve">as an alternative to </w:t>
      </w:r>
      <w:r w:rsidR="00D10BE7">
        <w:rPr>
          <w:i/>
          <w:iCs/>
          <w:lang w:eastAsia="ja-JP"/>
        </w:rPr>
        <w:t>Katz</w:t>
      </w:r>
      <w:r w:rsidR="00F15E5C">
        <w:rPr>
          <w:lang w:eastAsia="ja-JP"/>
        </w:rPr>
        <w:t xml:space="preserve">. Section </w:t>
      </w:r>
      <w:r w:rsidR="00360F2E">
        <w:rPr>
          <w:lang w:eastAsia="ja-JP"/>
        </w:rPr>
        <w:t>I.</w:t>
      </w:r>
      <w:r w:rsidR="00F15E5C">
        <w:rPr>
          <w:lang w:eastAsia="ja-JP"/>
        </w:rPr>
        <w:t xml:space="preserve">C discusses </w:t>
      </w:r>
      <w:r w:rsidR="00915F0A">
        <w:rPr>
          <w:lang w:eastAsia="ja-JP"/>
        </w:rPr>
        <w:t xml:space="preserve">unanswered questions about </w:t>
      </w:r>
      <w:r w:rsidR="001309CD">
        <w:rPr>
          <w:lang w:eastAsia="ja-JP"/>
        </w:rPr>
        <w:t>a</w:t>
      </w:r>
      <w:r w:rsidR="00915F0A">
        <w:rPr>
          <w:lang w:eastAsia="ja-JP"/>
        </w:rPr>
        <w:t xml:space="preserve"> </w:t>
      </w:r>
      <w:r w:rsidR="00D10BE7">
        <w:rPr>
          <w:lang w:eastAsia="ja-JP"/>
        </w:rPr>
        <w:t>positive-law approach</w:t>
      </w:r>
      <w:r w:rsidR="000D65D1">
        <w:rPr>
          <w:lang w:eastAsia="ja-JP"/>
        </w:rPr>
        <w:t>.</w:t>
      </w:r>
    </w:p>
    <w:p w14:paraId="2BBBEDF9" w14:textId="7A36038C" w:rsidR="00A11E92" w:rsidRDefault="00A11E92" w:rsidP="00A11E92">
      <w:pPr>
        <w:pStyle w:val="Heading2"/>
      </w:pPr>
      <w:bookmarkStart w:id="17" w:name="_Toc96093540"/>
      <w:bookmarkStart w:id="18" w:name="_Toc111723666"/>
      <w:r>
        <w:rPr>
          <w:i/>
          <w:iCs/>
        </w:rPr>
        <w:t xml:space="preserve">The </w:t>
      </w:r>
      <w:r>
        <w:t>Katz</w:t>
      </w:r>
      <w:r w:rsidR="001F44C5" w:rsidRPr="001F44C5">
        <w:rPr>
          <w:i/>
          <w:iCs/>
        </w:rPr>
        <w:t xml:space="preserve"> Era</w:t>
      </w:r>
      <w:bookmarkEnd w:id="17"/>
      <w:bookmarkEnd w:id="18"/>
    </w:p>
    <w:p w14:paraId="42095F33" w14:textId="616FAB76" w:rsidR="004400F4" w:rsidRPr="00F52286" w:rsidRDefault="00966348" w:rsidP="009D4FF7">
      <w:pPr>
        <w:pStyle w:val="BodyText"/>
        <w:rPr>
          <w:lang w:eastAsia="ja-JP"/>
        </w:rPr>
      </w:pPr>
      <w:r>
        <w:rPr>
          <w:lang w:eastAsia="ja-JP"/>
        </w:rPr>
        <w:t xml:space="preserve">Though ratified in 1791, </w:t>
      </w:r>
      <w:r w:rsidR="007E27C3">
        <w:rPr>
          <w:lang w:eastAsia="ja-JP"/>
        </w:rPr>
        <w:t xml:space="preserve">the </w:t>
      </w:r>
      <w:r w:rsidR="0041342C">
        <w:rPr>
          <w:lang w:eastAsia="ja-JP"/>
        </w:rPr>
        <w:t>Fourth Amendment</w:t>
      </w:r>
      <w:r w:rsidR="000E421D">
        <w:rPr>
          <w:lang w:eastAsia="ja-JP"/>
        </w:rPr>
        <w:t xml:space="preserve"> </w:t>
      </w:r>
      <w:r w:rsidR="00BF3C2C">
        <w:rPr>
          <w:lang w:eastAsia="ja-JP"/>
        </w:rPr>
        <w:t>was relatively unimportant</w:t>
      </w:r>
      <w:r w:rsidR="007E27C3">
        <w:rPr>
          <w:lang w:eastAsia="ja-JP"/>
        </w:rPr>
        <w:t xml:space="preserve"> for </w:t>
      </w:r>
      <w:r w:rsidR="00C8594B">
        <w:rPr>
          <w:lang w:eastAsia="ja-JP"/>
        </w:rPr>
        <w:t xml:space="preserve">nearly </w:t>
      </w:r>
      <w:r w:rsidR="007E27C3">
        <w:rPr>
          <w:lang w:eastAsia="ja-JP"/>
        </w:rPr>
        <w:t>the first century of its existence.</w:t>
      </w:r>
      <w:r w:rsidR="00016F8C" w:rsidRPr="002A4234">
        <w:rPr>
          <w:rStyle w:val="FootnoteReference"/>
        </w:rPr>
        <w:footnoteReference w:id="30"/>
      </w:r>
      <w:r w:rsidR="00123FC9">
        <w:rPr>
          <w:lang w:eastAsia="ja-JP"/>
        </w:rPr>
        <w:t xml:space="preserve"> </w:t>
      </w:r>
      <w:r w:rsidR="002A5E42">
        <w:rPr>
          <w:lang w:eastAsia="ja-JP"/>
        </w:rPr>
        <w:t>Indeed,</w:t>
      </w:r>
      <w:r w:rsidR="00F244C6">
        <w:rPr>
          <w:lang w:eastAsia="ja-JP"/>
        </w:rPr>
        <w:t xml:space="preserve"> </w:t>
      </w:r>
      <w:r w:rsidR="000625BB">
        <w:rPr>
          <w:lang w:eastAsia="ja-JP"/>
        </w:rPr>
        <w:t xml:space="preserve">the Supreme Court did not </w:t>
      </w:r>
      <w:r w:rsidR="009C3D3E">
        <w:rPr>
          <w:lang w:eastAsia="ja-JP"/>
        </w:rPr>
        <w:t xml:space="preserve">authoritatively interpret </w:t>
      </w:r>
      <w:r w:rsidR="00D25C52">
        <w:rPr>
          <w:lang w:eastAsia="ja-JP"/>
        </w:rPr>
        <w:t>it</w:t>
      </w:r>
      <w:r w:rsidR="009C3D3E">
        <w:rPr>
          <w:lang w:eastAsia="ja-JP"/>
        </w:rPr>
        <w:t xml:space="preserve"> until </w:t>
      </w:r>
      <w:r w:rsidR="00F833B5">
        <w:rPr>
          <w:lang w:eastAsia="ja-JP"/>
        </w:rPr>
        <w:t>1886</w:t>
      </w:r>
      <w:r w:rsidR="00DD4D83">
        <w:rPr>
          <w:lang w:eastAsia="ja-JP"/>
        </w:rPr>
        <w:t>,</w:t>
      </w:r>
      <w:r w:rsidR="00682F36">
        <w:rPr>
          <w:lang w:eastAsia="ja-JP"/>
        </w:rPr>
        <w:t xml:space="preserve"> </w:t>
      </w:r>
      <w:r w:rsidR="009C3D3E">
        <w:rPr>
          <w:lang w:eastAsia="ja-JP"/>
        </w:rPr>
        <w:t xml:space="preserve">in </w:t>
      </w:r>
      <w:r w:rsidR="009C3D3E">
        <w:rPr>
          <w:i/>
          <w:iCs/>
          <w:lang w:eastAsia="ja-JP"/>
        </w:rPr>
        <w:t>Boyd v. United States</w:t>
      </w:r>
      <w:r w:rsidR="009C3D3E">
        <w:rPr>
          <w:lang w:eastAsia="ja-JP"/>
        </w:rPr>
        <w:t>.</w:t>
      </w:r>
      <w:r w:rsidR="00F833B5" w:rsidRPr="002A4234">
        <w:rPr>
          <w:rStyle w:val="FootnoteReference"/>
        </w:rPr>
        <w:footnoteReference w:id="31"/>
      </w:r>
      <w:r w:rsidR="00B952AC">
        <w:rPr>
          <w:lang w:eastAsia="ja-JP"/>
        </w:rPr>
        <w:t xml:space="preserve"> </w:t>
      </w:r>
      <w:r w:rsidR="00530723">
        <w:rPr>
          <w:lang w:eastAsia="ja-JP"/>
        </w:rPr>
        <w:t>B</w:t>
      </w:r>
      <w:r w:rsidR="00C25BB3">
        <w:rPr>
          <w:lang w:eastAsia="ja-JP"/>
        </w:rPr>
        <w:t xml:space="preserve">y the twentieth century, </w:t>
      </w:r>
      <w:r w:rsidR="00530723">
        <w:rPr>
          <w:lang w:eastAsia="ja-JP"/>
        </w:rPr>
        <w:t xml:space="preserve">however, </w:t>
      </w:r>
      <w:r w:rsidR="002A5E42">
        <w:rPr>
          <w:lang w:eastAsia="ja-JP"/>
        </w:rPr>
        <w:t>t</w:t>
      </w:r>
      <w:r w:rsidR="004400F4">
        <w:rPr>
          <w:lang w:eastAsia="ja-JP"/>
        </w:rPr>
        <w:t xml:space="preserve">he Court </w:t>
      </w:r>
      <w:r w:rsidR="00840139">
        <w:rPr>
          <w:lang w:eastAsia="ja-JP"/>
        </w:rPr>
        <w:t>was</w:t>
      </w:r>
      <w:r w:rsidR="004400F4">
        <w:rPr>
          <w:lang w:eastAsia="ja-JP"/>
        </w:rPr>
        <w:t xml:space="preserve"> increasingly called upon to interpret the </w:t>
      </w:r>
      <w:r w:rsidR="00C25BB3">
        <w:rPr>
          <w:lang w:eastAsia="ja-JP"/>
        </w:rPr>
        <w:t xml:space="preserve">Fourth </w:t>
      </w:r>
      <w:r w:rsidR="004400F4">
        <w:rPr>
          <w:lang w:eastAsia="ja-JP"/>
        </w:rPr>
        <w:t>Amendment</w:t>
      </w:r>
      <w:r w:rsidR="00D41D0F">
        <w:rPr>
          <w:lang w:eastAsia="ja-JP"/>
        </w:rPr>
        <w:t>.</w:t>
      </w:r>
      <w:r w:rsidR="008F0B51">
        <w:rPr>
          <w:lang w:eastAsia="ja-JP"/>
        </w:rPr>
        <w:t xml:space="preserve"> </w:t>
      </w:r>
      <w:r w:rsidR="00D41D0F">
        <w:rPr>
          <w:lang w:eastAsia="ja-JP"/>
        </w:rPr>
        <w:t xml:space="preserve">The </w:t>
      </w:r>
      <w:r w:rsidR="00BC378F">
        <w:rPr>
          <w:lang w:eastAsia="ja-JP"/>
        </w:rPr>
        <w:t>Court</w:t>
      </w:r>
      <w:r w:rsidR="008F0B51">
        <w:rPr>
          <w:lang w:eastAsia="ja-JP"/>
        </w:rPr>
        <w:t xml:space="preserve"> </w:t>
      </w:r>
      <w:r w:rsidR="00122A34">
        <w:rPr>
          <w:lang w:eastAsia="ja-JP"/>
        </w:rPr>
        <w:t>began requiring the exclusion of evidence obtained illegally in federal criminal trials</w:t>
      </w:r>
      <w:r w:rsidR="00BC378F">
        <w:rPr>
          <w:lang w:eastAsia="ja-JP"/>
        </w:rPr>
        <w:t>,</w:t>
      </w:r>
      <w:r w:rsidR="002C3E4E" w:rsidRPr="002A4234">
        <w:rPr>
          <w:rStyle w:val="FootnoteReference"/>
        </w:rPr>
        <w:footnoteReference w:id="32"/>
      </w:r>
      <w:r w:rsidR="002C3E4E">
        <w:rPr>
          <w:lang w:eastAsia="ja-JP"/>
        </w:rPr>
        <w:t xml:space="preserve"> </w:t>
      </w:r>
      <w:r w:rsidR="00BC378F">
        <w:rPr>
          <w:lang w:eastAsia="ja-JP"/>
        </w:rPr>
        <w:t>and</w:t>
      </w:r>
      <w:r w:rsidR="002C3E4E">
        <w:rPr>
          <w:lang w:eastAsia="ja-JP"/>
        </w:rPr>
        <w:t xml:space="preserve"> </w:t>
      </w:r>
      <w:r w:rsidR="009773D4">
        <w:rPr>
          <w:lang w:eastAsia="ja-JP"/>
        </w:rPr>
        <w:t xml:space="preserve">thereby </w:t>
      </w:r>
      <w:r w:rsidR="00DB4EF1">
        <w:rPr>
          <w:lang w:eastAsia="ja-JP"/>
        </w:rPr>
        <w:t>generated a steady stream of cases</w:t>
      </w:r>
      <w:r w:rsidR="00257542">
        <w:rPr>
          <w:lang w:eastAsia="ja-JP"/>
        </w:rPr>
        <w:t xml:space="preserve"> presenting Fourth Amendment issues</w:t>
      </w:r>
      <w:r w:rsidR="00DB4EF1">
        <w:rPr>
          <w:lang w:eastAsia="ja-JP"/>
        </w:rPr>
        <w:t>.</w:t>
      </w:r>
      <w:r w:rsidR="00DB4EF1" w:rsidRPr="002A4234">
        <w:rPr>
          <w:rStyle w:val="FootnoteReference"/>
        </w:rPr>
        <w:footnoteReference w:id="33"/>
      </w:r>
    </w:p>
    <w:p w14:paraId="0CE55B49" w14:textId="18F195F3" w:rsidR="00EC5532" w:rsidRDefault="00257542" w:rsidP="00EC5532">
      <w:pPr>
        <w:pStyle w:val="BodyText"/>
        <w:rPr>
          <w:i/>
          <w:iCs/>
          <w:lang w:eastAsia="ja-JP"/>
        </w:rPr>
      </w:pPr>
      <w:r>
        <w:rPr>
          <w:lang w:eastAsia="ja-JP"/>
        </w:rPr>
        <w:t xml:space="preserve">Our story </w:t>
      </w:r>
      <w:r w:rsidR="00A02E4C">
        <w:rPr>
          <w:lang w:eastAsia="ja-JP"/>
        </w:rPr>
        <w:t>begin</w:t>
      </w:r>
      <w:r w:rsidR="004E40C4">
        <w:rPr>
          <w:lang w:eastAsia="ja-JP"/>
        </w:rPr>
        <w:t>s</w:t>
      </w:r>
      <w:r>
        <w:rPr>
          <w:lang w:eastAsia="ja-JP"/>
        </w:rPr>
        <w:t xml:space="preserve"> with</w:t>
      </w:r>
      <w:r w:rsidR="00426B09">
        <w:rPr>
          <w:lang w:eastAsia="ja-JP"/>
        </w:rPr>
        <w:t xml:space="preserve"> </w:t>
      </w:r>
      <w:r w:rsidR="00ED4517">
        <w:rPr>
          <w:i/>
          <w:iCs/>
          <w:lang w:eastAsia="ja-JP"/>
        </w:rPr>
        <w:t xml:space="preserve">Olmstead </w:t>
      </w:r>
      <w:r w:rsidR="00426B09">
        <w:rPr>
          <w:i/>
          <w:iCs/>
          <w:lang w:eastAsia="ja-JP"/>
        </w:rPr>
        <w:t>v. United States</w:t>
      </w:r>
      <w:r w:rsidR="008A4A98">
        <w:rPr>
          <w:lang w:eastAsia="ja-JP"/>
        </w:rPr>
        <w:t>.</w:t>
      </w:r>
      <w:r w:rsidR="008A4A98" w:rsidRPr="002A4234">
        <w:rPr>
          <w:rStyle w:val="FootnoteReference"/>
        </w:rPr>
        <w:footnoteReference w:id="34"/>
      </w:r>
      <w:r w:rsidR="008A4A98">
        <w:rPr>
          <w:lang w:eastAsia="ja-JP"/>
        </w:rPr>
        <w:t xml:space="preserve"> In that case, the police had</w:t>
      </w:r>
      <w:r w:rsidR="00C850C5">
        <w:rPr>
          <w:lang w:eastAsia="ja-JP"/>
        </w:rPr>
        <w:t>,</w:t>
      </w:r>
      <w:r w:rsidR="00C21652">
        <w:rPr>
          <w:lang w:eastAsia="ja-JP"/>
        </w:rPr>
        <w:t xml:space="preserve"> without a warrant</w:t>
      </w:r>
      <w:r w:rsidR="00C850C5">
        <w:rPr>
          <w:lang w:eastAsia="ja-JP"/>
        </w:rPr>
        <w:t>,</w:t>
      </w:r>
      <w:r w:rsidR="008A4A98">
        <w:rPr>
          <w:lang w:eastAsia="ja-JP"/>
        </w:rPr>
        <w:t xml:space="preserve"> </w:t>
      </w:r>
      <w:r w:rsidR="00D57062">
        <w:rPr>
          <w:lang w:eastAsia="ja-JP"/>
        </w:rPr>
        <w:t xml:space="preserve">wiretapped the phone lines of </w:t>
      </w:r>
      <w:r w:rsidR="00702BAD">
        <w:rPr>
          <w:lang w:eastAsia="ja-JP"/>
        </w:rPr>
        <w:t>several suspected bootleggers</w:t>
      </w:r>
      <w:r w:rsidR="00DE5899">
        <w:rPr>
          <w:lang w:eastAsia="ja-JP"/>
        </w:rPr>
        <w:t xml:space="preserve">. </w:t>
      </w:r>
      <w:r w:rsidR="00C21652">
        <w:rPr>
          <w:lang w:eastAsia="ja-JP"/>
        </w:rPr>
        <w:t>The Court found no Fourth Amendment violation</w:t>
      </w:r>
      <w:r w:rsidR="009C222E">
        <w:rPr>
          <w:lang w:eastAsia="ja-JP"/>
        </w:rPr>
        <w:t>,</w:t>
      </w:r>
      <w:r w:rsidR="00C21652">
        <w:rPr>
          <w:lang w:eastAsia="ja-JP"/>
        </w:rPr>
        <w:t xml:space="preserve"> </w:t>
      </w:r>
      <w:r w:rsidR="00916634">
        <w:rPr>
          <w:lang w:eastAsia="ja-JP"/>
        </w:rPr>
        <w:t xml:space="preserve">stressing </w:t>
      </w:r>
      <w:r w:rsidR="00C21652">
        <w:rPr>
          <w:lang w:eastAsia="ja-JP"/>
        </w:rPr>
        <w:t>t</w:t>
      </w:r>
      <w:r w:rsidR="002D255D">
        <w:rPr>
          <w:lang w:eastAsia="ja-JP"/>
        </w:rPr>
        <w:t>hat</w:t>
      </w:r>
      <w:r w:rsidR="00C21652">
        <w:rPr>
          <w:lang w:eastAsia="ja-JP"/>
        </w:rPr>
        <w:t xml:space="preserve"> </w:t>
      </w:r>
      <w:r w:rsidR="00916634">
        <w:rPr>
          <w:lang w:eastAsia="ja-JP"/>
        </w:rPr>
        <w:t>“[t]</w:t>
      </w:r>
      <w:r w:rsidR="00C21652" w:rsidRPr="00C21652">
        <w:rPr>
          <w:lang w:eastAsia="ja-JP"/>
        </w:rPr>
        <w:t>here was no entry of the houses or offices of the defendants.</w:t>
      </w:r>
      <w:r w:rsidR="002D255D">
        <w:rPr>
          <w:lang w:eastAsia="ja-JP"/>
        </w:rPr>
        <w:t>”</w:t>
      </w:r>
      <w:r w:rsidR="002D255D" w:rsidRPr="002A4234">
        <w:rPr>
          <w:rStyle w:val="FootnoteReference"/>
        </w:rPr>
        <w:footnoteReference w:id="35"/>
      </w:r>
      <w:r w:rsidR="001B1A0C">
        <w:rPr>
          <w:lang w:eastAsia="ja-JP"/>
        </w:rPr>
        <w:t xml:space="preserve"> Justice Brandeis dissented, arguing </w:t>
      </w:r>
      <w:r w:rsidR="00E854E4">
        <w:rPr>
          <w:lang w:eastAsia="ja-JP"/>
        </w:rPr>
        <w:t xml:space="preserve">against the majority’s “unduly </w:t>
      </w:r>
      <w:r w:rsidR="00BD1F60">
        <w:rPr>
          <w:lang w:eastAsia="ja-JP"/>
        </w:rPr>
        <w:t>literal construction” of the Fourth Amendment</w:t>
      </w:r>
      <w:r w:rsidR="00A52B26" w:rsidRPr="002A4234">
        <w:rPr>
          <w:rStyle w:val="FootnoteReference"/>
        </w:rPr>
        <w:footnoteReference w:id="36"/>
      </w:r>
      <w:r w:rsidR="00BD1F60">
        <w:rPr>
          <w:lang w:eastAsia="ja-JP"/>
        </w:rPr>
        <w:t xml:space="preserve"> and in favor of a broad reading </w:t>
      </w:r>
      <w:r w:rsidR="00A52B26">
        <w:rPr>
          <w:lang w:eastAsia="ja-JP"/>
        </w:rPr>
        <w:t>that would prohibit</w:t>
      </w:r>
      <w:r w:rsidR="00BD1F60">
        <w:rPr>
          <w:lang w:eastAsia="ja-JP"/>
        </w:rPr>
        <w:t xml:space="preserve"> “</w:t>
      </w:r>
      <w:r w:rsidR="00BD1F60" w:rsidRPr="00BD1F60">
        <w:rPr>
          <w:lang w:eastAsia="ja-JP"/>
        </w:rPr>
        <w:t>every unjustifiable intrusion by the Government upon the privacy of the individual, whatever the means employed</w:t>
      </w:r>
      <w:r w:rsidR="00BD1F60">
        <w:rPr>
          <w:lang w:eastAsia="ja-JP"/>
        </w:rPr>
        <w:t>.”</w:t>
      </w:r>
      <w:r w:rsidR="00BD1F60" w:rsidRPr="002A4234">
        <w:rPr>
          <w:rStyle w:val="FootnoteReference"/>
        </w:rPr>
        <w:footnoteReference w:id="37"/>
      </w:r>
      <w:r w:rsidR="00EC5532">
        <w:rPr>
          <w:lang w:eastAsia="ja-JP"/>
        </w:rPr>
        <w:t xml:space="preserve"> Notwithstanding Brandeis’s forceful dissent, t</w:t>
      </w:r>
      <w:r w:rsidR="00011B04">
        <w:rPr>
          <w:lang w:eastAsia="ja-JP"/>
        </w:rPr>
        <w:t xml:space="preserve">he Court </w:t>
      </w:r>
      <w:r w:rsidR="00EC5532">
        <w:rPr>
          <w:lang w:eastAsia="ja-JP"/>
        </w:rPr>
        <w:t xml:space="preserve">continued to </w:t>
      </w:r>
      <w:r w:rsidR="00011B04">
        <w:rPr>
          <w:lang w:eastAsia="ja-JP"/>
        </w:rPr>
        <w:t xml:space="preserve">adhere to </w:t>
      </w:r>
      <w:r w:rsidR="00011B04" w:rsidRPr="00011B04">
        <w:rPr>
          <w:i/>
          <w:iCs/>
          <w:lang w:eastAsia="ja-JP"/>
        </w:rPr>
        <w:t>Olmstead</w:t>
      </w:r>
      <w:r w:rsidR="00011B04">
        <w:rPr>
          <w:lang w:eastAsia="ja-JP"/>
        </w:rPr>
        <w:t xml:space="preserve"> </w:t>
      </w:r>
      <w:r w:rsidR="00984459">
        <w:rPr>
          <w:lang w:eastAsia="ja-JP"/>
        </w:rPr>
        <w:t xml:space="preserve">in </w:t>
      </w:r>
      <w:r w:rsidR="00011B04">
        <w:rPr>
          <w:lang w:eastAsia="ja-JP"/>
        </w:rPr>
        <w:t xml:space="preserve">later cases involving </w:t>
      </w:r>
      <w:r w:rsidR="006C073A">
        <w:rPr>
          <w:lang w:eastAsia="ja-JP"/>
        </w:rPr>
        <w:t xml:space="preserve">electronic surveillance, including </w:t>
      </w:r>
      <w:r w:rsidR="006C073A">
        <w:rPr>
          <w:i/>
          <w:iCs/>
          <w:lang w:eastAsia="ja-JP"/>
        </w:rPr>
        <w:t xml:space="preserve">Goldman v. United </w:t>
      </w:r>
      <w:r w:rsidR="006C073A" w:rsidRPr="006C073A">
        <w:rPr>
          <w:i/>
          <w:iCs/>
          <w:lang w:eastAsia="ja-JP"/>
        </w:rPr>
        <w:t>States</w:t>
      </w:r>
      <w:r w:rsidR="006C073A" w:rsidRPr="002A4234">
        <w:rPr>
          <w:rStyle w:val="FootnoteReference"/>
        </w:rPr>
        <w:footnoteReference w:id="38"/>
      </w:r>
      <w:r w:rsidR="006C073A">
        <w:rPr>
          <w:lang w:eastAsia="ja-JP"/>
        </w:rPr>
        <w:t xml:space="preserve"> and </w:t>
      </w:r>
      <w:r w:rsidR="006C073A">
        <w:rPr>
          <w:i/>
          <w:iCs/>
          <w:lang w:eastAsia="ja-JP"/>
        </w:rPr>
        <w:t>On Lee v. United States</w:t>
      </w:r>
      <w:r w:rsidR="006C073A">
        <w:rPr>
          <w:lang w:eastAsia="ja-JP"/>
        </w:rPr>
        <w:t>.</w:t>
      </w:r>
      <w:r w:rsidR="006C073A" w:rsidRPr="002A4234">
        <w:rPr>
          <w:rStyle w:val="FootnoteReference"/>
        </w:rPr>
        <w:footnoteReference w:id="39"/>
      </w:r>
      <w:r w:rsidR="006C073A">
        <w:rPr>
          <w:i/>
          <w:iCs/>
          <w:lang w:eastAsia="ja-JP"/>
        </w:rPr>
        <w:t xml:space="preserve"> </w:t>
      </w:r>
    </w:p>
    <w:p w14:paraId="6AC0A7D3" w14:textId="09E60A08" w:rsidR="00937529" w:rsidRDefault="00EC5532" w:rsidP="00EC5532">
      <w:pPr>
        <w:pStyle w:val="BodyText"/>
        <w:rPr>
          <w:lang w:eastAsia="ja-JP"/>
        </w:rPr>
      </w:pPr>
      <w:r>
        <w:rPr>
          <w:lang w:eastAsia="ja-JP"/>
        </w:rPr>
        <w:lastRenderedPageBreak/>
        <w:t xml:space="preserve">But in 1961 the Court departed from this line of cases. In </w:t>
      </w:r>
      <w:r w:rsidR="005803B5">
        <w:rPr>
          <w:i/>
          <w:iCs/>
          <w:lang w:eastAsia="ja-JP"/>
        </w:rPr>
        <w:t>Silverman v. United States</w:t>
      </w:r>
      <w:r>
        <w:rPr>
          <w:lang w:eastAsia="ja-JP"/>
        </w:rPr>
        <w:t>,</w:t>
      </w:r>
      <w:r w:rsidR="005803B5" w:rsidRPr="002A4234">
        <w:rPr>
          <w:rStyle w:val="FootnoteReference"/>
        </w:rPr>
        <w:footnoteReference w:id="40"/>
      </w:r>
      <w:r w:rsidR="00860EEE">
        <w:rPr>
          <w:lang w:eastAsia="ja-JP"/>
        </w:rPr>
        <w:t xml:space="preserve"> </w:t>
      </w:r>
      <w:r>
        <w:rPr>
          <w:lang w:eastAsia="ja-JP"/>
        </w:rPr>
        <w:t xml:space="preserve">it </w:t>
      </w:r>
      <w:r w:rsidR="00860EEE">
        <w:rPr>
          <w:lang w:eastAsia="ja-JP"/>
        </w:rPr>
        <w:t xml:space="preserve">found </w:t>
      </w:r>
      <w:r>
        <w:rPr>
          <w:lang w:eastAsia="ja-JP"/>
        </w:rPr>
        <w:t xml:space="preserve">that </w:t>
      </w:r>
      <w:r w:rsidR="00860EEE">
        <w:rPr>
          <w:lang w:eastAsia="ja-JP"/>
        </w:rPr>
        <w:t>officers</w:t>
      </w:r>
      <w:r>
        <w:rPr>
          <w:lang w:eastAsia="ja-JP"/>
        </w:rPr>
        <w:t>’</w:t>
      </w:r>
      <w:r w:rsidR="00860EEE">
        <w:rPr>
          <w:lang w:eastAsia="ja-JP"/>
        </w:rPr>
        <w:t xml:space="preserve"> use</w:t>
      </w:r>
      <w:r>
        <w:rPr>
          <w:lang w:eastAsia="ja-JP"/>
        </w:rPr>
        <w:t xml:space="preserve"> of</w:t>
      </w:r>
      <w:r w:rsidR="00860EEE">
        <w:rPr>
          <w:lang w:eastAsia="ja-JP"/>
        </w:rPr>
        <w:t xml:space="preserve"> a “spike mike” </w:t>
      </w:r>
      <w:r w:rsidR="00DE24BD">
        <w:rPr>
          <w:lang w:eastAsia="ja-JP"/>
        </w:rPr>
        <w:t xml:space="preserve">that made contact with a heating duct inside </w:t>
      </w:r>
      <w:r w:rsidR="002F7E1B">
        <w:rPr>
          <w:lang w:eastAsia="ja-JP"/>
        </w:rPr>
        <w:t>a house occupied by the defendants</w:t>
      </w:r>
      <w:r>
        <w:rPr>
          <w:lang w:eastAsia="ja-JP"/>
        </w:rPr>
        <w:t xml:space="preserve"> violated the Fourth Amendment</w:t>
      </w:r>
      <w:r w:rsidR="00E02E20">
        <w:rPr>
          <w:lang w:eastAsia="ja-JP"/>
        </w:rPr>
        <w:t>.</w:t>
      </w:r>
      <w:r w:rsidR="002F7E1B" w:rsidRPr="002A4234">
        <w:rPr>
          <w:rStyle w:val="FootnoteReference"/>
        </w:rPr>
        <w:footnoteReference w:id="41"/>
      </w:r>
      <w:r w:rsidR="002F7E1B">
        <w:rPr>
          <w:lang w:eastAsia="ja-JP"/>
        </w:rPr>
        <w:t xml:space="preserve"> The Court distinguished </w:t>
      </w:r>
      <w:r w:rsidR="002F7E1B">
        <w:rPr>
          <w:i/>
          <w:iCs/>
          <w:lang w:eastAsia="ja-JP"/>
        </w:rPr>
        <w:t>Olmstead</w:t>
      </w:r>
      <w:r w:rsidR="00D05DB8">
        <w:rPr>
          <w:lang w:eastAsia="ja-JP"/>
        </w:rPr>
        <w:t xml:space="preserve"> on the ground that</w:t>
      </w:r>
      <w:r>
        <w:rPr>
          <w:lang w:eastAsia="ja-JP"/>
        </w:rPr>
        <w:t xml:space="preserve"> the</w:t>
      </w:r>
      <w:r w:rsidR="00B64B54">
        <w:rPr>
          <w:lang w:eastAsia="ja-JP"/>
        </w:rPr>
        <w:t xml:space="preserve"> “</w:t>
      </w:r>
      <w:r w:rsidR="00B64B54" w:rsidRPr="00B64B54">
        <w:rPr>
          <w:lang w:eastAsia="ja-JP"/>
        </w:rPr>
        <w:t>eavesdropping was accomplished by means of an unauthorized physical penetration</w:t>
      </w:r>
      <w:r w:rsidR="00B64B54">
        <w:rPr>
          <w:lang w:eastAsia="ja-JP"/>
        </w:rPr>
        <w:t>”</w:t>
      </w:r>
      <w:r w:rsidR="00937529">
        <w:rPr>
          <w:lang w:eastAsia="ja-JP"/>
        </w:rPr>
        <w:t xml:space="preserve"> into the house.</w:t>
      </w:r>
      <w:r w:rsidR="00B64B54" w:rsidRPr="002A4234">
        <w:rPr>
          <w:rStyle w:val="FootnoteReference"/>
        </w:rPr>
        <w:footnoteReference w:id="42"/>
      </w:r>
      <w:r w:rsidR="00937529">
        <w:rPr>
          <w:lang w:eastAsia="ja-JP"/>
        </w:rPr>
        <w:t xml:space="preserve"> Later t</w:t>
      </w:r>
      <w:r w:rsidR="00117FC9">
        <w:rPr>
          <w:lang w:eastAsia="ja-JP"/>
        </w:rPr>
        <w:t>h</w:t>
      </w:r>
      <w:r w:rsidR="00750DFA">
        <w:rPr>
          <w:lang w:eastAsia="ja-JP"/>
        </w:rPr>
        <w:t>at year,</w:t>
      </w:r>
      <w:r w:rsidR="00050DBA">
        <w:rPr>
          <w:lang w:eastAsia="ja-JP"/>
        </w:rPr>
        <w:t xml:space="preserve"> </w:t>
      </w:r>
      <w:r w:rsidR="00A30B94">
        <w:rPr>
          <w:i/>
          <w:iCs/>
          <w:lang w:eastAsia="ja-JP"/>
        </w:rPr>
        <w:t>Mapp v. Ohio</w:t>
      </w:r>
      <w:r w:rsidR="00A30B94">
        <w:rPr>
          <w:lang w:eastAsia="ja-JP"/>
        </w:rPr>
        <w:t xml:space="preserve"> </w:t>
      </w:r>
      <w:r w:rsidR="00F357EA">
        <w:rPr>
          <w:lang w:eastAsia="ja-JP"/>
        </w:rPr>
        <w:t xml:space="preserve">extended </w:t>
      </w:r>
      <w:r w:rsidR="003943FE">
        <w:rPr>
          <w:lang w:eastAsia="ja-JP"/>
        </w:rPr>
        <w:t xml:space="preserve">the Fourth Amendment </w:t>
      </w:r>
      <w:r w:rsidR="00006B2B">
        <w:rPr>
          <w:lang w:eastAsia="ja-JP"/>
        </w:rPr>
        <w:t>exclusionary rule</w:t>
      </w:r>
      <w:r w:rsidR="003943FE">
        <w:rPr>
          <w:lang w:eastAsia="ja-JP"/>
        </w:rPr>
        <w:t xml:space="preserve"> enforceable </w:t>
      </w:r>
      <w:r w:rsidR="00F357EA">
        <w:rPr>
          <w:lang w:eastAsia="ja-JP"/>
        </w:rPr>
        <w:t>to</w:t>
      </w:r>
      <w:r w:rsidR="003943FE">
        <w:rPr>
          <w:lang w:eastAsia="ja-JP"/>
        </w:rPr>
        <w:t xml:space="preserve"> state court</w:t>
      </w:r>
      <w:r w:rsidR="00F357EA">
        <w:rPr>
          <w:lang w:eastAsia="ja-JP"/>
        </w:rPr>
        <w:t>s</w:t>
      </w:r>
      <w:r w:rsidR="003943FE">
        <w:rPr>
          <w:lang w:eastAsia="ja-JP"/>
        </w:rPr>
        <w:t>.</w:t>
      </w:r>
      <w:r w:rsidR="00DA522D" w:rsidRPr="00DA522D">
        <w:rPr>
          <w:rStyle w:val="FootnoteReference"/>
        </w:rPr>
        <w:t xml:space="preserve"> </w:t>
      </w:r>
      <w:r w:rsidR="00DA522D" w:rsidRPr="002A4234">
        <w:rPr>
          <w:rStyle w:val="FootnoteReference"/>
        </w:rPr>
        <w:footnoteReference w:id="43"/>
      </w:r>
    </w:p>
    <w:p w14:paraId="30665982" w14:textId="56F0A3E3" w:rsidR="00A11E92" w:rsidRPr="001149AC" w:rsidRDefault="00936671" w:rsidP="00E55E0E">
      <w:pPr>
        <w:pStyle w:val="BodyText"/>
        <w:rPr>
          <w:lang w:eastAsia="ja-JP"/>
        </w:rPr>
      </w:pPr>
      <w:r>
        <w:rPr>
          <w:lang w:eastAsia="ja-JP"/>
        </w:rPr>
        <w:t>Then</w:t>
      </w:r>
      <w:r w:rsidR="00D83534">
        <w:rPr>
          <w:lang w:eastAsia="ja-JP"/>
        </w:rPr>
        <w:t>,</w:t>
      </w:r>
      <w:r w:rsidR="00050DBA">
        <w:rPr>
          <w:lang w:eastAsia="ja-JP"/>
        </w:rPr>
        <w:t xml:space="preserve"> i</w:t>
      </w:r>
      <w:r w:rsidR="004F75AE">
        <w:rPr>
          <w:lang w:eastAsia="ja-JP"/>
        </w:rPr>
        <w:t xml:space="preserve">n 1967, the Supreme Court </w:t>
      </w:r>
      <w:r w:rsidR="00E55E0E">
        <w:rPr>
          <w:lang w:eastAsia="ja-JP"/>
        </w:rPr>
        <w:t xml:space="preserve">laid out the framework that would govern </w:t>
      </w:r>
      <w:r w:rsidR="003240CE">
        <w:rPr>
          <w:lang w:eastAsia="ja-JP"/>
        </w:rPr>
        <w:t xml:space="preserve">the </w:t>
      </w:r>
      <w:r w:rsidR="006D5CC8">
        <w:rPr>
          <w:lang w:eastAsia="ja-JP"/>
        </w:rPr>
        <w:t xml:space="preserve">Fourth Amendment </w:t>
      </w:r>
      <w:r w:rsidR="00E55E0E">
        <w:rPr>
          <w:lang w:eastAsia="ja-JP"/>
        </w:rPr>
        <w:t>for decades to come</w:t>
      </w:r>
      <w:r w:rsidR="006D5CC8">
        <w:rPr>
          <w:lang w:eastAsia="ja-JP"/>
        </w:rPr>
        <w:t xml:space="preserve"> in </w:t>
      </w:r>
      <w:r w:rsidR="006D5CC8">
        <w:rPr>
          <w:i/>
          <w:iCs/>
          <w:lang w:eastAsia="ja-JP"/>
        </w:rPr>
        <w:t>Katz v. United States</w:t>
      </w:r>
      <w:r w:rsidR="006D5CC8">
        <w:rPr>
          <w:lang w:eastAsia="ja-JP"/>
        </w:rPr>
        <w:t>.</w:t>
      </w:r>
      <w:r w:rsidR="00E55E0E" w:rsidRPr="002A4234">
        <w:rPr>
          <w:rStyle w:val="FootnoteReference"/>
        </w:rPr>
        <w:footnoteReference w:id="44"/>
      </w:r>
      <w:r w:rsidR="00C67AEB">
        <w:rPr>
          <w:lang w:eastAsia="ja-JP"/>
        </w:rPr>
        <w:t xml:space="preserve"> There, the Court held that the police </w:t>
      </w:r>
      <w:r w:rsidR="003C1B58">
        <w:rPr>
          <w:lang w:eastAsia="ja-JP"/>
        </w:rPr>
        <w:t xml:space="preserve">violated the Fourth Amendment when placing a </w:t>
      </w:r>
      <w:r w:rsidR="00D32D62">
        <w:rPr>
          <w:lang w:eastAsia="ja-JP"/>
        </w:rPr>
        <w:t xml:space="preserve">microphone on the outside of a telephone booth to eavesdrop </w:t>
      </w:r>
      <w:r w:rsidR="00F83C97">
        <w:rPr>
          <w:lang w:eastAsia="ja-JP"/>
        </w:rPr>
        <w:t xml:space="preserve">on the defendant’s conversations. </w:t>
      </w:r>
      <w:r w:rsidR="004E132E">
        <w:rPr>
          <w:lang w:eastAsia="ja-JP"/>
        </w:rPr>
        <w:t xml:space="preserve">The Court </w:t>
      </w:r>
      <w:r w:rsidR="00784456">
        <w:rPr>
          <w:lang w:eastAsia="ja-JP"/>
        </w:rPr>
        <w:t xml:space="preserve">expressly </w:t>
      </w:r>
      <w:r w:rsidR="001149AC">
        <w:rPr>
          <w:lang w:eastAsia="ja-JP"/>
        </w:rPr>
        <w:t xml:space="preserve">rejected </w:t>
      </w:r>
      <w:r w:rsidR="001149AC">
        <w:rPr>
          <w:i/>
          <w:iCs/>
          <w:lang w:eastAsia="ja-JP"/>
        </w:rPr>
        <w:t>Olmstead</w:t>
      </w:r>
      <w:r w:rsidR="001149AC">
        <w:rPr>
          <w:lang w:eastAsia="ja-JP"/>
        </w:rPr>
        <w:t xml:space="preserve">, </w:t>
      </w:r>
      <w:r w:rsidR="00784456">
        <w:rPr>
          <w:lang w:eastAsia="ja-JP"/>
        </w:rPr>
        <w:t>holding that Fourth Amendment protections “</w:t>
      </w:r>
      <w:r w:rsidR="00784456" w:rsidRPr="00784456">
        <w:rPr>
          <w:lang w:eastAsia="ja-JP"/>
        </w:rPr>
        <w:t>cannot turn upon the presence or absence of a physical intrusion into any given enclosure.</w:t>
      </w:r>
      <w:r w:rsidR="00784456">
        <w:rPr>
          <w:lang w:eastAsia="ja-JP"/>
        </w:rPr>
        <w:t>”</w:t>
      </w:r>
      <w:r w:rsidR="00BB5CCB" w:rsidRPr="002A4234">
        <w:rPr>
          <w:rStyle w:val="FootnoteReference"/>
        </w:rPr>
        <w:footnoteReference w:id="45"/>
      </w:r>
      <w:r w:rsidR="00BB5CCB">
        <w:rPr>
          <w:lang w:eastAsia="ja-JP"/>
        </w:rPr>
        <w:t xml:space="preserve"> </w:t>
      </w:r>
      <w:r w:rsidR="003B0DA0">
        <w:rPr>
          <w:lang w:eastAsia="ja-JP"/>
        </w:rPr>
        <w:t>In an influential concurrence,</w:t>
      </w:r>
      <w:r w:rsidR="00BB5CCB">
        <w:rPr>
          <w:lang w:eastAsia="ja-JP"/>
        </w:rPr>
        <w:t xml:space="preserve"> Justice Harlan </w:t>
      </w:r>
      <w:r w:rsidR="003240CE">
        <w:rPr>
          <w:lang w:eastAsia="ja-JP"/>
        </w:rPr>
        <w:t>suggested</w:t>
      </w:r>
      <w:r w:rsidR="00271389">
        <w:rPr>
          <w:lang w:eastAsia="ja-JP"/>
        </w:rPr>
        <w:t xml:space="preserve"> a two-part</w:t>
      </w:r>
      <w:r w:rsidR="003B0DA0">
        <w:rPr>
          <w:lang w:eastAsia="ja-JP"/>
        </w:rPr>
        <w:t xml:space="preserve"> test</w:t>
      </w:r>
      <w:r w:rsidR="00271389">
        <w:rPr>
          <w:lang w:eastAsia="ja-JP"/>
        </w:rPr>
        <w:t xml:space="preserve">: </w:t>
      </w:r>
      <w:r w:rsidR="003B0DA0">
        <w:rPr>
          <w:lang w:eastAsia="ja-JP"/>
        </w:rPr>
        <w:t>“</w:t>
      </w:r>
      <w:r w:rsidR="0011250A" w:rsidRPr="0011250A">
        <w:rPr>
          <w:lang w:eastAsia="ja-JP"/>
        </w:rPr>
        <w:t xml:space="preserve">first that a person have exhibited an actual (subjective) expectation of privacy and, second, that the expectation be one that society is prepared to recognize as </w:t>
      </w:r>
      <w:r w:rsidR="0011250A">
        <w:rPr>
          <w:lang w:eastAsia="ja-JP"/>
        </w:rPr>
        <w:t>‘</w:t>
      </w:r>
      <w:r w:rsidR="0011250A" w:rsidRPr="0011250A">
        <w:rPr>
          <w:lang w:eastAsia="ja-JP"/>
        </w:rPr>
        <w:t>reasonable.</w:t>
      </w:r>
      <w:r w:rsidR="0011250A">
        <w:rPr>
          <w:lang w:eastAsia="ja-JP"/>
        </w:rPr>
        <w:t>’”</w:t>
      </w:r>
      <w:r w:rsidR="0011250A" w:rsidRPr="002A4234">
        <w:rPr>
          <w:rStyle w:val="FootnoteReference"/>
        </w:rPr>
        <w:footnoteReference w:id="46"/>
      </w:r>
    </w:p>
    <w:p w14:paraId="5A2385FB" w14:textId="42F54C3B" w:rsidR="007B1AF0" w:rsidRPr="00CA78FA" w:rsidRDefault="00EA2847" w:rsidP="007B1AF0">
      <w:pPr>
        <w:pStyle w:val="BodyText"/>
        <w:rPr>
          <w:lang w:eastAsia="ja-JP"/>
        </w:rPr>
      </w:pPr>
      <w:r>
        <w:rPr>
          <w:lang w:eastAsia="ja-JP"/>
        </w:rPr>
        <w:t>In the decades to come,</w:t>
      </w:r>
      <w:r w:rsidR="00467A76">
        <w:rPr>
          <w:lang w:eastAsia="ja-JP"/>
        </w:rPr>
        <w:t xml:space="preserve"> </w:t>
      </w:r>
      <w:r>
        <w:rPr>
          <w:lang w:eastAsia="ja-JP"/>
        </w:rPr>
        <w:t xml:space="preserve">the </w:t>
      </w:r>
      <w:r w:rsidR="00723145">
        <w:rPr>
          <w:lang w:eastAsia="ja-JP"/>
        </w:rPr>
        <w:t xml:space="preserve">Court applied </w:t>
      </w:r>
      <w:r>
        <w:rPr>
          <w:lang w:eastAsia="ja-JP"/>
        </w:rPr>
        <w:t>Justice Harlan’s</w:t>
      </w:r>
      <w:r w:rsidR="00723145">
        <w:rPr>
          <w:lang w:eastAsia="ja-JP"/>
        </w:rPr>
        <w:t xml:space="preserve"> reasonable-expectations-of-privacy test to an endless array of fact patterns, such as </w:t>
      </w:r>
      <w:r w:rsidR="006046F2">
        <w:rPr>
          <w:lang w:eastAsia="ja-JP"/>
        </w:rPr>
        <w:t>undercover agents,</w:t>
      </w:r>
      <w:r w:rsidR="00A42F31" w:rsidRPr="002A4234">
        <w:rPr>
          <w:rStyle w:val="FootnoteReference"/>
        </w:rPr>
        <w:footnoteReference w:id="47"/>
      </w:r>
      <w:r w:rsidR="006046F2">
        <w:rPr>
          <w:lang w:eastAsia="ja-JP"/>
        </w:rPr>
        <w:t xml:space="preserve"> </w:t>
      </w:r>
      <w:r w:rsidR="00D821F8">
        <w:rPr>
          <w:lang w:eastAsia="ja-JP"/>
        </w:rPr>
        <w:t>overnight guests,</w:t>
      </w:r>
      <w:r w:rsidR="00D821F8" w:rsidRPr="002A4234">
        <w:rPr>
          <w:rStyle w:val="FootnoteReference"/>
        </w:rPr>
        <w:footnoteReference w:id="48"/>
      </w:r>
      <w:r w:rsidR="00D821F8">
        <w:rPr>
          <w:lang w:eastAsia="ja-JP"/>
        </w:rPr>
        <w:t xml:space="preserve"> </w:t>
      </w:r>
      <w:r w:rsidR="00F02619">
        <w:rPr>
          <w:lang w:eastAsia="ja-JP"/>
        </w:rPr>
        <w:t xml:space="preserve">surreptitious </w:t>
      </w:r>
      <w:r w:rsidR="006046F2">
        <w:rPr>
          <w:lang w:eastAsia="ja-JP"/>
        </w:rPr>
        <w:t>trash collection,</w:t>
      </w:r>
      <w:r w:rsidR="000C4A42" w:rsidRPr="002A4234">
        <w:rPr>
          <w:rStyle w:val="FootnoteReference"/>
        </w:rPr>
        <w:footnoteReference w:id="49"/>
      </w:r>
      <w:r w:rsidR="006046F2">
        <w:rPr>
          <w:lang w:eastAsia="ja-JP"/>
        </w:rPr>
        <w:t xml:space="preserve"> </w:t>
      </w:r>
      <w:r w:rsidR="00A42F31">
        <w:rPr>
          <w:lang w:eastAsia="ja-JP"/>
        </w:rPr>
        <w:t>tracking devices,</w:t>
      </w:r>
      <w:r w:rsidR="000C4A42" w:rsidRPr="002A4234">
        <w:rPr>
          <w:rStyle w:val="FootnoteReference"/>
        </w:rPr>
        <w:footnoteReference w:id="50"/>
      </w:r>
      <w:r w:rsidR="00A42F31">
        <w:rPr>
          <w:lang w:eastAsia="ja-JP"/>
        </w:rPr>
        <w:t xml:space="preserve"> </w:t>
      </w:r>
      <w:r w:rsidR="00D821F8">
        <w:rPr>
          <w:lang w:eastAsia="ja-JP"/>
        </w:rPr>
        <w:t xml:space="preserve">and </w:t>
      </w:r>
      <w:r w:rsidR="0069711B">
        <w:rPr>
          <w:lang w:eastAsia="ja-JP"/>
        </w:rPr>
        <w:t>aerial surveillance</w:t>
      </w:r>
      <w:r w:rsidR="00D821F8">
        <w:rPr>
          <w:lang w:eastAsia="ja-JP"/>
        </w:rPr>
        <w:t>.</w:t>
      </w:r>
      <w:r w:rsidR="00F02619" w:rsidRPr="002A4234">
        <w:rPr>
          <w:rStyle w:val="FootnoteReference"/>
        </w:rPr>
        <w:footnoteReference w:id="51"/>
      </w:r>
      <w:r w:rsidR="00D42B45">
        <w:rPr>
          <w:lang w:eastAsia="ja-JP"/>
        </w:rPr>
        <w:t xml:space="preserve"> </w:t>
      </w:r>
      <w:r w:rsidR="0030245C">
        <w:rPr>
          <w:lang w:eastAsia="ja-JP"/>
        </w:rPr>
        <w:t xml:space="preserve">More than </w:t>
      </w:r>
      <w:r w:rsidR="00D6625E">
        <w:rPr>
          <w:lang w:eastAsia="ja-JP"/>
        </w:rPr>
        <w:t>fifty years</w:t>
      </w:r>
      <w:r w:rsidR="0030245C">
        <w:rPr>
          <w:lang w:eastAsia="ja-JP"/>
        </w:rPr>
        <w:t xml:space="preserve"> later, the </w:t>
      </w:r>
      <w:r w:rsidR="0030245C">
        <w:rPr>
          <w:i/>
          <w:iCs/>
          <w:lang w:eastAsia="ja-JP"/>
        </w:rPr>
        <w:t>Katz</w:t>
      </w:r>
      <w:r w:rsidR="0030245C">
        <w:rPr>
          <w:lang w:eastAsia="ja-JP"/>
        </w:rPr>
        <w:t xml:space="preserve"> test </w:t>
      </w:r>
      <w:r w:rsidR="00023906">
        <w:rPr>
          <w:lang w:eastAsia="ja-JP"/>
        </w:rPr>
        <w:t>continues to be applied to new fact patterns</w:t>
      </w:r>
      <w:r w:rsidR="0030245C">
        <w:rPr>
          <w:lang w:eastAsia="ja-JP"/>
        </w:rPr>
        <w:t>.</w:t>
      </w:r>
      <w:r w:rsidR="00B73971" w:rsidRPr="002A4234">
        <w:rPr>
          <w:rStyle w:val="FootnoteReference"/>
        </w:rPr>
        <w:footnoteReference w:id="52"/>
      </w:r>
    </w:p>
    <w:p w14:paraId="5E54EADF" w14:textId="16E2CD57" w:rsidR="008A644D" w:rsidRPr="007C06AF" w:rsidRDefault="00A11E92" w:rsidP="007C06AF">
      <w:pPr>
        <w:pStyle w:val="Heading2"/>
        <w:rPr>
          <w:i/>
          <w:iCs/>
        </w:rPr>
      </w:pPr>
      <w:bookmarkStart w:id="19" w:name="_Toc96093541"/>
      <w:bookmarkStart w:id="20" w:name="_Toc111723667"/>
      <w:bookmarkStart w:id="21" w:name="_Ref113024340"/>
      <w:r>
        <w:rPr>
          <w:i/>
          <w:iCs/>
        </w:rPr>
        <w:lastRenderedPageBreak/>
        <w:t xml:space="preserve">The </w:t>
      </w:r>
      <w:r w:rsidR="0095459F">
        <w:rPr>
          <w:i/>
          <w:iCs/>
        </w:rPr>
        <w:t>Rise</w:t>
      </w:r>
      <w:r>
        <w:rPr>
          <w:i/>
          <w:iCs/>
        </w:rPr>
        <w:t xml:space="preserve"> of </w:t>
      </w:r>
      <w:r w:rsidR="00684643">
        <w:rPr>
          <w:i/>
          <w:iCs/>
        </w:rPr>
        <w:t>a</w:t>
      </w:r>
      <w:r>
        <w:rPr>
          <w:i/>
          <w:iCs/>
        </w:rPr>
        <w:t xml:space="preserve"> </w:t>
      </w:r>
      <w:r w:rsidR="00A14D6D">
        <w:rPr>
          <w:i/>
          <w:iCs/>
        </w:rPr>
        <w:t>Positive-Law</w:t>
      </w:r>
      <w:r>
        <w:rPr>
          <w:i/>
          <w:iCs/>
        </w:rPr>
        <w:t xml:space="preserve"> </w:t>
      </w:r>
      <w:r w:rsidR="00B87CD4">
        <w:rPr>
          <w:i/>
          <w:iCs/>
        </w:rPr>
        <w:t>Approach</w:t>
      </w:r>
      <w:bookmarkEnd w:id="19"/>
      <w:bookmarkEnd w:id="20"/>
      <w:bookmarkEnd w:id="21"/>
    </w:p>
    <w:p w14:paraId="1523E3E1" w14:textId="52502402" w:rsidR="00694AFB" w:rsidRPr="00154AB6" w:rsidRDefault="00CA78FA" w:rsidP="007D10E0">
      <w:pPr>
        <w:pStyle w:val="BodyText"/>
        <w:rPr>
          <w:lang w:eastAsia="ja-JP"/>
        </w:rPr>
      </w:pPr>
      <w:r>
        <w:rPr>
          <w:lang w:eastAsia="ja-JP"/>
        </w:rPr>
        <w:t xml:space="preserve">As </w:t>
      </w:r>
      <w:r w:rsidR="00C81D9F">
        <w:rPr>
          <w:lang w:eastAsia="ja-JP"/>
        </w:rPr>
        <w:t xml:space="preserve">Fourth Amendment doctrine applying </w:t>
      </w:r>
      <w:r w:rsidR="00C81D9F">
        <w:rPr>
          <w:i/>
          <w:iCs/>
          <w:lang w:eastAsia="ja-JP"/>
        </w:rPr>
        <w:t>Katz</w:t>
      </w:r>
      <w:r>
        <w:rPr>
          <w:lang w:eastAsia="ja-JP"/>
        </w:rPr>
        <w:t xml:space="preserve"> proliferated, so did criticism of the Court’s work. Indeed, even summarizing the many critiques of </w:t>
      </w:r>
      <w:r>
        <w:rPr>
          <w:i/>
          <w:iCs/>
          <w:lang w:eastAsia="ja-JP"/>
        </w:rPr>
        <w:t>Katz</w:t>
      </w:r>
      <w:r>
        <w:rPr>
          <w:lang w:eastAsia="ja-JP"/>
        </w:rPr>
        <w:t xml:space="preserve"> </w:t>
      </w:r>
      <w:r w:rsidR="009C3C30">
        <w:rPr>
          <w:lang w:eastAsia="ja-JP"/>
        </w:rPr>
        <w:t xml:space="preserve">might </w:t>
      </w:r>
      <w:r>
        <w:rPr>
          <w:lang w:eastAsia="ja-JP"/>
        </w:rPr>
        <w:t>at this point be cliché.</w:t>
      </w:r>
      <w:r w:rsidRPr="002A4234">
        <w:rPr>
          <w:rStyle w:val="FootnoteReference"/>
        </w:rPr>
        <w:footnoteReference w:id="53"/>
      </w:r>
      <w:r w:rsidR="008409C0">
        <w:rPr>
          <w:lang w:eastAsia="ja-JP"/>
        </w:rPr>
        <w:t xml:space="preserve"> For our purposes, </w:t>
      </w:r>
      <w:r w:rsidR="00E459C0">
        <w:rPr>
          <w:lang w:eastAsia="ja-JP"/>
        </w:rPr>
        <w:t xml:space="preserve">though, </w:t>
      </w:r>
      <w:r w:rsidR="00C3641A">
        <w:rPr>
          <w:lang w:eastAsia="ja-JP"/>
        </w:rPr>
        <w:t>one set of criticisms</w:t>
      </w:r>
      <w:r w:rsidR="008660AA">
        <w:rPr>
          <w:lang w:eastAsia="ja-JP"/>
        </w:rPr>
        <w:t xml:space="preserve"> advanced by Justice Scalia </w:t>
      </w:r>
      <w:r w:rsidR="00C3641A">
        <w:rPr>
          <w:lang w:eastAsia="ja-JP"/>
        </w:rPr>
        <w:t>is particularly important</w:t>
      </w:r>
      <w:r w:rsidR="00E3521B">
        <w:rPr>
          <w:lang w:eastAsia="ja-JP"/>
        </w:rPr>
        <w:t>.</w:t>
      </w:r>
      <w:r w:rsidR="0046653C">
        <w:rPr>
          <w:lang w:eastAsia="ja-JP"/>
        </w:rPr>
        <w:t xml:space="preserve"> </w:t>
      </w:r>
      <w:r w:rsidR="009C3C30">
        <w:rPr>
          <w:lang w:eastAsia="ja-JP"/>
        </w:rPr>
        <w:t xml:space="preserve">Scalia </w:t>
      </w:r>
      <w:r w:rsidR="001C2C47">
        <w:rPr>
          <w:lang w:eastAsia="ja-JP"/>
        </w:rPr>
        <w:t>argued</w:t>
      </w:r>
      <w:r w:rsidR="00602D69">
        <w:rPr>
          <w:lang w:eastAsia="ja-JP"/>
        </w:rPr>
        <w:t xml:space="preserve"> that </w:t>
      </w:r>
      <w:r w:rsidR="00602D69">
        <w:rPr>
          <w:i/>
          <w:iCs/>
          <w:lang w:eastAsia="ja-JP"/>
        </w:rPr>
        <w:t>Katz</w:t>
      </w:r>
      <w:r w:rsidR="00FA3B43">
        <w:rPr>
          <w:lang w:eastAsia="ja-JP"/>
        </w:rPr>
        <w:t xml:space="preserve"> was “circular, and hence subject</w:t>
      </w:r>
      <w:r w:rsidR="00602D69">
        <w:rPr>
          <w:lang w:eastAsia="ja-JP"/>
        </w:rPr>
        <w:t>ive</w:t>
      </w:r>
      <w:r w:rsidR="00FA3B43">
        <w:rPr>
          <w:lang w:eastAsia="ja-JP"/>
        </w:rPr>
        <w:t xml:space="preserve"> and </w:t>
      </w:r>
      <w:r w:rsidR="00602D69">
        <w:rPr>
          <w:lang w:eastAsia="ja-JP"/>
        </w:rPr>
        <w:t>unpredictable</w:t>
      </w:r>
      <w:r w:rsidR="001C2C47">
        <w:rPr>
          <w:lang w:eastAsia="ja-JP"/>
        </w:rPr>
        <w:t>,</w:t>
      </w:r>
      <w:r w:rsidR="00FA3B43">
        <w:rPr>
          <w:lang w:eastAsia="ja-JP"/>
        </w:rPr>
        <w:t>”</w:t>
      </w:r>
      <w:r w:rsidR="00FA3B43" w:rsidRPr="002A4234">
        <w:rPr>
          <w:rStyle w:val="FootnoteReference"/>
        </w:rPr>
        <w:footnoteReference w:id="54"/>
      </w:r>
      <w:r w:rsidR="00FA3B43">
        <w:rPr>
          <w:lang w:eastAsia="ja-JP"/>
        </w:rPr>
        <w:t xml:space="preserve"> that it has </w:t>
      </w:r>
      <w:r w:rsidR="007F69E1">
        <w:rPr>
          <w:lang w:eastAsia="ja-JP"/>
        </w:rPr>
        <w:t>“</w:t>
      </w:r>
      <w:r w:rsidR="007F69E1" w:rsidRPr="007F69E1">
        <w:rPr>
          <w:lang w:eastAsia="ja-JP"/>
        </w:rPr>
        <w:t>no plausible foundation in the text of the Fourth Amendment</w:t>
      </w:r>
      <w:r w:rsidR="001C2C47">
        <w:rPr>
          <w:lang w:eastAsia="ja-JP"/>
        </w:rPr>
        <w:t>,</w:t>
      </w:r>
      <w:r w:rsidR="007F69E1">
        <w:rPr>
          <w:lang w:eastAsia="ja-JP"/>
        </w:rPr>
        <w:t>”</w:t>
      </w:r>
      <w:r w:rsidR="007F69E1" w:rsidRPr="002A4234">
        <w:rPr>
          <w:rStyle w:val="FootnoteReference"/>
        </w:rPr>
        <w:footnoteReference w:id="55"/>
      </w:r>
      <w:r w:rsidR="001C2C47">
        <w:rPr>
          <w:lang w:eastAsia="ja-JP"/>
        </w:rPr>
        <w:t xml:space="preserve"> and</w:t>
      </w:r>
      <w:r w:rsidR="006268FB">
        <w:rPr>
          <w:lang w:eastAsia="ja-JP"/>
        </w:rPr>
        <w:t xml:space="preserve"> that it gave judges too much discretion to recognize protections based on their own policy preferences.</w:t>
      </w:r>
      <w:r w:rsidR="006268FB" w:rsidRPr="002A4234">
        <w:rPr>
          <w:rStyle w:val="FootnoteReference"/>
        </w:rPr>
        <w:footnoteReference w:id="56"/>
      </w:r>
      <w:r w:rsidR="006268FB">
        <w:rPr>
          <w:lang w:eastAsia="ja-JP"/>
        </w:rPr>
        <w:t xml:space="preserve"> </w:t>
      </w:r>
      <w:r w:rsidR="0092654B">
        <w:t>He saw</w:t>
      </w:r>
      <w:r w:rsidR="00D5195C">
        <w:t xml:space="preserve"> </w:t>
      </w:r>
      <w:r w:rsidR="00687F04">
        <w:rPr>
          <w:i/>
          <w:iCs/>
        </w:rPr>
        <w:t>Katz</w:t>
      </w:r>
      <w:r w:rsidR="00687F04">
        <w:t xml:space="preserve"> </w:t>
      </w:r>
      <w:r w:rsidR="0092654B">
        <w:t>as</w:t>
      </w:r>
      <w:r w:rsidR="00687F04">
        <w:t xml:space="preserve"> a recent deviation from </w:t>
      </w:r>
      <w:r w:rsidR="00070766">
        <w:t>a</w:t>
      </w:r>
      <w:r w:rsidR="00687F04">
        <w:t xml:space="preserve"> more traditional approach</w:t>
      </w:r>
      <w:r w:rsidR="00070766">
        <w:t xml:space="preserve"> </w:t>
      </w:r>
      <w:r w:rsidR="00143B56">
        <w:t xml:space="preserve">that </w:t>
      </w:r>
      <w:r w:rsidR="00070766">
        <w:t xml:space="preserve">looked to </w:t>
      </w:r>
      <w:r w:rsidR="00070766">
        <w:rPr>
          <w:lang w:eastAsia="ja-JP"/>
        </w:rPr>
        <w:t xml:space="preserve">property rights, rather than </w:t>
      </w:r>
      <w:r w:rsidR="009C3C30">
        <w:rPr>
          <w:lang w:eastAsia="ja-JP"/>
        </w:rPr>
        <w:t xml:space="preserve">to </w:t>
      </w:r>
      <w:r w:rsidR="00070766">
        <w:t>expectations of privacy</w:t>
      </w:r>
      <w:r w:rsidR="00687F04">
        <w:t>.</w:t>
      </w:r>
      <w:r w:rsidR="00694AFB" w:rsidRPr="002A4234">
        <w:rPr>
          <w:rStyle w:val="FootnoteReference"/>
        </w:rPr>
        <w:footnoteReference w:id="57"/>
      </w:r>
    </w:p>
    <w:p w14:paraId="1C285382" w14:textId="6AE63047" w:rsidR="00AF203C" w:rsidRDefault="00D5195C" w:rsidP="00BF55E1">
      <w:pPr>
        <w:pStyle w:val="BodyText"/>
      </w:pPr>
      <w:r>
        <w:t xml:space="preserve">Justice Scalia was surely correct that </w:t>
      </w:r>
      <w:r>
        <w:rPr>
          <w:i/>
          <w:iCs/>
        </w:rPr>
        <w:t>Katz</w:t>
      </w:r>
      <w:r w:rsidR="00FC11CE">
        <w:t xml:space="preserve"> rejected the notion that private-law rights controlled Fourth Amendment protections. In </w:t>
      </w:r>
      <w:r w:rsidR="00FC11CE">
        <w:rPr>
          <w:i/>
          <w:iCs/>
        </w:rPr>
        <w:t xml:space="preserve">Katz </w:t>
      </w:r>
      <w:r w:rsidR="00FC11CE">
        <w:t xml:space="preserve">itself, </w:t>
      </w:r>
      <w:r w:rsidR="00516599">
        <w:t>the Court said it was rejecting “the ‘trespass</w:t>
      </w:r>
      <w:r w:rsidR="00F455AB">
        <w:t>’</w:t>
      </w:r>
      <w:r w:rsidR="00516599">
        <w:t xml:space="preserve"> doctrine</w:t>
      </w:r>
      <w:r w:rsidR="00DC44D7">
        <w:t>”</w:t>
      </w:r>
      <w:r w:rsidR="00516599">
        <w:t xml:space="preserve"> </w:t>
      </w:r>
      <w:r w:rsidR="000C076A">
        <w:t xml:space="preserve">laid out in </w:t>
      </w:r>
      <w:r w:rsidR="000C076A">
        <w:rPr>
          <w:i/>
          <w:iCs/>
        </w:rPr>
        <w:t>Olmstead</w:t>
      </w:r>
      <w:r w:rsidR="00DB70D1">
        <w:t>.</w:t>
      </w:r>
      <w:r w:rsidR="00105D99">
        <w:rPr>
          <w:rStyle w:val="FootnoteReference"/>
        </w:rPr>
        <w:footnoteReference w:id="58"/>
      </w:r>
      <w:r w:rsidR="00DB70D1">
        <w:t xml:space="preserve"> </w:t>
      </w:r>
      <w:r w:rsidR="007D10E0">
        <w:t>In later cases, the Court reiterated this understanding of pre-</w:t>
      </w:r>
      <w:r w:rsidR="007D10E0">
        <w:rPr>
          <w:i/>
          <w:iCs/>
        </w:rPr>
        <w:t>Katz</w:t>
      </w:r>
      <w:r w:rsidR="007D10E0">
        <w:t xml:space="preserve"> law</w:t>
      </w:r>
      <w:r w:rsidR="00C927D5">
        <w:t>,</w:t>
      </w:r>
      <w:r w:rsidR="007D10E0" w:rsidRPr="002A4234">
        <w:rPr>
          <w:rStyle w:val="FootnoteReference"/>
        </w:rPr>
        <w:footnoteReference w:id="59"/>
      </w:r>
      <w:r w:rsidR="007D10E0">
        <w:t xml:space="preserve"> while also </w:t>
      </w:r>
      <w:r w:rsidR="007D10E0">
        <w:rPr>
          <w:lang w:eastAsia="ja-JP"/>
        </w:rPr>
        <w:t>making</w:t>
      </w:r>
      <w:r w:rsidR="00D035BD">
        <w:rPr>
          <w:lang w:eastAsia="ja-JP"/>
        </w:rPr>
        <w:t xml:space="preserve"> clear that Fourth Amendment protections did not </w:t>
      </w:r>
      <w:r w:rsidR="00EF1B25">
        <w:rPr>
          <w:lang w:eastAsia="ja-JP"/>
        </w:rPr>
        <w:t>depend on</w:t>
      </w:r>
      <w:r w:rsidR="00D035BD">
        <w:rPr>
          <w:lang w:eastAsia="ja-JP"/>
        </w:rPr>
        <w:t xml:space="preserve"> private-law property rights.</w:t>
      </w:r>
      <w:r w:rsidR="00D035BD" w:rsidRPr="002A4234">
        <w:rPr>
          <w:rStyle w:val="FootnoteReference"/>
        </w:rPr>
        <w:footnoteReference w:id="60"/>
      </w:r>
      <w:r w:rsidR="00FD2603">
        <w:rPr>
          <w:lang w:eastAsia="ja-JP"/>
        </w:rPr>
        <w:t xml:space="preserve"> </w:t>
      </w:r>
      <w:r w:rsidR="008D3846">
        <w:rPr>
          <w:lang w:eastAsia="ja-JP"/>
        </w:rPr>
        <w:lastRenderedPageBreak/>
        <w:t>W</w:t>
      </w:r>
      <w:r w:rsidR="00DD537D">
        <w:rPr>
          <w:lang w:eastAsia="ja-JP"/>
        </w:rPr>
        <w:t>hether</w:t>
      </w:r>
      <w:r w:rsidR="00C13D79">
        <w:rPr>
          <w:lang w:eastAsia="ja-JP"/>
        </w:rPr>
        <w:t xml:space="preserve"> pre-</w:t>
      </w:r>
      <w:r w:rsidR="00C13D79">
        <w:rPr>
          <w:i/>
          <w:iCs/>
          <w:lang w:eastAsia="ja-JP"/>
        </w:rPr>
        <w:t>Katz</w:t>
      </w:r>
      <w:r w:rsidR="00C13D79">
        <w:rPr>
          <w:lang w:eastAsia="ja-JP"/>
        </w:rPr>
        <w:t xml:space="preserve"> caselaw really did treat trespass law as dispositive is</w:t>
      </w:r>
      <w:r w:rsidR="00E7481D">
        <w:rPr>
          <w:lang w:eastAsia="ja-JP"/>
        </w:rPr>
        <w:t xml:space="preserve"> </w:t>
      </w:r>
      <w:r w:rsidR="00BF55E1">
        <w:rPr>
          <w:lang w:eastAsia="ja-JP"/>
        </w:rPr>
        <w:t>disputed</w:t>
      </w:r>
      <w:r w:rsidR="00C13D79">
        <w:rPr>
          <w:lang w:eastAsia="ja-JP"/>
        </w:rPr>
        <w:t>.</w:t>
      </w:r>
      <w:r w:rsidR="003025D4" w:rsidRPr="002A4234">
        <w:rPr>
          <w:rStyle w:val="FootnoteReference"/>
        </w:rPr>
        <w:footnoteReference w:id="61"/>
      </w:r>
      <w:r w:rsidR="00C11706">
        <w:rPr>
          <w:lang w:eastAsia="ja-JP"/>
        </w:rPr>
        <w:t xml:space="preserve"> </w:t>
      </w:r>
      <w:r w:rsidR="00B52C10">
        <w:t>In our view, the pre-</w:t>
      </w:r>
      <w:r w:rsidR="00B52C10">
        <w:rPr>
          <w:i/>
          <w:iCs/>
        </w:rPr>
        <w:t>Katz</w:t>
      </w:r>
      <w:r w:rsidR="00B52C10">
        <w:t xml:space="preserve"> caselaw is best understood as asking questions about property and trespass through the rubric of general law. </w:t>
      </w:r>
      <w:r w:rsidR="005B1C7F">
        <w:t xml:space="preserve">But </w:t>
      </w:r>
      <w:r w:rsidR="004022DB">
        <w:t>for the moment</w:t>
      </w:r>
      <w:r w:rsidR="004A339A">
        <w:t xml:space="preserve"> </w:t>
      </w:r>
      <w:r w:rsidR="00AC340C">
        <w:t xml:space="preserve">our goal is merely to </w:t>
      </w:r>
      <w:r w:rsidR="001C1D5E">
        <w:t>describe</w:t>
      </w:r>
      <w:r w:rsidR="00AC340C">
        <w:t xml:space="preserve"> the </w:t>
      </w:r>
      <w:r w:rsidR="0007341C">
        <w:t xml:space="preserve">arguments by </w:t>
      </w:r>
      <w:r w:rsidR="00B31FCE">
        <w:t>proponents of property-based views</w:t>
      </w:r>
      <w:r w:rsidR="0007341C">
        <w:t>.</w:t>
      </w:r>
    </w:p>
    <w:p w14:paraId="317758D2" w14:textId="2EB749E1" w:rsidR="00E82A39" w:rsidRDefault="00A22CFF" w:rsidP="003D20E4">
      <w:pPr>
        <w:pStyle w:val="BodyText"/>
      </w:pPr>
      <w:r>
        <w:t xml:space="preserve">Although he had criticized </w:t>
      </w:r>
      <w:r>
        <w:rPr>
          <w:i/>
          <w:iCs/>
        </w:rPr>
        <w:t>Katz</w:t>
      </w:r>
      <w:r>
        <w:t xml:space="preserve"> for some time, </w:t>
      </w:r>
      <w:r w:rsidR="00BF55E1">
        <w:t>Justice Scalia</w:t>
      </w:r>
      <w:r>
        <w:t xml:space="preserve"> made his</w:t>
      </w:r>
      <w:r w:rsidR="00BF55E1">
        <w:t xml:space="preserve"> first </w:t>
      </w:r>
      <w:r w:rsidR="00E9004A">
        <w:t xml:space="preserve">steps towards </w:t>
      </w:r>
      <w:r>
        <w:t>an alternative</w:t>
      </w:r>
      <w:r w:rsidR="00E9004A">
        <w:t xml:space="preserve"> </w:t>
      </w:r>
      <w:r w:rsidR="00A27A20">
        <w:t>approach</w:t>
      </w:r>
      <w:r w:rsidR="00BF55E1">
        <w:t xml:space="preserve"> in </w:t>
      </w:r>
      <w:r w:rsidR="00534BEC">
        <w:t xml:space="preserve">his </w:t>
      </w:r>
      <w:r w:rsidR="00E82A39">
        <w:t xml:space="preserve">dissent in </w:t>
      </w:r>
      <w:r w:rsidR="00E82A39">
        <w:rPr>
          <w:i/>
          <w:iCs/>
        </w:rPr>
        <w:t>Georgia v. Randolp</w:t>
      </w:r>
      <w:r w:rsidR="00B93611">
        <w:rPr>
          <w:i/>
          <w:iCs/>
        </w:rPr>
        <w:t>h</w:t>
      </w:r>
      <w:r w:rsidR="00BF55E1">
        <w:t>.</w:t>
      </w:r>
      <w:r w:rsidR="00BF55E1" w:rsidRPr="002A4234">
        <w:rPr>
          <w:rStyle w:val="FootnoteReference"/>
        </w:rPr>
        <w:footnoteReference w:id="62"/>
      </w:r>
      <w:r w:rsidR="00010A18">
        <w:t xml:space="preserve"> </w:t>
      </w:r>
      <w:r w:rsidR="00F024E4">
        <w:t xml:space="preserve">The majority held that police could not enter a home </w:t>
      </w:r>
      <w:r w:rsidR="00A81165">
        <w:t xml:space="preserve">with the </w:t>
      </w:r>
      <w:r w:rsidR="003D1971">
        <w:t xml:space="preserve">consent of one occupant if the other occupant was present and objected to the entry. </w:t>
      </w:r>
      <w:r w:rsidR="00E9004A">
        <w:t xml:space="preserve">In his separate opinion, Justice Scalia </w:t>
      </w:r>
      <w:r w:rsidR="00AE747A">
        <w:t>suggested that</w:t>
      </w:r>
      <w:r>
        <w:t xml:space="preserve"> Fourth Amendment protections might turn on</w:t>
      </w:r>
      <w:r w:rsidR="00455EAD">
        <w:t xml:space="preserve"> evolving</w:t>
      </w:r>
      <w:r>
        <w:t xml:space="preserve"> property rights</w:t>
      </w:r>
      <w:r w:rsidR="003D20E4">
        <w:t>, for “</w:t>
      </w:r>
      <w:r w:rsidR="00BF269B" w:rsidRPr="00BF269B">
        <w:t>changes in the law of property to which the Fourth Amendment referred would not alter the Amendment</w:t>
      </w:r>
      <w:r w:rsidR="00220853">
        <w:t>’</w:t>
      </w:r>
      <w:r w:rsidR="00BF269B" w:rsidRPr="00BF269B">
        <w:t>s meaning</w:t>
      </w:r>
      <w:r w:rsidR="003D20E4">
        <w:t>.”</w:t>
      </w:r>
      <w:r w:rsidR="003D20E4" w:rsidRPr="002A4234">
        <w:rPr>
          <w:rStyle w:val="FootnoteReference"/>
        </w:rPr>
        <w:footnoteReference w:id="63"/>
      </w:r>
    </w:p>
    <w:p w14:paraId="52C3BA0F" w14:textId="57630C6E" w:rsidR="004A73A7" w:rsidRPr="00A3762C" w:rsidRDefault="009C1037" w:rsidP="00F95AE1">
      <w:pPr>
        <w:pStyle w:val="BodyText"/>
      </w:pPr>
      <w:r>
        <w:t xml:space="preserve">Several years later, </w:t>
      </w:r>
      <w:r w:rsidR="00AC0310">
        <w:t xml:space="preserve">in </w:t>
      </w:r>
      <w:r w:rsidR="00AC0310">
        <w:rPr>
          <w:i/>
          <w:iCs/>
        </w:rPr>
        <w:t>United States v. Jones</w:t>
      </w:r>
      <w:r w:rsidR="00AC0310">
        <w:t>,</w:t>
      </w:r>
      <w:r w:rsidR="00AC0310" w:rsidRPr="002A4234">
        <w:rPr>
          <w:rStyle w:val="FootnoteReference"/>
        </w:rPr>
        <w:footnoteReference w:id="64"/>
      </w:r>
      <w:r w:rsidR="00D16943">
        <w:t xml:space="preserve"> Justice Scalia</w:t>
      </w:r>
      <w:r w:rsidR="00F1522B">
        <w:t>’s majority</w:t>
      </w:r>
      <w:r w:rsidR="00D16943">
        <w:t xml:space="preserve"> opinion </w:t>
      </w:r>
      <w:r w:rsidR="00F1522B">
        <w:t>applied</w:t>
      </w:r>
      <w:r w:rsidR="00D16943">
        <w:t xml:space="preserve"> a trespass-based test. </w:t>
      </w:r>
      <w:r w:rsidR="004249F6">
        <w:t xml:space="preserve">The question was whether police use of a GPS tracking device on a suspect’s vehicle constituted a </w:t>
      </w:r>
      <w:r w:rsidR="00DC647C">
        <w:t xml:space="preserve">search or seizure. </w:t>
      </w:r>
      <w:r w:rsidR="00717DFC">
        <w:t xml:space="preserve">The Court </w:t>
      </w:r>
      <w:r w:rsidR="00E606D9">
        <w:t>concluded that installation of a GPS device was a “search”</w:t>
      </w:r>
      <w:r w:rsidR="00841E51">
        <w:t xml:space="preserve"> because it involved a trespass</w:t>
      </w:r>
      <w:r w:rsidR="0095184C">
        <w:t xml:space="preserve">: </w:t>
      </w:r>
      <w:r w:rsidR="00DE7A7D">
        <w:t>“</w:t>
      </w:r>
      <w:r w:rsidR="00B27E50">
        <w:t>T</w:t>
      </w:r>
      <w:r w:rsidR="00DE7A7D" w:rsidRPr="00DE7A7D">
        <w:t>he Government physically occupied private property for the purpose of obtaining information</w:t>
      </w:r>
      <w:r w:rsidR="00DE7A7D">
        <w:t>.”</w:t>
      </w:r>
      <w:r w:rsidR="00DE7A7D" w:rsidRPr="002A4234">
        <w:rPr>
          <w:rStyle w:val="FootnoteReference"/>
        </w:rPr>
        <w:footnoteReference w:id="65"/>
      </w:r>
    </w:p>
    <w:p w14:paraId="190CC134" w14:textId="5F431973" w:rsidR="004A73A7" w:rsidRDefault="00FA3E11" w:rsidP="003123C6">
      <w:pPr>
        <w:pStyle w:val="BodyText"/>
      </w:pPr>
      <w:r>
        <w:t xml:space="preserve">Justice Scalia again looked to property rights </w:t>
      </w:r>
      <w:r w:rsidR="00604FDA">
        <w:t xml:space="preserve">in his majority opinion in </w:t>
      </w:r>
      <w:r w:rsidR="00604FDA">
        <w:rPr>
          <w:i/>
          <w:iCs/>
        </w:rPr>
        <w:t>Florida v. Jardines</w:t>
      </w:r>
      <w:r w:rsidR="0058517E">
        <w:t>,</w:t>
      </w:r>
      <w:r w:rsidR="0058517E" w:rsidRPr="002A4234">
        <w:rPr>
          <w:rStyle w:val="FootnoteReference"/>
        </w:rPr>
        <w:footnoteReference w:id="66"/>
      </w:r>
      <w:r w:rsidR="00604FDA">
        <w:t xml:space="preserve"> </w:t>
      </w:r>
      <w:r w:rsidR="00C60FF2">
        <w:t xml:space="preserve">which addressed whether </w:t>
      </w:r>
      <w:r w:rsidR="00BB5C76">
        <w:t xml:space="preserve">police using a drug-sniffing dog </w:t>
      </w:r>
      <w:r w:rsidR="00C27A24">
        <w:t xml:space="preserve">on the porch of a home constituted a Fourth Amendment “search.” </w:t>
      </w:r>
      <w:r w:rsidR="00490876">
        <w:t>Relying</w:t>
      </w:r>
      <w:r w:rsidR="0074587F">
        <w:t xml:space="preserve"> on </w:t>
      </w:r>
      <w:r w:rsidR="0074587F">
        <w:rPr>
          <w:i/>
          <w:iCs/>
        </w:rPr>
        <w:t>Jones</w:t>
      </w:r>
      <w:r w:rsidR="00944A29">
        <w:rPr>
          <w:i/>
          <w:iCs/>
        </w:rPr>
        <w:t xml:space="preserve">, </w:t>
      </w:r>
      <w:r w:rsidR="00490876">
        <w:t>he</w:t>
      </w:r>
      <w:r w:rsidR="00490876">
        <w:rPr>
          <w:i/>
          <w:iCs/>
        </w:rPr>
        <w:t xml:space="preserve"> </w:t>
      </w:r>
      <w:r w:rsidR="00944A29">
        <w:t>reason</w:t>
      </w:r>
      <w:r w:rsidR="00490876">
        <w:t>ed</w:t>
      </w:r>
      <w:r w:rsidR="00944A29">
        <w:t xml:space="preserve"> that </w:t>
      </w:r>
      <w:r w:rsidR="00A74A88">
        <w:t xml:space="preserve">because </w:t>
      </w:r>
      <w:r w:rsidR="00E97808">
        <w:t>the officers were gathering information “</w:t>
      </w:r>
      <w:r w:rsidR="00E97808" w:rsidRPr="00E97808">
        <w:t xml:space="preserve">by physically entering and occupying the </w:t>
      </w:r>
      <w:r w:rsidR="00E97808">
        <w:t>[home’s curtilage]</w:t>
      </w:r>
      <w:r w:rsidR="00E97808" w:rsidRPr="00E97808">
        <w:t xml:space="preserve"> to engage in conduct not explicitly or implicitly permitted by the homeowner</w:t>
      </w:r>
      <w:r w:rsidR="00E97808">
        <w:t xml:space="preserve">,” </w:t>
      </w:r>
      <w:r w:rsidR="0013085C">
        <w:t>they were engaged in a “search.”</w:t>
      </w:r>
      <w:r w:rsidR="0013085C" w:rsidRPr="002A4234">
        <w:rPr>
          <w:rStyle w:val="FootnoteReference"/>
        </w:rPr>
        <w:footnoteReference w:id="67"/>
      </w:r>
      <w:r w:rsidR="00E97808">
        <w:t xml:space="preserve"> </w:t>
      </w:r>
      <w:r w:rsidR="00A74A88">
        <w:t xml:space="preserve">In reaching the conclusion that the </w:t>
      </w:r>
      <w:r w:rsidR="00C716C7">
        <w:t xml:space="preserve">officers’ conduct was </w:t>
      </w:r>
      <w:r w:rsidR="00371694">
        <w:rPr>
          <w:i/>
          <w:iCs/>
        </w:rPr>
        <w:t>not</w:t>
      </w:r>
      <w:r w:rsidR="00371694">
        <w:t xml:space="preserve"> permitted, </w:t>
      </w:r>
      <w:r w:rsidR="00341CF1">
        <w:t>Justice Scalia looked to the homeowners’ property rights</w:t>
      </w:r>
      <w:r w:rsidR="007B7E07">
        <w:t xml:space="preserve"> </w:t>
      </w:r>
      <w:r w:rsidR="001409AB">
        <w:t>and concluded that there was no</w:t>
      </w:r>
      <w:r w:rsidR="007B7E07">
        <w:t xml:space="preserve"> </w:t>
      </w:r>
      <w:r w:rsidR="00017A0B">
        <w:t xml:space="preserve">“implicit license” allowing members of the public to enter the curtilage of a home </w:t>
      </w:r>
      <w:r w:rsidR="00562965">
        <w:t>with a drug</w:t>
      </w:r>
      <w:r w:rsidR="00060D77">
        <w:t>-sniffing dog.</w:t>
      </w:r>
      <w:r w:rsidR="00060D77" w:rsidRPr="002A4234">
        <w:rPr>
          <w:rStyle w:val="FootnoteReference"/>
        </w:rPr>
        <w:footnoteReference w:id="68"/>
      </w:r>
    </w:p>
    <w:p w14:paraId="60558B35" w14:textId="7B7C4B26" w:rsidR="00B93611" w:rsidRDefault="00192EBE" w:rsidP="003D67A1">
      <w:pPr>
        <w:pStyle w:val="BodyText"/>
      </w:pPr>
      <w:r>
        <w:lastRenderedPageBreak/>
        <w:t>Justice Gorsuch</w:t>
      </w:r>
      <w:r w:rsidR="00A336FE">
        <w:t>—who succeeded</w:t>
      </w:r>
      <w:r w:rsidR="00F372B3">
        <w:t xml:space="preserve"> Justice Scalia on the Supreme Court—</w:t>
      </w:r>
      <w:r w:rsidR="000C1C07">
        <w:t xml:space="preserve">has </w:t>
      </w:r>
      <w:r w:rsidR="00E50D00">
        <w:t xml:space="preserve">carried on </w:t>
      </w:r>
      <w:r w:rsidR="000C1C07">
        <w:t xml:space="preserve">his </w:t>
      </w:r>
      <w:r w:rsidR="00E50D00">
        <w:t>predecessor’s defense of</w:t>
      </w:r>
      <w:r w:rsidR="000C1C07">
        <w:t xml:space="preserve"> a property</w:t>
      </w:r>
      <w:r w:rsidR="00E51D2D">
        <w:t>- or positive-</w:t>
      </w:r>
      <w:r w:rsidR="00A4400A">
        <w:t>law-</w:t>
      </w:r>
      <w:r w:rsidR="00E51D2D">
        <w:t xml:space="preserve">based approach. In </w:t>
      </w:r>
      <w:r w:rsidR="00E51D2D">
        <w:rPr>
          <w:i/>
          <w:iCs/>
        </w:rPr>
        <w:t>Carpenter v. United States</w:t>
      </w:r>
      <w:r w:rsidR="00E51D2D">
        <w:t>,</w:t>
      </w:r>
      <w:r w:rsidR="00E51D2D" w:rsidRPr="002A4234">
        <w:rPr>
          <w:rStyle w:val="FootnoteReference"/>
        </w:rPr>
        <w:footnoteReference w:id="69"/>
      </w:r>
      <w:r w:rsidR="004C3C7F">
        <w:t xml:space="preserve"> the Court </w:t>
      </w:r>
      <w:r w:rsidR="00F318A8">
        <w:t xml:space="preserve">relied on </w:t>
      </w:r>
      <w:r w:rsidR="00F318A8">
        <w:rPr>
          <w:i/>
          <w:iCs/>
        </w:rPr>
        <w:t>Katz</w:t>
      </w:r>
      <w:r w:rsidR="00F318A8">
        <w:t xml:space="preserve"> </w:t>
      </w:r>
      <w:r w:rsidR="00953AC8">
        <w:t>to</w:t>
      </w:r>
      <w:r w:rsidR="00E1070B">
        <w:t xml:space="preserve"> h</w:t>
      </w:r>
      <w:r w:rsidR="00953AC8">
        <w:t>o</w:t>
      </w:r>
      <w:r w:rsidR="00E1070B">
        <w:t xml:space="preserve">ld </w:t>
      </w:r>
      <w:r w:rsidR="003D1D82">
        <w:t>“</w:t>
      </w:r>
      <w:r w:rsidR="003D1D82" w:rsidRPr="003D1D82">
        <w:t xml:space="preserve">that an individual maintains a legitimate expectation of privacy in the record of his physical movements as captured through </w:t>
      </w:r>
      <w:r w:rsidR="003D1D82">
        <w:t>[cell-site location information</w:t>
      </w:r>
      <w:r w:rsidR="004C01D1">
        <w:t>]</w:t>
      </w:r>
      <w:r w:rsidR="003D1D82" w:rsidRPr="003D1D82">
        <w:t>.</w:t>
      </w:r>
      <w:r w:rsidR="003D1D82">
        <w:t>”</w:t>
      </w:r>
      <w:r w:rsidR="003D1D82" w:rsidRPr="002A4234">
        <w:rPr>
          <w:rStyle w:val="FootnoteReference"/>
        </w:rPr>
        <w:footnoteReference w:id="70"/>
      </w:r>
      <w:r w:rsidR="0062022B">
        <w:t xml:space="preserve"> In dissent, Justice Gorsuch </w:t>
      </w:r>
      <w:r w:rsidR="00073E34">
        <w:t xml:space="preserve">argued </w:t>
      </w:r>
      <w:r w:rsidR="00560F83">
        <w:t xml:space="preserve">that instead of </w:t>
      </w:r>
      <w:r w:rsidR="00ED06A0">
        <w:t xml:space="preserve">turning on </w:t>
      </w:r>
      <w:r w:rsidR="00560F83">
        <w:t xml:space="preserve">privacy expectations, Fourth Amendment </w:t>
      </w:r>
      <w:r w:rsidR="00ED06A0">
        <w:t xml:space="preserve">protections should </w:t>
      </w:r>
      <w:r w:rsidR="000666AA">
        <w:t>be “tied to the law.”</w:t>
      </w:r>
      <w:r w:rsidR="000666AA" w:rsidRPr="002A4234">
        <w:rPr>
          <w:rStyle w:val="FootnoteReference"/>
        </w:rPr>
        <w:footnoteReference w:id="71"/>
      </w:r>
      <w:r w:rsidR="00154A7A">
        <w:t xml:space="preserve"> Under what he saw as th</w:t>
      </w:r>
      <w:r w:rsidR="009861BA">
        <w:t>e</w:t>
      </w:r>
      <w:r w:rsidR="00154A7A">
        <w:t xml:space="preserve"> “</w:t>
      </w:r>
      <w:r w:rsidR="00154A7A" w:rsidRPr="00154A7A">
        <w:t>the traditional approach</w:t>
      </w:r>
      <w:r w:rsidR="00154A7A">
        <w:t>,”</w:t>
      </w:r>
      <w:r w:rsidR="00154A7A" w:rsidRPr="00154A7A">
        <w:t xml:space="preserve"> </w:t>
      </w:r>
      <w:r w:rsidR="009861BA">
        <w:t>the question was whether</w:t>
      </w:r>
      <w:r w:rsidR="00154A7A" w:rsidRPr="00154A7A">
        <w:t xml:space="preserve"> </w:t>
      </w:r>
      <w:r w:rsidR="009861BA">
        <w:t>“</w:t>
      </w:r>
      <w:r w:rsidR="00154A7A" w:rsidRPr="00154A7A">
        <w:t>a house, paper or effect was yours under law. No more was needed to trigger the Fourth Amendment.</w:t>
      </w:r>
      <w:r w:rsidR="009861BA">
        <w:t>”</w:t>
      </w:r>
      <w:r w:rsidR="009861BA" w:rsidRPr="002A4234">
        <w:rPr>
          <w:rStyle w:val="FootnoteReference"/>
        </w:rPr>
        <w:footnoteReference w:id="72"/>
      </w:r>
      <w:r w:rsidR="00ED4785">
        <w:t xml:space="preserve"> Although Justice Gorsuch did</w:t>
      </w:r>
      <w:r w:rsidR="000C1808">
        <w:t xml:space="preserve"> not</w:t>
      </w:r>
      <w:r w:rsidR="00ED4785">
        <w:t xml:space="preserve"> “</w:t>
      </w:r>
      <w:r w:rsidR="00ED4785" w:rsidRPr="00ED4785">
        <w:t>begin to claim all the answers today</w:t>
      </w:r>
      <w:r w:rsidR="004C6880">
        <w:t>,</w:t>
      </w:r>
      <w:r w:rsidR="00ED4785">
        <w:t>”</w:t>
      </w:r>
      <w:r w:rsidR="00ED4785" w:rsidRPr="00ED4785">
        <w:t xml:space="preserve"> </w:t>
      </w:r>
      <w:r w:rsidR="000C1808">
        <w:t>he</w:t>
      </w:r>
      <w:r w:rsidR="003D67A1">
        <w:t xml:space="preserve"> thought</w:t>
      </w:r>
      <w:r w:rsidR="00ED4785" w:rsidRPr="00ED4785">
        <w:t xml:space="preserve"> </w:t>
      </w:r>
      <w:r w:rsidR="005B0FF4">
        <w:t xml:space="preserve">that </w:t>
      </w:r>
      <w:r w:rsidR="00ED4785">
        <w:t xml:space="preserve">his approach </w:t>
      </w:r>
      <w:r w:rsidR="005B0FF4">
        <w:t>offered</w:t>
      </w:r>
      <w:r w:rsidR="00ED4785">
        <w:t xml:space="preserve"> “</w:t>
      </w:r>
      <w:r w:rsidR="00ED4785" w:rsidRPr="00ED4785">
        <w:t xml:space="preserve">a pretty good idea </w:t>
      </w:r>
      <w:r w:rsidR="005B0FF4">
        <w:t xml:space="preserve">[of] </w:t>
      </w:r>
      <w:r w:rsidR="00ED4785" w:rsidRPr="00ED4785">
        <w:t xml:space="preserve">what the questions </w:t>
      </w:r>
      <w:r w:rsidR="00ED4785" w:rsidRPr="00ED4785">
        <w:rPr>
          <w:i/>
          <w:iCs/>
        </w:rPr>
        <w:t>are</w:t>
      </w:r>
      <w:r w:rsidR="00ED4785" w:rsidRPr="00ED4785">
        <w:t>.</w:t>
      </w:r>
      <w:r w:rsidR="00ED4785">
        <w:t>”</w:t>
      </w:r>
      <w:r w:rsidR="00ED4785" w:rsidRPr="002A4234">
        <w:rPr>
          <w:rStyle w:val="FootnoteReference"/>
        </w:rPr>
        <w:footnoteReference w:id="73"/>
      </w:r>
    </w:p>
    <w:p w14:paraId="3F6F668A" w14:textId="409179CA" w:rsidR="00CF5AD9" w:rsidRPr="001D2EB3" w:rsidRDefault="00BC578F" w:rsidP="00C92008">
      <w:pPr>
        <w:pStyle w:val="BodyText"/>
      </w:pPr>
      <w:r>
        <w:t xml:space="preserve">Scholars have </w:t>
      </w:r>
      <w:r w:rsidR="00D7352D">
        <w:t>encourage</w:t>
      </w:r>
      <w:r w:rsidR="00EF7E44">
        <w:t>d</w:t>
      </w:r>
      <w:r w:rsidR="00D7352D">
        <w:t xml:space="preserve"> the turn toward</w:t>
      </w:r>
      <w:r w:rsidR="00B34EAF">
        <w:t xml:space="preserve"> positive</w:t>
      </w:r>
      <w:r w:rsidR="00D7352D">
        <w:t xml:space="preserve"> </w:t>
      </w:r>
      <w:r w:rsidR="00B34EAF">
        <w:t>law</w:t>
      </w:r>
      <w:r w:rsidR="00D7352D">
        <w:t>.</w:t>
      </w:r>
      <w:r w:rsidR="00B34EAF">
        <w:t xml:space="preserve"> </w:t>
      </w:r>
      <w:r w:rsidR="00EF7E44">
        <w:t xml:space="preserve">A </w:t>
      </w:r>
      <w:r w:rsidR="005416D9">
        <w:t>prominent approach</w:t>
      </w:r>
      <w:r w:rsidR="00EF7E44" w:rsidRPr="00EF7E44">
        <w:t xml:space="preserve"> </w:t>
      </w:r>
      <w:r w:rsidR="00EF7E44">
        <w:t>is Baude and Stern’s “positive law model.”</w:t>
      </w:r>
      <w:r w:rsidR="00C71286" w:rsidRPr="002A4234">
        <w:rPr>
          <w:rStyle w:val="FootnoteReference"/>
        </w:rPr>
        <w:footnoteReference w:id="74"/>
      </w:r>
      <w:r w:rsidR="00A206B9">
        <w:t xml:space="preserve"> </w:t>
      </w:r>
      <w:r w:rsidR="00781A4C">
        <w:t>They argue</w:t>
      </w:r>
      <w:r w:rsidR="00A81E53">
        <w:t xml:space="preserve"> </w:t>
      </w:r>
      <w:r w:rsidR="00617F15">
        <w:t>that</w:t>
      </w:r>
      <w:r w:rsidR="00A81E53">
        <w:t xml:space="preserve"> a court confronted with a Fourth Amendment issue “</w:t>
      </w:r>
      <w:r w:rsidR="00A81E53" w:rsidRPr="00A81E53">
        <w:t>should ask whether go</w:t>
      </w:r>
      <w:r w:rsidR="00A81E53">
        <w:t>v</w:t>
      </w:r>
      <w:r w:rsidR="00A81E53" w:rsidRPr="00A81E53">
        <w:t xml:space="preserve">ernment officials have engaged in an investigative act that would be unlawful for a similarly situated private actor to perform. </w:t>
      </w:r>
      <w:r w:rsidR="00DD586A">
        <w:t>In other words</w:t>
      </w:r>
      <w:r w:rsidR="00A81E53" w:rsidRPr="00A81E53">
        <w:t>, stripped of official authority, has the government actor done something that would be tortious, criminal, or otherwise a violation of some legal duty?</w:t>
      </w:r>
      <w:r w:rsidR="00A81E53">
        <w:t>”</w:t>
      </w:r>
      <w:r w:rsidR="00A81E53" w:rsidRPr="002A4234">
        <w:rPr>
          <w:rStyle w:val="FootnoteReference"/>
        </w:rPr>
        <w:footnoteReference w:id="75"/>
      </w:r>
      <w:r w:rsidR="0070202B">
        <w:t xml:space="preserve"> </w:t>
      </w:r>
      <w:r w:rsidR="00EC4840">
        <w:t xml:space="preserve">Along somewhat similar lines, </w:t>
      </w:r>
      <w:r w:rsidR="00765CA8">
        <w:t>Michael Mannheimer</w:t>
      </w:r>
      <w:r w:rsidR="0083632D">
        <w:t xml:space="preserve"> argues </w:t>
      </w:r>
      <w:r w:rsidR="00A9298B">
        <w:t xml:space="preserve">for </w:t>
      </w:r>
      <w:r w:rsidR="009C446E">
        <w:t xml:space="preserve">an </w:t>
      </w:r>
      <w:r w:rsidR="00A9298B">
        <w:t>interpret</w:t>
      </w:r>
      <w:r w:rsidR="009C446E">
        <w:t>ation of</w:t>
      </w:r>
      <w:r w:rsidR="00A9298B">
        <w:t xml:space="preserve"> the Fourth Amendment</w:t>
      </w:r>
      <w:r w:rsidR="009C446E">
        <w:t xml:space="preserve"> that recognizes it</w:t>
      </w:r>
      <w:r w:rsidR="00A9298B">
        <w:t xml:space="preserve"> </w:t>
      </w:r>
      <w:r w:rsidR="003B373D">
        <w:t>“as being contingent on state law.”</w:t>
      </w:r>
      <w:bookmarkStart w:id="22" w:name="_Ref114097879"/>
      <w:r w:rsidR="00150F3B" w:rsidRPr="002A4234">
        <w:rPr>
          <w:rStyle w:val="FootnoteReference"/>
        </w:rPr>
        <w:footnoteReference w:id="76"/>
      </w:r>
      <w:bookmarkEnd w:id="22"/>
      <w:r w:rsidR="00150F3B">
        <w:t xml:space="preserve"> </w:t>
      </w:r>
      <w:r w:rsidR="00AA1C83">
        <w:t>A precursor to th</w:t>
      </w:r>
      <w:r w:rsidR="00765CA8">
        <w:t>ese</w:t>
      </w:r>
      <w:r w:rsidR="00AA1C83">
        <w:t xml:space="preserve"> </w:t>
      </w:r>
      <w:r w:rsidR="00765CA8">
        <w:t xml:space="preserve">positive-law </w:t>
      </w:r>
      <w:r w:rsidR="00AA1C83">
        <w:t>approach</w:t>
      </w:r>
      <w:r w:rsidR="00765CA8">
        <w:t>es</w:t>
      </w:r>
      <w:r w:rsidR="00AA1C83">
        <w:t xml:space="preserve"> came in an unsigned 2007 student note, which </w:t>
      </w:r>
      <w:r w:rsidR="00C92008">
        <w:t>argued that the Fourth Amendment “</w:t>
      </w:r>
      <w:r w:rsidR="00C92008" w:rsidRPr="00C92008">
        <w:t>should be interpreted as dynamically incorporating state law</w:t>
      </w:r>
      <w:r w:rsidR="00C92008">
        <w:t>.”</w:t>
      </w:r>
      <w:r w:rsidR="00C92008" w:rsidRPr="002A4234">
        <w:rPr>
          <w:rStyle w:val="FootnoteReference"/>
        </w:rPr>
        <w:footnoteReference w:id="77"/>
      </w:r>
      <w:r w:rsidR="006D5650">
        <w:t xml:space="preserve"> Perhaps the first scholar</w:t>
      </w:r>
      <w:r w:rsidR="00A51823">
        <w:t xml:space="preserve"> to address the question, however, was Daniel Yeager</w:t>
      </w:r>
      <w:r w:rsidR="00D440DA">
        <w:t xml:space="preserve">, who argued in 1993 that </w:t>
      </w:r>
      <w:r w:rsidR="00B660B4">
        <w:t xml:space="preserve">courts should look to </w:t>
      </w:r>
      <w:r w:rsidR="001D2EB3">
        <w:t>“</w:t>
      </w:r>
      <w:r w:rsidR="001D2EB3" w:rsidRPr="001D2EB3">
        <w:t>local property, tort, contract, and criminal laws</w:t>
      </w:r>
      <w:r w:rsidR="001D2EB3">
        <w:t xml:space="preserve">” to determine whether </w:t>
      </w:r>
      <w:r w:rsidR="005F7AC7">
        <w:t xml:space="preserve">the </w:t>
      </w:r>
      <w:r w:rsidR="001D2EB3">
        <w:t xml:space="preserve">government had intruded on a protected interest while using the </w:t>
      </w:r>
      <w:r w:rsidR="001D2EB3">
        <w:rPr>
          <w:i/>
          <w:iCs/>
        </w:rPr>
        <w:t>Katz</w:t>
      </w:r>
      <w:r w:rsidR="001D2EB3">
        <w:t xml:space="preserve"> test as a backstop.</w:t>
      </w:r>
      <w:r w:rsidR="005E7E2A" w:rsidRPr="002A4234">
        <w:rPr>
          <w:rStyle w:val="FootnoteReference"/>
        </w:rPr>
        <w:footnoteReference w:id="78"/>
      </w:r>
    </w:p>
    <w:p w14:paraId="32113838" w14:textId="4FC36636" w:rsidR="00880C91" w:rsidRDefault="007C33BD" w:rsidP="0093013B">
      <w:pPr>
        <w:pStyle w:val="BodyText"/>
      </w:pPr>
      <w:r>
        <w:t>A</w:t>
      </w:r>
      <w:r w:rsidR="009421DF">
        <w:t xml:space="preserve"> positive-law approach </w:t>
      </w:r>
      <w:r w:rsidR="009676A6">
        <w:t xml:space="preserve">has </w:t>
      </w:r>
      <w:r w:rsidR="00911EDD">
        <w:t xml:space="preserve">certainly </w:t>
      </w:r>
      <w:r w:rsidR="009676A6">
        <w:t xml:space="preserve">not overtaken </w:t>
      </w:r>
      <w:r w:rsidR="009676A6">
        <w:rPr>
          <w:i/>
          <w:iCs/>
        </w:rPr>
        <w:t>Katz</w:t>
      </w:r>
      <w:r w:rsidR="00E5384E">
        <w:t>, b</w:t>
      </w:r>
      <w:r w:rsidR="009676A6" w:rsidRPr="00E5384E">
        <w:t>ut</w:t>
      </w:r>
      <w:r w:rsidR="009676A6">
        <w:t xml:space="preserve"> its influen</w:t>
      </w:r>
      <w:r w:rsidR="0062221B">
        <w:t xml:space="preserve">ce </w:t>
      </w:r>
      <w:r w:rsidR="009C446E">
        <w:t xml:space="preserve">might </w:t>
      </w:r>
      <w:r w:rsidR="0062221B">
        <w:t>be growing</w:t>
      </w:r>
      <w:r w:rsidR="009676A6">
        <w:t xml:space="preserve">. Recently, for example, </w:t>
      </w:r>
      <w:r w:rsidR="0029639B">
        <w:t xml:space="preserve">the Iowa Supreme Court </w:t>
      </w:r>
      <w:r w:rsidR="003F1D02">
        <w:t xml:space="preserve">endorsed </w:t>
      </w:r>
      <w:r w:rsidR="005940E3">
        <w:t xml:space="preserve">a </w:t>
      </w:r>
      <w:r w:rsidR="003F1D02">
        <w:lastRenderedPageBreak/>
        <w:t xml:space="preserve">positive-law </w:t>
      </w:r>
      <w:r w:rsidR="005940E3">
        <w:t>approach</w:t>
      </w:r>
      <w:r w:rsidR="006E677E">
        <w:t>.</w:t>
      </w:r>
      <w:r w:rsidR="003F1D02">
        <w:t xml:space="preserve"> </w:t>
      </w:r>
      <w:r w:rsidR="00E65E0D">
        <w:t xml:space="preserve">Criticizing the Supreme Court’s </w:t>
      </w:r>
      <w:r w:rsidR="00E65E0D">
        <w:rPr>
          <w:i/>
          <w:iCs/>
        </w:rPr>
        <w:t>Katz</w:t>
      </w:r>
      <w:r w:rsidR="00E65E0D">
        <w:t xml:space="preserve"> jurisprudence as</w:t>
      </w:r>
      <w:r w:rsidR="00A209BD">
        <w:t xml:space="preserve"> inconsistent with the Fourth Amendment’s text and original meaning, the court ruled that</w:t>
      </w:r>
      <w:r w:rsidR="00524ACB">
        <w:t xml:space="preserve"> the </w:t>
      </w:r>
      <w:r w:rsidR="00A209BD">
        <w:t xml:space="preserve">Iowa </w:t>
      </w:r>
      <w:r w:rsidR="00EA0EB1">
        <w:t>C</w:t>
      </w:r>
      <w:r w:rsidR="00524ACB">
        <w:t xml:space="preserve">onstitution’s </w:t>
      </w:r>
      <w:r w:rsidR="00A209BD">
        <w:t>bar on</w:t>
      </w:r>
      <w:r w:rsidR="00427EDC" w:rsidRPr="00427EDC">
        <w:t xml:space="preserve"> unreasonable searches and seizures</w:t>
      </w:r>
      <w:r w:rsidR="00DF1BC2">
        <w:t xml:space="preserve"> was</w:t>
      </w:r>
      <w:r w:rsidR="00A209BD">
        <w:t xml:space="preserve"> </w:t>
      </w:r>
      <w:r w:rsidR="00B86A34">
        <w:t>“</w:t>
      </w:r>
      <w:r w:rsidR="00427EDC" w:rsidRPr="00427EDC">
        <w:t>tied to common law trespass</w:t>
      </w:r>
      <w:r w:rsidR="00CE409F">
        <w:t>.”</w:t>
      </w:r>
      <w:r w:rsidR="00CE409F" w:rsidRPr="002A4234">
        <w:rPr>
          <w:rStyle w:val="FootnoteReference"/>
        </w:rPr>
        <w:footnoteReference w:id="79"/>
      </w:r>
      <w:r w:rsidR="009F6922">
        <w:t xml:space="preserve"> </w:t>
      </w:r>
      <w:r w:rsidR="00003C72">
        <w:t>T</w:t>
      </w:r>
      <w:r w:rsidR="00DF1BC2">
        <w:t xml:space="preserve">he court </w:t>
      </w:r>
      <w:r w:rsidR="00003C72">
        <w:t xml:space="preserve">applied this approach to hold </w:t>
      </w:r>
      <w:r w:rsidR="00DF1BC2">
        <w:t>that a police officer violated the state constitution</w:t>
      </w:r>
      <w:r w:rsidR="00F923D8">
        <w:t xml:space="preserve"> when searching trash </w:t>
      </w:r>
      <w:r w:rsidR="00E40B5C">
        <w:t xml:space="preserve">bags </w:t>
      </w:r>
      <w:r w:rsidR="00F923D8">
        <w:t>left for pickup</w:t>
      </w:r>
      <w:r w:rsidR="002855CF" w:rsidRPr="002A4234">
        <w:rPr>
          <w:rStyle w:val="FootnoteReference"/>
        </w:rPr>
        <w:footnoteReference w:id="80"/>
      </w:r>
      <w:r w:rsidR="00E40B5C">
        <w:t>—a</w:t>
      </w:r>
      <w:r w:rsidR="00C12985">
        <w:t xml:space="preserve">ctivity that the </w:t>
      </w:r>
      <w:r w:rsidR="000D6055">
        <w:t xml:space="preserve">U.S. </w:t>
      </w:r>
      <w:r w:rsidR="00C12985">
        <w:t xml:space="preserve">Supreme Court has </w:t>
      </w:r>
      <w:r w:rsidR="00313BC3">
        <w:t xml:space="preserve">found </w:t>
      </w:r>
      <w:r w:rsidR="00B73CA3">
        <w:t>permissible under</w:t>
      </w:r>
      <w:r w:rsidR="00313BC3">
        <w:t xml:space="preserve"> the Fourth Amendment.</w:t>
      </w:r>
      <w:r w:rsidR="00E971FD" w:rsidRPr="002A4234">
        <w:rPr>
          <w:rStyle w:val="FootnoteReference"/>
        </w:rPr>
        <w:footnoteReference w:id="81"/>
      </w:r>
      <w:r w:rsidR="00542BBC">
        <w:t xml:space="preserve"> The </w:t>
      </w:r>
      <w:r w:rsidR="001B7FA4">
        <w:t xml:space="preserve">Iowa </w:t>
      </w:r>
      <w:r w:rsidR="00542BBC">
        <w:t xml:space="preserve">court reached </w:t>
      </w:r>
      <w:r w:rsidR="006028AF">
        <w:t>its</w:t>
      </w:r>
      <w:r w:rsidR="00542BBC">
        <w:t xml:space="preserve"> conclusion by looking to </w:t>
      </w:r>
      <w:r w:rsidR="00C1119A">
        <w:t>the doctrine of abandonment under property law as well as to municipal regulations governing trash removal.</w:t>
      </w:r>
      <w:r w:rsidR="00C1119A" w:rsidRPr="002A4234">
        <w:rPr>
          <w:rStyle w:val="FootnoteReference"/>
        </w:rPr>
        <w:footnoteReference w:id="82"/>
      </w:r>
    </w:p>
    <w:p w14:paraId="4733FA40" w14:textId="528571A4" w:rsidR="0029639B" w:rsidRPr="009676A6" w:rsidRDefault="00B76885" w:rsidP="00880C91">
      <w:pPr>
        <w:pStyle w:val="BodyText"/>
      </w:pPr>
      <w:r>
        <w:t xml:space="preserve">Judge Thapar on the Sixth Circuit has also </w:t>
      </w:r>
      <w:r w:rsidR="00654889">
        <w:t>expressed interest in</w:t>
      </w:r>
      <w:r>
        <w:t xml:space="preserve"> a property-based approach</w:t>
      </w:r>
      <w:r w:rsidR="007E0811">
        <w:t>, arguing</w:t>
      </w:r>
      <w:r w:rsidR="008618A8">
        <w:t xml:space="preserve"> that</w:t>
      </w:r>
      <w:r w:rsidR="007E0811">
        <w:t xml:space="preserve"> it </w:t>
      </w:r>
      <w:r w:rsidR="00B422EE">
        <w:t>is “</w:t>
      </w:r>
      <w:r w:rsidR="00B422EE" w:rsidRPr="00B422EE">
        <w:t xml:space="preserve">closer to the ordinary and original meaning than </w:t>
      </w:r>
      <w:r w:rsidR="00B422EE" w:rsidRPr="00DD42F0">
        <w:rPr>
          <w:i/>
          <w:iCs/>
        </w:rPr>
        <w:t>Katz</w:t>
      </w:r>
      <w:r w:rsidR="00B422EE" w:rsidRPr="00B422EE">
        <w:t>.</w:t>
      </w:r>
      <w:r w:rsidR="00294488">
        <w:t>”</w:t>
      </w:r>
      <w:r w:rsidRPr="002A4234">
        <w:rPr>
          <w:rStyle w:val="FootnoteReference"/>
        </w:rPr>
        <w:footnoteReference w:id="83"/>
      </w:r>
      <w:r w:rsidR="00294488">
        <w:t xml:space="preserve"> </w:t>
      </w:r>
      <w:r w:rsidR="00086A8D">
        <w:t>And the</w:t>
      </w:r>
      <w:r w:rsidR="0029639B">
        <w:t xml:space="preserve"> approach could soon </w:t>
      </w:r>
      <w:r w:rsidR="00CF5D2B">
        <w:t xml:space="preserve">play a </w:t>
      </w:r>
      <w:r w:rsidR="00DD45AC">
        <w:t xml:space="preserve">larger </w:t>
      </w:r>
      <w:r w:rsidR="00CF5D2B">
        <w:t xml:space="preserve">role at the U.S. Supreme Court. </w:t>
      </w:r>
      <w:r w:rsidR="00086A8D">
        <w:t>It</w:t>
      </w:r>
      <w:r w:rsidR="0049451D">
        <w:t xml:space="preserve"> appears attractive to originalists a</w:t>
      </w:r>
      <w:r w:rsidR="0093013B">
        <w:t>nd</w:t>
      </w:r>
      <w:r w:rsidR="00DD45AC">
        <w:t>,</w:t>
      </w:r>
      <w:r w:rsidR="0093013B">
        <w:t xml:space="preserve"> si</w:t>
      </w:r>
      <w:r w:rsidR="0029639B">
        <w:t xml:space="preserve">nce </w:t>
      </w:r>
      <w:r w:rsidR="0029639B">
        <w:rPr>
          <w:i/>
          <w:iCs/>
          <w:lang w:eastAsia="ja-JP"/>
        </w:rPr>
        <w:t>Carpenter</w:t>
      </w:r>
      <w:r w:rsidR="0029639B">
        <w:rPr>
          <w:lang w:eastAsia="ja-JP"/>
        </w:rPr>
        <w:t xml:space="preserve">, the Court has only become more friendly to originalism with the addition of self-described </w:t>
      </w:r>
      <w:r w:rsidR="000D3F05">
        <w:rPr>
          <w:lang w:eastAsia="ja-JP"/>
        </w:rPr>
        <w:t xml:space="preserve">adherents </w:t>
      </w:r>
      <w:r w:rsidR="0029639B">
        <w:rPr>
          <w:lang w:eastAsia="ja-JP"/>
        </w:rPr>
        <w:t xml:space="preserve">Justice Kavanaugh and </w:t>
      </w:r>
      <w:r w:rsidR="00191DBF">
        <w:rPr>
          <w:lang w:eastAsia="ja-JP"/>
        </w:rPr>
        <w:t xml:space="preserve">Justice </w:t>
      </w:r>
      <w:r w:rsidR="0029639B">
        <w:rPr>
          <w:lang w:eastAsia="ja-JP"/>
        </w:rPr>
        <w:t>Barrett.</w:t>
      </w:r>
      <w:r w:rsidR="0029639B" w:rsidRPr="002A4234">
        <w:rPr>
          <w:rStyle w:val="FootnoteReference"/>
        </w:rPr>
        <w:footnoteReference w:id="84"/>
      </w:r>
    </w:p>
    <w:p w14:paraId="0F740355" w14:textId="7F2F96FC" w:rsidR="008C494A" w:rsidRDefault="008C494A" w:rsidP="008C494A">
      <w:pPr>
        <w:pStyle w:val="Heading2"/>
        <w:rPr>
          <w:i/>
          <w:iCs/>
        </w:rPr>
      </w:pPr>
      <w:bookmarkStart w:id="23" w:name="_Toc96093542"/>
      <w:bookmarkStart w:id="24" w:name="_Toc111723668"/>
      <w:r>
        <w:rPr>
          <w:i/>
          <w:iCs/>
        </w:rPr>
        <w:t>Unanswered Questions</w:t>
      </w:r>
      <w:bookmarkEnd w:id="23"/>
      <w:bookmarkEnd w:id="24"/>
    </w:p>
    <w:p w14:paraId="5AF20A8A" w14:textId="77777777" w:rsidR="008A5217" w:rsidRDefault="008A5217" w:rsidP="001F0AB2">
      <w:pPr>
        <w:pStyle w:val="BodyText"/>
        <w:rPr>
          <w:lang w:eastAsia="ja-JP"/>
        </w:rPr>
      </w:pPr>
    </w:p>
    <w:p w14:paraId="1F96B9D1" w14:textId="77777777" w:rsidR="008A5217" w:rsidRDefault="008A5217" w:rsidP="008A5217">
      <w:pPr>
        <w:pStyle w:val="BodyText"/>
        <w:rPr>
          <w:lang w:eastAsia="ja-JP"/>
        </w:rPr>
      </w:pPr>
      <w:r>
        <w:rPr>
          <w:lang w:eastAsia="ja-JP"/>
        </w:rPr>
        <w:t>Despite growing interest in a positive-law approach to the Fourth Amendment, there remain many questions about how exactly it would work in practice:</w:t>
      </w:r>
    </w:p>
    <w:p w14:paraId="7463408B" w14:textId="77777777" w:rsidR="008A5217" w:rsidRDefault="008A5217" w:rsidP="008A5217">
      <w:pPr>
        <w:pStyle w:val="BodyText"/>
        <w:numPr>
          <w:ilvl w:val="0"/>
          <w:numId w:val="37"/>
        </w:numPr>
        <w:rPr>
          <w:lang w:eastAsia="ja-JP"/>
        </w:rPr>
      </w:pPr>
      <w:r w:rsidRPr="00E02140">
        <w:rPr>
          <w:i/>
          <w:iCs/>
          <w:lang w:eastAsia="ja-JP"/>
        </w:rPr>
        <w:t>W</w:t>
      </w:r>
      <w:r>
        <w:rPr>
          <w:i/>
          <w:iCs/>
          <w:lang w:eastAsia="ja-JP"/>
        </w:rPr>
        <w:t>hat</w:t>
      </w:r>
      <w:r>
        <w:rPr>
          <w:lang w:eastAsia="ja-JP"/>
        </w:rPr>
        <w:t xml:space="preserve"> is the role of the positive law? One possibility is that the Fourth Amendment directly incorporates the positive law governing the jurisdiction where search and seizure occurs.</w:t>
      </w:r>
      <w:r w:rsidRPr="002A4234">
        <w:rPr>
          <w:rStyle w:val="FootnoteReference"/>
        </w:rPr>
        <w:footnoteReference w:id="85"/>
      </w:r>
      <w:r>
        <w:rPr>
          <w:lang w:eastAsia="ja-JP"/>
        </w:rPr>
        <w:t xml:space="preserve"> Alternatively, positive law </w:t>
      </w:r>
      <w:r>
        <w:rPr>
          <w:lang w:eastAsia="ja-JP"/>
        </w:rPr>
        <w:lastRenderedPageBreak/>
        <w:t>could be merely “</w:t>
      </w:r>
      <w:r w:rsidRPr="0008050F">
        <w:rPr>
          <w:lang w:eastAsia="ja-JP"/>
        </w:rPr>
        <w:t>a source of analogies</w:t>
      </w:r>
      <w:r>
        <w:rPr>
          <w:lang w:eastAsia="ja-JP"/>
        </w:rPr>
        <w:t>,” an approach which Baude and Stern fault the Court for using.</w:t>
      </w:r>
      <w:r w:rsidRPr="002A4234">
        <w:rPr>
          <w:rStyle w:val="FootnoteReference"/>
        </w:rPr>
        <w:footnoteReference w:id="86"/>
      </w:r>
    </w:p>
    <w:p w14:paraId="1EB0087D" w14:textId="77777777" w:rsidR="008A5217" w:rsidRDefault="008A5217" w:rsidP="008A5217">
      <w:pPr>
        <w:pStyle w:val="BodyText"/>
        <w:numPr>
          <w:ilvl w:val="0"/>
          <w:numId w:val="37"/>
        </w:numPr>
        <w:rPr>
          <w:lang w:eastAsia="ja-JP"/>
        </w:rPr>
      </w:pPr>
      <w:r w:rsidRPr="00D7095B">
        <w:rPr>
          <w:i/>
          <w:iCs/>
          <w:lang w:eastAsia="ja-JP"/>
        </w:rPr>
        <w:t>W</w:t>
      </w:r>
      <w:r>
        <w:rPr>
          <w:i/>
          <w:iCs/>
          <w:lang w:eastAsia="ja-JP"/>
        </w:rPr>
        <w:t>hose</w:t>
      </w:r>
      <w:r>
        <w:rPr>
          <w:lang w:eastAsia="ja-JP"/>
        </w:rPr>
        <w:t xml:space="preserve"> positive law controls? </w:t>
      </w:r>
      <w:r>
        <w:rPr>
          <w:i/>
          <w:iCs/>
          <w:lang w:eastAsia="ja-JP"/>
        </w:rPr>
        <w:t xml:space="preserve">Jones </w:t>
      </w:r>
      <w:r>
        <w:rPr>
          <w:lang w:eastAsia="ja-JP"/>
        </w:rPr>
        <w:t xml:space="preserve">and </w:t>
      </w:r>
      <w:r>
        <w:rPr>
          <w:i/>
          <w:iCs/>
          <w:lang w:eastAsia="ja-JP"/>
        </w:rPr>
        <w:t>Jardine</w:t>
      </w:r>
      <w:r>
        <w:rPr>
          <w:lang w:eastAsia="ja-JP"/>
        </w:rPr>
        <w:t xml:space="preserve"> made no inquiry into state positive law. Instead, they asked more general questions about trespass and license.</w:t>
      </w:r>
      <w:r w:rsidRPr="002A4234">
        <w:rPr>
          <w:rStyle w:val="FootnoteReference"/>
        </w:rPr>
        <w:footnoteReference w:id="87"/>
      </w:r>
      <w:r>
        <w:rPr>
          <w:lang w:eastAsia="ja-JP"/>
        </w:rPr>
        <w:t xml:space="preserve"> Was the Court recognizing some form of federal common law? Or just being sloppy with citations? Should courts instead defer to a particular jurisdiction’s positive law?</w:t>
      </w:r>
    </w:p>
    <w:p w14:paraId="62425DC7" w14:textId="77777777" w:rsidR="008A5217" w:rsidRPr="005A530B" w:rsidRDefault="008A5217" w:rsidP="008A5217">
      <w:pPr>
        <w:pStyle w:val="BodyText"/>
        <w:numPr>
          <w:ilvl w:val="0"/>
          <w:numId w:val="37"/>
        </w:numPr>
        <w:rPr>
          <w:lang w:eastAsia="ja-JP"/>
        </w:rPr>
      </w:pPr>
      <w:r>
        <w:rPr>
          <w:i/>
          <w:iCs/>
          <w:lang w:eastAsia="ja-JP"/>
        </w:rPr>
        <w:t>Which</w:t>
      </w:r>
      <w:r>
        <w:rPr>
          <w:lang w:eastAsia="ja-JP"/>
        </w:rPr>
        <w:t xml:space="preserve"> sources of positive law should matter? Property law? Common law more generally? Or all sources of positive law, such as municipal ordinances and administrative regulations? </w:t>
      </w:r>
    </w:p>
    <w:p w14:paraId="2714883E" w14:textId="77777777" w:rsidR="008A5217" w:rsidRPr="00595678" w:rsidRDefault="008A5217" w:rsidP="008A5217">
      <w:pPr>
        <w:pStyle w:val="BodyText"/>
        <w:numPr>
          <w:ilvl w:val="0"/>
          <w:numId w:val="37"/>
        </w:numPr>
        <w:rPr>
          <w:lang w:eastAsia="ja-JP"/>
        </w:rPr>
      </w:pPr>
      <w:r>
        <w:rPr>
          <w:i/>
          <w:iCs/>
          <w:lang w:eastAsia="ja-JP"/>
        </w:rPr>
        <w:t>When</w:t>
      </w:r>
      <w:r>
        <w:rPr>
          <w:lang w:eastAsia="ja-JP"/>
        </w:rPr>
        <w:t xml:space="preserve"> should courts look to the law at the time of the ratification of the Fourth Amendment? Or should they look at positive law governing today? </w:t>
      </w:r>
    </w:p>
    <w:p w14:paraId="59BB6A0B" w14:textId="6595E806" w:rsidR="008A5217" w:rsidRDefault="008A5217" w:rsidP="008A5217">
      <w:pPr>
        <w:pStyle w:val="BodyText"/>
        <w:numPr>
          <w:ilvl w:val="0"/>
          <w:numId w:val="37"/>
        </w:numPr>
        <w:rPr>
          <w:lang w:eastAsia="ja-JP"/>
        </w:rPr>
      </w:pPr>
      <w:r>
        <w:rPr>
          <w:i/>
          <w:iCs/>
          <w:lang w:eastAsia="ja-JP"/>
        </w:rPr>
        <w:t>How much</w:t>
      </w:r>
      <w:r>
        <w:rPr>
          <w:lang w:eastAsia="ja-JP"/>
        </w:rPr>
        <w:t xml:space="preserve"> does positive law matter? Does it provide only a floor, guaranteeing a certain level of protection, as Richard Re argues?</w:t>
      </w:r>
      <w:r w:rsidRPr="002A4234">
        <w:rPr>
          <w:rStyle w:val="FootnoteReference"/>
        </w:rPr>
        <w:footnoteReference w:id="88"/>
      </w:r>
      <w:r>
        <w:rPr>
          <w:lang w:eastAsia="ja-JP"/>
        </w:rPr>
        <w:t xml:space="preserve"> Or is it both the floor and the ceiling, as Baude and Stern contend?</w:t>
      </w:r>
      <w:r w:rsidR="00F16F5E">
        <w:rPr>
          <w:rStyle w:val="FootnoteReference"/>
          <w:lang w:eastAsia="ja-JP"/>
        </w:rPr>
        <w:footnoteReference w:id="89"/>
      </w:r>
    </w:p>
    <w:p w14:paraId="05E018B1" w14:textId="77777777" w:rsidR="008A5217" w:rsidRDefault="008A5217" w:rsidP="008A5217">
      <w:pPr>
        <w:pStyle w:val="BodyText"/>
        <w:numPr>
          <w:ilvl w:val="0"/>
          <w:numId w:val="37"/>
        </w:numPr>
        <w:rPr>
          <w:lang w:eastAsia="ja-JP"/>
        </w:rPr>
      </w:pPr>
      <w:r>
        <w:rPr>
          <w:lang w:eastAsia="ja-JP"/>
        </w:rPr>
        <w:t xml:space="preserve">Most fundamentally, </w:t>
      </w:r>
      <w:r>
        <w:rPr>
          <w:i/>
          <w:iCs/>
          <w:lang w:eastAsia="ja-JP"/>
        </w:rPr>
        <w:t>why</w:t>
      </w:r>
      <w:r w:rsidRPr="00EC2DE2">
        <w:rPr>
          <w:i/>
          <w:iCs/>
          <w:lang w:eastAsia="ja-JP"/>
        </w:rPr>
        <w:t xml:space="preserve"> </w:t>
      </w:r>
      <w:r>
        <w:rPr>
          <w:lang w:eastAsia="ja-JP"/>
        </w:rPr>
        <w:t>should positive law matter for the interpretation of the Fourth Amendment?</w:t>
      </w:r>
    </w:p>
    <w:p w14:paraId="6332C834" w14:textId="77777777" w:rsidR="00F16F5E" w:rsidRDefault="00F16F5E" w:rsidP="00F15925">
      <w:pPr>
        <w:pStyle w:val="BodyText"/>
        <w:ind w:left="720" w:firstLine="0"/>
        <w:rPr>
          <w:lang w:eastAsia="ja-JP"/>
        </w:rPr>
      </w:pPr>
    </w:p>
    <w:p w14:paraId="011FF8F9" w14:textId="77777777" w:rsidR="008A5217" w:rsidRPr="00C465D5" w:rsidRDefault="008A5217" w:rsidP="008A5217">
      <w:pPr>
        <w:pStyle w:val="BodyText"/>
        <w:rPr>
          <w:lang w:eastAsia="ja-JP"/>
        </w:rPr>
      </w:pPr>
      <w:r>
        <w:rPr>
          <w:lang w:eastAsia="ja-JP"/>
        </w:rPr>
        <w:t xml:space="preserve">In the next Part, we lay out our theory, which offers answers to all these questions. </w:t>
      </w:r>
    </w:p>
    <w:p w14:paraId="597DAA14" w14:textId="2696C3BB" w:rsidR="00223838" w:rsidRDefault="00223838" w:rsidP="004147E0">
      <w:pPr>
        <w:pStyle w:val="Heading1"/>
      </w:pPr>
      <w:bookmarkStart w:id="25" w:name="_Toc96093543"/>
      <w:bookmarkStart w:id="26" w:name="_Toc111723669"/>
      <w:r>
        <w:t xml:space="preserve">The </w:t>
      </w:r>
      <w:r w:rsidR="00B637FA">
        <w:t>General</w:t>
      </w:r>
      <w:r w:rsidR="00733CDE">
        <w:t>-</w:t>
      </w:r>
      <w:r w:rsidR="00B637FA">
        <w:t xml:space="preserve">law </w:t>
      </w:r>
      <w:r w:rsidR="00ED153C">
        <w:t>approach</w:t>
      </w:r>
      <w:bookmarkEnd w:id="25"/>
      <w:bookmarkEnd w:id="26"/>
    </w:p>
    <w:p w14:paraId="2C02BF2B" w14:textId="4FE607B0" w:rsidR="00681C34" w:rsidRPr="00681C34" w:rsidRDefault="00681C34" w:rsidP="00681C34">
      <w:pPr>
        <w:pStyle w:val="BodyText"/>
        <w:rPr>
          <w:lang w:eastAsia="ja-JP"/>
        </w:rPr>
      </w:pPr>
      <w:r>
        <w:rPr>
          <w:lang w:eastAsia="ja-JP"/>
        </w:rPr>
        <w:t>This Part lays out</w:t>
      </w:r>
      <w:r w:rsidR="00EC076A">
        <w:rPr>
          <w:lang w:eastAsia="ja-JP"/>
        </w:rPr>
        <w:t xml:space="preserve"> </w:t>
      </w:r>
      <w:r w:rsidR="00935700">
        <w:rPr>
          <w:lang w:eastAsia="ja-JP"/>
        </w:rPr>
        <w:t>and</w:t>
      </w:r>
      <w:r w:rsidR="00B820FA">
        <w:rPr>
          <w:lang w:eastAsia="ja-JP"/>
        </w:rPr>
        <w:t xml:space="preserve"> defends </w:t>
      </w:r>
      <w:r w:rsidR="00E70DD4">
        <w:rPr>
          <w:lang w:eastAsia="ja-JP"/>
        </w:rPr>
        <w:t>the</w:t>
      </w:r>
      <w:r w:rsidR="00B820FA">
        <w:rPr>
          <w:lang w:eastAsia="ja-JP"/>
        </w:rPr>
        <w:t xml:space="preserve"> general</w:t>
      </w:r>
      <w:r w:rsidR="00E70DD4">
        <w:rPr>
          <w:lang w:eastAsia="ja-JP"/>
        </w:rPr>
        <w:t>-</w:t>
      </w:r>
      <w:r w:rsidR="00B820FA">
        <w:rPr>
          <w:lang w:eastAsia="ja-JP"/>
        </w:rPr>
        <w:t xml:space="preserve">law approach to the Fourth Amendment. Section </w:t>
      </w:r>
      <w:r w:rsidR="00882D49">
        <w:rPr>
          <w:lang w:eastAsia="ja-JP"/>
        </w:rPr>
        <w:t>II.</w:t>
      </w:r>
      <w:r w:rsidR="00B820FA">
        <w:rPr>
          <w:lang w:eastAsia="ja-JP"/>
        </w:rPr>
        <w:t xml:space="preserve">A </w:t>
      </w:r>
      <w:r w:rsidR="00E46569">
        <w:rPr>
          <w:lang w:eastAsia="ja-JP"/>
        </w:rPr>
        <w:t>offers an</w:t>
      </w:r>
      <w:r w:rsidR="00B820FA">
        <w:rPr>
          <w:lang w:eastAsia="ja-JP"/>
        </w:rPr>
        <w:t xml:space="preserve"> expla</w:t>
      </w:r>
      <w:r w:rsidR="00E46569">
        <w:rPr>
          <w:lang w:eastAsia="ja-JP"/>
        </w:rPr>
        <w:t>nation of</w:t>
      </w:r>
      <w:r w:rsidR="00B820FA">
        <w:rPr>
          <w:lang w:eastAsia="ja-JP"/>
        </w:rPr>
        <w:t xml:space="preserve"> the concept of general law</w:t>
      </w:r>
      <w:r w:rsidR="00EC076A">
        <w:rPr>
          <w:lang w:eastAsia="ja-JP"/>
        </w:rPr>
        <w:t xml:space="preserve">. Section </w:t>
      </w:r>
      <w:r w:rsidR="00882D49">
        <w:rPr>
          <w:lang w:eastAsia="ja-JP"/>
        </w:rPr>
        <w:t>II.</w:t>
      </w:r>
      <w:r w:rsidR="00EC076A">
        <w:rPr>
          <w:lang w:eastAsia="ja-JP"/>
        </w:rPr>
        <w:t xml:space="preserve">B </w:t>
      </w:r>
      <w:r w:rsidR="002F5238">
        <w:rPr>
          <w:lang w:eastAsia="ja-JP"/>
        </w:rPr>
        <w:t>lays ou</w:t>
      </w:r>
      <w:r w:rsidR="004B7F39">
        <w:rPr>
          <w:lang w:eastAsia="ja-JP"/>
        </w:rPr>
        <w:t>t</w:t>
      </w:r>
      <w:r w:rsidR="002F5238">
        <w:rPr>
          <w:lang w:eastAsia="ja-JP"/>
        </w:rPr>
        <w:t xml:space="preserve"> </w:t>
      </w:r>
      <w:r w:rsidR="00780745">
        <w:rPr>
          <w:lang w:eastAsia="ja-JP"/>
        </w:rPr>
        <w:t>the</w:t>
      </w:r>
      <w:r w:rsidR="002F5238">
        <w:rPr>
          <w:lang w:eastAsia="ja-JP"/>
        </w:rPr>
        <w:t xml:space="preserve"> genera</w:t>
      </w:r>
      <w:r w:rsidR="00780745">
        <w:rPr>
          <w:lang w:eastAsia="ja-JP"/>
        </w:rPr>
        <w:t>l-</w:t>
      </w:r>
      <w:r w:rsidR="002F5238">
        <w:rPr>
          <w:lang w:eastAsia="ja-JP"/>
        </w:rPr>
        <w:t xml:space="preserve">law approach and explains how </w:t>
      </w:r>
      <w:r w:rsidR="00BE4E3F">
        <w:rPr>
          <w:lang w:eastAsia="ja-JP"/>
        </w:rPr>
        <w:t xml:space="preserve">courts would operationalize it in practice. Section </w:t>
      </w:r>
      <w:r w:rsidR="00882D49">
        <w:rPr>
          <w:lang w:eastAsia="ja-JP"/>
        </w:rPr>
        <w:t>II.</w:t>
      </w:r>
      <w:r w:rsidR="00BE4E3F">
        <w:rPr>
          <w:lang w:eastAsia="ja-JP"/>
        </w:rPr>
        <w:t xml:space="preserve">C </w:t>
      </w:r>
      <w:r w:rsidR="00DC76DB">
        <w:rPr>
          <w:lang w:eastAsia="ja-JP"/>
        </w:rPr>
        <w:t>explains</w:t>
      </w:r>
      <w:r w:rsidR="00EE4C11">
        <w:rPr>
          <w:lang w:eastAsia="ja-JP"/>
        </w:rPr>
        <w:t xml:space="preserve"> why </w:t>
      </w:r>
      <w:r w:rsidR="008507AD">
        <w:rPr>
          <w:lang w:eastAsia="ja-JP"/>
        </w:rPr>
        <w:t xml:space="preserve">our </w:t>
      </w:r>
      <w:r w:rsidR="00EE4C11">
        <w:rPr>
          <w:lang w:eastAsia="ja-JP"/>
        </w:rPr>
        <w:t xml:space="preserve">approach is </w:t>
      </w:r>
      <w:r w:rsidR="00DC76DB">
        <w:rPr>
          <w:lang w:eastAsia="ja-JP"/>
        </w:rPr>
        <w:t xml:space="preserve">the best </w:t>
      </w:r>
      <w:r w:rsidR="003F429F">
        <w:rPr>
          <w:lang w:eastAsia="ja-JP"/>
        </w:rPr>
        <w:t>theory</w:t>
      </w:r>
      <w:r w:rsidR="00DC76DB">
        <w:rPr>
          <w:lang w:eastAsia="ja-JP"/>
        </w:rPr>
        <w:t xml:space="preserve"> of the Fourth Amendment</w:t>
      </w:r>
      <w:r w:rsidR="003F429F">
        <w:rPr>
          <w:lang w:eastAsia="ja-JP"/>
        </w:rPr>
        <w:t>.</w:t>
      </w:r>
    </w:p>
    <w:p w14:paraId="2D8BEAD6" w14:textId="296F1783" w:rsidR="00732BE2" w:rsidRPr="00295EA4" w:rsidRDefault="00FF1642" w:rsidP="00295EA4">
      <w:pPr>
        <w:pStyle w:val="Heading2"/>
        <w:rPr>
          <w:i/>
          <w:iCs/>
        </w:rPr>
      </w:pPr>
      <w:bookmarkStart w:id="27" w:name="_Toc96093544"/>
      <w:bookmarkStart w:id="28" w:name="_Toc111723670"/>
      <w:r>
        <w:rPr>
          <w:i/>
          <w:iCs/>
        </w:rPr>
        <w:t>Understanding General Law</w:t>
      </w:r>
      <w:bookmarkEnd w:id="27"/>
      <w:bookmarkEnd w:id="28"/>
    </w:p>
    <w:p w14:paraId="1F4472FB" w14:textId="7A487533" w:rsidR="00461343" w:rsidRDefault="00FE200E" w:rsidP="002F49DA">
      <w:pPr>
        <w:pStyle w:val="BodyText"/>
      </w:pPr>
      <w:r>
        <w:rPr>
          <w:lang w:eastAsia="ja-JP"/>
        </w:rPr>
        <w:t>W</w:t>
      </w:r>
      <w:r w:rsidR="00A36229">
        <w:rPr>
          <w:lang w:eastAsia="ja-JP"/>
        </w:rPr>
        <w:t xml:space="preserve">hat exactly </w:t>
      </w:r>
      <w:r>
        <w:rPr>
          <w:lang w:eastAsia="ja-JP"/>
        </w:rPr>
        <w:t>is</w:t>
      </w:r>
      <w:r w:rsidR="00A36229">
        <w:rPr>
          <w:lang w:eastAsia="ja-JP"/>
        </w:rPr>
        <w:t xml:space="preserve"> the general law</w:t>
      </w:r>
      <w:r w:rsidR="00DB0464">
        <w:rPr>
          <w:lang w:eastAsia="ja-JP"/>
        </w:rPr>
        <w:t xml:space="preserve"> and how </w:t>
      </w:r>
      <w:r>
        <w:rPr>
          <w:lang w:eastAsia="ja-JP"/>
        </w:rPr>
        <w:t>can</w:t>
      </w:r>
      <w:r w:rsidR="00DB0464">
        <w:rPr>
          <w:lang w:eastAsia="ja-JP"/>
        </w:rPr>
        <w:t xml:space="preserve"> courts identify it</w:t>
      </w:r>
      <w:r>
        <w:rPr>
          <w:lang w:eastAsia="ja-JP"/>
        </w:rPr>
        <w:t>?</w:t>
      </w:r>
      <w:r w:rsidR="00DB0464">
        <w:rPr>
          <w:lang w:eastAsia="ja-JP"/>
        </w:rPr>
        <w:t xml:space="preserve"> </w:t>
      </w:r>
      <w:r w:rsidR="00425C9D">
        <w:rPr>
          <w:lang w:eastAsia="ja-JP"/>
        </w:rPr>
        <w:t>As defined by Nelson, “general law” refers to “</w:t>
      </w:r>
      <w:r w:rsidR="00425C9D" w:rsidRPr="00CA4784">
        <w:t>rules that are not under the control of any single jurisdiction, but instead reflect principles or practices common to many different jurisdictions</w:t>
      </w:r>
      <w:r w:rsidR="00425C9D">
        <w:t>.”</w:t>
      </w:r>
      <w:r w:rsidR="00425C9D" w:rsidRPr="002A4234">
        <w:rPr>
          <w:rStyle w:val="FootnoteReference"/>
        </w:rPr>
        <w:footnoteReference w:id="90"/>
      </w:r>
      <w:r w:rsidR="002F6882">
        <w:t xml:space="preserve"> </w:t>
      </w:r>
      <w:r w:rsidR="00461343">
        <w:t xml:space="preserve">That is, </w:t>
      </w:r>
      <w:r w:rsidR="009B7651">
        <w:t>general law is a source of law</w:t>
      </w:r>
      <w:r w:rsidR="00414408">
        <w:t>, but one</w:t>
      </w:r>
      <w:r w:rsidR="001975DF">
        <w:t xml:space="preserve"> under the control of no particular sovereign.</w:t>
      </w:r>
    </w:p>
    <w:p w14:paraId="45187371" w14:textId="54D2BD81" w:rsidR="00477E18" w:rsidRPr="00863B11" w:rsidRDefault="002F6882" w:rsidP="00E10319">
      <w:pPr>
        <w:pStyle w:val="BodyText"/>
        <w:rPr>
          <w:lang w:eastAsia="ja-JP"/>
        </w:rPr>
      </w:pPr>
      <w:r>
        <w:lastRenderedPageBreak/>
        <w:t>T</w:t>
      </w:r>
      <w:r w:rsidR="00867EB0">
        <w:t>o modern readers, t</w:t>
      </w:r>
      <w:r>
        <w:t xml:space="preserve">he notion of such law </w:t>
      </w:r>
      <w:r w:rsidR="001975DF">
        <w:t>m</w:t>
      </w:r>
      <w:r w:rsidR="00867EB0">
        <w:t>ight</w:t>
      </w:r>
      <w:r w:rsidR="001975DF">
        <w:t xml:space="preserve"> seem </w:t>
      </w:r>
      <w:r w:rsidR="005010B2">
        <w:t>strange</w:t>
      </w:r>
      <w:r w:rsidR="001975DF">
        <w:t xml:space="preserve">, </w:t>
      </w:r>
      <w:r w:rsidR="00867EB0">
        <w:t xml:space="preserve">even </w:t>
      </w:r>
      <w:r w:rsidR="001975DF">
        <w:t xml:space="preserve">absurd. </w:t>
      </w:r>
      <w:r w:rsidR="002B6592">
        <w:t xml:space="preserve">Since the dawn of legal realism, </w:t>
      </w:r>
      <w:r w:rsidR="00713384">
        <w:t xml:space="preserve">there has been consensus that law is not some “brooding omnipresence in the sky,” as Justice Holmes </w:t>
      </w:r>
      <w:r w:rsidR="00B3667A">
        <w:t xml:space="preserve">derisively put it, but instead is </w:t>
      </w:r>
      <w:r w:rsidR="001C1C78">
        <w:t>“the articulate voice of some sovereign</w:t>
      </w:r>
      <w:r w:rsidR="00867EB0">
        <w:t> </w:t>
      </w:r>
      <w:r w:rsidR="001C1C78" w:rsidRPr="003828FE">
        <w:rPr>
          <w:lang w:eastAsia="ja-JP"/>
        </w:rPr>
        <w:t>. . .</w:t>
      </w:r>
      <w:r w:rsidR="00867EB0">
        <w:rPr>
          <w:lang w:eastAsia="ja-JP"/>
        </w:rPr>
        <w:t> </w:t>
      </w:r>
      <w:r w:rsidR="001C1C78">
        <w:rPr>
          <w:lang w:eastAsia="ja-JP"/>
        </w:rPr>
        <w:t>that can be identified</w:t>
      </w:r>
      <w:r w:rsidR="00B3667A">
        <w:t>.</w:t>
      </w:r>
      <w:r w:rsidR="001C1C78">
        <w:t>”</w:t>
      </w:r>
      <w:r w:rsidR="001C1C78" w:rsidRPr="002A4234">
        <w:rPr>
          <w:rStyle w:val="FootnoteReference"/>
        </w:rPr>
        <w:footnoteReference w:id="91"/>
      </w:r>
      <w:r w:rsidR="00B3667A">
        <w:t xml:space="preserve"> </w:t>
      </w:r>
      <w:r w:rsidR="00863B11">
        <w:t xml:space="preserve">This view culminated in </w:t>
      </w:r>
      <w:r w:rsidR="00863B11">
        <w:rPr>
          <w:i/>
          <w:iCs/>
        </w:rPr>
        <w:t>Erie Railroad Co. v. Tompkins</w:t>
      </w:r>
      <w:r w:rsidR="00863B11">
        <w:t>,</w:t>
      </w:r>
      <w:r w:rsidR="00634FF0" w:rsidRPr="002A4234">
        <w:rPr>
          <w:rStyle w:val="FootnoteReference"/>
        </w:rPr>
        <w:footnoteReference w:id="92"/>
      </w:r>
      <w:r w:rsidR="00863B11">
        <w:t xml:space="preserve"> </w:t>
      </w:r>
      <w:r w:rsidR="001A5EE3">
        <w:t xml:space="preserve">which </w:t>
      </w:r>
      <w:r w:rsidR="00D42177">
        <w:t xml:space="preserve">overturned </w:t>
      </w:r>
      <w:r w:rsidR="00D42177">
        <w:rPr>
          <w:i/>
          <w:iCs/>
        </w:rPr>
        <w:t>Swift v. Tyson</w:t>
      </w:r>
      <w:r w:rsidR="00646AD5" w:rsidRPr="002A4234">
        <w:rPr>
          <w:rStyle w:val="FootnoteReference"/>
        </w:rPr>
        <w:footnoteReference w:id="93"/>
      </w:r>
      <w:r w:rsidR="00D42177">
        <w:t xml:space="preserve"> and held that federal courts sitting in diversity jurisdiction must apply the common-law rules articulated by </w:t>
      </w:r>
      <w:r w:rsidR="001A1E0B">
        <w:t>courts of the state whose law governed the dispute</w:t>
      </w:r>
      <w:r w:rsidR="006B45AE">
        <w:t xml:space="preserve">, </w:t>
      </w:r>
      <w:r w:rsidR="00965E9B">
        <w:t xml:space="preserve">not by </w:t>
      </w:r>
      <w:r w:rsidR="006B45AE">
        <w:t xml:space="preserve">their own view of the “general commercial law.” In the near century since </w:t>
      </w:r>
      <w:r w:rsidR="006B45AE">
        <w:rPr>
          <w:i/>
          <w:iCs/>
        </w:rPr>
        <w:t>Erie</w:t>
      </w:r>
      <w:r w:rsidR="006B45AE">
        <w:t xml:space="preserve">, </w:t>
      </w:r>
      <w:r w:rsidR="00E10319">
        <w:t>the case’s e</w:t>
      </w:r>
      <w:r w:rsidR="001A5EE3">
        <w:t>mphatic declar</w:t>
      </w:r>
      <w:r w:rsidR="00E10319">
        <w:t>ation</w:t>
      </w:r>
      <w:r w:rsidR="001A5EE3">
        <w:t xml:space="preserve"> that </w:t>
      </w:r>
      <w:r w:rsidR="00DF2196">
        <w:t xml:space="preserve">“[t]here </w:t>
      </w:r>
      <w:r w:rsidR="00DF2196" w:rsidRPr="00DF2196">
        <w:t>is no federal general common law</w:t>
      </w:r>
      <w:r w:rsidR="00DF2196">
        <w:t>”</w:t>
      </w:r>
      <w:r w:rsidR="00DF2196" w:rsidRPr="002A4234">
        <w:rPr>
          <w:rStyle w:val="FootnoteReference"/>
        </w:rPr>
        <w:footnoteReference w:id="94"/>
      </w:r>
      <w:r w:rsidR="00E10319">
        <w:t xml:space="preserve"> has become an axiom of our constitutional system.</w:t>
      </w:r>
    </w:p>
    <w:p w14:paraId="041C7C7E" w14:textId="23EB3116" w:rsidR="00DA5AD6" w:rsidRDefault="002971E0" w:rsidP="00DA5AD6">
      <w:pPr>
        <w:pStyle w:val="BodyText"/>
        <w:rPr>
          <w:lang w:eastAsia="ja-JP"/>
        </w:rPr>
      </w:pPr>
      <w:r>
        <w:rPr>
          <w:lang w:eastAsia="ja-JP"/>
        </w:rPr>
        <w:t>Scholars</w:t>
      </w:r>
      <w:r w:rsidR="00D15B81">
        <w:rPr>
          <w:lang w:eastAsia="ja-JP"/>
        </w:rPr>
        <w:t xml:space="preserve"> have increasingly begun to question </w:t>
      </w:r>
      <w:r w:rsidR="008507AD">
        <w:rPr>
          <w:i/>
          <w:iCs/>
          <w:lang w:eastAsia="ja-JP"/>
        </w:rPr>
        <w:t>Erie</w:t>
      </w:r>
      <w:r w:rsidR="008507AD">
        <w:rPr>
          <w:lang w:eastAsia="ja-JP"/>
        </w:rPr>
        <w:t xml:space="preserve">’s </w:t>
      </w:r>
      <w:r w:rsidR="00DD7B2B">
        <w:rPr>
          <w:lang w:eastAsia="ja-JP"/>
        </w:rPr>
        <w:t>jurisprudential foundations</w:t>
      </w:r>
      <w:r w:rsidR="00FB3329">
        <w:rPr>
          <w:lang w:eastAsia="ja-JP"/>
        </w:rPr>
        <w:t xml:space="preserve">. </w:t>
      </w:r>
      <w:r w:rsidR="008507AD">
        <w:rPr>
          <w:lang w:eastAsia="ja-JP"/>
        </w:rPr>
        <w:t>T</w:t>
      </w:r>
      <w:r w:rsidR="00DD7B2B">
        <w:rPr>
          <w:lang w:eastAsia="ja-JP"/>
        </w:rPr>
        <w:t>hey argue that</w:t>
      </w:r>
      <w:r>
        <w:rPr>
          <w:lang w:eastAsia="ja-JP"/>
        </w:rPr>
        <w:t>,</w:t>
      </w:r>
      <w:r w:rsidR="00DD7B2B">
        <w:rPr>
          <w:lang w:eastAsia="ja-JP"/>
        </w:rPr>
        <w:t xml:space="preserve"> </w:t>
      </w:r>
      <w:r w:rsidR="00BC754A">
        <w:rPr>
          <w:lang w:eastAsia="ja-JP"/>
        </w:rPr>
        <w:t xml:space="preserve">in </w:t>
      </w:r>
      <w:r>
        <w:rPr>
          <w:lang w:eastAsia="ja-JP"/>
        </w:rPr>
        <w:t>several</w:t>
      </w:r>
      <w:r w:rsidR="00BC754A">
        <w:rPr>
          <w:lang w:eastAsia="ja-JP"/>
        </w:rPr>
        <w:t xml:space="preserve"> areas, courts continue to draw on and develop general law.</w:t>
      </w:r>
      <w:r w:rsidR="005C4FF3">
        <w:rPr>
          <w:lang w:eastAsia="ja-JP"/>
        </w:rPr>
        <w:t xml:space="preserve"> </w:t>
      </w:r>
      <w:r w:rsidR="00486C3C">
        <w:rPr>
          <w:lang w:eastAsia="ja-JP"/>
        </w:rPr>
        <w:t xml:space="preserve">Nelson </w:t>
      </w:r>
      <w:r w:rsidR="006604DF">
        <w:rPr>
          <w:lang w:eastAsia="ja-JP"/>
        </w:rPr>
        <w:t xml:space="preserve">has shown </w:t>
      </w:r>
      <w:r>
        <w:rPr>
          <w:lang w:eastAsia="ja-JP"/>
        </w:rPr>
        <w:t>that</w:t>
      </w:r>
      <w:r w:rsidR="006604DF">
        <w:rPr>
          <w:lang w:eastAsia="ja-JP"/>
        </w:rPr>
        <w:t>,</w:t>
      </w:r>
      <w:r w:rsidR="002931CD">
        <w:rPr>
          <w:lang w:eastAsia="ja-JP"/>
        </w:rPr>
        <w:t xml:space="preserve"> </w:t>
      </w:r>
      <w:r w:rsidR="00C25726">
        <w:rPr>
          <w:lang w:eastAsia="ja-JP"/>
        </w:rPr>
        <w:t xml:space="preserve">“[w]ithin the </w:t>
      </w:r>
      <w:r w:rsidR="004E4681">
        <w:rPr>
          <w:lang w:eastAsia="ja-JP"/>
        </w:rPr>
        <w:t>interstices</w:t>
      </w:r>
      <w:r w:rsidR="00C25726">
        <w:rPr>
          <w:lang w:eastAsia="ja-JP"/>
        </w:rPr>
        <w:t xml:space="preserve"> of written federal law</w:t>
      </w:r>
      <w:r w:rsidR="00D1536B">
        <w:rPr>
          <w:lang w:eastAsia="ja-JP"/>
        </w:rPr>
        <w:t>, courts often articulate federal rules of decision that draw their substance from state law</w:t>
      </w:r>
      <w:r w:rsidR="00A05FD5">
        <w:rPr>
          <w:lang w:eastAsia="ja-JP"/>
        </w:rPr>
        <w:t>,</w:t>
      </w:r>
      <w:r w:rsidR="00D1536B">
        <w:rPr>
          <w:lang w:eastAsia="ja-JP"/>
        </w:rPr>
        <w:t>”</w:t>
      </w:r>
      <w:r w:rsidR="00A05FD5">
        <w:rPr>
          <w:lang w:eastAsia="ja-JP"/>
        </w:rPr>
        <w:t xml:space="preserve"> without l</w:t>
      </w:r>
      <w:r w:rsidR="00820825">
        <w:rPr>
          <w:lang w:eastAsia="ja-JP"/>
        </w:rPr>
        <w:t>ooking</w:t>
      </w:r>
      <w:r w:rsidR="00D1536B">
        <w:rPr>
          <w:lang w:eastAsia="ja-JP"/>
        </w:rPr>
        <w:t xml:space="preserve"> </w:t>
      </w:r>
      <w:r w:rsidR="00820825">
        <w:rPr>
          <w:lang w:eastAsia="ja-JP"/>
        </w:rPr>
        <w:t>to the precise law of any state</w:t>
      </w:r>
      <w:r w:rsidR="006604DF">
        <w:rPr>
          <w:lang w:eastAsia="ja-JP"/>
        </w:rPr>
        <w:t>.</w:t>
      </w:r>
      <w:r w:rsidR="00820825" w:rsidRPr="002A4234">
        <w:rPr>
          <w:rStyle w:val="FootnoteReference"/>
        </w:rPr>
        <w:footnoteReference w:id="95"/>
      </w:r>
      <w:r w:rsidR="00820825" w:rsidRPr="00820825">
        <w:rPr>
          <w:lang w:eastAsia="ja-JP"/>
        </w:rPr>
        <w:t xml:space="preserve"> </w:t>
      </w:r>
      <w:r w:rsidR="006604DF">
        <w:rPr>
          <w:lang w:eastAsia="ja-JP"/>
        </w:rPr>
        <w:t xml:space="preserve">Instead, these courts look to a </w:t>
      </w:r>
      <w:r w:rsidR="00820825">
        <w:rPr>
          <w:lang w:eastAsia="ja-JP"/>
        </w:rPr>
        <w:t xml:space="preserve">substantive law that reflects consensus in state law </w:t>
      </w:r>
      <w:r w:rsidR="00E0693C">
        <w:rPr>
          <w:lang w:eastAsia="ja-JP"/>
        </w:rPr>
        <w:t>“</w:t>
      </w:r>
      <w:r w:rsidR="00E0693C">
        <w:rPr>
          <w:i/>
          <w:iCs/>
          <w:lang w:eastAsia="ja-JP"/>
        </w:rPr>
        <w:t>in general</w:t>
      </w:r>
      <w:r w:rsidR="00E0693C" w:rsidRPr="00CC1117">
        <w:rPr>
          <w:lang w:eastAsia="ja-JP"/>
        </w:rPr>
        <w:t>.</w:t>
      </w:r>
      <w:r w:rsidR="00E0693C">
        <w:rPr>
          <w:lang w:eastAsia="ja-JP"/>
        </w:rPr>
        <w:t>”</w:t>
      </w:r>
      <w:r w:rsidR="00E0693C" w:rsidRPr="002A4234">
        <w:rPr>
          <w:rStyle w:val="FootnoteReference"/>
        </w:rPr>
        <w:footnoteReference w:id="96"/>
      </w:r>
    </w:p>
    <w:p w14:paraId="4D13A2DE" w14:textId="38060D97" w:rsidR="00586271" w:rsidRDefault="006604DF" w:rsidP="00586271">
      <w:pPr>
        <w:pStyle w:val="BodyText"/>
        <w:rPr>
          <w:lang w:eastAsia="ja-JP"/>
        </w:rPr>
      </w:pPr>
      <w:r>
        <w:rPr>
          <w:lang w:eastAsia="ja-JP"/>
        </w:rPr>
        <w:t>Though Nelson offers many examples, a few</w:t>
      </w:r>
      <w:r w:rsidR="00B00B48">
        <w:rPr>
          <w:lang w:eastAsia="ja-JP"/>
        </w:rPr>
        <w:t xml:space="preserve"> suffice to </w:t>
      </w:r>
      <w:r w:rsidR="00CC252B">
        <w:rPr>
          <w:lang w:eastAsia="ja-JP"/>
        </w:rPr>
        <w:t>demonstrate that the general law is alive and well.</w:t>
      </w:r>
      <w:r w:rsidR="00CD5D99">
        <w:rPr>
          <w:lang w:eastAsia="ja-JP"/>
        </w:rPr>
        <w:t xml:space="preserve"> First, when the federal government is a party to a contract</w:t>
      </w:r>
      <w:r w:rsidR="0091756B">
        <w:rPr>
          <w:lang w:eastAsia="ja-JP"/>
        </w:rPr>
        <w:t xml:space="preserve">, federal common law </w:t>
      </w:r>
      <w:r w:rsidR="00286322">
        <w:rPr>
          <w:lang w:eastAsia="ja-JP"/>
        </w:rPr>
        <w:t>controls</w:t>
      </w:r>
      <w:r w:rsidR="0091756B">
        <w:rPr>
          <w:lang w:eastAsia="ja-JP"/>
        </w:rPr>
        <w:t>.</w:t>
      </w:r>
      <w:r w:rsidR="004B4781" w:rsidRPr="002A4234">
        <w:rPr>
          <w:rStyle w:val="FootnoteReference"/>
        </w:rPr>
        <w:footnoteReference w:id="97"/>
      </w:r>
      <w:r w:rsidR="0091756B">
        <w:rPr>
          <w:lang w:eastAsia="ja-JP"/>
        </w:rPr>
        <w:t xml:space="preserve"> </w:t>
      </w:r>
      <w:r w:rsidR="009F76DC">
        <w:rPr>
          <w:lang w:eastAsia="ja-JP"/>
        </w:rPr>
        <w:t xml:space="preserve">This </w:t>
      </w:r>
      <w:r w:rsidR="00082A2C">
        <w:rPr>
          <w:lang w:eastAsia="ja-JP"/>
        </w:rPr>
        <w:t xml:space="preserve">general </w:t>
      </w:r>
      <w:r w:rsidR="009F76DC">
        <w:rPr>
          <w:lang w:eastAsia="ja-JP"/>
        </w:rPr>
        <w:t>common law grows out of the same common</w:t>
      </w:r>
      <w:r w:rsidR="007F79BE">
        <w:rPr>
          <w:lang w:eastAsia="ja-JP"/>
        </w:rPr>
        <w:t>-</w:t>
      </w:r>
      <w:r w:rsidR="009F76DC">
        <w:rPr>
          <w:lang w:eastAsia="ja-JP"/>
        </w:rPr>
        <w:t xml:space="preserve">law principles animating the state common law of contract, but </w:t>
      </w:r>
      <w:r w:rsidR="004B4781">
        <w:rPr>
          <w:lang w:eastAsia="ja-JP"/>
        </w:rPr>
        <w:t>no single state’s law can govern the federal government’s</w:t>
      </w:r>
      <w:r w:rsidR="00082A2C">
        <w:rPr>
          <w:lang w:eastAsia="ja-JP"/>
        </w:rPr>
        <w:t xml:space="preserve"> contractual</w:t>
      </w:r>
      <w:r w:rsidR="004B4781">
        <w:rPr>
          <w:lang w:eastAsia="ja-JP"/>
        </w:rPr>
        <w:t xml:space="preserve"> obligations.</w:t>
      </w:r>
      <w:r w:rsidR="0020080B" w:rsidRPr="002A4234">
        <w:rPr>
          <w:rStyle w:val="FootnoteReference"/>
        </w:rPr>
        <w:footnoteReference w:id="98"/>
      </w:r>
      <w:r w:rsidR="004B4781">
        <w:rPr>
          <w:lang w:eastAsia="ja-JP"/>
        </w:rPr>
        <w:t xml:space="preserve"> </w:t>
      </w:r>
      <w:r w:rsidR="00862F7E">
        <w:rPr>
          <w:lang w:eastAsia="ja-JP"/>
        </w:rPr>
        <w:t>State law is merely relevant</w:t>
      </w:r>
      <w:r w:rsidR="002F6B7F">
        <w:rPr>
          <w:lang w:eastAsia="ja-JP"/>
        </w:rPr>
        <w:t>, persuasive authority as to the content of the general law.</w:t>
      </w:r>
      <w:r w:rsidR="00227CBA" w:rsidRPr="002A4234">
        <w:rPr>
          <w:rStyle w:val="FootnoteReference"/>
        </w:rPr>
        <w:footnoteReference w:id="99"/>
      </w:r>
      <w:r w:rsidR="00C26A58">
        <w:rPr>
          <w:lang w:eastAsia="ja-JP"/>
        </w:rPr>
        <w:t xml:space="preserve"> </w:t>
      </w:r>
      <w:r w:rsidR="00AF4BAA">
        <w:rPr>
          <w:lang w:eastAsia="ja-JP"/>
        </w:rPr>
        <w:t xml:space="preserve">Similarly, </w:t>
      </w:r>
      <w:r w:rsidR="0063480F">
        <w:rPr>
          <w:lang w:eastAsia="ja-JP"/>
        </w:rPr>
        <w:t>Nelson observes that the Constitution makes federal law the law of the high seas.</w:t>
      </w:r>
      <w:r w:rsidR="0063480F" w:rsidRPr="002A4234">
        <w:rPr>
          <w:rStyle w:val="FootnoteReference"/>
        </w:rPr>
        <w:footnoteReference w:id="100"/>
      </w:r>
      <w:r w:rsidR="0063480F">
        <w:rPr>
          <w:lang w:eastAsia="ja-JP"/>
        </w:rPr>
        <w:t xml:space="preserve"> </w:t>
      </w:r>
      <w:r w:rsidR="00EC7B04">
        <w:rPr>
          <w:lang w:eastAsia="ja-JP"/>
        </w:rPr>
        <w:t>Yet</w:t>
      </w:r>
      <w:r w:rsidR="00652F0F">
        <w:rPr>
          <w:lang w:eastAsia="ja-JP"/>
        </w:rPr>
        <w:t>,</w:t>
      </w:r>
      <w:r w:rsidR="00EC7B04">
        <w:rPr>
          <w:lang w:eastAsia="ja-JP"/>
        </w:rPr>
        <w:t xml:space="preserve"> many disputes occurring on the high seas sound in </w:t>
      </w:r>
      <w:r w:rsidR="00EC7B04">
        <w:rPr>
          <w:lang w:eastAsia="ja-JP"/>
        </w:rPr>
        <w:lastRenderedPageBreak/>
        <w:t>the traditional subjects of common law</w:t>
      </w:r>
      <w:r w:rsidR="00652F0F">
        <w:rPr>
          <w:lang w:eastAsia="ja-JP"/>
        </w:rPr>
        <w:t xml:space="preserve">: </w:t>
      </w:r>
      <w:r w:rsidR="00EC7B04">
        <w:rPr>
          <w:lang w:eastAsia="ja-JP"/>
        </w:rPr>
        <w:t xml:space="preserve">tort and </w:t>
      </w:r>
      <w:r w:rsidR="00C67E47">
        <w:rPr>
          <w:lang w:eastAsia="ja-JP"/>
        </w:rPr>
        <w:t>contract.</w:t>
      </w:r>
      <w:r w:rsidR="00847019" w:rsidRPr="002A4234">
        <w:rPr>
          <w:rStyle w:val="FootnoteReference"/>
        </w:rPr>
        <w:footnoteReference w:id="101"/>
      </w:r>
      <w:r w:rsidR="00C67E47">
        <w:rPr>
          <w:lang w:eastAsia="ja-JP"/>
        </w:rPr>
        <w:t xml:space="preserve"> Indeed, there are well-established common</w:t>
      </w:r>
      <w:r w:rsidR="0041564D">
        <w:rPr>
          <w:lang w:eastAsia="ja-JP"/>
        </w:rPr>
        <w:t>-</w:t>
      </w:r>
      <w:r w:rsidR="00C67E47">
        <w:rPr>
          <w:lang w:eastAsia="ja-JP"/>
        </w:rPr>
        <w:t>law doctrines</w:t>
      </w:r>
      <w:r w:rsidR="00273677">
        <w:rPr>
          <w:lang w:eastAsia="ja-JP"/>
        </w:rPr>
        <w:t>,</w:t>
      </w:r>
      <w:r w:rsidR="0041370F">
        <w:rPr>
          <w:lang w:eastAsia="ja-JP"/>
        </w:rPr>
        <w:t xml:space="preserve"> like general average contribution,</w:t>
      </w:r>
      <w:r w:rsidR="00121716" w:rsidRPr="002A4234">
        <w:rPr>
          <w:rStyle w:val="FootnoteReference"/>
        </w:rPr>
        <w:footnoteReference w:id="102"/>
      </w:r>
      <w:r w:rsidR="0041370F">
        <w:rPr>
          <w:lang w:eastAsia="ja-JP"/>
        </w:rPr>
        <w:t xml:space="preserve"> that might occur primarily on the high seas. </w:t>
      </w:r>
      <w:r w:rsidR="00586271">
        <w:rPr>
          <w:lang w:eastAsia="ja-JP"/>
        </w:rPr>
        <w:t>Federal common law necessarily governs these cases.</w:t>
      </w:r>
    </w:p>
    <w:p w14:paraId="6833A4CC" w14:textId="674FED35" w:rsidR="001C4B3C" w:rsidRDefault="00B0641A" w:rsidP="00586271">
      <w:pPr>
        <w:pStyle w:val="BodyText"/>
        <w:rPr>
          <w:lang w:eastAsia="ja-JP"/>
        </w:rPr>
      </w:pPr>
      <w:r>
        <w:rPr>
          <w:lang w:eastAsia="ja-JP"/>
        </w:rPr>
        <w:t>While i</w:t>
      </w:r>
      <w:r w:rsidR="001C4B3C">
        <w:rPr>
          <w:lang w:eastAsia="ja-JP"/>
        </w:rPr>
        <w:t xml:space="preserve">t </w:t>
      </w:r>
      <w:r w:rsidR="00FF6BC6">
        <w:rPr>
          <w:lang w:eastAsia="ja-JP"/>
        </w:rPr>
        <w:t>might seem harder</w:t>
      </w:r>
      <w:r w:rsidR="001C4B3C">
        <w:rPr>
          <w:lang w:eastAsia="ja-JP"/>
        </w:rPr>
        <w:t xml:space="preserve"> to </w:t>
      </w:r>
      <w:r w:rsidR="00B42E33">
        <w:rPr>
          <w:lang w:eastAsia="ja-JP"/>
        </w:rPr>
        <w:t>conclude</w:t>
      </w:r>
      <w:r w:rsidR="001C4B3C">
        <w:rPr>
          <w:lang w:eastAsia="ja-JP"/>
        </w:rPr>
        <w:t xml:space="preserve"> that federal common law governs maritime cases occurring in </w:t>
      </w:r>
      <w:r w:rsidR="00DD0924">
        <w:rPr>
          <w:lang w:eastAsia="ja-JP"/>
        </w:rPr>
        <w:t>territorial</w:t>
      </w:r>
      <w:r w:rsidR="001C4B3C">
        <w:rPr>
          <w:lang w:eastAsia="ja-JP"/>
        </w:rPr>
        <w:t xml:space="preserve"> waters</w:t>
      </w:r>
      <w:r w:rsidR="00310F00">
        <w:rPr>
          <w:lang w:eastAsia="ja-JP"/>
        </w:rPr>
        <w:t xml:space="preserve"> where a particular state’s law </w:t>
      </w:r>
      <w:r w:rsidR="00CB6950">
        <w:rPr>
          <w:lang w:eastAsia="ja-JP"/>
        </w:rPr>
        <w:t>could govern</w:t>
      </w:r>
      <w:r w:rsidR="004F3F48">
        <w:rPr>
          <w:lang w:eastAsia="ja-JP"/>
        </w:rPr>
        <w:t>,</w:t>
      </w:r>
      <w:r w:rsidR="001C4B3C" w:rsidRPr="002A4234">
        <w:rPr>
          <w:rStyle w:val="FootnoteReference"/>
        </w:rPr>
        <w:footnoteReference w:id="103"/>
      </w:r>
      <w:r w:rsidR="004F3F48">
        <w:rPr>
          <w:lang w:eastAsia="ja-JP"/>
        </w:rPr>
        <w:t xml:space="preserve"> there is ample caselaw doing just that.</w:t>
      </w:r>
      <w:r w:rsidR="00DB4FDF">
        <w:rPr>
          <w:lang w:eastAsia="ja-JP"/>
        </w:rPr>
        <w:t xml:space="preserve"> Although </w:t>
      </w:r>
      <w:r w:rsidR="00F13279">
        <w:rPr>
          <w:lang w:eastAsia="ja-JP"/>
        </w:rPr>
        <w:t>statutes and courts have applied state law to territorial waters</w:t>
      </w:r>
      <w:r w:rsidR="008F49B5">
        <w:rPr>
          <w:lang w:eastAsia="ja-JP"/>
        </w:rPr>
        <w:t xml:space="preserve"> in some conte</w:t>
      </w:r>
      <w:r w:rsidR="00812A02">
        <w:rPr>
          <w:lang w:eastAsia="ja-JP"/>
        </w:rPr>
        <w:t>xts</w:t>
      </w:r>
      <w:r w:rsidR="00F13279">
        <w:rPr>
          <w:lang w:eastAsia="ja-JP"/>
        </w:rPr>
        <w:t xml:space="preserve">, </w:t>
      </w:r>
      <w:r w:rsidR="00F13279" w:rsidRPr="00EE0555">
        <w:rPr>
          <w:lang w:eastAsia="ja-JP"/>
        </w:rPr>
        <w:t xml:space="preserve">the Supreme Court has </w:t>
      </w:r>
      <w:r w:rsidR="00064919" w:rsidRPr="00EE0555">
        <w:rPr>
          <w:lang w:eastAsia="ja-JP"/>
        </w:rPr>
        <w:t>held that maritime law</w:t>
      </w:r>
      <w:r w:rsidR="00AB6657">
        <w:rPr>
          <w:lang w:eastAsia="ja-JP"/>
        </w:rPr>
        <w:t xml:space="preserve"> is general</w:t>
      </w:r>
      <w:r w:rsidR="00064919" w:rsidRPr="00EE0555">
        <w:rPr>
          <w:lang w:eastAsia="ja-JP"/>
        </w:rPr>
        <w:t xml:space="preserve"> law.</w:t>
      </w:r>
      <w:r w:rsidR="00EE0555" w:rsidRPr="002A4234">
        <w:rPr>
          <w:rStyle w:val="FootnoteReference"/>
        </w:rPr>
        <w:footnoteReference w:id="104"/>
      </w:r>
      <w:r w:rsidR="00064919">
        <w:rPr>
          <w:lang w:eastAsia="ja-JP"/>
        </w:rPr>
        <w:t xml:space="preserve"> </w:t>
      </w:r>
      <w:r w:rsidR="009E3934">
        <w:rPr>
          <w:lang w:eastAsia="ja-JP"/>
        </w:rPr>
        <w:t xml:space="preserve">The </w:t>
      </w:r>
      <w:r w:rsidR="00AE5C22">
        <w:rPr>
          <w:lang w:eastAsia="ja-JP"/>
        </w:rPr>
        <w:t>need for uniformity</w:t>
      </w:r>
      <w:r w:rsidR="00B27BEB">
        <w:rPr>
          <w:lang w:eastAsia="ja-JP"/>
        </w:rPr>
        <w:t xml:space="preserve"> </w:t>
      </w:r>
      <w:r w:rsidR="00220D87">
        <w:rPr>
          <w:lang w:eastAsia="ja-JP"/>
        </w:rPr>
        <w:t xml:space="preserve">means that </w:t>
      </w:r>
      <w:r w:rsidR="00B80BD9">
        <w:rPr>
          <w:lang w:eastAsia="ja-JP"/>
        </w:rPr>
        <w:t xml:space="preserve">no state has the final word over </w:t>
      </w:r>
      <w:r w:rsidR="002E161F">
        <w:rPr>
          <w:lang w:eastAsia="ja-JP"/>
        </w:rPr>
        <w:t xml:space="preserve">the </w:t>
      </w:r>
      <w:r w:rsidR="00E11534">
        <w:rPr>
          <w:lang w:eastAsia="ja-JP"/>
        </w:rPr>
        <w:t>rules governing ship</w:t>
      </w:r>
      <w:r w:rsidR="00EC2BF8">
        <w:rPr>
          <w:lang w:eastAsia="ja-JP"/>
        </w:rPr>
        <w:t>s</w:t>
      </w:r>
      <w:r w:rsidR="00E11534">
        <w:rPr>
          <w:lang w:eastAsia="ja-JP"/>
        </w:rPr>
        <w:t xml:space="preserve"> at sea. </w:t>
      </w:r>
      <w:r w:rsidR="0011750B">
        <w:rPr>
          <w:lang w:eastAsia="ja-JP"/>
        </w:rPr>
        <w:t>Thus</w:t>
      </w:r>
      <w:r w:rsidR="0062059C">
        <w:rPr>
          <w:lang w:eastAsia="ja-JP"/>
        </w:rPr>
        <w:t xml:space="preserve">, federal courts have </w:t>
      </w:r>
      <w:r w:rsidR="00E925EA">
        <w:rPr>
          <w:lang w:eastAsia="ja-JP"/>
        </w:rPr>
        <w:t>reiterated the maritime preemption doctrine</w:t>
      </w:r>
      <w:r w:rsidR="00E96F00">
        <w:rPr>
          <w:lang w:eastAsia="ja-JP"/>
        </w:rPr>
        <w:t>: general maritime law</w:t>
      </w:r>
      <w:r w:rsidR="00F3362F">
        <w:rPr>
          <w:lang w:eastAsia="ja-JP"/>
        </w:rPr>
        <w:t xml:space="preserve"> </w:t>
      </w:r>
      <w:r w:rsidR="003F6CDD">
        <w:rPr>
          <w:lang w:eastAsia="ja-JP"/>
        </w:rPr>
        <w:t>preempts</w:t>
      </w:r>
      <w:r w:rsidR="00F3362F">
        <w:rPr>
          <w:lang w:eastAsia="ja-JP"/>
        </w:rPr>
        <w:t xml:space="preserve"> state statut</w:t>
      </w:r>
      <w:r w:rsidR="00855362">
        <w:rPr>
          <w:lang w:eastAsia="ja-JP"/>
        </w:rPr>
        <w:t>ory law where it “</w:t>
      </w:r>
      <w:r w:rsidR="00855362" w:rsidRPr="00855362">
        <w:rPr>
          <w:lang w:eastAsia="ja-JP"/>
        </w:rPr>
        <w:t>works material prejudice to the characteristic features of the general maritime law, or interferes with the proper harmony and uniformity of that law in its international and interstate relations</w:t>
      </w:r>
      <w:r w:rsidR="00EF36F5">
        <w:rPr>
          <w:lang w:eastAsia="ja-JP"/>
        </w:rPr>
        <w:t>.</w:t>
      </w:r>
      <w:r w:rsidR="00855362">
        <w:rPr>
          <w:lang w:eastAsia="ja-JP"/>
        </w:rPr>
        <w:t>”</w:t>
      </w:r>
      <w:r w:rsidR="00855362" w:rsidRPr="002A4234">
        <w:rPr>
          <w:rStyle w:val="FootnoteReference"/>
        </w:rPr>
        <w:footnoteReference w:id="105"/>
      </w:r>
      <w:r w:rsidR="000476C2">
        <w:rPr>
          <w:lang w:eastAsia="ja-JP"/>
        </w:rPr>
        <w:t xml:space="preserve"> </w:t>
      </w:r>
      <w:r w:rsidR="009B5A39">
        <w:rPr>
          <w:lang w:eastAsia="ja-JP"/>
        </w:rPr>
        <w:t xml:space="preserve">And </w:t>
      </w:r>
      <w:r w:rsidR="00F546FB">
        <w:rPr>
          <w:lang w:eastAsia="ja-JP"/>
        </w:rPr>
        <w:t>courts have</w:t>
      </w:r>
      <w:r w:rsidR="00BC2BDB">
        <w:rPr>
          <w:lang w:eastAsia="ja-JP"/>
        </w:rPr>
        <w:t xml:space="preserve"> upheld the application of </w:t>
      </w:r>
      <w:r w:rsidR="008F535C">
        <w:rPr>
          <w:lang w:eastAsia="ja-JP"/>
        </w:rPr>
        <w:t>general maritime law for any “maritime torts”</w:t>
      </w:r>
      <w:r w:rsidR="002E68D6">
        <w:rPr>
          <w:lang w:eastAsia="ja-JP"/>
        </w:rPr>
        <w:t xml:space="preserve"> such as negligence claims arising from boating accidents</w:t>
      </w:r>
      <w:r w:rsidR="005D4C11">
        <w:rPr>
          <w:lang w:eastAsia="ja-JP"/>
        </w:rPr>
        <w:t xml:space="preserve"> on inland waters</w:t>
      </w:r>
      <w:r w:rsidR="002E68D6">
        <w:rPr>
          <w:lang w:eastAsia="ja-JP"/>
        </w:rPr>
        <w:t>.</w:t>
      </w:r>
      <w:r w:rsidR="002E68D6" w:rsidRPr="002A4234">
        <w:rPr>
          <w:rStyle w:val="FootnoteReference"/>
        </w:rPr>
        <w:footnoteReference w:id="106"/>
      </w:r>
    </w:p>
    <w:p w14:paraId="3A275179" w14:textId="7B5C4697" w:rsidR="005A4615" w:rsidRDefault="005A4615" w:rsidP="00DA5AD6">
      <w:pPr>
        <w:pStyle w:val="BodyText"/>
        <w:rPr>
          <w:lang w:eastAsia="ja-JP"/>
        </w:rPr>
      </w:pPr>
      <w:r>
        <w:rPr>
          <w:lang w:eastAsia="ja-JP"/>
        </w:rPr>
        <w:t xml:space="preserve">Another example comes from the law of evidence. The Federal Rules of Evidence </w:t>
      </w:r>
      <w:r w:rsidR="00CF72BE">
        <w:rPr>
          <w:lang w:eastAsia="ja-JP"/>
        </w:rPr>
        <w:t xml:space="preserve">provide that “[t]he common law—as interpreted by United States courts in the light of reason and </w:t>
      </w:r>
      <w:r w:rsidR="00BC219A">
        <w:rPr>
          <w:lang w:eastAsia="ja-JP"/>
        </w:rPr>
        <w:t>experience” governs the scope of evidentiary privilege.</w:t>
      </w:r>
      <w:r w:rsidR="00BC219A" w:rsidRPr="002A4234">
        <w:rPr>
          <w:rStyle w:val="FootnoteReference"/>
        </w:rPr>
        <w:footnoteReference w:id="107"/>
      </w:r>
      <w:r w:rsidR="00BC425F">
        <w:rPr>
          <w:lang w:eastAsia="ja-JP"/>
        </w:rPr>
        <w:t xml:space="preserve"> Applying this command, federal courts do not defer to state law</w:t>
      </w:r>
      <w:r w:rsidR="00E114D9">
        <w:rPr>
          <w:lang w:eastAsia="ja-JP"/>
        </w:rPr>
        <w:t>;</w:t>
      </w:r>
      <w:r w:rsidR="00BC425F">
        <w:rPr>
          <w:lang w:eastAsia="ja-JP"/>
        </w:rPr>
        <w:t xml:space="preserve"> instead</w:t>
      </w:r>
      <w:r w:rsidR="00E114D9">
        <w:rPr>
          <w:lang w:eastAsia="ja-JP"/>
        </w:rPr>
        <w:t>, they</w:t>
      </w:r>
      <w:r w:rsidR="00BC425F">
        <w:rPr>
          <w:lang w:eastAsia="ja-JP"/>
        </w:rPr>
        <w:t xml:space="preserve"> engage in their own independent reasoning</w:t>
      </w:r>
      <w:r w:rsidR="00E16C92">
        <w:rPr>
          <w:lang w:eastAsia="ja-JP"/>
        </w:rPr>
        <w:t xml:space="preserve"> </w:t>
      </w:r>
      <w:r w:rsidR="00D1553F">
        <w:rPr>
          <w:lang w:eastAsia="ja-JP"/>
        </w:rPr>
        <w:t xml:space="preserve">and </w:t>
      </w:r>
      <w:r w:rsidR="00467310">
        <w:rPr>
          <w:lang w:eastAsia="ja-JP"/>
        </w:rPr>
        <w:t xml:space="preserve">examine </w:t>
      </w:r>
      <w:r w:rsidR="00D1553F">
        <w:rPr>
          <w:lang w:eastAsia="ja-JP"/>
        </w:rPr>
        <w:t>the general practices of courts around the country</w:t>
      </w:r>
      <w:r w:rsidR="00E16C92">
        <w:rPr>
          <w:lang w:eastAsia="ja-JP"/>
        </w:rPr>
        <w:t xml:space="preserve"> </w:t>
      </w:r>
      <w:r w:rsidR="00BC425F">
        <w:rPr>
          <w:lang w:eastAsia="ja-JP"/>
        </w:rPr>
        <w:t xml:space="preserve">to divine and develop the governing common law. </w:t>
      </w:r>
      <w:r w:rsidR="00E810D7">
        <w:rPr>
          <w:lang w:eastAsia="ja-JP"/>
        </w:rPr>
        <w:t xml:space="preserve">For </w:t>
      </w:r>
      <w:r w:rsidR="00E810D7">
        <w:rPr>
          <w:lang w:eastAsia="ja-JP"/>
        </w:rPr>
        <w:lastRenderedPageBreak/>
        <w:t xml:space="preserve">example, the Court in </w:t>
      </w:r>
      <w:r w:rsidR="00E602A7">
        <w:rPr>
          <w:i/>
          <w:iCs/>
          <w:lang w:eastAsia="ja-JP"/>
        </w:rPr>
        <w:t>Jaffee v. Redmond</w:t>
      </w:r>
      <w:r w:rsidR="00706F46" w:rsidRPr="002A4234">
        <w:rPr>
          <w:rStyle w:val="FootnoteReference"/>
        </w:rPr>
        <w:footnoteReference w:id="108"/>
      </w:r>
      <w:r w:rsidR="00E602A7">
        <w:rPr>
          <w:lang w:eastAsia="ja-JP"/>
        </w:rPr>
        <w:t xml:space="preserve"> relied on this </w:t>
      </w:r>
      <w:r w:rsidR="00AE3B90">
        <w:rPr>
          <w:lang w:eastAsia="ja-JP"/>
        </w:rPr>
        <w:t>Rule</w:t>
      </w:r>
      <w:r w:rsidR="00E602A7">
        <w:rPr>
          <w:lang w:eastAsia="ja-JP"/>
        </w:rPr>
        <w:t xml:space="preserve"> to recog</w:t>
      </w:r>
      <w:r w:rsidR="00BB0EF0">
        <w:rPr>
          <w:lang w:eastAsia="ja-JP"/>
        </w:rPr>
        <w:t>nize a psychotherapist privilege</w:t>
      </w:r>
      <w:r w:rsidR="00AE3B90">
        <w:rPr>
          <w:lang w:eastAsia="ja-JP"/>
        </w:rPr>
        <w:t>.</w:t>
      </w:r>
      <w:r w:rsidR="00BB0EF0">
        <w:rPr>
          <w:lang w:eastAsia="ja-JP"/>
        </w:rPr>
        <w:t xml:space="preserve"> </w:t>
      </w:r>
      <w:r w:rsidR="00AE3B90">
        <w:rPr>
          <w:lang w:eastAsia="ja-JP"/>
        </w:rPr>
        <w:t>I</w:t>
      </w:r>
      <w:r w:rsidR="00BB0EF0">
        <w:rPr>
          <w:lang w:eastAsia="ja-JP"/>
        </w:rPr>
        <w:t>n doing so</w:t>
      </w:r>
      <w:r w:rsidR="007E5EE8">
        <w:rPr>
          <w:lang w:eastAsia="ja-JP"/>
        </w:rPr>
        <w:t>,</w:t>
      </w:r>
      <w:r w:rsidR="00BB0EF0">
        <w:rPr>
          <w:lang w:eastAsia="ja-JP"/>
        </w:rPr>
        <w:t xml:space="preserve"> </w:t>
      </w:r>
      <w:r w:rsidR="00AE3B90">
        <w:rPr>
          <w:lang w:eastAsia="ja-JP"/>
        </w:rPr>
        <w:t xml:space="preserve">it </w:t>
      </w:r>
      <w:r w:rsidR="00BB0EF0">
        <w:rPr>
          <w:lang w:eastAsia="ja-JP"/>
        </w:rPr>
        <w:t xml:space="preserve">emphasized </w:t>
      </w:r>
      <w:r w:rsidR="00B81CCA">
        <w:rPr>
          <w:lang w:eastAsia="ja-JP"/>
        </w:rPr>
        <w:t>that</w:t>
      </w:r>
      <w:r w:rsidR="00AE3B90">
        <w:rPr>
          <w:lang w:eastAsia="ja-JP"/>
        </w:rPr>
        <w:t xml:space="preserve"> the Rule “</w:t>
      </w:r>
      <w:r w:rsidR="00AE3B90" w:rsidRPr="00AE3B90">
        <w:rPr>
          <w:lang w:eastAsia="ja-JP"/>
        </w:rPr>
        <w:t>did not freeze the law governing the privileges of witnesses in federal trials at a particular point in our history</w:t>
      </w:r>
      <w:r w:rsidR="00AE3B90">
        <w:rPr>
          <w:lang w:eastAsia="ja-JP"/>
        </w:rPr>
        <w:t>”</w:t>
      </w:r>
      <w:r w:rsidR="002F5D5F" w:rsidRPr="002A4234">
        <w:rPr>
          <w:rStyle w:val="FootnoteReference"/>
        </w:rPr>
        <w:footnoteReference w:id="109"/>
      </w:r>
      <w:r w:rsidR="00B81CCA">
        <w:rPr>
          <w:lang w:eastAsia="ja-JP"/>
        </w:rPr>
        <w:t xml:space="preserve"> </w:t>
      </w:r>
      <w:r w:rsidR="00706F46">
        <w:rPr>
          <w:lang w:eastAsia="ja-JP"/>
        </w:rPr>
        <w:t xml:space="preserve">and </w:t>
      </w:r>
      <w:r w:rsidR="007C658A">
        <w:rPr>
          <w:lang w:eastAsia="ja-JP"/>
        </w:rPr>
        <w:t>that</w:t>
      </w:r>
      <w:r w:rsidR="00706F46">
        <w:rPr>
          <w:lang w:eastAsia="ja-JP"/>
        </w:rPr>
        <w:t xml:space="preserve"> </w:t>
      </w:r>
      <w:r w:rsidR="00B81CCA">
        <w:rPr>
          <w:lang w:eastAsia="ja-JP"/>
        </w:rPr>
        <w:t>“</w:t>
      </w:r>
      <w:r w:rsidR="00B81CCA" w:rsidRPr="00B81CCA">
        <w:rPr>
          <w:lang w:eastAsia="ja-JP"/>
        </w:rPr>
        <w:t>the policy decisions of the States bear on the question whether federal courts should recognize a new privilege or amend the coverage of an existing one</w:t>
      </w:r>
      <w:r w:rsidR="00706F46">
        <w:rPr>
          <w:lang w:eastAsia="ja-JP"/>
        </w:rPr>
        <w:t>.</w:t>
      </w:r>
      <w:r w:rsidR="00B81CCA">
        <w:rPr>
          <w:lang w:eastAsia="ja-JP"/>
        </w:rPr>
        <w:t>”</w:t>
      </w:r>
      <w:r w:rsidR="00706F46" w:rsidRPr="002A4234">
        <w:rPr>
          <w:rStyle w:val="FootnoteReference"/>
        </w:rPr>
        <w:footnoteReference w:id="110"/>
      </w:r>
    </w:p>
    <w:p w14:paraId="6087DAC7" w14:textId="54D0A920" w:rsidR="00302D77" w:rsidRDefault="001C21AF" w:rsidP="00DA5AD6">
      <w:pPr>
        <w:pStyle w:val="BodyText"/>
        <w:rPr>
          <w:lang w:eastAsia="ja-JP"/>
        </w:rPr>
      </w:pPr>
      <w:r>
        <w:rPr>
          <w:lang w:eastAsia="ja-JP"/>
        </w:rPr>
        <w:t xml:space="preserve">In these examples, courts </w:t>
      </w:r>
      <w:r w:rsidR="00151DE6">
        <w:rPr>
          <w:lang w:eastAsia="ja-JP"/>
        </w:rPr>
        <w:t xml:space="preserve">look for law that exists outside any one </w:t>
      </w:r>
      <w:r w:rsidR="00CC25BB">
        <w:rPr>
          <w:lang w:eastAsia="ja-JP"/>
        </w:rPr>
        <w:t xml:space="preserve">state’s </w:t>
      </w:r>
      <w:r w:rsidR="002866FE">
        <w:rPr>
          <w:lang w:eastAsia="ja-JP"/>
        </w:rPr>
        <w:t>understanding of</w:t>
      </w:r>
      <w:r w:rsidR="00CC25BB">
        <w:rPr>
          <w:lang w:eastAsia="ja-JP"/>
        </w:rPr>
        <w:t xml:space="preserve"> common law</w:t>
      </w:r>
      <w:r w:rsidR="007E5EE8">
        <w:rPr>
          <w:lang w:eastAsia="ja-JP"/>
        </w:rPr>
        <w:t xml:space="preserve">, but </w:t>
      </w:r>
      <w:r w:rsidR="009350C4">
        <w:rPr>
          <w:lang w:eastAsia="ja-JP"/>
        </w:rPr>
        <w:t>their analysis remains</w:t>
      </w:r>
      <w:r w:rsidR="00AA465C">
        <w:rPr>
          <w:lang w:eastAsia="ja-JP"/>
        </w:rPr>
        <w:t xml:space="preserve"> fundamentally </w:t>
      </w:r>
      <w:r w:rsidR="00362CB3">
        <w:rPr>
          <w:lang w:eastAsia="ja-JP"/>
        </w:rPr>
        <w:t xml:space="preserve">grounded in the common law. </w:t>
      </w:r>
      <w:r w:rsidR="00362CB3">
        <w:rPr>
          <w:i/>
          <w:iCs/>
          <w:lang w:eastAsia="ja-JP"/>
        </w:rPr>
        <w:t>Erie</w:t>
      </w:r>
      <w:r w:rsidR="00362CB3">
        <w:rPr>
          <w:lang w:eastAsia="ja-JP"/>
        </w:rPr>
        <w:t xml:space="preserve"> notwithstanding, </w:t>
      </w:r>
      <w:r w:rsidR="00EB322A">
        <w:rPr>
          <w:lang w:eastAsia="ja-JP"/>
        </w:rPr>
        <w:t xml:space="preserve">courts </w:t>
      </w:r>
      <w:r w:rsidR="006412A9">
        <w:rPr>
          <w:lang w:eastAsia="ja-JP"/>
        </w:rPr>
        <w:t xml:space="preserve">can and do </w:t>
      </w:r>
      <w:r w:rsidR="002F5D5F">
        <w:rPr>
          <w:lang w:eastAsia="ja-JP"/>
        </w:rPr>
        <w:t xml:space="preserve">look to </w:t>
      </w:r>
      <w:r w:rsidR="00B71894">
        <w:rPr>
          <w:lang w:eastAsia="ja-JP"/>
        </w:rPr>
        <w:t>general</w:t>
      </w:r>
      <w:r w:rsidR="009C4BFC">
        <w:rPr>
          <w:lang w:eastAsia="ja-JP"/>
        </w:rPr>
        <w:t xml:space="preserve"> law to </w:t>
      </w:r>
      <w:r w:rsidR="0083507B">
        <w:rPr>
          <w:lang w:eastAsia="ja-JP"/>
        </w:rPr>
        <w:t>decide cases.</w:t>
      </w:r>
    </w:p>
    <w:p w14:paraId="380678E0" w14:textId="34B71142" w:rsidR="00901ED0" w:rsidRPr="0090706B" w:rsidRDefault="009D59A0" w:rsidP="00DA5AD6">
      <w:pPr>
        <w:pStyle w:val="BodyText"/>
        <w:rPr>
          <w:b/>
          <w:bCs/>
          <w:lang w:eastAsia="ja-JP"/>
        </w:rPr>
      </w:pPr>
      <w:r>
        <w:rPr>
          <w:lang w:eastAsia="ja-JP"/>
        </w:rPr>
        <w:t>A</w:t>
      </w:r>
      <w:r w:rsidR="00965919">
        <w:rPr>
          <w:lang w:eastAsia="ja-JP"/>
        </w:rPr>
        <w:t>dvocates of the general law</w:t>
      </w:r>
      <w:r w:rsidR="00302D77">
        <w:rPr>
          <w:lang w:eastAsia="ja-JP"/>
        </w:rPr>
        <w:t xml:space="preserve"> </w:t>
      </w:r>
      <w:r w:rsidR="002B0ADD">
        <w:rPr>
          <w:lang w:eastAsia="ja-JP"/>
        </w:rPr>
        <w:t>go beyond the merely descriptive claim that courts</w:t>
      </w:r>
      <w:r w:rsidR="008D4D2B">
        <w:rPr>
          <w:lang w:eastAsia="ja-JP"/>
        </w:rPr>
        <w:t xml:space="preserve"> sometimes</w:t>
      </w:r>
      <w:r w:rsidR="002B0ADD">
        <w:rPr>
          <w:lang w:eastAsia="ja-JP"/>
        </w:rPr>
        <w:t xml:space="preserve"> do </w:t>
      </w:r>
      <w:r w:rsidR="008D4D2B">
        <w:rPr>
          <w:lang w:eastAsia="ja-JP"/>
        </w:rPr>
        <w:t>recognize</w:t>
      </w:r>
      <w:r w:rsidR="002B0ADD">
        <w:rPr>
          <w:lang w:eastAsia="ja-JP"/>
        </w:rPr>
        <w:t xml:space="preserve"> general law. They also argue that courts </w:t>
      </w:r>
      <w:r w:rsidR="002B0ADD">
        <w:rPr>
          <w:i/>
          <w:iCs/>
          <w:lang w:eastAsia="ja-JP"/>
        </w:rPr>
        <w:t>should</w:t>
      </w:r>
      <w:r w:rsidR="00426B9F">
        <w:rPr>
          <w:lang w:eastAsia="ja-JP"/>
        </w:rPr>
        <w:t>—</w:t>
      </w:r>
      <w:r w:rsidR="00BC4B77">
        <w:rPr>
          <w:lang w:eastAsia="ja-JP"/>
        </w:rPr>
        <w:t xml:space="preserve">and </w:t>
      </w:r>
      <w:r w:rsidR="002B0ADD">
        <w:rPr>
          <w:lang w:eastAsia="ja-JP"/>
        </w:rPr>
        <w:t xml:space="preserve">in some cases, </w:t>
      </w:r>
      <w:r w:rsidR="00BC4B77">
        <w:rPr>
          <w:lang w:eastAsia="ja-JP"/>
        </w:rPr>
        <w:t xml:space="preserve">are </w:t>
      </w:r>
      <w:r w:rsidR="002B0ADD" w:rsidRPr="00436547">
        <w:rPr>
          <w:i/>
          <w:iCs/>
          <w:lang w:eastAsia="ja-JP"/>
        </w:rPr>
        <w:t>require</w:t>
      </w:r>
      <w:r w:rsidR="00BC4B77" w:rsidRPr="00436547">
        <w:rPr>
          <w:i/>
          <w:iCs/>
          <w:lang w:eastAsia="ja-JP"/>
        </w:rPr>
        <w:t>d</w:t>
      </w:r>
      <w:r w:rsidR="00426B9F">
        <w:rPr>
          <w:lang w:eastAsia="ja-JP"/>
        </w:rPr>
        <w:t xml:space="preserve"> to—</w:t>
      </w:r>
      <w:r w:rsidR="00917B3F">
        <w:rPr>
          <w:lang w:eastAsia="ja-JP"/>
        </w:rPr>
        <w:t xml:space="preserve">look to general law. </w:t>
      </w:r>
      <w:r w:rsidR="00AC563E">
        <w:rPr>
          <w:lang w:eastAsia="ja-JP"/>
        </w:rPr>
        <w:t xml:space="preserve">As Michael </w:t>
      </w:r>
      <w:r w:rsidR="0078358C">
        <w:rPr>
          <w:lang w:eastAsia="ja-JP"/>
        </w:rPr>
        <w:t xml:space="preserve">Steven </w:t>
      </w:r>
      <w:r w:rsidR="00AC563E">
        <w:rPr>
          <w:lang w:eastAsia="ja-JP"/>
        </w:rPr>
        <w:t xml:space="preserve">Green argues, </w:t>
      </w:r>
      <w:r w:rsidR="00B14BFB">
        <w:rPr>
          <w:lang w:eastAsia="ja-JP"/>
        </w:rPr>
        <w:t xml:space="preserve">state courts </w:t>
      </w:r>
      <w:r w:rsidR="00F2124D">
        <w:rPr>
          <w:lang w:eastAsia="ja-JP"/>
        </w:rPr>
        <w:t xml:space="preserve">at the time of </w:t>
      </w:r>
      <w:r w:rsidR="00F2124D">
        <w:rPr>
          <w:i/>
          <w:iCs/>
          <w:lang w:eastAsia="ja-JP"/>
        </w:rPr>
        <w:t>Swift</w:t>
      </w:r>
      <w:r w:rsidR="00F2124D">
        <w:rPr>
          <w:lang w:eastAsia="ja-JP"/>
        </w:rPr>
        <w:t xml:space="preserve"> </w:t>
      </w:r>
      <w:r w:rsidR="005F28A8">
        <w:rPr>
          <w:lang w:eastAsia="ja-JP"/>
        </w:rPr>
        <w:t>generally</w:t>
      </w:r>
      <w:r w:rsidR="00C47FE5">
        <w:rPr>
          <w:lang w:eastAsia="ja-JP"/>
        </w:rPr>
        <w:t xml:space="preserve"> adhered to a “</w:t>
      </w:r>
      <w:r w:rsidR="00C47FE5" w:rsidRPr="00C47FE5">
        <w:rPr>
          <w:i/>
          <w:iCs/>
          <w:lang w:eastAsia="ja-JP"/>
        </w:rPr>
        <w:t>Swift</w:t>
      </w:r>
      <w:r w:rsidR="00C47FE5" w:rsidRPr="00C47FE5">
        <w:rPr>
          <w:lang w:eastAsia="ja-JP"/>
        </w:rPr>
        <w:t>ian conception of the common law</w:t>
      </w:r>
      <w:r w:rsidR="00184029">
        <w:rPr>
          <w:lang w:eastAsia="ja-JP"/>
        </w:rPr>
        <w:t>,</w:t>
      </w:r>
      <w:r w:rsidR="00C47FE5">
        <w:rPr>
          <w:lang w:eastAsia="ja-JP"/>
        </w:rPr>
        <w:t xml:space="preserve">” under which </w:t>
      </w:r>
      <w:r w:rsidR="00F02EDD">
        <w:rPr>
          <w:lang w:eastAsia="ja-JP"/>
        </w:rPr>
        <w:t xml:space="preserve">state </w:t>
      </w:r>
      <w:r w:rsidR="002D5B7D">
        <w:rPr>
          <w:lang w:eastAsia="ja-JP"/>
        </w:rPr>
        <w:t>common law was not</w:t>
      </w:r>
      <w:r w:rsidR="00F02EDD">
        <w:rPr>
          <w:lang w:eastAsia="ja-JP"/>
        </w:rPr>
        <w:t xml:space="preserve"> understood as merely the command of a particular state’s courts.</w:t>
      </w:r>
      <w:bookmarkStart w:id="29" w:name="_Ref114090807"/>
      <w:r w:rsidR="00006C62" w:rsidRPr="002A4234">
        <w:rPr>
          <w:rStyle w:val="FootnoteReference"/>
        </w:rPr>
        <w:footnoteReference w:id="111"/>
      </w:r>
      <w:bookmarkEnd w:id="29"/>
      <w:r w:rsidR="00F02EDD">
        <w:rPr>
          <w:lang w:eastAsia="ja-JP"/>
        </w:rPr>
        <w:t xml:space="preserve"> </w:t>
      </w:r>
      <w:r w:rsidR="00006C62">
        <w:rPr>
          <w:lang w:eastAsia="ja-JP"/>
        </w:rPr>
        <w:t>If such courts “</w:t>
      </w:r>
      <w:r w:rsidR="00006C62" w:rsidRPr="00006C62">
        <w:rPr>
          <w:lang w:eastAsia="ja-JP"/>
        </w:rPr>
        <w:t>entertained a common-law action arising in a sister state, they came to their own conclusions about what the common law in the sister state was, without deferring to the sister state</w:t>
      </w:r>
      <w:r w:rsidR="00006C62">
        <w:rPr>
          <w:lang w:eastAsia="ja-JP"/>
        </w:rPr>
        <w:t>’</w:t>
      </w:r>
      <w:r w:rsidR="00006C62" w:rsidRPr="00006C62">
        <w:rPr>
          <w:lang w:eastAsia="ja-JP"/>
        </w:rPr>
        <w:t>s courts</w:t>
      </w:r>
      <w:r w:rsidR="00006C62">
        <w:rPr>
          <w:lang w:eastAsia="ja-JP"/>
        </w:rPr>
        <w:t>.”</w:t>
      </w:r>
      <w:r w:rsidR="0079524C" w:rsidRPr="002A4234">
        <w:rPr>
          <w:rStyle w:val="FootnoteReference"/>
        </w:rPr>
        <w:footnoteReference w:id="112"/>
      </w:r>
      <w:r w:rsidR="00901ED0">
        <w:rPr>
          <w:lang w:eastAsia="ja-JP"/>
        </w:rPr>
        <w:t xml:space="preserve"> </w:t>
      </w:r>
      <w:r w:rsidR="003C71F6">
        <w:rPr>
          <w:lang w:eastAsia="ja-JP"/>
        </w:rPr>
        <w:t xml:space="preserve">This practice was not an aggrandizement of federal power. </w:t>
      </w:r>
      <w:r w:rsidR="00901ED0">
        <w:rPr>
          <w:lang w:eastAsia="ja-JP"/>
        </w:rPr>
        <w:t xml:space="preserve">As Anthony </w:t>
      </w:r>
      <w:r w:rsidR="0044670A">
        <w:rPr>
          <w:lang w:eastAsia="ja-JP"/>
        </w:rPr>
        <w:t xml:space="preserve">J. </w:t>
      </w:r>
      <w:r w:rsidR="00901ED0">
        <w:rPr>
          <w:lang w:eastAsia="ja-JP"/>
        </w:rPr>
        <w:t>Bellia</w:t>
      </w:r>
      <w:r w:rsidR="00D66540">
        <w:rPr>
          <w:lang w:eastAsia="ja-JP"/>
        </w:rPr>
        <w:t>,</w:t>
      </w:r>
      <w:r w:rsidR="0044670A">
        <w:rPr>
          <w:lang w:eastAsia="ja-JP"/>
        </w:rPr>
        <w:t xml:space="preserve"> Jr.</w:t>
      </w:r>
      <w:r w:rsidR="00901ED0">
        <w:rPr>
          <w:lang w:eastAsia="ja-JP"/>
        </w:rPr>
        <w:t xml:space="preserve"> and Bradford </w:t>
      </w:r>
      <w:r w:rsidR="0044670A">
        <w:rPr>
          <w:lang w:eastAsia="ja-JP"/>
        </w:rPr>
        <w:t xml:space="preserve">R. </w:t>
      </w:r>
      <w:r w:rsidR="00901ED0">
        <w:rPr>
          <w:lang w:eastAsia="ja-JP"/>
        </w:rPr>
        <w:t xml:space="preserve">Clark </w:t>
      </w:r>
      <w:r w:rsidR="0090706B">
        <w:rPr>
          <w:lang w:eastAsia="ja-JP"/>
        </w:rPr>
        <w:t xml:space="preserve">argue, under the regime of </w:t>
      </w:r>
      <w:r w:rsidR="0090706B">
        <w:rPr>
          <w:i/>
          <w:iCs/>
          <w:lang w:eastAsia="ja-JP"/>
        </w:rPr>
        <w:t>Swift</w:t>
      </w:r>
      <w:r w:rsidR="0090706B">
        <w:rPr>
          <w:lang w:eastAsia="ja-JP"/>
        </w:rPr>
        <w:t xml:space="preserve"> federal court</w:t>
      </w:r>
      <w:r w:rsidR="00262134">
        <w:rPr>
          <w:lang w:eastAsia="ja-JP"/>
        </w:rPr>
        <w:t xml:space="preserve">s sitting in diversity that looked to general law </w:t>
      </w:r>
      <w:r w:rsidR="0057354E">
        <w:rPr>
          <w:lang w:eastAsia="ja-JP"/>
        </w:rPr>
        <w:t>“</w:t>
      </w:r>
      <w:r w:rsidR="0057354E" w:rsidRPr="0057354E">
        <w:rPr>
          <w:lang w:eastAsia="ja-JP"/>
        </w:rPr>
        <w:t>did not displace state law, but rather acted in accord with a state</w:t>
      </w:r>
      <w:r w:rsidR="0057354E">
        <w:rPr>
          <w:lang w:eastAsia="ja-JP"/>
        </w:rPr>
        <w:t>’</w:t>
      </w:r>
      <w:r w:rsidR="0057354E" w:rsidRPr="0057354E">
        <w:rPr>
          <w:lang w:eastAsia="ja-JP"/>
        </w:rPr>
        <w:t>s choice</w:t>
      </w:r>
      <w:r w:rsidR="0057354E">
        <w:rPr>
          <w:lang w:eastAsia="ja-JP"/>
        </w:rPr>
        <w:t>.”</w:t>
      </w:r>
      <w:r w:rsidR="0057354E" w:rsidRPr="002A4234">
        <w:rPr>
          <w:rStyle w:val="FootnoteReference"/>
        </w:rPr>
        <w:footnoteReference w:id="113"/>
      </w:r>
    </w:p>
    <w:p w14:paraId="1F487AF8" w14:textId="65A3C4D7" w:rsidR="00C063C3" w:rsidRDefault="0061294C" w:rsidP="00DA5AD6">
      <w:pPr>
        <w:pStyle w:val="BodyText"/>
        <w:rPr>
          <w:lang w:eastAsia="ja-JP"/>
        </w:rPr>
      </w:pPr>
      <w:r>
        <w:rPr>
          <w:lang w:eastAsia="ja-JP"/>
        </w:rPr>
        <w:t>In fact,</w:t>
      </w:r>
      <w:r w:rsidR="003679C3">
        <w:rPr>
          <w:lang w:eastAsia="ja-JP"/>
        </w:rPr>
        <w:t xml:space="preserve"> Green </w:t>
      </w:r>
      <w:r>
        <w:rPr>
          <w:lang w:eastAsia="ja-JP"/>
        </w:rPr>
        <w:t>notes that</w:t>
      </w:r>
      <w:r w:rsidR="003679C3">
        <w:rPr>
          <w:lang w:eastAsia="ja-JP"/>
        </w:rPr>
        <w:t xml:space="preserve"> Georgia courts </w:t>
      </w:r>
      <w:r w:rsidR="003679C3" w:rsidRPr="00510788">
        <w:rPr>
          <w:i/>
          <w:iCs/>
          <w:lang w:eastAsia="ja-JP"/>
        </w:rPr>
        <w:t>still</w:t>
      </w:r>
      <w:r w:rsidR="003679C3">
        <w:rPr>
          <w:lang w:eastAsia="ja-JP"/>
        </w:rPr>
        <w:t xml:space="preserve"> take </w:t>
      </w:r>
      <w:r>
        <w:rPr>
          <w:lang w:eastAsia="ja-JP"/>
        </w:rPr>
        <w:t>such a</w:t>
      </w:r>
      <w:r w:rsidR="003679C3">
        <w:rPr>
          <w:lang w:eastAsia="ja-JP"/>
        </w:rPr>
        <w:t xml:space="preserve"> view of the common law: they willingly apply the </w:t>
      </w:r>
      <w:r w:rsidR="003679C3" w:rsidRPr="00510788">
        <w:rPr>
          <w:lang w:eastAsia="ja-JP"/>
        </w:rPr>
        <w:t>statutory</w:t>
      </w:r>
      <w:r w:rsidR="003679C3">
        <w:rPr>
          <w:lang w:eastAsia="ja-JP"/>
        </w:rPr>
        <w:t xml:space="preserve"> law of other states, but do not look to other states’ courts’ pronouncements of the common law, even where their own choice</w:t>
      </w:r>
      <w:r>
        <w:rPr>
          <w:lang w:eastAsia="ja-JP"/>
        </w:rPr>
        <w:t>-</w:t>
      </w:r>
      <w:r w:rsidR="003679C3">
        <w:rPr>
          <w:lang w:eastAsia="ja-JP"/>
        </w:rPr>
        <w:t>of</w:t>
      </w:r>
      <w:r>
        <w:rPr>
          <w:lang w:eastAsia="ja-JP"/>
        </w:rPr>
        <w:t>-</w:t>
      </w:r>
      <w:r w:rsidR="003679C3">
        <w:rPr>
          <w:lang w:eastAsia="ja-JP"/>
        </w:rPr>
        <w:t>law rules mandate that they apply another state’s common law.</w:t>
      </w:r>
      <w:r w:rsidR="003679C3" w:rsidRPr="002A4234">
        <w:rPr>
          <w:rStyle w:val="FootnoteReference"/>
        </w:rPr>
        <w:footnoteReference w:id="114"/>
      </w:r>
      <w:r w:rsidR="003679C3">
        <w:rPr>
          <w:lang w:eastAsia="ja-JP"/>
        </w:rPr>
        <w:t xml:space="preserve"> </w:t>
      </w:r>
      <w:r w:rsidR="003D5C62">
        <w:rPr>
          <w:lang w:eastAsia="ja-JP"/>
        </w:rPr>
        <w:t xml:space="preserve">In </w:t>
      </w:r>
      <w:r w:rsidR="0057045E">
        <w:rPr>
          <w:lang w:eastAsia="ja-JP"/>
        </w:rPr>
        <w:t>Green</w:t>
      </w:r>
      <w:r w:rsidR="003D5C62">
        <w:rPr>
          <w:lang w:eastAsia="ja-JP"/>
        </w:rPr>
        <w:t xml:space="preserve">’s view, </w:t>
      </w:r>
      <w:r w:rsidR="00313245">
        <w:rPr>
          <w:lang w:eastAsia="ja-JP"/>
        </w:rPr>
        <w:t>this means that federal courts</w:t>
      </w:r>
      <w:r w:rsidR="00D31CCF">
        <w:rPr>
          <w:lang w:eastAsia="ja-JP"/>
        </w:rPr>
        <w:t xml:space="preserve"> under </w:t>
      </w:r>
      <w:r w:rsidR="00D31CCF">
        <w:rPr>
          <w:i/>
          <w:iCs/>
          <w:lang w:eastAsia="ja-JP"/>
        </w:rPr>
        <w:t>Erie</w:t>
      </w:r>
      <w:r w:rsidR="00D31CCF">
        <w:rPr>
          <w:lang w:eastAsia="ja-JP"/>
        </w:rPr>
        <w:t xml:space="preserve"> </w:t>
      </w:r>
      <w:r w:rsidR="00313245">
        <w:rPr>
          <w:lang w:eastAsia="ja-JP"/>
        </w:rPr>
        <w:t xml:space="preserve">should not defer to </w:t>
      </w:r>
      <w:r w:rsidR="00795A5C">
        <w:rPr>
          <w:lang w:eastAsia="ja-JP"/>
        </w:rPr>
        <w:t xml:space="preserve">the </w:t>
      </w:r>
      <w:r w:rsidR="00313245" w:rsidRPr="00716371">
        <w:rPr>
          <w:lang w:eastAsia="ja-JP"/>
        </w:rPr>
        <w:t>Georgia courts’</w:t>
      </w:r>
      <w:r w:rsidR="00313245" w:rsidRPr="000209EA">
        <w:rPr>
          <w:lang w:eastAsia="ja-JP"/>
        </w:rPr>
        <w:t xml:space="preserve"> </w:t>
      </w:r>
      <w:r w:rsidR="00313245">
        <w:rPr>
          <w:lang w:eastAsia="ja-JP"/>
        </w:rPr>
        <w:t>determinations as to the content of the common law</w:t>
      </w:r>
      <w:r w:rsidR="00C04D3E">
        <w:rPr>
          <w:lang w:eastAsia="ja-JP"/>
        </w:rPr>
        <w:t xml:space="preserve">, </w:t>
      </w:r>
      <w:r w:rsidR="003D5C62">
        <w:rPr>
          <w:lang w:eastAsia="ja-JP"/>
        </w:rPr>
        <w:t xml:space="preserve">because </w:t>
      </w:r>
      <w:r w:rsidR="00795A5C">
        <w:rPr>
          <w:lang w:eastAsia="ja-JP"/>
        </w:rPr>
        <w:t>applying Georgia law faithfully actually requires a federal court to make an independent judgment as to the content of the general common law.</w:t>
      </w:r>
      <w:r w:rsidR="00EA28F8" w:rsidRPr="002A4234">
        <w:rPr>
          <w:rStyle w:val="FootnoteReference"/>
        </w:rPr>
        <w:footnoteReference w:id="115"/>
      </w:r>
    </w:p>
    <w:p w14:paraId="1F25B601" w14:textId="02DA2D99" w:rsidR="00795A5C" w:rsidRDefault="00BC50F8" w:rsidP="00753B6F">
      <w:pPr>
        <w:pStyle w:val="BodyText"/>
        <w:rPr>
          <w:lang w:eastAsia="ja-JP"/>
        </w:rPr>
      </w:pPr>
      <w:r>
        <w:rPr>
          <w:lang w:eastAsia="ja-JP"/>
        </w:rPr>
        <w:t>Of course, modern readers m</w:t>
      </w:r>
      <w:r w:rsidR="006153EC">
        <w:rPr>
          <w:lang w:eastAsia="ja-JP"/>
        </w:rPr>
        <w:t>ight</w:t>
      </w:r>
      <w:r>
        <w:rPr>
          <w:lang w:eastAsia="ja-JP"/>
        </w:rPr>
        <w:t xml:space="preserve"> find the</w:t>
      </w:r>
      <w:r w:rsidR="009E27BA">
        <w:rPr>
          <w:lang w:eastAsia="ja-JP"/>
        </w:rPr>
        <w:t xml:space="preserve"> </w:t>
      </w:r>
      <w:r>
        <w:rPr>
          <w:lang w:eastAsia="ja-JP"/>
        </w:rPr>
        <w:t>notion</w:t>
      </w:r>
      <w:r w:rsidR="009E27BA">
        <w:rPr>
          <w:lang w:eastAsia="ja-JP"/>
        </w:rPr>
        <w:t xml:space="preserve"> of </w:t>
      </w:r>
      <w:r>
        <w:rPr>
          <w:lang w:eastAsia="ja-JP"/>
        </w:rPr>
        <w:t>some kind of “general” law, existing</w:t>
      </w:r>
      <w:r w:rsidR="00025297">
        <w:rPr>
          <w:lang w:eastAsia="ja-JP"/>
        </w:rPr>
        <w:t xml:space="preserve"> beyond</w:t>
      </w:r>
      <w:r>
        <w:rPr>
          <w:lang w:eastAsia="ja-JP"/>
        </w:rPr>
        <w:t xml:space="preserve"> the lawmaking power of any particular sovereign, na</w:t>
      </w:r>
      <w:r w:rsidR="0092014E">
        <w:rPr>
          <w:lang w:eastAsia="ja-JP"/>
        </w:rPr>
        <w:t>i</w:t>
      </w:r>
      <w:r>
        <w:rPr>
          <w:lang w:eastAsia="ja-JP"/>
        </w:rPr>
        <w:t>ve</w:t>
      </w:r>
      <w:r w:rsidR="00214479">
        <w:rPr>
          <w:lang w:eastAsia="ja-JP"/>
        </w:rPr>
        <w:t>—</w:t>
      </w:r>
      <w:r>
        <w:rPr>
          <w:lang w:eastAsia="ja-JP"/>
        </w:rPr>
        <w:t xml:space="preserve">even delusional. </w:t>
      </w:r>
      <w:r w:rsidR="00916932">
        <w:rPr>
          <w:lang w:eastAsia="ja-JP"/>
        </w:rPr>
        <w:t>But</w:t>
      </w:r>
      <w:r>
        <w:rPr>
          <w:lang w:eastAsia="ja-JP"/>
        </w:rPr>
        <w:t xml:space="preserve"> th</w:t>
      </w:r>
      <w:r w:rsidR="00916932">
        <w:rPr>
          <w:lang w:eastAsia="ja-JP"/>
        </w:rPr>
        <w:t>e</w:t>
      </w:r>
      <w:r>
        <w:rPr>
          <w:lang w:eastAsia="ja-JP"/>
        </w:rPr>
        <w:t xml:space="preserve"> </w:t>
      </w:r>
      <w:r w:rsidR="00494D76">
        <w:rPr>
          <w:lang w:eastAsia="ja-JP"/>
        </w:rPr>
        <w:t xml:space="preserve">idea is not so farfetched as it seems. </w:t>
      </w:r>
      <w:r w:rsidR="00510E0A">
        <w:rPr>
          <w:lang w:eastAsia="ja-JP"/>
        </w:rPr>
        <w:t xml:space="preserve">Asking courts to </w:t>
      </w:r>
      <w:r w:rsidR="00F17FEF">
        <w:rPr>
          <w:lang w:eastAsia="ja-JP"/>
        </w:rPr>
        <w:t xml:space="preserve">look to </w:t>
      </w:r>
      <w:r w:rsidR="00510E0A">
        <w:rPr>
          <w:lang w:eastAsia="ja-JP"/>
        </w:rPr>
        <w:t xml:space="preserve">the general law </w:t>
      </w:r>
      <w:r w:rsidR="00E73B7A">
        <w:rPr>
          <w:lang w:eastAsia="ja-JP"/>
        </w:rPr>
        <w:t>need not mean giving</w:t>
      </w:r>
      <w:r w:rsidR="00510E0A">
        <w:rPr>
          <w:lang w:eastAsia="ja-JP"/>
        </w:rPr>
        <w:t xml:space="preserve"> courts free rein to make up whatever </w:t>
      </w:r>
      <w:r w:rsidR="00510E0A">
        <w:rPr>
          <w:lang w:eastAsia="ja-JP"/>
        </w:rPr>
        <w:lastRenderedPageBreak/>
        <w:t>answer they wish.</w:t>
      </w:r>
      <w:r w:rsidR="00753B6F">
        <w:rPr>
          <w:lang w:eastAsia="ja-JP"/>
        </w:rPr>
        <w:t xml:space="preserve"> </w:t>
      </w:r>
      <w:r w:rsidR="00BE7A62">
        <w:rPr>
          <w:lang w:eastAsia="ja-JP"/>
        </w:rPr>
        <w:t xml:space="preserve">In </w:t>
      </w:r>
      <w:r w:rsidR="001024F0">
        <w:rPr>
          <w:lang w:eastAsia="ja-JP"/>
        </w:rPr>
        <w:t>many cases</w:t>
      </w:r>
      <w:r w:rsidR="002A77C7">
        <w:rPr>
          <w:lang w:eastAsia="ja-JP"/>
        </w:rPr>
        <w:t>, the content of the general law</w:t>
      </w:r>
      <w:r w:rsidR="00510E0A">
        <w:rPr>
          <w:lang w:eastAsia="ja-JP"/>
        </w:rPr>
        <w:t xml:space="preserve"> can be </w:t>
      </w:r>
      <w:r w:rsidR="003B7B97">
        <w:rPr>
          <w:lang w:eastAsia="ja-JP"/>
        </w:rPr>
        <w:t xml:space="preserve">determined by reviewing the </w:t>
      </w:r>
      <w:r w:rsidR="00BA0FE2">
        <w:rPr>
          <w:lang w:eastAsia="ja-JP"/>
        </w:rPr>
        <w:t>generally prevail</w:t>
      </w:r>
      <w:r w:rsidR="00CF4E0D">
        <w:rPr>
          <w:lang w:eastAsia="ja-JP"/>
        </w:rPr>
        <w:t xml:space="preserve">ing </w:t>
      </w:r>
      <w:r w:rsidR="003B7B97">
        <w:rPr>
          <w:lang w:eastAsia="ja-JP"/>
        </w:rPr>
        <w:t xml:space="preserve">positive law of </w:t>
      </w:r>
      <w:r w:rsidR="00173176">
        <w:rPr>
          <w:lang w:eastAsia="ja-JP"/>
        </w:rPr>
        <w:t xml:space="preserve">the states. </w:t>
      </w:r>
      <w:r w:rsidR="00AB11B1">
        <w:rPr>
          <w:lang w:eastAsia="ja-JP"/>
        </w:rPr>
        <w:t xml:space="preserve">With the possible exception of </w:t>
      </w:r>
      <w:r w:rsidR="00662EEF">
        <w:rPr>
          <w:lang w:eastAsia="ja-JP"/>
        </w:rPr>
        <w:t xml:space="preserve">states in </w:t>
      </w:r>
      <w:r w:rsidR="00AB11B1">
        <w:rPr>
          <w:lang w:eastAsia="ja-JP"/>
        </w:rPr>
        <w:t>New England, s</w:t>
      </w:r>
      <w:r w:rsidR="00FB4BCA">
        <w:rPr>
          <w:lang w:eastAsia="ja-JP"/>
        </w:rPr>
        <w:t>tates started in more or less the same place when legislatures passed reception statutes importing the common law of England.</w:t>
      </w:r>
      <w:r w:rsidR="007F23C7" w:rsidRPr="002A4234">
        <w:rPr>
          <w:rStyle w:val="FootnoteReference"/>
        </w:rPr>
        <w:footnoteReference w:id="116"/>
      </w:r>
      <w:r w:rsidR="00FB4BCA">
        <w:rPr>
          <w:lang w:eastAsia="ja-JP"/>
        </w:rPr>
        <w:t xml:space="preserve"> Although each jurisdiction has its own path, a </w:t>
      </w:r>
      <w:r w:rsidR="002A502A">
        <w:rPr>
          <w:lang w:eastAsia="ja-JP"/>
        </w:rPr>
        <w:t xml:space="preserve">largely </w:t>
      </w:r>
      <w:r w:rsidR="00FB4BCA">
        <w:rPr>
          <w:lang w:eastAsia="ja-JP"/>
        </w:rPr>
        <w:t xml:space="preserve">coherent core of common law </w:t>
      </w:r>
      <w:r w:rsidR="00BD2B60">
        <w:rPr>
          <w:lang w:eastAsia="ja-JP"/>
        </w:rPr>
        <w:t>persists</w:t>
      </w:r>
      <w:r w:rsidR="00FB4BCA">
        <w:rPr>
          <w:lang w:eastAsia="ja-JP"/>
        </w:rPr>
        <w:t>.</w:t>
      </w:r>
      <w:r w:rsidR="00BD2B60" w:rsidRPr="002A4234">
        <w:rPr>
          <w:rStyle w:val="FootnoteReference"/>
        </w:rPr>
        <w:footnoteReference w:id="117"/>
      </w:r>
      <w:r w:rsidR="00FB4BCA">
        <w:rPr>
          <w:lang w:eastAsia="ja-JP"/>
        </w:rPr>
        <w:t xml:space="preserve"> This statement is as obvious as it is scandalous. If there were no </w:t>
      </w:r>
      <w:r w:rsidR="00CE3013">
        <w:rPr>
          <w:lang w:eastAsia="ja-JP"/>
        </w:rPr>
        <w:t>identifiable</w:t>
      </w:r>
      <w:r w:rsidR="00FB4BCA">
        <w:rPr>
          <w:lang w:eastAsia="ja-JP"/>
        </w:rPr>
        <w:t xml:space="preserve"> core, multi-jurisdictional projects like the </w:t>
      </w:r>
      <w:r w:rsidR="0063623F">
        <w:rPr>
          <w:lang w:eastAsia="ja-JP"/>
        </w:rPr>
        <w:t>American Law Institute’s</w:t>
      </w:r>
      <w:r w:rsidR="00FB4BCA">
        <w:rPr>
          <w:lang w:eastAsia="ja-JP"/>
        </w:rPr>
        <w:t xml:space="preserve"> </w:t>
      </w:r>
      <w:r w:rsidR="00FB4BCA" w:rsidRPr="00DF668C">
        <w:rPr>
          <w:i/>
          <w:lang w:eastAsia="ja-JP"/>
        </w:rPr>
        <w:t>Restatement</w:t>
      </w:r>
      <w:r w:rsidR="00CE3013" w:rsidRPr="00DF668C">
        <w:rPr>
          <w:i/>
          <w:lang w:eastAsia="ja-JP"/>
        </w:rPr>
        <w:t>s</w:t>
      </w:r>
      <w:r w:rsidR="00FB4BCA">
        <w:rPr>
          <w:lang w:eastAsia="ja-JP"/>
        </w:rPr>
        <w:t xml:space="preserve"> </w:t>
      </w:r>
      <w:r w:rsidR="0063623F">
        <w:rPr>
          <w:lang w:eastAsia="ja-JP"/>
        </w:rPr>
        <w:t>or</w:t>
      </w:r>
      <w:r w:rsidR="00FB4BCA">
        <w:rPr>
          <w:lang w:eastAsia="ja-JP"/>
        </w:rPr>
        <w:t xml:space="preserve"> the U</w:t>
      </w:r>
      <w:r w:rsidR="00CE3013">
        <w:rPr>
          <w:lang w:eastAsia="ja-JP"/>
        </w:rPr>
        <w:t xml:space="preserve">niform </w:t>
      </w:r>
      <w:r w:rsidR="00FB4BCA">
        <w:rPr>
          <w:lang w:eastAsia="ja-JP"/>
        </w:rPr>
        <w:t>B</w:t>
      </w:r>
      <w:r w:rsidR="00CE3013">
        <w:rPr>
          <w:lang w:eastAsia="ja-JP"/>
        </w:rPr>
        <w:t xml:space="preserve">ar </w:t>
      </w:r>
      <w:r w:rsidR="00FB4BCA">
        <w:rPr>
          <w:lang w:eastAsia="ja-JP"/>
        </w:rPr>
        <w:t>E</w:t>
      </w:r>
      <w:r w:rsidR="00CE3013">
        <w:rPr>
          <w:lang w:eastAsia="ja-JP"/>
        </w:rPr>
        <w:t>xamination</w:t>
      </w:r>
      <w:r w:rsidR="00FB4BCA">
        <w:rPr>
          <w:lang w:eastAsia="ja-JP"/>
        </w:rPr>
        <w:t xml:space="preserve"> would be impossible.</w:t>
      </w:r>
    </w:p>
    <w:p w14:paraId="1350E179" w14:textId="5A3C956B" w:rsidR="00327477" w:rsidRDefault="00EB1A9F" w:rsidP="00327477">
      <w:pPr>
        <w:pStyle w:val="BodyText"/>
        <w:rPr>
          <w:lang w:eastAsia="ja-JP"/>
        </w:rPr>
      </w:pPr>
      <w:r>
        <w:rPr>
          <w:lang w:eastAsia="ja-JP"/>
        </w:rPr>
        <w:t xml:space="preserve">Even where positive law provides no </w:t>
      </w:r>
      <w:r w:rsidR="00CC2CD1">
        <w:rPr>
          <w:lang w:eastAsia="ja-JP"/>
        </w:rPr>
        <w:t xml:space="preserve">clear answers, </w:t>
      </w:r>
      <w:r w:rsidR="00720C97">
        <w:rPr>
          <w:lang w:eastAsia="ja-JP"/>
        </w:rPr>
        <w:t xml:space="preserve">courts applying the general law </w:t>
      </w:r>
      <w:r w:rsidR="00A82801">
        <w:rPr>
          <w:lang w:eastAsia="ja-JP"/>
        </w:rPr>
        <w:t>are</w:t>
      </w:r>
      <w:r w:rsidR="00720C97">
        <w:rPr>
          <w:lang w:eastAsia="ja-JP"/>
        </w:rPr>
        <w:t xml:space="preserve"> not totally at sea. </w:t>
      </w:r>
      <w:r w:rsidR="00B7565C">
        <w:rPr>
          <w:lang w:eastAsia="ja-JP"/>
        </w:rPr>
        <w:t>In many contexts, the general law</w:t>
      </w:r>
      <w:r w:rsidR="008463C3">
        <w:rPr>
          <w:lang w:eastAsia="ja-JP"/>
        </w:rPr>
        <w:t xml:space="preserve"> </w:t>
      </w:r>
      <w:r w:rsidR="00B7565C">
        <w:rPr>
          <w:lang w:eastAsia="ja-JP"/>
        </w:rPr>
        <w:t>is an inquiry into custom</w:t>
      </w:r>
      <w:r w:rsidR="001E5BED">
        <w:rPr>
          <w:lang w:eastAsia="ja-JP"/>
        </w:rPr>
        <w:t xml:space="preserve">, </w:t>
      </w:r>
      <w:r w:rsidR="00B7565C">
        <w:rPr>
          <w:lang w:eastAsia="ja-JP"/>
        </w:rPr>
        <w:t>tradition</w:t>
      </w:r>
      <w:r w:rsidR="001E5BED">
        <w:rPr>
          <w:lang w:eastAsia="ja-JP"/>
        </w:rPr>
        <w:t>, and social facts</w:t>
      </w:r>
      <w:r w:rsidR="008463C3">
        <w:rPr>
          <w:lang w:eastAsia="ja-JP"/>
        </w:rPr>
        <w:t>—much like the common law before it</w:t>
      </w:r>
      <w:r w:rsidR="002E3B61">
        <w:rPr>
          <w:lang w:eastAsia="ja-JP"/>
        </w:rPr>
        <w:t>.</w:t>
      </w:r>
      <w:bookmarkStart w:id="30" w:name="_Ref113026058"/>
      <w:r w:rsidR="001E5BED" w:rsidRPr="002A4234">
        <w:rPr>
          <w:rStyle w:val="FootnoteReference"/>
        </w:rPr>
        <w:footnoteReference w:id="118"/>
      </w:r>
      <w:bookmarkEnd w:id="30"/>
      <w:r w:rsidR="002E3B61">
        <w:rPr>
          <w:lang w:eastAsia="ja-JP"/>
        </w:rPr>
        <w:t xml:space="preserve"> </w:t>
      </w:r>
      <w:r w:rsidR="008463C3">
        <w:rPr>
          <w:lang w:eastAsia="ja-JP"/>
        </w:rPr>
        <w:t>Thus, a</w:t>
      </w:r>
      <w:r w:rsidR="004C469C">
        <w:rPr>
          <w:lang w:eastAsia="ja-JP"/>
        </w:rPr>
        <w:t xml:space="preserve"> </w:t>
      </w:r>
      <w:r w:rsidR="00D52C33">
        <w:rPr>
          <w:lang w:eastAsia="ja-JP"/>
        </w:rPr>
        <w:t>judge</w:t>
      </w:r>
      <w:r w:rsidR="004C469C">
        <w:rPr>
          <w:lang w:eastAsia="ja-JP"/>
        </w:rPr>
        <w:t xml:space="preserve"> applying the general commercial law </w:t>
      </w:r>
      <w:r w:rsidR="008463C3">
        <w:rPr>
          <w:lang w:eastAsia="ja-JP"/>
        </w:rPr>
        <w:t>would</w:t>
      </w:r>
      <w:r w:rsidR="002830CB">
        <w:rPr>
          <w:lang w:eastAsia="ja-JP"/>
        </w:rPr>
        <w:t xml:space="preserve"> </w:t>
      </w:r>
      <w:r w:rsidR="006450A1">
        <w:rPr>
          <w:lang w:eastAsia="ja-JP"/>
        </w:rPr>
        <w:t>refer to “</w:t>
      </w:r>
      <w:r w:rsidR="006450A1" w:rsidRPr="006450A1">
        <w:rPr>
          <w:lang w:eastAsia="ja-JP"/>
        </w:rPr>
        <w:t>shared commercial customs and practices among nations</w:t>
      </w:r>
      <w:r w:rsidR="006F4759">
        <w:rPr>
          <w:lang w:eastAsia="ja-JP"/>
        </w:rPr>
        <w:t>.</w:t>
      </w:r>
      <w:r w:rsidR="006450A1">
        <w:rPr>
          <w:lang w:eastAsia="ja-JP"/>
        </w:rPr>
        <w:t>”</w:t>
      </w:r>
      <w:r w:rsidR="004704AF" w:rsidRPr="002A4234">
        <w:rPr>
          <w:rStyle w:val="FootnoteReference"/>
        </w:rPr>
        <w:footnoteReference w:id="119"/>
      </w:r>
      <w:r w:rsidR="00D732E0">
        <w:rPr>
          <w:lang w:eastAsia="ja-JP"/>
        </w:rPr>
        <w:t xml:space="preserve"> This is not </w:t>
      </w:r>
      <w:r w:rsidR="000C121D">
        <w:rPr>
          <w:lang w:eastAsia="ja-JP"/>
        </w:rPr>
        <w:t xml:space="preserve">formally a legal question but </w:t>
      </w:r>
      <w:r w:rsidR="00DE5FB3">
        <w:rPr>
          <w:lang w:eastAsia="ja-JP"/>
        </w:rPr>
        <w:t xml:space="preserve">is </w:t>
      </w:r>
      <w:r w:rsidR="000C121D">
        <w:rPr>
          <w:lang w:eastAsia="ja-JP"/>
        </w:rPr>
        <w:t>instead “</w:t>
      </w:r>
      <w:r w:rsidR="000C121D" w:rsidRPr="000C121D">
        <w:rPr>
          <w:lang w:eastAsia="ja-JP"/>
        </w:rPr>
        <w:t>a question of fact, concerning which federal courts can come to their own judgment.</w:t>
      </w:r>
      <w:r w:rsidR="000C121D">
        <w:rPr>
          <w:lang w:eastAsia="ja-JP"/>
        </w:rPr>
        <w:t>”</w:t>
      </w:r>
      <w:r w:rsidR="000C121D" w:rsidRPr="002A4234">
        <w:rPr>
          <w:rStyle w:val="FootnoteReference"/>
        </w:rPr>
        <w:footnoteReference w:id="120"/>
      </w:r>
    </w:p>
    <w:p w14:paraId="0E02E48C" w14:textId="0F1EA262" w:rsidR="007D185C" w:rsidRDefault="00E7300C" w:rsidP="00327477">
      <w:pPr>
        <w:pStyle w:val="BodyText"/>
        <w:rPr>
          <w:lang w:eastAsia="ja-JP"/>
        </w:rPr>
      </w:pPr>
      <w:r>
        <w:rPr>
          <w:lang w:eastAsia="ja-JP"/>
        </w:rPr>
        <w:t>Stephen</w:t>
      </w:r>
      <w:r w:rsidR="00377FC4">
        <w:rPr>
          <w:lang w:eastAsia="ja-JP"/>
        </w:rPr>
        <w:t xml:space="preserve"> E.</w:t>
      </w:r>
      <w:r>
        <w:rPr>
          <w:lang w:eastAsia="ja-JP"/>
        </w:rPr>
        <w:t xml:space="preserve"> Sachs has offered a helpful set of analogies that make </w:t>
      </w:r>
      <w:r w:rsidR="001271AF">
        <w:rPr>
          <w:lang w:eastAsia="ja-JP"/>
        </w:rPr>
        <w:t>the</w:t>
      </w:r>
      <w:r>
        <w:rPr>
          <w:lang w:eastAsia="ja-JP"/>
        </w:rPr>
        <w:t xml:space="preserve"> notion</w:t>
      </w:r>
      <w:r w:rsidR="001271AF">
        <w:rPr>
          <w:lang w:eastAsia="ja-JP"/>
        </w:rPr>
        <w:t xml:space="preserve"> of </w:t>
      </w:r>
      <w:r w:rsidR="00A22EC9">
        <w:rPr>
          <w:lang w:eastAsia="ja-JP"/>
        </w:rPr>
        <w:t>general law existing outside the control of any one lawmaker</w:t>
      </w:r>
      <w:r>
        <w:rPr>
          <w:lang w:eastAsia="ja-JP"/>
        </w:rPr>
        <w:t xml:space="preserve"> </w:t>
      </w:r>
      <w:r w:rsidR="001271AF">
        <w:rPr>
          <w:lang w:eastAsia="ja-JP"/>
        </w:rPr>
        <w:t>easier to grasp</w:t>
      </w:r>
      <w:r w:rsidR="002560F2">
        <w:rPr>
          <w:lang w:eastAsia="ja-JP"/>
        </w:rPr>
        <w:t>:</w:t>
      </w:r>
    </w:p>
    <w:p w14:paraId="5562362A" w14:textId="77777777" w:rsidR="00DE5FB3" w:rsidRDefault="00DE5FB3" w:rsidP="00327477">
      <w:pPr>
        <w:pStyle w:val="BodyText"/>
        <w:rPr>
          <w:lang w:eastAsia="ja-JP"/>
        </w:rPr>
      </w:pPr>
    </w:p>
    <w:p w14:paraId="50260358" w14:textId="737C4D48" w:rsidR="005F3BCE" w:rsidRDefault="00BC7E45" w:rsidP="00FC4A2D">
      <w:pPr>
        <w:pStyle w:val="BlockQuote"/>
        <w:rPr>
          <w:lang w:eastAsia="ja-JP"/>
        </w:rPr>
      </w:pPr>
      <w:r>
        <w:rPr>
          <w:lang w:eastAsia="ja-JP"/>
        </w:rPr>
        <w:t>People routinely conform their conduct to familiar norms of fashion, etiquette, or natural language. These norms are addressed to society as a whole, and they</w:t>
      </w:r>
      <w:r w:rsidR="00780221">
        <w:rPr>
          <w:lang w:eastAsia="ja-JP"/>
        </w:rPr>
        <w:t>’</w:t>
      </w:r>
      <w:r>
        <w:rPr>
          <w:lang w:eastAsia="ja-JP"/>
        </w:rPr>
        <w:t>re generally perceived as binding, without anyone in authority having formally enacted them or laid them down. Just like legal</w:t>
      </w:r>
      <w:r w:rsidR="00513392">
        <w:rPr>
          <w:lang w:eastAsia="ja-JP"/>
        </w:rPr>
        <w:t xml:space="preserve"> norms, these social norms can sometimes be contested, changeable, controversial, political, or morally fraught.</w:t>
      </w:r>
      <w:r w:rsidR="002544C7" w:rsidRPr="002544C7">
        <w:t xml:space="preserve"> </w:t>
      </w:r>
      <w:r w:rsidR="002544C7" w:rsidRPr="002544C7">
        <w:rPr>
          <w:lang w:eastAsia="ja-JP"/>
        </w:rPr>
        <w:t>Yet in any given society, and at any given time, they can also have determinate content, offer broad guidance for the future, and stand apart from the style manuals or Miss Manners columns in which they</w:t>
      </w:r>
      <w:r w:rsidR="00780221">
        <w:rPr>
          <w:lang w:eastAsia="ja-JP"/>
        </w:rPr>
        <w:t>’r</w:t>
      </w:r>
      <w:r w:rsidR="002544C7" w:rsidRPr="002544C7">
        <w:rPr>
          <w:lang w:eastAsia="ja-JP"/>
        </w:rPr>
        <w:t>e expressed</w:t>
      </w:r>
      <w:r w:rsidR="00FC4A2D" w:rsidRPr="003828FE">
        <w:rPr>
          <w:lang w:eastAsia="ja-JP"/>
        </w:rPr>
        <w:t>.</w:t>
      </w:r>
      <w:bookmarkStart w:id="31" w:name="_Ref114094024"/>
      <w:r w:rsidR="005F3BCE" w:rsidRPr="002A4234">
        <w:rPr>
          <w:rStyle w:val="FootnoteReference"/>
        </w:rPr>
        <w:footnoteReference w:id="121"/>
      </w:r>
      <w:bookmarkEnd w:id="31"/>
    </w:p>
    <w:p w14:paraId="02ADC35D" w14:textId="77777777" w:rsidR="00DE5FB3" w:rsidRPr="00DE5FB3" w:rsidRDefault="00DE5FB3" w:rsidP="001742F0">
      <w:pPr>
        <w:pStyle w:val="BodyText"/>
        <w:rPr>
          <w:lang w:eastAsia="ja-JP"/>
        </w:rPr>
      </w:pPr>
    </w:p>
    <w:p w14:paraId="7F6B9CE1" w14:textId="3C9CCDCD" w:rsidR="00BC7E45" w:rsidRPr="00D732E0" w:rsidRDefault="006C6042" w:rsidP="001742F0">
      <w:pPr>
        <w:pStyle w:val="BodyText"/>
        <w:ind w:firstLine="0"/>
        <w:rPr>
          <w:lang w:eastAsia="ja-JP"/>
        </w:rPr>
      </w:pPr>
      <w:r>
        <w:rPr>
          <w:lang w:eastAsia="ja-JP"/>
        </w:rPr>
        <w:lastRenderedPageBreak/>
        <w:t xml:space="preserve">Thus, </w:t>
      </w:r>
      <w:r w:rsidR="008B2823">
        <w:rPr>
          <w:lang w:eastAsia="ja-JP"/>
        </w:rPr>
        <w:t>one could</w:t>
      </w:r>
      <w:r>
        <w:rPr>
          <w:lang w:eastAsia="ja-JP"/>
        </w:rPr>
        <w:t xml:space="preserve"> believe that though </w:t>
      </w:r>
      <w:r w:rsidR="001271AF">
        <w:rPr>
          <w:lang w:eastAsia="ja-JP"/>
        </w:rPr>
        <w:t>“</w:t>
      </w:r>
      <w:r>
        <w:rPr>
          <w:lang w:eastAsia="ja-JP"/>
        </w:rPr>
        <w:t>[p]</w:t>
      </w:r>
      <w:r w:rsidR="00BC7E45">
        <w:rPr>
          <w:lang w:eastAsia="ja-JP"/>
        </w:rPr>
        <w:t>ositive law depends on social facts</w:t>
      </w:r>
      <w:r w:rsidR="00754E35">
        <w:rPr>
          <w:lang w:eastAsia="ja-JP"/>
        </w:rPr>
        <w:t>,</w:t>
      </w:r>
      <w:r w:rsidR="00DE5FB3">
        <w:rPr>
          <w:lang w:eastAsia="ja-JP"/>
        </w:rPr>
        <w:t> </w:t>
      </w:r>
      <w:r w:rsidRPr="003828FE">
        <w:rPr>
          <w:lang w:eastAsia="ja-JP"/>
        </w:rPr>
        <w:t>. . .</w:t>
      </w:r>
      <w:r w:rsidR="00DE5FB3">
        <w:rPr>
          <w:lang w:eastAsia="ja-JP"/>
        </w:rPr>
        <w:t> </w:t>
      </w:r>
      <w:r w:rsidR="00BC7E45">
        <w:rPr>
          <w:lang w:eastAsia="ja-JP"/>
        </w:rPr>
        <w:t xml:space="preserve">the social facts are </w:t>
      </w:r>
      <w:r w:rsidR="00FC4A2D">
        <w:rPr>
          <w:lang w:eastAsia="ja-JP"/>
        </w:rPr>
        <w:t>‘</w:t>
      </w:r>
      <w:r w:rsidR="00BC7E45">
        <w:rPr>
          <w:lang w:eastAsia="ja-JP"/>
        </w:rPr>
        <w:t>out there</w:t>
      </w:r>
      <w:r w:rsidR="00FC4A2D">
        <w:rPr>
          <w:lang w:eastAsia="ja-JP"/>
        </w:rPr>
        <w:t>’</w:t>
      </w:r>
      <w:r w:rsidR="00BC7E45">
        <w:rPr>
          <w:lang w:eastAsia="ja-JP"/>
        </w:rPr>
        <w:t xml:space="preserve"> for diligent jurists to find.</w:t>
      </w:r>
      <w:r w:rsidR="001271AF">
        <w:rPr>
          <w:lang w:eastAsia="ja-JP"/>
        </w:rPr>
        <w:t>”</w:t>
      </w:r>
      <w:r w:rsidRPr="002A4234">
        <w:rPr>
          <w:rStyle w:val="FootnoteReference"/>
        </w:rPr>
        <w:footnoteReference w:id="122"/>
      </w:r>
      <w:r w:rsidR="00E02AC0">
        <w:rPr>
          <w:lang w:eastAsia="ja-JP"/>
        </w:rPr>
        <w:t xml:space="preserve"> </w:t>
      </w:r>
      <w:r w:rsidR="00D169CC">
        <w:rPr>
          <w:lang w:eastAsia="ja-JP"/>
        </w:rPr>
        <w:t>The strong claim</w:t>
      </w:r>
      <w:r w:rsidR="00F01AD8">
        <w:rPr>
          <w:lang w:eastAsia="ja-JP"/>
        </w:rPr>
        <w:t xml:space="preserve"> that courts can truly “find” law, however, is not </w:t>
      </w:r>
      <w:r w:rsidR="00D169CC">
        <w:rPr>
          <w:lang w:eastAsia="ja-JP"/>
        </w:rPr>
        <w:t xml:space="preserve">essential for our argument. </w:t>
      </w:r>
      <w:r w:rsidR="00186BD6">
        <w:rPr>
          <w:lang w:eastAsia="ja-JP"/>
        </w:rPr>
        <w:t>For</w:t>
      </w:r>
      <w:r w:rsidR="002E100D">
        <w:rPr>
          <w:lang w:eastAsia="ja-JP"/>
        </w:rPr>
        <w:t xml:space="preserve"> present purposes</w:t>
      </w:r>
      <w:r w:rsidR="00186BD6">
        <w:rPr>
          <w:lang w:eastAsia="ja-JP"/>
        </w:rPr>
        <w:t>, it suffices to recognize that courts can</w:t>
      </w:r>
      <w:r w:rsidR="00FD17F6">
        <w:rPr>
          <w:lang w:eastAsia="ja-JP"/>
        </w:rPr>
        <w:t>, and sometimes do,</w:t>
      </w:r>
      <w:r w:rsidR="0076525A">
        <w:rPr>
          <w:lang w:eastAsia="ja-JP"/>
        </w:rPr>
        <w:t xml:space="preserve"> look for answers in the common law without </w:t>
      </w:r>
      <w:r w:rsidR="00FD17F6">
        <w:rPr>
          <w:lang w:eastAsia="ja-JP"/>
        </w:rPr>
        <w:t xml:space="preserve">treating any one </w:t>
      </w:r>
      <w:r w:rsidR="00174280">
        <w:rPr>
          <w:lang w:eastAsia="ja-JP"/>
        </w:rPr>
        <w:t>sovereign</w:t>
      </w:r>
      <w:r w:rsidR="007A7536">
        <w:rPr>
          <w:lang w:eastAsia="ja-JP"/>
        </w:rPr>
        <w:t xml:space="preserve">’s understanding </w:t>
      </w:r>
      <w:r w:rsidR="00D805C4">
        <w:rPr>
          <w:lang w:eastAsia="ja-JP"/>
        </w:rPr>
        <w:t>of</w:t>
      </w:r>
      <w:r w:rsidR="00FD17F6">
        <w:rPr>
          <w:lang w:eastAsia="ja-JP"/>
        </w:rPr>
        <w:t xml:space="preserve"> the common law as binding.</w:t>
      </w:r>
    </w:p>
    <w:p w14:paraId="3062DCEF" w14:textId="54BC39F5" w:rsidR="005834E7" w:rsidRDefault="00737EF4" w:rsidP="00223838">
      <w:pPr>
        <w:pStyle w:val="Heading2"/>
        <w:rPr>
          <w:i/>
          <w:iCs/>
        </w:rPr>
      </w:pPr>
      <w:bookmarkStart w:id="32" w:name="_Toc96093545"/>
      <w:bookmarkStart w:id="33" w:name="_Toc111723671"/>
      <w:r>
        <w:rPr>
          <w:i/>
          <w:iCs/>
        </w:rPr>
        <w:t>T</w:t>
      </w:r>
      <w:r w:rsidR="00C90E58">
        <w:rPr>
          <w:i/>
          <w:iCs/>
        </w:rPr>
        <w:t xml:space="preserve">he </w:t>
      </w:r>
      <w:r w:rsidR="00962B2E">
        <w:rPr>
          <w:i/>
          <w:iCs/>
        </w:rPr>
        <w:t>General</w:t>
      </w:r>
      <w:r w:rsidR="00C90E58">
        <w:rPr>
          <w:i/>
          <w:iCs/>
        </w:rPr>
        <w:t>-</w:t>
      </w:r>
      <w:r w:rsidR="00962B2E">
        <w:rPr>
          <w:i/>
          <w:iCs/>
        </w:rPr>
        <w:t>Law</w:t>
      </w:r>
      <w:r w:rsidR="00C90E58">
        <w:rPr>
          <w:i/>
          <w:iCs/>
        </w:rPr>
        <w:t xml:space="preserve"> Approach</w:t>
      </w:r>
      <w:r w:rsidR="003B5E18">
        <w:rPr>
          <w:i/>
          <w:iCs/>
        </w:rPr>
        <w:t xml:space="preserve"> </w:t>
      </w:r>
      <w:r>
        <w:rPr>
          <w:i/>
          <w:iCs/>
        </w:rPr>
        <w:t>and How it Works</w:t>
      </w:r>
      <w:bookmarkEnd w:id="32"/>
      <w:bookmarkEnd w:id="33"/>
    </w:p>
    <w:p w14:paraId="500BB903" w14:textId="3D36CF2C" w:rsidR="007810A2" w:rsidRDefault="008F0A69" w:rsidP="005314AF">
      <w:pPr>
        <w:pStyle w:val="BodyText"/>
        <w:rPr>
          <w:lang w:eastAsia="ja-JP"/>
        </w:rPr>
      </w:pPr>
      <w:r>
        <w:rPr>
          <w:lang w:eastAsia="ja-JP"/>
        </w:rPr>
        <w:t xml:space="preserve">Having explained the concept of the general law, </w:t>
      </w:r>
      <w:r w:rsidR="00D912D7">
        <w:rPr>
          <w:lang w:eastAsia="ja-JP"/>
        </w:rPr>
        <w:t xml:space="preserve">this </w:t>
      </w:r>
      <w:r w:rsidR="00DE5FB3">
        <w:rPr>
          <w:lang w:eastAsia="ja-JP"/>
        </w:rPr>
        <w:t>P</w:t>
      </w:r>
      <w:r w:rsidR="00D912D7">
        <w:rPr>
          <w:lang w:eastAsia="ja-JP"/>
        </w:rPr>
        <w:t>art describes its</w:t>
      </w:r>
      <w:r>
        <w:rPr>
          <w:lang w:eastAsia="ja-JP"/>
        </w:rPr>
        <w:t xml:space="preserve"> relevance to the Fourth Amendment. </w:t>
      </w:r>
      <w:r w:rsidR="005E1FB9">
        <w:rPr>
          <w:lang w:eastAsia="ja-JP"/>
        </w:rPr>
        <w:t>S</w:t>
      </w:r>
      <w:r>
        <w:rPr>
          <w:lang w:eastAsia="ja-JP"/>
        </w:rPr>
        <w:t>tart with the text</w:t>
      </w:r>
      <w:r w:rsidR="007810A2">
        <w:rPr>
          <w:lang w:eastAsia="ja-JP"/>
        </w:rPr>
        <w:t>:</w:t>
      </w:r>
    </w:p>
    <w:p w14:paraId="4A5B6FF1" w14:textId="77777777" w:rsidR="00DE5FB3" w:rsidRDefault="00DE5FB3" w:rsidP="005314AF">
      <w:pPr>
        <w:pStyle w:val="BodyText"/>
        <w:rPr>
          <w:lang w:eastAsia="ja-JP"/>
        </w:rPr>
      </w:pPr>
    </w:p>
    <w:p w14:paraId="3D8FD664" w14:textId="395869DD" w:rsidR="007810A2" w:rsidRDefault="00DB1106" w:rsidP="000C74C0">
      <w:pPr>
        <w:pStyle w:val="BlockQuote"/>
        <w:rPr>
          <w:lang w:eastAsia="ja-JP"/>
        </w:rPr>
      </w:pPr>
      <w:r w:rsidRPr="00DB1106">
        <w:rPr>
          <w:lang w:eastAsia="ja-JP"/>
        </w:rPr>
        <w:t>The right of the people to be secure in their persons, houses, papers, and effects, against unreasonable searches and seizures, shall not be violated, and no Warrants shall issue, but upon probable cause, supported by Oath or affirmation, and particularly describing the place to be searched, and the persons or things to be seized.</w:t>
      </w:r>
      <w:r w:rsidR="000C662A" w:rsidRPr="002A4234">
        <w:rPr>
          <w:rStyle w:val="FootnoteReference"/>
        </w:rPr>
        <w:footnoteReference w:id="123"/>
      </w:r>
    </w:p>
    <w:p w14:paraId="0FE20E37" w14:textId="77777777" w:rsidR="00DE5FB3" w:rsidRPr="00DE5FB3" w:rsidRDefault="00DE5FB3" w:rsidP="001742F0">
      <w:pPr>
        <w:pStyle w:val="BodyText"/>
        <w:rPr>
          <w:lang w:eastAsia="ja-JP"/>
        </w:rPr>
      </w:pPr>
    </w:p>
    <w:p w14:paraId="5231CC2C" w14:textId="5D0ABF40" w:rsidR="000C74C0" w:rsidRPr="000C74C0" w:rsidRDefault="00C14E5E" w:rsidP="000C74C0">
      <w:pPr>
        <w:pStyle w:val="BodyText"/>
        <w:rPr>
          <w:lang w:eastAsia="ja-JP"/>
        </w:rPr>
      </w:pPr>
      <w:r>
        <w:rPr>
          <w:lang w:eastAsia="ja-JP"/>
        </w:rPr>
        <w:t xml:space="preserve">Our approach reads the Amendment thus: </w:t>
      </w:r>
      <w:r w:rsidR="00B11D93">
        <w:rPr>
          <w:lang w:eastAsia="ja-JP"/>
        </w:rPr>
        <w:t>an “unreasonable</w:t>
      </w:r>
      <w:r w:rsidR="00A11D58">
        <w:rPr>
          <w:lang w:eastAsia="ja-JP"/>
        </w:rPr>
        <w:t>”</w:t>
      </w:r>
      <w:r w:rsidR="00B11D93">
        <w:rPr>
          <w:lang w:eastAsia="ja-JP"/>
        </w:rPr>
        <w:t xml:space="preserve"> search</w:t>
      </w:r>
      <w:r w:rsidR="00832795">
        <w:rPr>
          <w:lang w:eastAsia="ja-JP"/>
        </w:rPr>
        <w:t xml:space="preserve"> </w:t>
      </w:r>
      <w:r w:rsidR="00B11D93">
        <w:rPr>
          <w:lang w:eastAsia="ja-JP"/>
        </w:rPr>
        <w:t xml:space="preserve">or seizure is </w:t>
      </w:r>
      <w:r w:rsidR="00F2544C">
        <w:rPr>
          <w:lang w:eastAsia="ja-JP"/>
        </w:rPr>
        <w:t>one involving a</w:t>
      </w:r>
      <w:r w:rsidR="001B2E9C">
        <w:rPr>
          <w:lang w:eastAsia="ja-JP"/>
        </w:rPr>
        <w:t xml:space="preserve"> government</w:t>
      </w:r>
      <w:r w:rsidR="003F7071">
        <w:rPr>
          <w:lang w:eastAsia="ja-JP"/>
        </w:rPr>
        <w:t xml:space="preserve"> intrusion on someone’s </w:t>
      </w:r>
      <w:r w:rsidR="00FB2B94">
        <w:rPr>
          <w:lang w:eastAsia="ja-JP"/>
        </w:rPr>
        <w:t>“person[], house[], papers,</w:t>
      </w:r>
      <w:r w:rsidR="008859F8">
        <w:rPr>
          <w:lang w:eastAsia="ja-JP"/>
        </w:rPr>
        <w:t xml:space="preserve">” or “effects” that </w:t>
      </w:r>
      <w:r w:rsidR="00E951FD">
        <w:rPr>
          <w:lang w:eastAsia="ja-JP"/>
        </w:rPr>
        <w:t xml:space="preserve">would </w:t>
      </w:r>
      <w:r w:rsidR="008859F8">
        <w:rPr>
          <w:lang w:eastAsia="ja-JP"/>
        </w:rPr>
        <w:t>violate</w:t>
      </w:r>
      <w:r w:rsidR="00FC1CAE">
        <w:rPr>
          <w:lang w:eastAsia="ja-JP"/>
        </w:rPr>
        <w:t xml:space="preserve"> </w:t>
      </w:r>
      <w:r w:rsidR="001B2E9C">
        <w:rPr>
          <w:lang w:eastAsia="ja-JP"/>
        </w:rPr>
        <w:t>that</w:t>
      </w:r>
      <w:r w:rsidR="009849FF">
        <w:rPr>
          <w:lang w:eastAsia="ja-JP"/>
        </w:rPr>
        <w:t xml:space="preserve"> person’s </w:t>
      </w:r>
      <w:r w:rsidR="006A042F">
        <w:rPr>
          <w:lang w:eastAsia="ja-JP"/>
        </w:rPr>
        <w:t>rights under the general law</w:t>
      </w:r>
      <w:r w:rsidR="00FC1CAE">
        <w:rPr>
          <w:lang w:eastAsia="ja-JP"/>
        </w:rPr>
        <w:t xml:space="preserve"> if performed by an ordinary citizen</w:t>
      </w:r>
      <w:r w:rsidR="006A042F">
        <w:rPr>
          <w:lang w:eastAsia="ja-JP"/>
        </w:rPr>
        <w:t xml:space="preserve">. </w:t>
      </w:r>
      <w:r w:rsidR="00FE1C9F">
        <w:rPr>
          <w:lang w:eastAsia="ja-JP"/>
        </w:rPr>
        <w:t>W</w:t>
      </w:r>
      <w:r w:rsidR="000E15AF">
        <w:rPr>
          <w:lang w:eastAsia="ja-JP"/>
        </w:rPr>
        <w:t xml:space="preserve">e </w:t>
      </w:r>
      <w:r w:rsidR="00B562C0">
        <w:rPr>
          <w:lang w:eastAsia="ja-JP"/>
        </w:rPr>
        <w:t xml:space="preserve">interpret those </w:t>
      </w:r>
      <w:r w:rsidR="00E161AB">
        <w:rPr>
          <w:lang w:eastAsia="ja-JP"/>
        </w:rPr>
        <w:t>terms broadly</w:t>
      </w:r>
      <w:r w:rsidR="00255B70">
        <w:rPr>
          <w:lang w:eastAsia="ja-JP"/>
        </w:rPr>
        <w:t xml:space="preserve">, as </w:t>
      </w:r>
      <w:r w:rsidR="00581A3E">
        <w:rPr>
          <w:lang w:eastAsia="ja-JP"/>
        </w:rPr>
        <w:t>general</w:t>
      </w:r>
      <w:r w:rsidR="00BE0492">
        <w:rPr>
          <w:lang w:eastAsia="ja-JP"/>
        </w:rPr>
        <w:t xml:space="preserve"> law recognizes various kinds of </w:t>
      </w:r>
      <w:r w:rsidR="001278D0">
        <w:rPr>
          <w:lang w:eastAsia="ja-JP"/>
        </w:rPr>
        <w:t>relati</w:t>
      </w:r>
      <w:r w:rsidR="00D62AD0">
        <w:rPr>
          <w:lang w:eastAsia="ja-JP"/>
        </w:rPr>
        <w:t>ve property inter</w:t>
      </w:r>
      <w:r w:rsidR="00581A3E">
        <w:rPr>
          <w:lang w:eastAsia="ja-JP"/>
        </w:rPr>
        <w:t>ests</w:t>
      </w:r>
      <w:r w:rsidR="00AB0024">
        <w:rPr>
          <w:lang w:eastAsia="ja-JP"/>
        </w:rPr>
        <w:t xml:space="preserve"> extending beyond fee simple</w:t>
      </w:r>
      <w:r w:rsidR="009C3D1F">
        <w:rPr>
          <w:lang w:eastAsia="ja-JP"/>
        </w:rPr>
        <w:t xml:space="preserve"> that should suffice </w:t>
      </w:r>
      <w:r w:rsidR="005932F5">
        <w:rPr>
          <w:lang w:eastAsia="ja-JP"/>
        </w:rPr>
        <w:t>for trigger</w:t>
      </w:r>
      <w:r w:rsidR="00C93282">
        <w:rPr>
          <w:lang w:eastAsia="ja-JP"/>
        </w:rPr>
        <w:t>ing Fourth Amendment protections</w:t>
      </w:r>
      <w:r w:rsidR="005531BA">
        <w:rPr>
          <w:lang w:eastAsia="ja-JP"/>
        </w:rPr>
        <w:t xml:space="preserve">. </w:t>
      </w:r>
      <w:r w:rsidR="00DF5332">
        <w:rPr>
          <w:lang w:eastAsia="ja-JP"/>
        </w:rPr>
        <w:t>A</w:t>
      </w:r>
      <w:r w:rsidR="006A042F">
        <w:rPr>
          <w:lang w:eastAsia="ja-JP"/>
        </w:rPr>
        <w:t xml:space="preserve">n </w:t>
      </w:r>
      <w:r w:rsidR="0008576F">
        <w:rPr>
          <w:lang w:eastAsia="ja-JP"/>
        </w:rPr>
        <w:t>intrusion</w:t>
      </w:r>
      <w:r w:rsidR="00DF5332">
        <w:rPr>
          <w:lang w:eastAsia="ja-JP"/>
        </w:rPr>
        <w:t xml:space="preserve"> onto one of the protected categories</w:t>
      </w:r>
      <w:r w:rsidR="0008576F">
        <w:rPr>
          <w:lang w:eastAsia="ja-JP"/>
        </w:rPr>
        <w:t xml:space="preserve"> is presumptively </w:t>
      </w:r>
      <w:r w:rsidR="004F20B3">
        <w:rPr>
          <w:lang w:eastAsia="ja-JP"/>
        </w:rPr>
        <w:t>u</w:t>
      </w:r>
      <w:r w:rsidR="006749F7">
        <w:rPr>
          <w:lang w:eastAsia="ja-JP"/>
        </w:rPr>
        <w:t>nlawful</w:t>
      </w:r>
      <w:r w:rsidR="00A71E0B">
        <w:rPr>
          <w:lang w:eastAsia="ja-JP"/>
        </w:rPr>
        <w:t>, but a warrant may authorize</w:t>
      </w:r>
      <w:r w:rsidR="00E10500">
        <w:rPr>
          <w:lang w:eastAsia="ja-JP"/>
        </w:rPr>
        <w:t xml:space="preserve"> the government to engage in the conduct</w:t>
      </w:r>
      <w:r w:rsidR="00ED6332">
        <w:rPr>
          <w:lang w:eastAsia="ja-JP"/>
        </w:rPr>
        <w:t xml:space="preserve">, and there are also </w:t>
      </w:r>
      <w:r w:rsidR="00030C75">
        <w:rPr>
          <w:lang w:eastAsia="ja-JP"/>
        </w:rPr>
        <w:t>limited</w:t>
      </w:r>
      <w:r w:rsidR="00ED6332">
        <w:rPr>
          <w:lang w:eastAsia="ja-JP"/>
        </w:rPr>
        <w:t xml:space="preserve"> circumstances </w:t>
      </w:r>
      <w:r w:rsidR="00DE5FB3">
        <w:rPr>
          <w:lang w:eastAsia="ja-JP"/>
        </w:rPr>
        <w:t xml:space="preserve">in which </w:t>
      </w:r>
      <w:r w:rsidR="00ED6332">
        <w:rPr>
          <w:lang w:eastAsia="ja-JP"/>
        </w:rPr>
        <w:t>a warrant is unnecessary</w:t>
      </w:r>
      <w:r w:rsidR="00E10500">
        <w:rPr>
          <w:lang w:eastAsia="ja-JP"/>
        </w:rPr>
        <w:t xml:space="preserve">. </w:t>
      </w:r>
      <w:r w:rsidR="00886231">
        <w:rPr>
          <w:lang w:eastAsia="ja-JP"/>
        </w:rPr>
        <w:t>Because a wa</w:t>
      </w:r>
      <w:r w:rsidR="00FF2CAA">
        <w:rPr>
          <w:lang w:eastAsia="ja-JP"/>
        </w:rPr>
        <w:t>rrant can render an otherw</w:t>
      </w:r>
      <w:r w:rsidR="00B00782">
        <w:rPr>
          <w:lang w:eastAsia="ja-JP"/>
        </w:rPr>
        <w:t xml:space="preserve">ise unreasonable </w:t>
      </w:r>
      <w:r w:rsidR="003B74AC">
        <w:rPr>
          <w:lang w:eastAsia="ja-JP"/>
        </w:rPr>
        <w:t>search permissible,</w:t>
      </w:r>
      <w:r w:rsidR="000F0E3E">
        <w:rPr>
          <w:lang w:eastAsia="ja-JP"/>
        </w:rPr>
        <w:t xml:space="preserve"> the Amendment’s second clause</w:t>
      </w:r>
      <w:r w:rsidR="00E10500">
        <w:rPr>
          <w:lang w:eastAsia="ja-JP"/>
        </w:rPr>
        <w:t>, which</w:t>
      </w:r>
      <w:r w:rsidR="000F0E3E">
        <w:rPr>
          <w:lang w:eastAsia="ja-JP"/>
        </w:rPr>
        <w:t xml:space="preserve"> carefully </w:t>
      </w:r>
      <w:r w:rsidR="006D5CB2">
        <w:rPr>
          <w:lang w:eastAsia="ja-JP"/>
        </w:rPr>
        <w:t>limits</w:t>
      </w:r>
      <w:r w:rsidR="000F0E3E">
        <w:rPr>
          <w:lang w:eastAsia="ja-JP"/>
        </w:rPr>
        <w:t xml:space="preserve"> the </w:t>
      </w:r>
      <w:r w:rsidR="006D5CB2">
        <w:rPr>
          <w:lang w:eastAsia="ja-JP"/>
        </w:rPr>
        <w:t>circumstances</w:t>
      </w:r>
      <w:r w:rsidR="000F0E3E">
        <w:rPr>
          <w:lang w:eastAsia="ja-JP"/>
        </w:rPr>
        <w:t xml:space="preserve"> under which </w:t>
      </w:r>
      <w:r w:rsidR="00260A61">
        <w:rPr>
          <w:lang w:eastAsia="ja-JP"/>
        </w:rPr>
        <w:t xml:space="preserve">a </w:t>
      </w:r>
      <w:r w:rsidR="000F0E3E">
        <w:rPr>
          <w:lang w:eastAsia="ja-JP"/>
        </w:rPr>
        <w:t>warrant may issue</w:t>
      </w:r>
      <w:r w:rsidR="00072712">
        <w:rPr>
          <w:lang w:eastAsia="ja-JP"/>
        </w:rPr>
        <w:t xml:space="preserve">, is a necessary </w:t>
      </w:r>
      <w:r w:rsidR="00E71506">
        <w:rPr>
          <w:lang w:eastAsia="ja-JP"/>
        </w:rPr>
        <w:t>limi</w:t>
      </w:r>
      <w:r w:rsidR="002D3246">
        <w:rPr>
          <w:lang w:eastAsia="ja-JP"/>
        </w:rPr>
        <w:t>t</w:t>
      </w:r>
      <w:r w:rsidR="00E71506">
        <w:rPr>
          <w:lang w:eastAsia="ja-JP"/>
        </w:rPr>
        <w:t xml:space="preserve"> on </w:t>
      </w:r>
      <w:r w:rsidR="0010423B">
        <w:rPr>
          <w:lang w:eastAsia="ja-JP"/>
        </w:rPr>
        <w:t>government power</w:t>
      </w:r>
      <w:r w:rsidR="000F0E3E">
        <w:rPr>
          <w:lang w:eastAsia="ja-JP"/>
        </w:rPr>
        <w:t>.</w:t>
      </w:r>
    </w:p>
    <w:p w14:paraId="356722F2" w14:textId="15DD8931" w:rsidR="00DD7067" w:rsidRDefault="00441C83" w:rsidP="00FA1AF0">
      <w:pPr>
        <w:ind w:firstLine="360"/>
        <w:rPr>
          <w:lang w:eastAsia="ja-JP"/>
        </w:rPr>
      </w:pPr>
      <w:r w:rsidRPr="00441C83">
        <w:rPr>
          <w:lang w:eastAsia="ja-JP"/>
        </w:rPr>
        <w:t xml:space="preserve">In practical terms, courts analyzing searches </w:t>
      </w:r>
      <w:r w:rsidR="00A44464">
        <w:rPr>
          <w:lang w:eastAsia="ja-JP"/>
        </w:rPr>
        <w:t xml:space="preserve">and seizures </w:t>
      </w:r>
      <w:r w:rsidR="00422BF9">
        <w:rPr>
          <w:lang w:eastAsia="ja-JP"/>
        </w:rPr>
        <w:t xml:space="preserve">would </w:t>
      </w:r>
      <w:r w:rsidR="00293415">
        <w:rPr>
          <w:lang w:eastAsia="ja-JP"/>
        </w:rPr>
        <w:t>follow four steps</w:t>
      </w:r>
      <w:r w:rsidR="0065224E">
        <w:rPr>
          <w:lang w:eastAsia="ja-JP"/>
        </w:rPr>
        <w:t xml:space="preserve">. </w:t>
      </w:r>
      <w:r w:rsidR="00293415">
        <w:rPr>
          <w:lang w:eastAsia="ja-JP"/>
        </w:rPr>
        <w:t>First</w:t>
      </w:r>
      <w:r w:rsidR="00B73548">
        <w:rPr>
          <w:lang w:eastAsia="ja-JP"/>
        </w:rPr>
        <w:t xml:space="preserve">, the court would determine whether the government’s conduct could </w:t>
      </w:r>
      <w:r w:rsidR="001E02D4">
        <w:rPr>
          <w:lang w:eastAsia="ja-JP"/>
        </w:rPr>
        <w:t>plausibly be defined as a “search” or a “seizure.”</w:t>
      </w:r>
      <w:r w:rsidR="009D0398">
        <w:rPr>
          <w:lang w:eastAsia="ja-JP"/>
        </w:rPr>
        <w:t xml:space="preserve"> This step would not be particularly demanding</w:t>
      </w:r>
      <w:r w:rsidR="0039140D">
        <w:rPr>
          <w:lang w:eastAsia="ja-JP"/>
        </w:rPr>
        <w:t xml:space="preserve">, and in most instances </w:t>
      </w:r>
      <w:r w:rsidR="00E86D31">
        <w:rPr>
          <w:lang w:eastAsia="ja-JP"/>
        </w:rPr>
        <w:t xml:space="preserve">it </w:t>
      </w:r>
      <w:r w:rsidR="006048D6">
        <w:rPr>
          <w:lang w:eastAsia="ja-JP"/>
        </w:rPr>
        <w:t xml:space="preserve">likely </w:t>
      </w:r>
      <w:r w:rsidR="00E86D31">
        <w:rPr>
          <w:lang w:eastAsia="ja-JP"/>
        </w:rPr>
        <w:t xml:space="preserve">can be resolved through the </w:t>
      </w:r>
      <w:r w:rsidR="00BD3C5E">
        <w:rPr>
          <w:lang w:eastAsia="ja-JP"/>
        </w:rPr>
        <w:t>ordinary</w:t>
      </w:r>
      <w:r w:rsidR="00E86D31">
        <w:rPr>
          <w:lang w:eastAsia="ja-JP"/>
        </w:rPr>
        <w:t xml:space="preserve"> meaning of those phrases. </w:t>
      </w:r>
      <w:r w:rsidR="00A45560">
        <w:t>Jeffrey Bellin</w:t>
      </w:r>
      <w:r w:rsidR="009050DC">
        <w:t>’</w:t>
      </w:r>
      <w:r w:rsidR="00472A67">
        <w:t xml:space="preserve">s </w:t>
      </w:r>
      <w:r w:rsidR="00316EE9">
        <w:t xml:space="preserve">definition of </w:t>
      </w:r>
      <w:r w:rsidR="00A45560">
        <w:t xml:space="preserve">a “search” </w:t>
      </w:r>
      <w:r w:rsidR="00DF1B06">
        <w:t>as</w:t>
      </w:r>
      <w:r w:rsidR="00A45560">
        <w:t xml:space="preserve"> any “</w:t>
      </w:r>
      <w:r w:rsidR="00A45560" w:rsidRPr="007613BE">
        <w:t>examination of an object or space to uncover information</w:t>
      </w:r>
      <w:r w:rsidR="00DF1B06">
        <w:t>,</w:t>
      </w:r>
      <w:r w:rsidR="00A45560" w:rsidRPr="007613BE">
        <w:t>”</w:t>
      </w:r>
      <w:r w:rsidR="00A45560" w:rsidRPr="002A4234">
        <w:rPr>
          <w:rStyle w:val="FootnoteReference"/>
        </w:rPr>
        <w:footnoteReference w:id="124"/>
      </w:r>
      <w:r w:rsidR="00DF1B06">
        <w:t xml:space="preserve"> </w:t>
      </w:r>
      <w:r w:rsidR="00E42AB5">
        <w:t>could</w:t>
      </w:r>
      <w:r w:rsidR="000137F0">
        <w:t xml:space="preserve"> be </w:t>
      </w:r>
      <w:r w:rsidR="00DF1B06">
        <w:t xml:space="preserve">a </w:t>
      </w:r>
      <w:r w:rsidR="000137F0">
        <w:t>good starting point, though</w:t>
      </w:r>
      <w:r w:rsidR="006048D6">
        <w:t>,</w:t>
      </w:r>
      <w:r w:rsidR="000137F0">
        <w:t xml:space="preserve"> </w:t>
      </w:r>
      <w:r w:rsidR="00570EA1">
        <w:t xml:space="preserve">as will become </w:t>
      </w:r>
      <w:r w:rsidR="00F10A37">
        <w:t>clear</w:t>
      </w:r>
      <w:r w:rsidR="006048D6">
        <w:t xml:space="preserve">, </w:t>
      </w:r>
      <w:r w:rsidR="00CA5852">
        <w:t>the</w:t>
      </w:r>
      <w:r w:rsidR="00943D8A">
        <w:t xml:space="preserve"> definit</w:t>
      </w:r>
      <w:r w:rsidR="00DC0556">
        <w:t xml:space="preserve">ion </w:t>
      </w:r>
      <w:r w:rsidR="006048D6">
        <w:t>must</w:t>
      </w:r>
      <w:r w:rsidR="00DC0556">
        <w:t xml:space="preserve"> be capacious enough to </w:t>
      </w:r>
      <w:r w:rsidR="00C30B28">
        <w:t xml:space="preserve">cover </w:t>
      </w:r>
      <w:r w:rsidR="00FD433B">
        <w:t xml:space="preserve">various kinds of electronic </w:t>
      </w:r>
      <w:r w:rsidR="00790113">
        <w:t>surveillance</w:t>
      </w:r>
      <w:r w:rsidR="00B8236F">
        <w:t xml:space="preserve"> and </w:t>
      </w:r>
      <w:r w:rsidR="00790113">
        <w:t>government attemp</w:t>
      </w:r>
      <w:r w:rsidR="00BF4753">
        <w:t xml:space="preserve">ts to </w:t>
      </w:r>
      <w:r w:rsidR="006100BC">
        <w:t>access</w:t>
      </w:r>
      <w:r w:rsidR="002340AE">
        <w:t xml:space="preserve"> </w:t>
      </w:r>
      <w:r w:rsidR="006100BC">
        <w:t xml:space="preserve">digital </w:t>
      </w:r>
      <w:r w:rsidR="00BE05F7">
        <w:t>files</w:t>
      </w:r>
      <w:r w:rsidR="004A0EFA">
        <w:t xml:space="preserve"> and data</w:t>
      </w:r>
      <w:r w:rsidR="00BD3C5E">
        <w:t>.</w:t>
      </w:r>
      <w:r w:rsidR="00A45560">
        <w:t xml:space="preserve"> </w:t>
      </w:r>
      <w:r w:rsidR="00A45560">
        <w:rPr>
          <w:lang w:eastAsia="ja-JP"/>
        </w:rPr>
        <w:t xml:space="preserve">As for “seizures,” there would still be occasional </w:t>
      </w:r>
      <w:r w:rsidR="00A45560">
        <w:rPr>
          <w:lang w:eastAsia="ja-JP"/>
        </w:rPr>
        <w:lastRenderedPageBreak/>
        <w:t>hard cases—such as when a seizure of a fleeing suspect begins</w:t>
      </w:r>
      <w:r w:rsidR="00A45560" w:rsidRPr="002A4234">
        <w:rPr>
          <w:rStyle w:val="FootnoteReference"/>
        </w:rPr>
        <w:footnoteReference w:id="125"/>
      </w:r>
      <w:r w:rsidR="00A45560">
        <w:rPr>
          <w:lang w:eastAsia="ja-JP"/>
        </w:rPr>
        <w:t xml:space="preserve">—but the general-law approach </w:t>
      </w:r>
      <w:r w:rsidR="006F0FE8">
        <w:rPr>
          <w:lang w:eastAsia="ja-JP"/>
        </w:rPr>
        <w:t>need</w:t>
      </w:r>
      <w:r w:rsidR="00A45560">
        <w:rPr>
          <w:lang w:eastAsia="ja-JP"/>
        </w:rPr>
        <w:t xml:space="preserve"> not meaningfully change how current precedent resolves that issue.</w:t>
      </w:r>
      <w:r w:rsidR="00A45560" w:rsidRPr="002A4234">
        <w:rPr>
          <w:rStyle w:val="FootnoteReference"/>
        </w:rPr>
        <w:footnoteReference w:id="126"/>
      </w:r>
      <w:r w:rsidR="00A45560">
        <w:rPr>
          <w:lang w:eastAsia="ja-JP"/>
        </w:rPr>
        <w:t xml:space="preserve"> </w:t>
      </w:r>
      <w:r w:rsidR="00F73DEA">
        <w:rPr>
          <w:lang w:eastAsia="ja-JP"/>
        </w:rPr>
        <w:t xml:space="preserve">This would be a deviation </w:t>
      </w:r>
      <w:r w:rsidR="003A5D93">
        <w:rPr>
          <w:lang w:eastAsia="ja-JP"/>
        </w:rPr>
        <w:t xml:space="preserve">from how current law resolves the question of whether a “search” has occurred. </w:t>
      </w:r>
      <w:r w:rsidR="001365C5">
        <w:rPr>
          <w:lang w:eastAsia="ja-JP"/>
        </w:rPr>
        <w:t xml:space="preserve">Under </w:t>
      </w:r>
      <w:r w:rsidR="001365C5">
        <w:rPr>
          <w:i/>
          <w:iCs/>
          <w:lang w:eastAsia="ja-JP"/>
        </w:rPr>
        <w:t>Katz</w:t>
      </w:r>
      <w:r w:rsidR="001365C5">
        <w:rPr>
          <w:lang w:eastAsia="ja-JP"/>
        </w:rPr>
        <w:t>, the analysis is all at that step—no “search” occurs if the government conduct does not intrude on a reasonable expectation of privacy. Under the general-law approach, by contrast,</w:t>
      </w:r>
      <w:r w:rsidR="00D669F7">
        <w:rPr>
          <w:lang w:eastAsia="ja-JP"/>
        </w:rPr>
        <w:t xml:space="preserve"> </w:t>
      </w:r>
      <w:r w:rsidR="00FA1AF0">
        <w:rPr>
          <w:lang w:eastAsia="ja-JP"/>
        </w:rPr>
        <w:t>the action mostly turn</w:t>
      </w:r>
      <w:r w:rsidR="00266FE5">
        <w:rPr>
          <w:lang w:eastAsia="ja-JP"/>
        </w:rPr>
        <w:t>s</w:t>
      </w:r>
      <w:r w:rsidR="00FA1AF0">
        <w:rPr>
          <w:lang w:eastAsia="ja-JP"/>
        </w:rPr>
        <w:t xml:space="preserve"> on whether the search or seizure was “unreasonable.”</w:t>
      </w:r>
    </w:p>
    <w:p w14:paraId="60F674B5" w14:textId="0F6C6147" w:rsidR="00C624A9" w:rsidRDefault="00397C20" w:rsidP="00441C83">
      <w:pPr>
        <w:ind w:firstLine="360"/>
        <w:rPr>
          <w:lang w:eastAsia="ja-JP"/>
        </w:rPr>
      </w:pPr>
      <w:r>
        <w:rPr>
          <w:lang w:eastAsia="ja-JP"/>
        </w:rPr>
        <w:t>Second</w:t>
      </w:r>
      <w:r w:rsidR="00EF3EC3">
        <w:rPr>
          <w:lang w:eastAsia="ja-JP"/>
        </w:rPr>
        <w:t xml:space="preserve">, </w:t>
      </w:r>
      <w:r w:rsidR="00E7147E">
        <w:rPr>
          <w:lang w:eastAsia="ja-JP"/>
        </w:rPr>
        <w:t>the</w:t>
      </w:r>
      <w:r w:rsidR="00441C83" w:rsidRPr="00441C83">
        <w:rPr>
          <w:lang w:eastAsia="ja-JP"/>
        </w:rPr>
        <w:t xml:space="preserve"> court would identify wh</w:t>
      </w:r>
      <w:r w:rsidR="00C624A9">
        <w:rPr>
          <w:lang w:eastAsia="ja-JP"/>
        </w:rPr>
        <w:t xml:space="preserve">ether </w:t>
      </w:r>
      <w:r w:rsidR="00C07B27">
        <w:rPr>
          <w:lang w:eastAsia="ja-JP"/>
        </w:rPr>
        <w:t xml:space="preserve">the government conduct at issue implicated </w:t>
      </w:r>
      <w:r w:rsidR="00AC5BB5">
        <w:rPr>
          <w:lang w:eastAsia="ja-JP"/>
        </w:rPr>
        <w:t xml:space="preserve">the rights of </w:t>
      </w:r>
      <w:r w:rsidR="009D0398">
        <w:rPr>
          <w:lang w:eastAsia="ja-JP"/>
        </w:rPr>
        <w:t>the</w:t>
      </w:r>
      <w:r w:rsidR="00AC5BB5">
        <w:rPr>
          <w:lang w:eastAsia="ja-JP"/>
        </w:rPr>
        <w:t xml:space="preserve"> person claiming a violation. </w:t>
      </w:r>
      <w:r w:rsidR="006048D6">
        <w:rPr>
          <w:lang w:eastAsia="ja-JP"/>
        </w:rPr>
        <w:t>Put differently</w:t>
      </w:r>
      <w:r w:rsidR="00AA1DD0">
        <w:rPr>
          <w:lang w:eastAsia="ja-JP"/>
        </w:rPr>
        <w:t xml:space="preserve">, the court would ask whether the government had </w:t>
      </w:r>
      <w:r w:rsidR="00BC689D">
        <w:rPr>
          <w:lang w:eastAsia="ja-JP"/>
        </w:rPr>
        <w:t xml:space="preserve">intruded upon </w:t>
      </w:r>
      <w:r w:rsidR="00DD2063">
        <w:rPr>
          <w:lang w:eastAsia="ja-JP"/>
        </w:rPr>
        <w:t xml:space="preserve">the claimant’s </w:t>
      </w:r>
      <w:r w:rsidR="00DD2063" w:rsidRPr="004E4C1A">
        <w:rPr>
          <w:i/>
          <w:iCs/>
          <w:lang w:eastAsia="ja-JP"/>
        </w:rPr>
        <w:t>own</w:t>
      </w:r>
      <w:r w:rsidR="00BC689D">
        <w:rPr>
          <w:lang w:eastAsia="ja-JP"/>
        </w:rPr>
        <w:t xml:space="preserve"> person, house, papers, or effects.</w:t>
      </w:r>
      <w:r w:rsidR="002F6508">
        <w:rPr>
          <w:lang w:eastAsia="ja-JP"/>
        </w:rPr>
        <w:t xml:space="preserve"> This is the inquiry sometimes called Fourth Amendment “standing.”</w:t>
      </w:r>
      <w:r w:rsidR="002F6508" w:rsidRPr="002A4234">
        <w:rPr>
          <w:rStyle w:val="FootnoteReference"/>
        </w:rPr>
        <w:footnoteReference w:id="127"/>
      </w:r>
      <w:r w:rsidR="002F6508">
        <w:rPr>
          <w:lang w:eastAsia="ja-JP"/>
        </w:rPr>
        <w:t xml:space="preserve"> </w:t>
      </w:r>
      <w:r w:rsidR="00AF6412">
        <w:rPr>
          <w:lang w:eastAsia="ja-JP"/>
        </w:rPr>
        <w:t xml:space="preserve">Some cases would be </w:t>
      </w:r>
      <w:r w:rsidR="003D6F64">
        <w:rPr>
          <w:lang w:eastAsia="ja-JP"/>
        </w:rPr>
        <w:t xml:space="preserve">easy: if police </w:t>
      </w:r>
      <w:r w:rsidR="00DD0BB1">
        <w:rPr>
          <w:lang w:eastAsia="ja-JP"/>
        </w:rPr>
        <w:t xml:space="preserve">have entered a homeowner’s house, </w:t>
      </w:r>
      <w:r w:rsidR="00077B35">
        <w:rPr>
          <w:lang w:eastAsia="ja-JP"/>
        </w:rPr>
        <w:t>Fourth Amendment protections</w:t>
      </w:r>
      <w:r w:rsidR="00F337ED">
        <w:rPr>
          <w:lang w:eastAsia="ja-JP"/>
        </w:rPr>
        <w:t xml:space="preserve"> would undoubtedly be</w:t>
      </w:r>
      <w:r w:rsidR="00077B35">
        <w:rPr>
          <w:lang w:eastAsia="ja-JP"/>
        </w:rPr>
        <w:t xml:space="preserve"> triggered. But other cases are harder: </w:t>
      </w:r>
      <w:r w:rsidR="003846A6">
        <w:rPr>
          <w:lang w:eastAsia="ja-JP"/>
        </w:rPr>
        <w:t xml:space="preserve">is an overnight guest protected by the Fourth Amendment </w:t>
      </w:r>
      <w:r w:rsidR="00412F4A">
        <w:rPr>
          <w:lang w:eastAsia="ja-JP"/>
        </w:rPr>
        <w:t xml:space="preserve">from government intrusions into </w:t>
      </w:r>
      <w:r w:rsidR="00FB3038">
        <w:rPr>
          <w:lang w:eastAsia="ja-JP"/>
        </w:rPr>
        <w:t>her temporary place of lodging?</w:t>
      </w:r>
      <w:r w:rsidR="00FB3038" w:rsidRPr="002A4234">
        <w:rPr>
          <w:rStyle w:val="FootnoteReference"/>
        </w:rPr>
        <w:footnoteReference w:id="128"/>
      </w:r>
      <w:r w:rsidR="00B3736C">
        <w:rPr>
          <w:lang w:eastAsia="ja-JP"/>
        </w:rPr>
        <w:t xml:space="preserve"> </w:t>
      </w:r>
      <w:r w:rsidR="00C52363">
        <w:rPr>
          <w:lang w:eastAsia="ja-JP"/>
        </w:rPr>
        <w:t>Can the driver of a rental car</w:t>
      </w:r>
      <w:r w:rsidR="008C382D">
        <w:rPr>
          <w:lang w:eastAsia="ja-JP"/>
        </w:rPr>
        <w:t xml:space="preserve"> </w:t>
      </w:r>
      <w:r w:rsidR="00C52363">
        <w:rPr>
          <w:lang w:eastAsia="ja-JP"/>
        </w:rPr>
        <w:t>object to a car search even if he is not an authorized driver on the rental agreement?</w:t>
      </w:r>
      <w:r w:rsidR="00C52363" w:rsidRPr="002A4234">
        <w:rPr>
          <w:rStyle w:val="FootnoteReference"/>
        </w:rPr>
        <w:footnoteReference w:id="129"/>
      </w:r>
      <w:r w:rsidR="008C382D">
        <w:rPr>
          <w:lang w:eastAsia="ja-JP"/>
        </w:rPr>
        <w:t xml:space="preserve"> Here, </w:t>
      </w:r>
      <w:r w:rsidR="004F22FC">
        <w:rPr>
          <w:lang w:eastAsia="ja-JP"/>
        </w:rPr>
        <w:t xml:space="preserve">the general law </w:t>
      </w:r>
      <w:r w:rsidR="0065734D">
        <w:rPr>
          <w:lang w:eastAsia="ja-JP"/>
        </w:rPr>
        <w:t>will be helpful</w:t>
      </w:r>
      <w:r w:rsidR="0042487B">
        <w:rPr>
          <w:lang w:eastAsia="ja-JP"/>
        </w:rPr>
        <w:t xml:space="preserve"> in identifying rights. The general law will reveal, for example, that overnight guests are </w:t>
      </w:r>
      <w:r w:rsidR="00F507F5" w:rsidRPr="00C1680E">
        <w:rPr>
          <w:i/>
          <w:lang w:eastAsia="ja-JP"/>
        </w:rPr>
        <w:t>licensees</w:t>
      </w:r>
      <w:r w:rsidR="006705A4">
        <w:rPr>
          <w:lang w:eastAsia="ja-JP"/>
        </w:rPr>
        <w:t>.</w:t>
      </w:r>
      <w:r w:rsidR="00F507F5" w:rsidRPr="002A4234">
        <w:rPr>
          <w:rStyle w:val="FootnoteReference"/>
        </w:rPr>
        <w:footnoteReference w:id="130"/>
      </w:r>
      <w:r w:rsidR="0042487B">
        <w:rPr>
          <w:lang w:eastAsia="ja-JP"/>
        </w:rPr>
        <w:t xml:space="preserve"> Or it will show </w:t>
      </w:r>
      <w:r w:rsidR="00220A9B">
        <w:rPr>
          <w:lang w:eastAsia="ja-JP"/>
        </w:rPr>
        <w:t>that driver</w:t>
      </w:r>
      <w:r w:rsidR="00F7460B">
        <w:rPr>
          <w:lang w:eastAsia="ja-JP"/>
        </w:rPr>
        <w:t>s</w:t>
      </w:r>
      <w:r w:rsidR="00220A9B">
        <w:rPr>
          <w:lang w:eastAsia="ja-JP"/>
        </w:rPr>
        <w:t xml:space="preserve"> of rental car</w:t>
      </w:r>
      <w:r w:rsidR="00F7460B">
        <w:rPr>
          <w:lang w:eastAsia="ja-JP"/>
        </w:rPr>
        <w:t>s</w:t>
      </w:r>
      <w:r w:rsidR="00220A9B">
        <w:rPr>
          <w:lang w:eastAsia="ja-JP"/>
        </w:rPr>
        <w:t xml:space="preserve"> </w:t>
      </w:r>
      <w:r w:rsidR="00F7460B">
        <w:rPr>
          <w:lang w:eastAsia="ja-JP"/>
        </w:rPr>
        <w:t xml:space="preserve">are </w:t>
      </w:r>
      <w:r w:rsidR="00293ADE" w:rsidRPr="002E207A">
        <w:rPr>
          <w:i/>
          <w:lang w:eastAsia="ja-JP"/>
        </w:rPr>
        <w:t>bailee</w:t>
      </w:r>
      <w:r w:rsidR="00F7460B">
        <w:rPr>
          <w:i/>
          <w:lang w:eastAsia="ja-JP"/>
        </w:rPr>
        <w:t>s</w:t>
      </w:r>
      <w:r w:rsidR="00220A9B">
        <w:rPr>
          <w:lang w:eastAsia="ja-JP"/>
        </w:rPr>
        <w:t>.</w:t>
      </w:r>
      <w:r w:rsidR="00293ADE" w:rsidRPr="002A4234">
        <w:rPr>
          <w:rStyle w:val="FootnoteReference"/>
        </w:rPr>
        <w:footnoteReference w:id="131"/>
      </w:r>
      <w:r w:rsidR="00220A9B">
        <w:rPr>
          <w:lang w:eastAsia="ja-JP"/>
        </w:rPr>
        <w:t xml:space="preserve"> </w:t>
      </w:r>
      <w:r w:rsidR="00B9732E">
        <w:rPr>
          <w:lang w:eastAsia="ja-JP"/>
        </w:rPr>
        <w:t xml:space="preserve">Although current law seeks such answers in the </w:t>
      </w:r>
      <w:r w:rsidR="00B9732E">
        <w:rPr>
          <w:i/>
          <w:iCs/>
          <w:lang w:eastAsia="ja-JP"/>
        </w:rPr>
        <w:t>Katz</w:t>
      </w:r>
      <w:r w:rsidR="00B9732E">
        <w:rPr>
          <w:lang w:eastAsia="ja-JP"/>
        </w:rPr>
        <w:t xml:space="preserve"> test, </w:t>
      </w:r>
      <w:r w:rsidR="00630CC1">
        <w:rPr>
          <w:lang w:eastAsia="ja-JP"/>
        </w:rPr>
        <w:t xml:space="preserve">the general law </w:t>
      </w:r>
      <w:r w:rsidR="004749A6">
        <w:rPr>
          <w:lang w:eastAsia="ja-JP"/>
        </w:rPr>
        <w:t xml:space="preserve">can provide more </w:t>
      </w:r>
      <w:r w:rsidR="00522FFC">
        <w:rPr>
          <w:lang w:eastAsia="ja-JP"/>
        </w:rPr>
        <w:t>predictable</w:t>
      </w:r>
      <w:r w:rsidR="004749A6">
        <w:rPr>
          <w:lang w:eastAsia="ja-JP"/>
        </w:rPr>
        <w:t xml:space="preserve"> guidance than judicial intuitions about </w:t>
      </w:r>
      <w:r w:rsidR="00511829">
        <w:rPr>
          <w:lang w:eastAsia="ja-JP"/>
        </w:rPr>
        <w:t>soc</w:t>
      </w:r>
      <w:r w:rsidR="00177DD7">
        <w:rPr>
          <w:lang w:eastAsia="ja-JP"/>
        </w:rPr>
        <w:t>iety’s</w:t>
      </w:r>
      <w:r w:rsidR="004749A6">
        <w:rPr>
          <w:lang w:eastAsia="ja-JP"/>
        </w:rPr>
        <w:t xml:space="preserve"> expectations of privacy.</w:t>
      </w:r>
    </w:p>
    <w:p w14:paraId="40DEAA6E" w14:textId="52EE50C2" w:rsidR="008101AC" w:rsidRDefault="00E7147E" w:rsidP="00145F85">
      <w:pPr>
        <w:ind w:firstLine="360"/>
        <w:rPr>
          <w:lang w:eastAsia="ja-JP"/>
        </w:rPr>
      </w:pPr>
      <w:r>
        <w:rPr>
          <w:lang w:eastAsia="ja-JP"/>
        </w:rPr>
        <w:t>Third, a</w:t>
      </w:r>
      <w:r w:rsidR="00ED7CFF">
        <w:rPr>
          <w:lang w:eastAsia="ja-JP"/>
        </w:rPr>
        <w:t xml:space="preserve">fter identifying </w:t>
      </w:r>
      <w:r w:rsidR="00F25E9B">
        <w:rPr>
          <w:lang w:eastAsia="ja-JP"/>
        </w:rPr>
        <w:t>what r</w:t>
      </w:r>
      <w:r w:rsidR="00ED7CFF">
        <w:rPr>
          <w:lang w:eastAsia="ja-JP"/>
        </w:rPr>
        <w:t>ight</w:t>
      </w:r>
      <w:r w:rsidR="00E2278D">
        <w:rPr>
          <w:lang w:eastAsia="ja-JP"/>
        </w:rPr>
        <w:t>s</w:t>
      </w:r>
      <w:r w:rsidR="004749A6">
        <w:rPr>
          <w:lang w:eastAsia="ja-JP"/>
        </w:rPr>
        <w:t xml:space="preserve"> held by the claimant</w:t>
      </w:r>
      <w:r w:rsidR="00E2278D">
        <w:rPr>
          <w:lang w:eastAsia="ja-JP"/>
        </w:rPr>
        <w:t>s</w:t>
      </w:r>
      <w:r w:rsidR="00F25E9B">
        <w:rPr>
          <w:lang w:eastAsia="ja-JP"/>
        </w:rPr>
        <w:t xml:space="preserve"> were implicated by</w:t>
      </w:r>
      <w:r w:rsidR="004749A6">
        <w:rPr>
          <w:lang w:eastAsia="ja-JP"/>
        </w:rPr>
        <w:t xml:space="preserve"> the search or seizure</w:t>
      </w:r>
      <w:r w:rsidR="003C0B8C">
        <w:rPr>
          <w:lang w:eastAsia="ja-JP"/>
        </w:rPr>
        <w:t>,</w:t>
      </w:r>
      <w:r w:rsidR="00ED7CFF">
        <w:rPr>
          <w:lang w:eastAsia="ja-JP"/>
        </w:rPr>
        <w:t xml:space="preserve"> </w:t>
      </w:r>
      <w:r>
        <w:rPr>
          <w:lang w:eastAsia="ja-JP"/>
        </w:rPr>
        <w:t>a</w:t>
      </w:r>
      <w:r w:rsidR="00ED7CFF">
        <w:rPr>
          <w:lang w:eastAsia="ja-JP"/>
        </w:rPr>
        <w:t xml:space="preserve"> court</w:t>
      </w:r>
      <w:r w:rsidR="006373BF">
        <w:rPr>
          <w:lang w:eastAsia="ja-JP"/>
        </w:rPr>
        <w:t xml:space="preserve"> </w:t>
      </w:r>
      <w:r w:rsidR="00441C83" w:rsidRPr="00441C83">
        <w:rPr>
          <w:lang w:eastAsia="ja-JP"/>
        </w:rPr>
        <w:t xml:space="preserve">would </w:t>
      </w:r>
      <w:r w:rsidR="0066028A">
        <w:rPr>
          <w:lang w:eastAsia="ja-JP"/>
        </w:rPr>
        <w:t>apply the general law</w:t>
      </w:r>
      <w:r w:rsidR="00441C83" w:rsidRPr="00441C83">
        <w:rPr>
          <w:lang w:eastAsia="ja-JP"/>
        </w:rPr>
        <w:t xml:space="preserve"> to determine whether </w:t>
      </w:r>
      <w:r w:rsidR="00740219">
        <w:rPr>
          <w:lang w:eastAsia="ja-JP"/>
        </w:rPr>
        <w:t xml:space="preserve">the </w:t>
      </w:r>
      <w:r w:rsidR="004749A6">
        <w:rPr>
          <w:lang w:eastAsia="ja-JP"/>
        </w:rPr>
        <w:t>search or seizure</w:t>
      </w:r>
      <w:r w:rsidR="00740219">
        <w:rPr>
          <w:lang w:eastAsia="ja-JP"/>
        </w:rPr>
        <w:t xml:space="preserve"> </w:t>
      </w:r>
      <w:r w:rsidR="00441C83" w:rsidRPr="00740219">
        <w:rPr>
          <w:i/>
          <w:iCs/>
          <w:lang w:eastAsia="ja-JP"/>
        </w:rPr>
        <w:t>violated</w:t>
      </w:r>
      <w:r w:rsidR="00441C83" w:rsidRPr="00441C83">
        <w:rPr>
          <w:lang w:eastAsia="ja-JP"/>
        </w:rPr>
        <w:t xml:space="preserve"> the </w:t>
      </w:r>
      <w:r w:rsidR="004749A6">
        <w:rPr>
          <w:lang w:eastAsia="ja-JP"/>
        </w:rPr>
        <w:t>claimant’s</w:t>
      </w:r>
      <w:r w:rsidR="00441C83" w:rsidRPr="00441C83">
        <w:rPr>
          <w:lang w:eastAsia="ja-JP"/>
        </w:rPr>
        <w:t xml:space="preserve"> right. For example, if the police </w:t>
      </w:r>
      <w:r w:rsidR="006B6BFF">
        <w:rPr>
          <w:lang w:eastAsia="ja-JP"/>
        </w:rPr>
        <w:t xml:space="preserve">had </w:t>
      </w:r>
      <w:r w:rsidR="00EC734D">
        <w:rPr>
          <w:lang w:eastAsia="ja-JP"/>
        </w:rPr>
        <w:t>brought</w:t>
      </w:r>
      <w:r w:rsidR="00441C83" w:rsidRPr="00441C83">
        <w:rPr>
          <w:lang w:eastAsia="ja-JP"/>
        </w:rPr>
        <w:t xml:space="preserve"> a </w:t>
      </w:r>
      <w:r w:rsidR="00EC734D">
        <w:rPr>
          <w:lang w:eastAsia="ja-JP"/>
        </w:rPr>
        <w:t>drug-sniffing dog to a homeowner’s front door</w:t>
      </w:r>
      <w:r w:rsidR="00441C83" w:rsidRPr="00441C83">
        <w:rPr>
          <w:lang w:eastAsia="ja-JP"/>
        </w:rPr>
        <w:t xml:space="preserve"> without the owner’s consent, the court would</w:t>
      </w:r>
      <w:r w:rsidR="006B6BFF">
        <w:rPr>
          <w:lang w:eastAsia="ja-JP"/>
        </w:rPr>
        <w:t xml:space="preserve"> first</w:t>
      </w:r>
      <w:r w:rsidR="00441C83" w:rsidRPr="00441C83">
        <w:rPr>
          <w:lang w:eastAsia="ja-JP"/>
        </w:rPr>
        <w:t xml:space="preserve"> determine</w:t>
      </w:r>
      <w:r w:rsidR="007B3173">
        <w:rPr>
          <w:lang w:eastAsia="ja-JP"/>
        </w:rPr>
        <w:t xml:space="preserve"> that the police </w:t>
      </w:r>
      <w:r w:rsidR="00FE4234">
        <w:rPr>
          <w:lang w:eastAsia="ja-JP"/>
        </w:rPr>
        <w:t xml:space="preserve">violated the sanctity of the </w:t>
      </w:r>
      <w:r w:rsidR="00FE4234">
        <w:rPr>
          <w:lang w:eastAsia="ja-JP"/>
        </w:rPr>
        <w:lastRenderedPageBreak/>
        <w:t>home and its immediate surroundings</w:t>
      </w:r>
      <w:r w:rsidR="00F1729C">
        <w:rPr>
          <w:lang w:eastAsia="ja-JP"/>
        </w:rPr>
        <w:t>,</w:t>
      </w:r>
      <w:bookmarkStart w:id="35" w:name="_Ref114150599"/>
      <w:r w:rsidR="00851312" w:rsidRPr="002A4234">
        <w:rPr>
          <w:rStyle w:val="FootnoteReference"/>
        </w:rPr>
        <w:footnoteReference w:id="132"/>
      </w:r>
      <w:bookmarkEnd w:id="35"/>
      <w:r w:rsidR="00F1729C">
        <w:rPr>
          <w:lang w:eastAsia="ja-JP"/>
        </w:rPr>
        <w:t xml:space="preserve"> </w:t>
      </w:r>
      <w:r w:rsidR="001A1283">
        <w:rPr>
          <w:lang w:eastAsia="ja-JP"/>
        </w:rPr>
        <w:t xml:space="preserve">an area which has come to be known as </w:t>
      </w:r>
      <w:r w:rsidR="00851312">
        <w:rPr>
          <w:lang w:eastAsia="ja-JP"/>
        </w:rPr>
        <w:t>the</w:t>
      </w:r>
      <w:r w:rsidR="00BC206C">
        <w:rPr>
          <w:lang w:eastAsia="ja-JP"/>
        </w:rPr>
        <w:t xml:space="preserve"> “curtilage” </w:t>
      </w:r>
      <w:r w:rsidR="006B6BFF">
        <w:rPr>
          <w:lang w:eastAsia="ja-JP"/>
        </w:rPr>
        <w:t>in Fourth Amendment caselaw</w:t>
      </w:r>
      <w:r w:rsidR="00BC206C">
        <w:rPr>
          <w:lang w:eastAsia="ja-JP"/>
        </w:rPr>
        <w:t>.</w:t>
      </w:r>
      <w:bookmarkStart w:id="36" w:name="_Ref114138555"/>
      <w:r w:rsidR="00E77594" w:rsidRPr="002A4234">
        <w:rPr>
          <w:rStyle w:val="FootnoteReference"/>
        </w:rPr>
        <w:footnoteReference w:id="133"/>
      </w:r>
      <w:bookmarkEnd w:id="36"/>
      <w:r w:rsidR="006B6BFF">
        <w:rPr>
          <w:lang w:eastAsia="ja-JP"/>
        </w:rPr>
        <w:t xml:space="preserve"> Then, the court would ask </w:t>
      </w:r>
      <w:r w:rsidR="00441C83" w:rsidRPr="00441C83">
        <w:rPr>
          <w:lang w:eastAsia="ja-JP"/>
        </w:rPr>
        <w:t xml:space="preserve">whether </w:t>
      </w:r>
      <w:r w:rsidR="001527DF">
        <w:rPr>
          <w:lang w:eastAsia="ja-JP"/>
        </w:rPr>
        <w:t>such an</w:t>
      </w:r>
      <w:r w:rsidR="006B6BFF">
        <w:rPr>
          <w:lang w:eastAsia="ja-JP"/>
        </w:rPr>
        <w:t xml:space="preserve"> intrusion</w:t>
      </w:r>
      <w:r w:rsidR="00233DDE">
        <w:rPr>
          <w:lang w:eastAsia="ja-JP"/>
        </w:rPr>
        <w:t xml:space="preserve"> onto the </w:t>
      </w:r>
      <w:r w:rsidR="00932FDA">
        <w:rPr>
          <w:lang w:eastAsia="ja-JP"/>
        </w:rPr>
        <w:t>curtilage</w:t>
      </w:r>
      <w:r w:rsidR="00441C83" w:rsidRPr="00441C83">
        <w:rPr>
          <w:lang w:eastAsia="ja-JP"/>
        </w:rPr>
        <w:t xml:space="preserve"> would be </w:t>
      </w:r>
      <w:r w:rsidR="006B6BFF">
        <w:rPr>
          <w:lang w:eastAsia="ja-JP"/>
        </w:rPr>
        <w:t>impermissible</w:t>
      </w:r>
      <w:r w:rsidR="00441C83" w:rsidRPr="00441C83">
        <w:rPr>
          <w:lang w:eastAsia="ja-JP"/>
        </w:rPr>
        <w:t xml:space="preserve"> under general common</w:t>
      </w:r>
      <w:r w:rsidR="008101AC">
        <w:rPr>
          <w:lang w:eastAsia="ja-JP"/>
        </w:rPr>
        <w:t>-</w:t>
      </w:r>
      <w:r w:rsidR="00441C83" w:rsidRPr="00441C83">
        <w:rPr>
          <w:lang w:eastAsia="ja-JP"/>
        </w:rPr>
        <w:t xml:space="preserve">law principles—not </w:t>
      </w:r>
      <w:r w:rsidR="00730498">
        <w:rPr>
          <w:lang w:eastAsia="ja-JP"/>
        </w:rPr>
        <w:t>the</w:t>
      </w:r>
      <w:r w:rsidR="00441C83" w:rsidRPr="00441C83">
        <w:rPr>
          <w:lang w:eastAsia="ja-JP"/>
        </w:rPr>
        <w:t xml:space="preserve"> 1791 common</w:t>
      </w:r>
      <w:r w:rsidR="00730498">
        <w:rPr>
          <w:lang w:eastAsia="ja-JP"/>
        </w:rPr>
        <w:t xml:space="preserve"> </w:t>
      </w:r>
      <w:r w:rsidR="00441C83" w:rsidRPr="00441C83">
        <w:rPr>
          <w:lang w:eastAsia="ja-JP"/>
        </w:rPr>
        <w:t xml:space="preserve">law, but </w:t>
      </w:r>
      <w:r w:rsidR="00730498">
        <w:rPr>
          <w:lang w:eastAsia="ja-JP"/>
        </w:rPr>
        <w:t>the general law</w:t>
      </w:r>
      <w:r w:rsidR="00441C83" w:rsidRPr="00441C83">
        <w:rPr>
          <w:lang w:eastAsia="ja-JP"/>
        </w:rPr>
        <w:t xml:space="preserve"> </w:t>
      </w:r>
      <w:r w:rsidR="00BC206C">
        <w:rPr>
          <w:lang w:eastAsia="ja-JP"/>
        </w:rPr>
        <w:t>as it exists today</w:t>
      </w:r>
      <w:r w:rsidR="00441C83" w:rsidRPr="00441C83">
        <w:rPr>
          <w:lang w:eastAsia="ja-JP"/>
        </w:rPr>
        <w:t xml:space="preserve">. </w:t>
      </w:r>
      <w:r w:rsidR="00E3250A">
        <w:rPr>
          <w:lang w:eastAsia="ja-JP"/>
        </w:rPr>
        <w:t xml:space="preserve">If there is no violation of the </w:t>
      </w:r>
      <w:r>
        <w:rPr>
          <w:lang w:eastAsia="ja-JP"/>
        </w:rPr>
        <w:t>claimant’s</w:t>
      </w:r>
      <w:r w:rsidR="00E3250A">
        <w:rPr>
          <w:lang w:eastAsia="ja-JP"/>
        </w:rPr>
        <w:t xml:space="preserve"> rights according to the general law, the analysis stops here.</w:t>
      </w:r>
    </w:p>
    <w:p w14:paraId="2D1B37DC" w14:textId="3729F747" w:rsidR="008101AC" w:rsidRDefault="00441C83" w:rsidP="00FE3F43">
      <w:pPr>
        <w:ind w:firstLine="360"/>
        <w:rPr>
          <w:lang w:eastAsia="ja-JP"/>
        </w:rPr>
      </w:pPr>
      <w:r w:rsidRPr="00441C83">
        <w:rPr>
          <w:lang w:eastAsia="ja-JP"/>
        </w:rPr>
        <w:t xml:space="preserve">If </w:t>
      </w:r>
      <w:r w:rsidR="00E7147E">
        <w:rPr>
          <w:lang w:eastAsia="ja-JP"/>
        </w:rPr>
        <w:t>a</w:t>
      </w:r>
      <w:r w:rsidRPr="00441C83">
        <w:rPr>
          <w:lang w:eastAsia="ja-JP"/>
        </w:rPr>
        <w:t xml:space="preserve"> c</w:t>
      </w:r>
      <w:r w:rsidR="00145F85">
        <w:rPr>
          <w:lang w:eastAsia="ja-JP"/>
        </w:rPr>
        <w:t xml:space="preserve">ourt </w:t>
      </w:r>
      <w:r w:rsidR="00E3250A">
        <w:rPr>
          <w:lang w:eastAsia="ja-JP"/>
        </w:rPr>
        <w:t>do</w:t>
      </w:r>
      <w:r w:rsidR="00E7147E">
        <w:rPr>
          <w:lang w:eastAsia="ja-JP"/>
        </w:rPr>
        <w:t>es</w:t>
      </w:r>
      <w:r w:rsidR="00E3250A">
        <w:rPr>
          <w:lang w:eastAsia="ja-JP"/>
        </w:rPr>
        <w:t xml:space="preserve"> </w:t>
      </w:r>
      <w:r w:rsidR="003B4B35">
        <w:rPr>
          <w:lang w:eastAsia="ja-JP"/>
        </w:rPr>
        <w:t>find a violation in step three</w:t>
      </w:r>
      <w:r w:rsidRPr="00441C83">
        <w:rPr>
          <w:lang w:eastAsia="ja-JP"/>
        </w:rPr>
        <w:t>, the search would be presumptively unreasonable unless the police secure</w:t>
      </w:r>
      <w:r w:rsidR="00A04789">
        <w:rPr>
          <w:lang w:eastAsia="ja-JP"/>
        </w:rPr>
        <w:t>d</w:t>
      </w:r>
      <w:r w:rsidRPr="00441C83">
        <w:rPr>
          <w:lang w:eastAsia="ja-JP"/>
        </w:rPr>
        <w:t xml:space="preserve"> a warrant</w:t>
      </w:r>
      <w:r w:rsidR="003E30B8">
        <w:rPr>
          <w:lang w:eastAsia="ja-JP"/>
        </w:rPr>
        <w:t xml:space="preserve"> satisfying the demands of the Warrant Clause prior </w:t>
      </w:r>
      <w:r w:rsidR="00125478">
        <w:rPr>
          <w:lang w:eastAsia="ja-JP"/>
        </w:rPr>
        <w:t xml:space="preserve">to engaging </w:t>
      </w:r>
      <w:r w:rsidR="007E60DC">
        <w:rPr>
          <w:lang w:eastAsia="ja-JP"/>
        </w:rPr>
        <w:t>in the conduct</w:t>
      </w:r>
      <w:r w:rsidR="00A66A1B">
        <w:rPr>
          <w:lang w:eastAsia="ja-JP"/>
        </w:rPr>
        <w:t xml:space="preserve">. </w:t>
      </w:r>
      <w:r w:rsidR="00763B1B">
        <w:rPr>
          <w:lang w:eastAsia="ja-JP"/>
        </w:rPr>
        <w:t xml:space="preserve">Step </w:t>
      </w:r>
      <w:r w:rsidR="00E7147E">
        <w:rPr>
          <w:lang w:eastAsia="ja-JP"/>
        </w:rPr>
        <w:t>f</w:t>
      </w:r>
      <w:r w:rsidR="00763B1B">
        <w:rPr>
          <w:lang w:eastAsia="ja-JP"/>
        </w:rPr>
        <w:t>our</w:t>
      </w:r>
      <w:r w:rsidR="0061306E">
        <w:rPr>
          <w:lang w:eastAsia="ja-JP"/>
        </w:rPr>
        <w:t>,</w:t>
      </w:r>
      <w:r w:rsidR="00763B1B">
        <w:rPr>
          <w:lang w:eastAsia="ja-JP"/>
        </w:rPr>
        <w:t xml:space="preserve"> then</w:t>
      </w:r>
      <w:r w:rsidR="0061306E">
        <w:rPr>
          <w:lang w:eastAsia="ja-JP"/>
        </w:rPr>
        <w:t>,</w:t>
      </w:r>
      <w:r w:rsidR="00763B1B">
        <w:rPr>
          <w:lang w:eastAsia="ja-JP"/>
        </w:rPr>
        <w:t xml:space="preserve"> is determining whether </w:t>
      </w:r>
      <w:r w:rsidR="006921A2">
        <w:rPr>
          <w:lang w:eastAsia="ja-JP"/>
        </w:rPr>
        <w:t>an</w:t>
      </w:r>
      <w:r w:rsidRPr="00441C83">
        <w:rPr>
          <w:lang w:eastAsia="ja-JP"/>
        </w:rPr>
        <w:t xml:space="preserve"> exception to the warrant requirement</w:t>
      </w:r>
      <w:r w:rsidR="006921A2">
        <w:rPr>
          <w:lang w:eastAsia="ja-JP"/>
        </w:rPr>
        <w:t xml:space="preserve"> applies</w:t>
      </w:r>
      <w:r w:rsidR="00D97DA8">
        <w:rPr>
          <w:lang w:eastAsia="ja-JP"/>
        </w:rPr>
        <w:t xml:space="preserve">—though, as we will explain, “exceptions” to the “warrant requirement” are better understood as situations where a </w:t>
      </w:r>
      <w:r w:rsidR="00DD143B">
        <w:rPr>
          <w:lang w:eastAsia="ja-JP"/>
        </w:rPr>
        <w:t xml:space="preserve">search or seizure does not violate the general law, and thus </w:t>
      </w:r>
      <w:r w:rsidR="008B5AEA">
        <w:rPr>
          <w:lang w:eastAsia="ja-JP"/>
        </w:rPr>
        <w:t>is</w:t>
      </w:r>
      <w:r w:rsidR="00DD143B">
        <w:rPr>
          <w:lang w:eastAsia="ja-JP"/>
        </w:rPr>
        <w:t xml:space="preserve"> not “unreasonable</w:t>
      </w:r>
      <w:r w:rsidRPr="00441C83">
        <w:rPr>
          <w:lang w:eastAsia="ja-JP"/>
        </w:rPr>
        <w:t>.</w:t>
      </w:r>
      <w:r w:rsidR="00DD143B">
        <w:rPr>
          <w:lang w:eastAsia="ja-JP"/>
        </w:rPr>
        <w:t>”</w:t>
      </w:r>
    </w:p>
    <w:p w14:paraId="4F11765A" w14:textId="530FA5BD" w:rsidR="00BE7EA9" w:rsidRDefault="00441C83" w:rsidP="00FE3F43">
      <w:pPr>
        <w:ind w:firstLine="360"/>
        <w:rPr>
          <w:lang w:eastAsia="ja-JP"/>
        </w:rPr>
      </w:pPr>
      <w:r w:rsidRPr="00441C83">
        <w:rPr>
          <w:lang w:eastAsia="ja-JP"/>
        </w:rPr>
        <w:t xml:space="preserve">In looking to the general law, </w:t>
      </w:r>
      <w:r w:rsidR="003B3D2A">
        <w:rPr>
          <w:lang w:eastAsia="ja-JP"/>
        </w:rPr>
        <w:t>the court would</w:t>
      </w:r>
      <w:r w:rsidRPr="00441C83">
        <w:rPr>
          <w:lang w:eastAsia="ja-JP"/>
        </w:rPr>
        <w:t xml:space="preserve"> not give </w:t>
      </w:r>
      <w:r w:rsidR="00DE3708">
        <w:rPr>
          <w:lang w:eastAsia="ja-JP"/>
        </w:rPr>
        <w:t>controlling</w:t>
      </w:r>
      <w:r w:rsidR="00DE3708" w:rsidRPr="00441C83">
        <w:rPr>
          <w:lang w:eastAsia="ja-JP"/>
        </w:rPr>
        <w:t xml:space="preserve"> </w:t>
      </w:r>
      <w:r w:rsidRPr="00441C83">
        <w:rPr>
          <w:lang w:eastAsia="ja-JP"/>
        </w:rPr>
        <w:t xml:space="preserve">weight to </w:t>
      </w:r>
      <w:r w:rsidR="00621FD1">
        <w:rPr>
          <w:lang w:eastAsia="ja-JP"/>
        </w:rPr>
        <w:t>the</w:t>
      </w:r>
      <w:r w:rsidRPr="00441C83">
        <w:rPr>
          <w:lang w:eastAsia="ja-JP"/>
        </w:rPr>
        <w:t xml:space="preserve"> positive law of the jurisdiction in which the search occurs. This means that </w:t>
      </w:r>
      <w:r w:rsidRPr="00441C83">
        <w:rPr>
          <w:lang w:eastAsia="ja-JP"/>
        </w:rPr>
        <w:lastRenderedPageBreak/>
        <w:t>there</w:t>
      </w:r>
      <w:r w:rsidR="00842D47">
        <w:rPr>
          <w:lang w:eastAsia="ja-JP"/>
        </w:rPr>
        <w:t xml:space="preserve"> could</w:t>
      </w:r>
      <w:r w:rsidRPr="00441C83">
        <w:rPr>
          <w:lang w:eastAsia="ja-JP"/>
        </w:rPr>
        <w:t xml:space="preserve"> appear to be conflicts between the general law and positive law </w:t>
      </w:r>
      <w:r w:rsidR="00F003CA">
        <w:rPr>
          <w:lang w:eastAsia="ja-JP"/>
        </w:rPr>
        <w:t>of the relevant jurisdiction</w:t>
      </w:r>
      <w:r w:rsidRPr="00441C83">
        <w:rPr>
          <w:lang w:eastAsia="ja-JP"/>
        </w:rPr>
        <w:t>.</w:t>
      </w:r>
      <w:r w:rsidR="00842D47">
        <w:rPr>
          <w:lang w:eastAsia="ja-JP"/>
        </w:rPr>
        <w:t xml:space="preserve"> For example, </w:t>
      </w:r>
      <w:r w:rsidR="00073407">
        <w:rPr>
          <w:lang w:eastAsia="ja-JP"/>
        </w:rPr>
        <w:t xml:space="preserve">the positive law might </w:t>
      </w:r>
      <w:r w:rsidR="0073686B">
        <w:rPr>
          <w:lang w:eastAsia="ja-JP"/>
        </w:rPr>
        <w:t xml:space="preserve">give </w:t>
      </w:r>
      <w:r w:rsidR="00734F69">
        <w:rPr>
          <w:lang w:eastAsia="ja-JP"/>
        </w:rPr>
        <w:t>landowners</w:t>
      </w:r>
      <w:r w:rsidR="0073686B">
        <w:rPr>
          <w:lang w:eastAsia="ja-JP"/>
        </w:rPr>
        <w:t xml:space="preserve"> permission to </w:t>
      </w:r>
      <w:r w:rsidR="00734F69">
        <w:rPr>
          <w:lang w:eastAsia="ja-JP"/>
        </w:rPr>
        <w:t>clear encampments of</w:t>
      </w:r>
      <w:r w:rsidR="00987017">
        <w:rPr>
          <w:lang w:eastAsia="ja-JP"/>
        </w:rPr>
        <w:t xml:space="preserve"> unhoused</w:t>
      </w:r>
      <w:r w:rsidR="00402B74">
        <w:rPr>
          <w:lang w:eastAsia="ja-JP"/>
        </w:rPr>
        <w:t xml:space="preserve"> persons</w:t>
      </w:r>
      <w:r w:rsidR="003E13F7">
        <w:rPr>
          <w:lang w:eastAsia="ja-JP"/>
        </w:rPr>
        <w:t xml:space="preserve"> on the owners’ </w:t>
      </w:r>
      <w:r w:rsidR="008F5B18">
        <w:rPr>
          <w:lang w:eastAsia="ja-JP"/>
        </w:rPr>
        <w:t>land</w:t>
      </w:r>
      <w:r w:rsidR="0057452C">
        <w:rPr>
          <w:lang w:eastAsia="ja-JP"/>
        </w:rPr>
        <w:t xml:space="preserve">, </w:t>
      </w:r>
      <w:r w:rsidR="00A04B0A">
        <w:rPr>
          <w:lang w:eastAsia="ja-JP"/>
        </w:rPr>
        <w:t xml:space="preserve">but the general law might recognize </w:t>
      </w:r>
      <w:r w:rsidR="00EB5FEC">
        <w:rPr>
          <w:lang w:eastAsia="ja-JP"/>
        </w:rPr>
        <w:t>an</w:t>
      </w:r>
      <w:r w:rsidR="00A04B0A">
        <w:rPr>
          <w:lang w:eastAsia="ja-JP"/>
        </w:rPr>
        <w:t xml:space="preserve"> unhoused</w:t>
      </w:r>
      <w:r w:rsidR="00145193">
        <w:rPr>
          <w:lang w:eastAsia="ja-JP"/>
        </w:rPr>
        <w:t xml:space="preserve"> person</w:t>
      </w:r>
      <w:r w:rsidR="00A04B0A">
        <w:rPr>
          <w:lang w:eastAsia="ja-JP"/>
        </w:rPr>
        <w:t>’s p</w:t>
      </w:r>
      <w:r w:rsidR="00B607C6">
        <w:rPr>
          <w:lang w:eastAsia="ja-JP"/>
        </w:rPr>
        <w:t>roperty interests in the items</w:t>
      </w:r>
      <w:r w:rsidR="00C755CC">
        <w:rPr>
          <w:lang w:eastAsia="ja-JP"/>
        </w:rPr>
        <w:t xml:space="preserve"> </w:t>
      </w:r>
      <w:r w:rsidR="00EB5FEC">
        <w:rPr>
          <w:lang w:eastAsia="ja-JP"/>
        </w:rPr>
        <w:t>kept in their tent</w:t>
      </w:r>
      <w:r w:rsidR="00B607C6">
        <w:rPr>
          <w:lang w:eastAsia="ja-JP"/>
        </w:rPr>
        <w:t>.</w:t>
      </w:r>
      <w:r w:rsidR="00B607C6" w:rsidRPr="002A4234">
        <w:rPr>
          <w:rStyle w:val="FootnoteReference"/>
        </w:rPr>
        <w:footnoteReference w:id="134"/>
      </w:r>
      <w:r w:rsidRPr="00441C83">
        <w:rPr>
          <w:lang w:eastAsia="ja-JP"/>
        </w:rPr>
        <w:t xml:space="preserve"> </w:t>
      </w:r>
    </w:p>
    <w:p w14:paraId="7CACF058" w14:textId="2799FA5A" w:rsidR="005E113D" w:rsidRDefault="00467F35" w:rsidP="00FE3F43">
      <w:pPr>
        <w:ind w:firstLine="360"/>
        <w:rPr>
          <w:lang w:eastAsia="ja-JP"/>
        </w:rPr>
      </w:pPr>
      <w:r>
        <w:rPr>
          <w:lang w:eastAsia="ja-JP"/>
        </w:rPr>
        <w:t xml:space="preserve">This is not to say that positive law </w:t>
      </w:r>
      <w:r w:rsidR="00BB50F5">
        <w:rPr>
          <w:lang w:eastAsia="ja-JP"/>
        </w:rPr>
        <w:t>has no role in the analysis</w:t>
      </w:r>
      <w:r>
        <w:rPr>
          <w:lang w:eastAsia="ja-JP"/>
        </w:rPr>
        <w:t xml:space="preserve">. It is </w:t>
      </w:r>
      <w:r w:rsidR="006074EE">
        <w:rPr>
          <w:lang w:eastAsia="ja-JP"/>
        </w:rPr>
        <w:t>relevant</w:t>
      </w:r>
      <w:r w:rsidR="00BB50F5">
        <w:rPr>
          <w:lang w:eastAsia="ja-JP"/>
        </w:rPr>
        <w:t>, but only</w:t>
      </w:r>
      <w:r w:rsidR="006074EE">
        <w:rPr>
          <w:lang w:eastAsia="ja-JP"/>
        </w:rPr>
        <w:t xml:space="preserve"> as persuasive evidence </w:t>
      </w:r>
      <w:r w:rsidR="005F4227">
        <w:rPr>
          <w:lang w:eastAsia="ja-JP"/>
        </w:rPr>
        <w:t>of</w:t>
      </w:r>
      <w:r w:rsidR="006074EE">
        <w:rPr>
          <w:lang w:eastAsia="ja-JP"/>
        </w:rPr>
        <w:t xml:space="preserve"> what the general law might be. </w:t>
      </w:r>
      <w:r w:rsidR="00B965FF">
        <w:rPr>
          <w:lang w:eastAsia="ja-JP"/>
        </w:rPr>
        <w:t xml:space="preserve">In this inquiry, courts could look to the positive law of the jurisdiction where the search occurs, but also to the positive law governing in other jurisdictions. </w:t>
      </w:r>
      <w:r w:rsidR="00E220B9">
        <w:rPr>
          <w:lang w:eastAsia="ja-JP"/>
        </w:rPr>
        <w:t>Federal, state, and local s</w:t>
      </w:r>
      <w:r w:rsidR="00011DB7">
        <w:rPr>
          <w:lang w:eastAsia="ja-JP"/>
        </w:rPr>
        <w:t>tatutes, ordinances, and common-law court decisions could all constitute evidence of the general law</w:t>
      </w:r>
      <w:r w:rsidR="005F4227">
        <w:rPr>
          <w:lang w:eastAsia="ja-JP"/>
        </w:rPr>
        <w:t xml:space="preserve">; so, too, </w:t>
      </w:r>
      <w:r w:rsidR="00670B89">
        <w:rPr>
          <w:lang w:eastAsia="ja-JP"/>
        </w:rPr>
        <w:t xml:space="preserve">could societal norms and practices not </w:t>
      </w:r>
      <w:r w:rsidR="005747D3">
        <w:rPr>
          <w:lang w:eastAsia="ja-JP"/>
        </w:rPr>
        <w:t>codified as positive law</w:t>
      </w:r>
      <w:r w:rsidR="00011DB7">
        <w:rPr>
          <w:lang w:eastAsia="ja-JP"/>
        </w:rPr>
        <w:t xml:space="preserve">. </w:t>
      </w:r>
      <w:r w:rsidR="00E220B9">
        <w:rPr>
          <w:lang w:eastAsia="ja-JP"/>
        </w:rPr>
        <w:t xml:space="preserve">Where all those sources point in the same direction, the inquiry </w:t>
      </w:r>
      <w:r w:rsidR="005F4227">
        <w:rPr>
          <w:lang w:eastAsia="ja-JP"/>
        </w:rPr>
        <w:t>might prove</w:t>
      </w:r>
      <w:r w:rsidR="00E220B9">
        <w:rPr>
          <w:lang w:eastAsia="ja-JP"/>
        </w:rPr>
        <w:t xml:space="preserve"> easy. </w:t>
      </w:r>
      <w:r w:rsidR="005F4227">
        <w:rPr>
          <w:lang w:eastAsia="ja-JP"/>
        </w:rPr>
        <w:t>But w</w:t>
      </w:r>
      <w:r w:rsidR="00E220B9">
        <w:rPr>
          <w:lang w:eastAsia="ja-JP"/>
        </w:rPr>
        <w:t xml:space="preserve">here they conflict, courts will have </w:t>
      </w:r>
      <w:r w:rsidR="00002843">
        <w:rPr>
          <w:lang w:eastAsia="ja-JP"/>
        </w:rPr>
        <w:t>to make harder choices</w:t>
      </w:r>
      <w:r w:rsidR="005F4227">
        <w:rPr>
          <w:lang w:eastAsia="ja-JP"/>
        </w:rPr>
        <w:t>. O</w:t>
      </w:r>
      <w:r w:rsidR="00002843">
        <w:rPr>
          <w:lang w:eastAsia="ja-JP"/>
        </w:rPr>
        <w:t xml:space="preserve">ur approach </w:t>
      </w:r>
      <w:r w:rsidR="00383A50">
        <w:rPr>
          <w:lang w:eastAsia="ja-JP"/>
        </w:rPr>
        <w:t>offers no mechanical algorithm for resolving those conflicts</w:t>
      </w:r>
      <w:r w:rsidR="004A598A">
        <w:rPr>
          <w:lang w:eastAsia="ja-JP"/>
        </w:rPr>
        <w:t>.</w:t>
      </w:r>
      <w:r w:rsidR="00974FCB">
        <w:rPr>
          <w:lang w:eastAsia="ja-JP"/>
        </w:rPr>
        <w:t xml:space="preserve"> </w:t>
      </w:r>
      <w:r w:rsidR="004A598A">
        <w:rPr>
          <w:lang w:eastAsia="ja-JP"/>
        </w:rPr>
        <w:t>It i</w:t>
      </w:r>
      <w:r w:rsidR="00974FCB">
        <w:rPr>
          <w:lang w:eastAsia="ja-JP"/>
        </w:rPr>
        <w:t>nstead trust</w:t>
      </w:r>
      <w:r w:rsidR="004A598A">
        <w:rPr>
          <w:lang w:eastAsia="ja-JP"/>
        </w:rPr>
        <w:t xml:space="preserve">s </w:t>
      </w:r>
      <w:r w:rsidR="00974FCB">
        <w:rPr>
          <w:lang w:eastAsia="ja-JP"/>
        </w:rPr>
        <w:t xml:space="preserve">courts </w:t>
      </w:r>
      <w:r w:rsidR="00D358FE">
        <w:rPr>
          <w:lang w:eastAsia="ja-JP"/>
        </w:rPr>
        <w:t>to</w:t>
      </w:r>
      <w:r w:rsidR="00714B6C">
        <w:rPr>
          <w:lang w:eastAsia="ja-JP"/>
        </w:rPr>
        <w:t xml:space="preserve"> </w:t>
      </w:r>
      <w:r w:rsidR="00974FCB">
        <w:rPr>
          <w:lang w:eastAsia="ja-JP"/>
        </w:rPr>
        <w:t>rely on the age-old tools of common-law reasoning.</w:t>
      </w:r>
    </w:p>
    <w:p w14:paraId="07B8367D" w14:textId="625F3659" w:rsidR="00FE3F43" w:rsidRDefault="00AA655E" w:rsidP="00FE3F43">
      <w:pPr>
        <w:ind w:firstLine="360"/>
        <w:rPr>
          <w:lang w:eastAsia="ja-JP"/>
        </w:rPr>
      </w:pPr>
      <w:r>
        <w:rPr>
          <w:lang w:eastAsia="ja-JP"/>
        </w:rPr>
        <w:t>Because</w:t>
      </w:r>
      <w:r w:rsidR="00F7518B">
        <w:rPr>
          <w:lang w:eastAsia="ja-JP"/>
        </w:rPr>
        <w:t xml:space="preserve"> positive law is evidence of the general law, the </w:t>
      </w:r>
      <w:r w:rsidR="000C7787">
        <w:rPr>
          <w:lang w:eastAsia="ja-JP"/>
        </w:rPr>
        <w:t>latter</w:t>
      </w:r>
      <w:r w:rsidR="00F7518B">
        <w:rPr>
          <w:lang w:eastAsia="ja-JP"/>
        </w:rPr>
        <w:t xml:space="preserve"> will </w:t>
      </w:r>
      <w:r w:rsidR="005E113D">
        <w:rPr>
          <w:lang w:eastAsia="ja-JP"/>
        </w:rPr>
        <w:t xml:space="preserve">often </w:t>
      </w:r>
      <w:r w:rsidR="00F7518B">
        <w:rPr>
          <w:lang w:eastAsia="ja-JP"/>
        </w:rPr>
        <w:t xml:space="preserve">track the </w:t>
      </w:r>
      <w:r w:rsidR="002466D4">
        <w:rPr>
          <w:lang w:eastAsia="ja-JP"/>
        </w:rPr>
        <w:t>former</w:t>
      </w:r>
      <w:r w:rsidR="005865AD">
        <w:rPr>
          <w:lang w:eastAsia="ja-JP"/>
        </w:rPr>
        <w:t>, especially where clear majority rules</w:t>
      </w:r>
      <w:r w:rsidR="005B330D">
        <w:rPr>
          <w:lang w:eastAsia="ja-JP"/>
        </w:rPr>
        <w:t xml:space="preserve"> exist</w:t>
      </w:r>
      <w:r w:rsidR="005865AD">
        <w:rPr>
          <w:lang w:eastAsia="ja-JP"/>
        </w:rPr>
        <w:t xml:space="preserve">. Still, </w:t>
      </w:r>
      <w:r w:rsidR="00E56C6E">
        <w:rPr>
          <w:lang w:eastAsia="ja-JP"/>
        </w:rPr>
        <w:t>it is possible that a court m</w:t>
      </w:r>
      <w:r w:rsidR="008B62FC">
        <w:rPr>
          <w:lang w:eastAsia="ja-JP"/>
        </w:rPr>
        <w:t>ight</w:t>
      </w:r>
      <w:r w:rsidR="00E56C6E">
        <w:rPr>
          <w:lang w:eastAsia="ja-JP"/>
        </w:rPr>
        <w:t xml:space="preserve"> find a majority-rule ill-advised and </w:t>
      </w:r>
      <w:r w:rsidR="00570351">
        <w:rPr>
          <w:lang w:eastAsia="ja-JP"/>
        </w:rPr>
        <w:t xml:space="preserve">choose to </w:t>
      </w:r>
      <w:r w:rsidR="00E56C6E">
        <w:rPr>
          <w:lang w:eastAsia="ja-JP"/>
        </w:rPr>
        <w:t xml:space="preserve">chart a different path. </w:t>
      </w:r>
      <w:r w:rsidR="00570351">
        <w:rPr>
          <w:lang w:eastAsia="ja-JP"/>
        </w:rPr>
        <w:t>Indeed, j</w:t>
      </w:r>
      <w:r w:rsidR="00575948">
        <w:rPr>
          <w:lang w:eastAsia="ja-JP"/>
        </w:rPr>
        <w:t>uri</w:t>
      </w:r>
      <w:r w:rsidR="00C32319">
        <w:rPr>
          <w:lang w:eastAsia="ja-JP"/>
        </w:rPr>
        <w:t>s</w:t>
      </w:r>
      <w:r w:rsidR="00575948">
        <w:rPr>
          <w:lang w:eastAsia="ja-JP"/>
        </w:rPr>
        <w:t xml:space="preserve">dictions </w:t>
      </w:r>
      <w:r w:rsidR="00BC1161">
        <w:rPr>
          <w:lang w:eastAsia="ja-JP"/>
        </w:rPr>
        <w:t xml:space="preserve">might </w:t>
      </w:r>
      <w:r w:rsidR="00575948">
        <w:rPr>
          <w:lang w:eastAsia="ja-JP"/>
        </w:rPr>
        <w:t>adopt</w:t>
      </w:r>
      <w:r w:rsidR="00BC1161">
        <w:rPr>
          <w:lang w:eastAsia="ja-JP"/>
        </w:rPr>
        <w:t xml:space="preserve"> a</w:t>
      </w:r>
      <w:r w:rsidR="00575948">
        <w:rPr>
          <w:lang w:eastAsia="ja-JP"/>
        </w:rPr>
        <w:t xml:space="preserve"> minority position</w:t>
      </w:r>
      <w:r w:rsidR="00BC1161">
        <w:rPr>
          <w:lang w:eastAsia="ja-JP"/>
        </w:rPr>
        <w:t xml:space="preserve"> because they</w:t>
      </w:r>
      <w:r w:rsidR="00575948">
        <w:rPr>
          <w:lang w:eastAsia="ja-JP"/>
        </w:rPr>
        <w:t xml:space="preserve"> </w:t>
      </w:r>
      <w:r w:rsidR="00A35D16">
        <w:rPr>
          <w:lang w:eastAsia="ja-JP"/>
        </w:rPr>
        <w:t xml:space="preserve">determine that </w:t>
      </w:r>
      <w:r w:rsidR="00575948">
        <w:rPr>
          <w:lang w:eastAsia="ja-JP"/>
        </w:rPr>
        <w:t xml:space="preserve">the general law </w:t>
      </w:r>
      <w:r w:rsidR="00A35D16">
        <w:rPr>
          <w:lang w:eastAsia="ja-JP"/>
        </w:rPr>
        <w:t>is</w:t>
      </w:r>
      <w:r w:rsidR="00575948">
        <w:rPr>
          <w:lang w:eastAsia="ja-JP"/>
        </w:rPr>
        <w:t xml:space="preserve"> out of sync with their </w:t>
      </w:r>
      <w:r w:rsidR="000134BE">
        <w:rPr>
          <w:lang w:eastAsia="ja-JP"/>
        </w:rPr>
        <w:t xml:space="preserve">approach. </w:t>
      </w:r>
      <w:r w:rsidR="00441C83" w:rsidRPr="00441C83">
        <w:rPr>
          <w:lang w:eastAsia="ja-JP"/>
        </w:rPr>
        <w:t xml:space="preserve">But </w:t>
      </w:r>
      <w:r w:rsidR="00FA66EE">
        <w:rPr>
          <w:lang w:eastAsia="ja-JP"/>
        </w:rPr>
        <w:t>such</w:t>
      </w:r>
      <w:r w:rsidR="00441C83" w:rsidRPr="00441C83">
        <w:rPr>
          <w:lang w:eastAsia="ja-JP"/>
        </w:rPr>
        <w:t xml:space="preserve"> conflicts </w:t>
      </w:r>
      <w:r w:rsidR="003B3D2A">
        <w:rPr>
          <w:lang w:eastAsia="ja-JP"/>
        </w:rPr>
        <w:t>pose no problem</w:t>
      </w:r>
      <w:r w:rsidR="00441C83" w:rsidRPr="00441C83">
        <w:rPr>
          <w:lang w:eastAsia="ja-JP"/>
        </w:rPr>
        <w:t xml:space="preserve"> </w:t>
      </w:r>
      <w:r w:rsidR="00A35D16">
        <w:rPr>
          <w:lang w:eastAsia="ja-JP"/>
        </w:rPr>
        <w:t>for our theory, as</w:t>
      </w:r>
      <w:r w:rsidR="00A35D16" w:rsidRPr="00441C83">
        <w:rPr>
          <w:lang w:eastAsia="ja-JP"/>
        </w:rPr>
        <w:t xml:space="preserve"> </w:t>
      </w:r>
      <w:r w:rsidR="00441C83" w:rsidRPr="00441C83">
        <w:rPr>
          <w:lang w:eastAsia="ja-JP"/>
        </w:rPr>
        <w:t xml:space="preserve">the general law and positive law have nonoverlapping roles. </w:t>
      </w:r>
      <w:r w:rsidR="00B1694B">
        <w:rPr>
          <w:lang w:eastAsia="ja-JP"/>
        </w:rPr>
        <w:t>In the context of the</w:t>
      </w:r>
      <w:r w:rsidR="00441C83" w:rsidRPr="00441C83">
        <w:rPr>
          <w:lang w:eastAsia="ja-JP"/>
        </w:rPr>
        <w:t xml:space="preserve"> Fourth Amendment</w:t>
      </w:r>
      <w:r w:rsidR="00B1694B">
        <w:rPr>
          <w:lang w:eastAsia="ja-JP"/>
        </w:rPr>
        <w:t>, the general law helps to</w:t>
      </w:r>
      <w:r w:rsidR="00DF60EA">
        <w:rPr>
          <w:lang w:eastAsia="ja-JP"/>
        </w:rPr>
        <w:t xml:space="preserve"> elucidate the meaning of a federal constitutional command</w:t>
      </w:r>
      <w:r w:rsidR="00B1694B">
        <w:rPr>
          <w:lang w:eastAsia="ja-JP"/>
        </w:rPr>
        <w:t xml:space="preserve"> </w:t>
      </w:r>
      <w:r w:rsidR="00251BDB">
        <w:rPr>
          <w:lang w:eastAsia="ja-JP"/>
        </w:rPr>
        <w:t>even as</w:t>
      </w:r>
      <w:r w:rsidR="00DF60EA">
        <w:rPr>
          <w:lang w:eastAsia="ja-JP"/>
        </w:rPr>
        <w:t xml:space="preserve"> a jurisdiction’s positive law would continue to govern in </w:t>
      </w:r>
      <w:r w:rsidR="00BE6803">
        <w:rPr>
          <w:lang w:eastAsia="ja-JP"/>
        </w:rPr>
        <w:t xml:space="preserve">purely </w:t>
      </w:r>
      <w:r w:rsidR="0066519C">
        <w:rPr>
          <w:lang w:eastAsia="ja-JP"/>
        </w:rPr>
        <w:t>local</w:t>
      </w:r>
      <w:r w:rsidR="00DF60EA">
        <w:rPr>
          <w:lang w:eastAsia="ja-JP"/>
        </w:rPr>
        <w:t xml:space="preserve"> </w:t>
      </w:r>
      <w:r w:rsidR="006373BF">
        <w:rPr>
          <w:lang w:eastAsia="ja-JP"/>
        </w:rPr>
        <w:t>dispute</w:t>
      </w:r>
      <w:r w:rsidR="001E7F42">
        <w:rPr>
          <w:lang w:eastAsia="ja-JP"/>
        </w:rPr>
        <w:t>s.</w:t>
      </w:r>
    </w:p>
    <w:p w14:paraId="410F05C5" w14:textId="488881D5" w:rsidR="00FE3F43" w:rsidRDefault="00FE3F43" w:rsidP="00FE3F43">
      <w:pPr>
        <w:pStyle w:val="BodyText"/>
        <w:rPr>
          <w:lang w:eastAsia="ja-JP"/>
        </w:rPr>
      </w:pPr>
      <w:r>
        <w:rPr>
          <w:lang w:eastAsia="ja-JP"/>
        </w:rPr>
        <w:t>Th</w:t>
      </w:r>
      <w:r w:rsidR="00145193">
        <w:rPr>
          <w:lang w:eastAsia="ja-JP"/>
        </w:rPr>
        <w:t>us</w:t>
      </w:r>
      <w:r w:rsidR="006D77AA">
        <w:rPr>
          <w:lang w:eastAsia="ja-JP"/>
        </w:rPr>
        <w:t>,</w:t>
      </w:r>
      <w:r w:rsidR="00145193">
        <w:rPr>
          <w:lang w:eastAsia="ja-JP"/>
        </w:rPr>
        <w:t xml:space="preserve"> the </w:t>
      </w:r>
      <w:r>
        <w:rPr>
          <w:lang w:eastAsia="ja-JP"/>
        </w:rPr>
        <w:t xml:space="preserve">general law does not </w:t>
      </w:r>
      <w:r w:rsidR="00003520">
        <w:rPr>
          <w:lang w:eastAsia="ja-JP"/>
        </w:rPr>
        <w:t>change</w:t>
      </w:r>
      <w:r w:rsidR="00BA2E3A">
        <w:rPr>
          <w:lang w:eastAsia="ja-JP"/>
        </w:rPr>
        <w:t xml:space="preserve"> the allocation of</w:t>
      </w:r>
      <w:r>
        <w:rPr>
          <w:lang w:eastAsia="ja-JP"/>
        </w:rPr>
        <w:t xml:space="preserve"> property rights that </w:t>
      </w:r>
      <w:r w:rsidR="00F30F1C">
        <w:rPr>
          <w:lang w:eastAsia="ja-JP"/>
        </w:rPr>
        <w:t xml:space="preserve">the positive law of a particular </w:t>
      </w:r>
      <w:r>
        <w:rPr>
          <w:lang w:eastAsia="ja-JP"/>
        </w:rPr>
        <w:t xml:space="preserve">sovereign </w:t>
      </w:r>
      <w:r w:rsidR="00F30F1C">
        <w:rPr>
          <w:lang w:eastAsia="ja-JP"/>
        </w:rPr>
        <w:t>has</w:t>
      </w:r>
      <w:r>
        <w:rPr>
          <w:lang w:eastAsia="ja-JP"/>
        </w:rPr>
        <w:t xml:space="preserve"> otherwise </w:t>
      </w:r>
      <w:r w:rsidR="00EA20E2">
        <w:rPr>
          <w:lang w:eastAsia="ja-JP"/>
        </w:rPr>
        <w:t>determined</w:t>
      </w:r>
      <w:r>
        <w:rPr>
          <w:lang w:eastAsia="ja-JP"/>
        </w:rPr>
        <w:t>.</w:t>
      </w:r>
      <w:r w:rsidR="00F4581B">
        <w:rPr>
          <w:lang w:eastAsia="ja-JP"/>
        </w:rPr>
        <w:t xml:space="preserve"> This is consistent even with </w:t>
      </w:r>
      <w:r w:rsidR="00F4581B">
        <w:rPr>
          <w:i/>
          <w:iCs/>
          <w:lang w:eastAsia="ja-JP"/>
        </w:rPr>
        <w:t>Swift</w:t>
      </w:r>
      <w:r w:rsidR="00412924">
        <w:rPr>
          <w:lang w:eastAsia="ja-JP"/>
        </w:rPr>
        <w:t xml:space="preserve">, </w:t>
      </w:r>
      <w:r w:rsidR="00A30FEB">
        <w:rPr>
          <w:lang w:eastAsia="ja-JP"/>
        </w:rPr>
        <w:t xml:space="preserve">which </w:t>
      </w:r>
      <w:r w:rsidR="001C64A3">
        <w:rPr>
          <w:lang w:eastAsia="ja-JP"/>
        </w:rPr>
        <w:t>exempted “</w:t>
      </w:r>
      <w:r w:rsidR="001C64A3" w:rsidRPr="001C64A3">
        <w:rPr>
          <w:lang w:eastAsia="ja-JP"/>
        </w:rPr>
        <w:t>the rights and titles to real estate</w:t>
      </w:r>
      <w:r w:rsidR="001C64A3">
        <w:rPr>
          <w:lang w:eastAsia="ja-JP"/>
        </w:rPr>
        <w:t>” and “</w:t>
      </w:r>
      <w:r w:rsidR="00261FBF">
        <w:rPr>
          <w:lang w:eastAsia="ja-JP"/>
        </w:rPr>
        <w:t xml:space="preserve">things having a permanent locality” from </w:t>
      </w:r>
      <w:r w:rsidR="00541F0E">
        <w:rPr>
          <w:lang w:eastAsia="ja-JP"/>
        </w:rPr>
        <w:t>independent</w:t>
      </w:r>
      <w:r w:rsidR="00261FBF">
        <w:rPr>
          <w:lang w:eastAsia="ja-JP"/>
        </w:rPr>
        <w:t xml:space="preserve"> </w:t>
      </w:r>
      <w:r w:rsidR="00406ACC">
        <w:rPr>
          <w:lang w:eastAsia="ja-JP"/>
        </w:rPr>
        <w:t>determination by federal court</w:t>
      </w:r>
      <w:r w:rsidR="00943FD4">
        <w:rPr>
          <w:lang w:eastAsia="ja-JP"/>
        </w:rPr>
        <w:t>s</w:t>
      </w:r>
      <w:r w:rsidR="00406ACC">
        <w:rPr>
          <w:lang w:eastAsia="ja-JP"/>
        </w:rPr>
        <w:t>.</w:t>
      </w:r>
      <w:r w:rsidR="00406ACC" w:rsidRPr="002A4234">
        <w:rPr>
          <w:rStyle w:val="FootnoteReference"/>
        </w:rPr>
        <w:footnoteReference w:id="135"/>
      </w:r>
      <w:r w:rsidR="00280BBB">
        <w:rPr>
          <w:lang w:eastAsia="ja-JP"/>
        </w:rPr>
        <w:t xml:space="preserve"> The general law applies only to the scope of the federal right.</w:t>
      </w:r>
      <w:r>
        <w:rPr>
          <w:lang w:eastAsia="ja-JP"/>
        </w:rPr>
        <w:t xml:space="preserve"> For example, a court applying </w:t>
      </w:r>
      <w:r w:rsidR="00D70EA4">
        <w:rPr>
          <w:lang w:eastAsia="ja-JP"/>
        </w:rPr>
        <w:t>our approach</w:t>
      </w:r>
      <w:r>
        <w:rPr>
          <w:lang w:eastAsia="ja-JP"/>
        </w:rPr>
        <w:t xml:space="preserve"> might need to </w:t>
      </w:r>
      <w:r w:rsidR="00D70EA4">
        <w:rPr>
          <w:lang w:eastAsia="ja-JP"/>
        </w:rPr>
        <w:t>look to general law to</w:t>
      </w:r>
      <w:r>
        <w:rPr>
          <w:lang w:eastAsia="ja-JP"/>
        </w:rPr>
        <w:t xml:space="preserve"> determine the boundaries of the curtilage around a home for Fourth Amendment purposes</w:t>
      </w:r>
      <w:r w:rsidR="00D70EA4">
        <w:rPr>
          <w:lang w:eastAsia="ja-JP"/>
        </w:rPr>
        <w:t xml:space="preserve"> </w:t>
      </w:r>
      <w:r w:rsidR="0087055D">
        <w:rPr>
          <w:lang w:eastAsia="ja-JP"/>
        </w:rPr>
        <w:t>and whether the entry was unreasonable.</w:t>
      </w:r>
      <w:r>
        <w:rPr>
          <w:lang w:eastAsia="ja-JP"/>
        </w:rPr>
        <w:t xml:space="preserve"> </w:t>
      </w:r>
      <w:r w:rsidR="00F90039">
        <w:rPr>
          <w:lang w:eastAsia="ja-JP"/>
        </w:rPr>
        <w:t xml:space="preserve">But </w:t>
      </w:r>
      <w:r>
        <w:rPr>
          <w:lang w:eastAsia="ja-JP"/>
        </w:rPr>
        <w:t xml:space="preserve">a </w:t>
      </w:r>
      <w:r w:rsidR="0047719E">
        <w:rPr>
          <w:lang w:eastAsia="ja-JP"/>
        </w:rPr>
        <w:t xml:space="preserve">Fourth Amendment </w:t>
      </w:r>
      <w:r>
        <w:rPr>
          <w:lang w:eastAsia="ja-JP"/>
        </w:rPr>
        <w:t>ruling</w:t>
      </w:r>
      <w:r w:rsidR="00F90039">
        <w:rPr>
          <w:lang w:eastAsia="ja-JP"/>
        </w:rPr>
        <w:t xml:space="preserve"> of this kind </w:t>
      </w:r>
      <w:r>
        <w:rPr>
          <w:lang w:eastAsia="ja-JP"/>
        </w:rPr>
        <w:t>would have no bearing on title to the home, which would remain a question of state law. Similarly, the general law might look to concepts like licenses to determine who has the power to consent to a search. But if the owner of the searched property separately sought civil damages against the would-be licensee for tres</w:t>
      </w:r>
      <w:r>
        <w:rPr>
          <w:lang w:eastAsia="ja-JP"/>
        </w:rPr>
        <w:lastRenderedPageBreak/>
        <w:t xml:space="preserve">pass in state court, </w:t>
      </w:r>
      <w:r w:rsidR="00F90039">
        <w:rPr>
          <w:lang w:eastAsia="ja-JP"/>
        </w:rPr>
        <w:t xml:space="preserve">then </w:t>
      </w:r>
      <w:r>
        <w:rPr>
          <w:lang w:eastAsia="ja-JP"/>
        </w:rPr>
        <w:t>state law would govern.</w:t>
      </w:r>
      <w:r w:rsidR="001A0816">
        <w:rPr>
          <w:lang w:eastAsia="ja-JP"/>
        </w:rPr>
        <w:t xml:space="preserve"> Such </w:t>
      </w:r>
      <w:r w:rsidR="00042B6C">
        <w:rPr>
          <w:lang w:eastAsia="ja-JP"/>
        </w:rPr>
        <w:t>matters are proper</w:t>
      </w:r>
      <w:r w:rsidR="00806B7B">
        <w:rPr>
          <w:lang w:eastAsia="ja-JP"/>
        </w:rPr>
        <w:t>ly considered</w:t>
      </w:r>
      <w:r w:rsidR="0083035A">
        <w:rPr>
          <w:lang w:eastAsia="ja-JP"/>
        </w:rPr>
        <w:t xml:space="preserve"> “local”</w:t>
      </w:r>
      <w:r w:rsidR="00381676">
        <w:rPr>
          <w:lang w:eastAsia="ja-JP"/>
        </w:rPr>
        <w:t xml:space="preserve"> law</w:t>
      </w:r>
      <w:r w:rsidR="00DC51DF">
        <w:rPr>
          <w:lang w:eastAsia="ja-JP"/>
        </w:rPr>
        <w:t>,</w:t>
      </w:r>
      <w:r w:rsidR="00555C2A" w:rsidRPr="002A4234">
        <w:rPr>
          <w:rStyle w:val="FootnoteReference"/>
        </w:rPr>
        <w:footnoteReference w:id="136"/>
      </w:r>
      <w:r w:rsidR="0083035A">
        <w:rPr>
          <w:lang w:eastAsia="ja-JP"/>
        </w:rPr>
        <w:t xml:space="preserve"> </w:t>
      </w:r>
      <w:r w:rsidR="00DC51DF">
        <w:rPr>
          <w:lang w:eastAsia="ja-JP"/>
        </w:rPr>
        <w:t>while t</w:t>
      </w:r>
      <w:r w:rsidR="006D11EE">
        <w:rPr>
          <w:lang w:eastAsia="ja-JP"/>
        </w:rPr>
        <w:t xml:space="preserve">he scope of </w:t>
      </w:r>
      <w:r w:rsidR="00301236">
        <w:rPr>
          <w:lang w:eastAsia="ja-JP"/>
        </w:rPr>
        <w:t>Fourth</w:t>
      </w:r>
      <w:r w:rsidR="00BB25A7">
        <w:rPr>
          <w:lang w:eastAsia="ja-JP"/>
        </w:rPr>
        <w:t xml:space="preserve"> </w:t>
      </w:r>
      <w:r w:rsidR="00301236">
        <w:rPr>
          <w:lang w:eastAsia="ja-JP"/>
        </w:rPr>
        <w:t>Amendment</w:t>
      </w:r>
      <w:r w:rsidR="00FD5B5C">
        <w:rPr>
          <w:lang w:eastAsia="ja-JP"/>
        </w:rPr>
        <w:t xml:space="preserve"> </w:t>
      </w:r>
      <w:r w:rsidR="008E6653">
        <w:rPr>
          <w:lang w:eastAsia="ja-JP"/>
        </w:rPr>
        <w:t>protections</w:t>
      </w:r>
      <w:r w:rsidR="00FD5B5C">
        <w:rPr>
          <w:lang w:eastAsia="ja-JP"/>
        </w:rPr>
        <w:t xml:space="preserve"> </w:t>
      </w:r>
      <w:r w:rsidR="00370270">
        <w:rPr>
          <w:lang w:eastAsia="ja-JP"/>
        </w:rPr>
        <w:t xml:space="preserve">must be treated as </w:t>
      </w:r>
      <w:r w:rsidR="00A30C3D">
        <w:rPr>
          <w:lang w:eastAsia="ja-JP"/>
        </w:rPr>
        <w:t>part of the general law</w:t>
      </w:r>
      <w:r w:rsidR="00E32E7C">
        <w:rPr>
          <w:lang w:eastAsia="ja-JP"/>
        </w:rPr>
        <w:t>. The Fourth Amendment is a fed</w:t>
      </w:r>
      <w:r w:rsidR="009D1F72">
        <w:rPr>
          <w:lang w:eastAsia="ja-JP"/>
        </w:rPr>
        <w:t>eral constitutional guarant</w:t>
      </w:r>
      <w:r w:rsidR="005F52DC">
        <w:rPr>
          <w:lang w:eastAsia="ja-JP"/>
        </w:rPr>
        <w:t xml:space="preserve">ee </w:t>
      </w:r>
      <w:r w:rsidR="00147D07">
        <w:rPr>
          <w:lang w:eastAsia="ja-JP"/>
        </w:rPr>
        <w:t xml:space="preserve">that binds law </w:t>
      </w:r>
      <w:r w:rsidR="00D57BEF">
        <w:rPr>
          <w:lang w:eastAsia="ja-JP"/>
        </w:rPr>
        <w:t xml:space="preserve">enforcement across the </w:t>
      </w:r>
      <w:r w:rsidR="00382B6A">
        <w:rPr>
          <w:lang w:eastAsia="ja-JP"/>
        </w:rPr>
        <w:t>entire country</w:t>
      </w:r>
      <w:r w:rsidR="00AC0307">
        <w:rPr>
          <w:lang w:eastAsia="ja-JP"/>
        </w:rPr>
        <w:t>. In explic</w:t>
      </w:r>
      <w:r w:rsidR="00FD4801">
        <w:rPr>
          <w:lang w:eastAsia="ja-JP"/>
        </w:rPr>
        <w:t>ating its p</w:t>
      </w:r>
      <w:r w:rsidR="00530308">
        <w:rPr>
          <w:lang w:eastAsia="ja-JP"/>
        </w:rPr>
        <w:t>rotections</w:t>
      </w:r>
      <w:r w:rsidR="00EB68DC">
        <w:rPr>
          <w:lang w:eastAsia="ja-JP"/>
        </w:rPr>
        <w:t>, cou</w:t>
      </w:r>
      <w:r w:rsidR="004D765E">
        <w:rPr>
          <w:lang w:eastAsia="ja-JP"/>
        </w:rPr>
        <w:t xml:space="preserve">rts should </w:t>
      </w:r>
      <w:r w:rsidR="002431A3">
        <w:rPr>
          <w:lang w:eastAsia="ja-JP"/>
        </w:rPr>
        <w:t xml:space="preserve">draw on the </w:t>
      </w:r>
      <w:r w:rsidR="0081687D">
        <w:rPr>
          <w:lang w:eastAsia="ja-JP"/>
        </w:rPr>
        <w:t>laws, custom</w:t>
      </w:r>
      <w:r w:rsidR="00FF69F1">
        <w:rPr>
          <w:lang w:eastAsia="ja-JP"/>
        </w:rPr>
        <w:t>s, and expec</w:t>
      </w:r>
      <w:r w:rsidR="00FA660D">
        <w:rPr>
          <w:lang w:eastAsia="ja-JP"/>
        </w:rPr>
        <w:t>t</w:t>
      </w:r>
      <w:r w:rsidR="00FF69F1">
        <w:rPr>
          <w:lang w:eastAsia="ja-JP"/>
        </w:rPr>
        <w:t>atio</w:t>
      </w:r>
      <w:r w:rsidR="00860E09">
        <w:rPr>
          <w:lang w:eastAsia="ja-JP"/>
        </w:rPr>
        <w:t>ns that prevail in the count</w:t>
      </w:r>
      <w:r w:rsidR="005C4B02">
        <w:rPr>
          <w:lang w:eastAsia="ja-JP"/>
        </w:rPr>
        <w:t>ry as a whole.</w:t>
      </w:r>
    </w:p>
    <w:p w14:paraId="3B9A6F83" w14:textId="13A617F0" w:rsidR="005834E7" w:rsidRDefault="005834E7" w:rsidP="00223838">
      <w:pPr>
        <w:pStyle w:val="Heading2"/>
        <w:rPr>
          <w:i/>
          <w:iCs/>
        </w:rPr>
      </w:pPr>
      <w:bookmarkStart w:id="37" w:name="_Toc96093546"/>
      <w:bookmarkStart w:id="38" w:name="_Toc111723672"/>
      <w:r>
        <w:rPr>
          <w:i/>
          <w:iCs/>
        </w:rPr>
        <w:t>Justif</w:t>
      </w:r>
      <w:r w:rsidR="00737EF4">
        <w:rPr>
          <w:i/>
          <w:iCs/>
        </w:rPr>
        <w:t>ying the General-Law Approach</w:t>
      </w:r>
      <w:bookmarkEnd w:id="37"/>
      <w:bookmarkEnd w:id="38"/>
    </w:p>
    <w:p w14:paraId="65F10151" w14:textId="30A57ADF" w:rsidR="007A11B6" w:rsidRPr="007A11B6" w:rsidRDefault="007D6ED5" w:rsidP="007A11B6">
      <w:pPr>
        <w:pStyle w:val="BodyText"/>
        <w:rPr>
          <w:lang w:eastAsia="ja-JP"/>
        </w:rPr>
      </w:pPr>
      <w:r>
        <w:rPr>
          <w:lang w:eastAsia="ja-JP"/>
        </w:rPr>
        <w:t xml:space="preserve">This Section lays out the justifications for </w:t>
      </w:r>
      <w:r w:rsidR="007D6823">
        <w:rPr>
          <w:lang w:eastAsia="ja-JP"/>
        </w:rPr>
        <w:t>looking to general law</w:t>
      </w:r>
      <w:r>
        <w:rPr>
          <w:lang w:eastAsia="ja-JP"/>
        </w:rPr>
        <w:t xml:space="preserve">. </w:t>
      </w:r>
      <w:r w:rsidR="007D6823">
        <w:rPr>
          <w:lang w:eastAsia="ja-JP"/>
        </w:rPr>
        <w:t>The general-law model</w:t>
      </w:r>
      <w:r>
        <w:rPr>
          <w:lang w:eastAsia="ja-JP"/>
        </w:rPr>
        <w:t xml:space="preserve"> </w:t>
      </w:r>
      <w:r w:rsidR="00431FDA">
        <w:rPr>
          <w:lang w:eastAsia="ja-JP"/>
        </w:rPr>
        <w:t xml:space="preserve">is </w:t>
      </w:r>
      <w:r w:rsidR="000E270B">
        <w:rPr>
          <w:lang w:eastAsia="ja-JP"/>
        </w:rPr>
        <w:t>broadly</w:t>
      </w:r>
      <w:r w:rsidR="004A31F3">
        <w:rPr>
          <w:lang w:eastAsia="ja-JP"/>
        </w:rPr>
        <w:t xml:space="preserve"> </w:t>
      </w:r>
      <w:r w:rsidR="00431FDA">
        <w:rPr>
          <w:lang w:eastAsia="ja-JP"/>
        </w:rPr>
        <w:t>consistent with the</w:t>
      </w:r>
      <w:r w:rsidR="008225CE">
        <w:rPr>
          <w:lang w:eastAsia="ja-JP"/>
        </w:rPr>
        <w:t xml:space="preserve"> Fourth Amendment’s</w:t>
      </w:r>
      <w:r w:rsidR="00431FDA">
        <w:rPr>
          <w:lang w:eastAsia="ja-JP"/>
        </w:rPr>
        <w:t xml:space="preserve"> </w:t>
      </w:r>
      <w:r w:rsidR="00993ED7">
        <w:rPr>
          <w:lang w:eastAsia="ja-JP"/>
        </w:rPr>
        <w:t>text</w:t>
      </w:r>
      <w:r w:rsidR="008225CE">
        <w:rPr>
          <w:lang w:eastAsia="ja-JP"/>
        </w:rPr>
        <w:t xml:space="preserve">, </w:t>
      </w:r>
      <w:r w:rsidR="00431FDA">
        <w:rPr>
          <w:lang w:eastAsia="ja-JP"/>
        </w:rPr>
        <w:t>original meaning</w:t>
      </w:r>
      <w:r w:rsidR="008225CE">
        <w:rPr>
          <w:lang w:eastAsia="ja-JP"/>
        </w:rPr>
        <w:t>, and historical background</w:t>
      </w:r>
      <w:r w:rsidR="00F90039">
        <w:rPr>
          <w:lang w:eastAsia="ja-JP"/>
        </w:rPr>
        <w:t>.</w:t>
      </w:r>
      <w:r w:rsidR="00993ED7">
        <w:rPr>
          <w:lang w:eastAsia="ja-JP"/>
        </w:rPr>
        <w:t xml:space="preserve"> </w:t>
      </w:r>
      <w:r w:rsidR="00F90039">
        <w:rPr>
          <w:lang w:eastAsia="ja-JP"/>
        </w:rPr>
        <w:t>I</w:t>
      </w:r>
      <w:r w:rsidR="00993ED7">
        <w:rPr>
          <w:lang w:eastAsia="ja-JP"/>
        </w:rPr>
        <w:t>t</w:t>
      </w:r>
      <w:r w:rsidR="00431FDA">
        <w:rPr>
          <w:lang w:eastAsia="ja-JP"/>
        </w:rPr>
        <w:t xml:space="preserve"> </w:t>
      </w:r>
      <w:r w:rsidR="007D6823">
        <w:rPr>
          <w:lang w:eastAsia="ja-JP"/>
        </w:rPr>
        <w:t xml:space="preserve">is </w:t>
      </w:r>
      <w:r w:rsidR="00B63E94">
        <w:rPr>
          <w:lang w:eastAsia="ja-JP"/>
        </w:rPr>
        <w:t xml:space="preserve">also </w:t>
      </w:r>
      <w:r w:rsidR="007D6823">
        <w:rPr>
          <w:lang w:eastAsia="ja-JP"/>
        </w:rPr>
        <w:t xml:space="preserve">surprisingly </w:t>
      </w:r>
      <w:r w:rsidR="00443100">
        <w:rPr>
          <w:lang w:eastAsia="ja-JP"/>
        </w:rPr>
        <w:t>compatible</w:t>
      </w:r>
      <w:r w:rsidR="007D6823">
        <w:rPr>
          <w:lang w:eastAsia="ja-JP"/>
        </w:rPr>
        <w:t xml:space="preserve"> with </w:t>
      </w:r>
      <w:r w:rsidR="00213E5B">
        <w:rPr>
          <w:lang w:eastAsia="ja-JP"/>
        </w:rPr>
        <w:t>Fourth Amendment</w:t>
      </w:r>
      <w:r w:rsidR="007D6823">
        <w:rPr>
          <w:lang w:eastAsia="ja-JP"/>
        </w:rPr>
        <w:t xml:space="preserve"> </w:t>
      </w:r>
      <w:r w:rsidR="00443100">
        <w:rPr>
          <w:lang w:eastAsia="ja-JP"/>
        </w:rPr>
        <w:t>precedent</w:t>
      </w:r>
      <w:r w:rsidR="007D6823">
        <w:rPr>
          <w:lang w:eastAsia="ja-JP"/>
        </w:rPr>
        <w:t xml:space="preserve"> and</w:t>
      </w:r>
      <w:r w:rsidR="00993ED7">
        <w:rPr>
          <w:lang w:eastAsia="ja-JP"/>
        </w:rPr>
        <w:t xml:space="preserve"> </w:t>
      </w:r>
      <w:r w:rsidR="007D6823">
        <w:rPr>
          <w:lang w:eastAsia="ja-JP"/>
        </w:rPr>
        <w:t>more normatively attractive than competing approach</w:t>
      </w:r>
      <w:r w:rsidR="008225CE">
        <w:rPr>
          <w:lang w:eastAsia="ja-JP"/>
        </w:rPr>
        <w:t>es</w:t>
      </w:r>
      <w:r w:rsidR="007D6823">
        <w:rPr>
          <w:lang w:eastAsia="ja-JP"/>
        </w:rPr>
        <w:t>.</w:t>
      </w:r>
    </w:p>
    <w:p w14:paraId="0BC6CC76" w14:textId="48B48FFE" w:rsidR="00DB442B" w:rsidRDefault="00DB442B" w:rsidP="005834E7">
      <w:pPr>
        <w:pStyle w:val="Heading3"/>
      </w:pPr>
      <w:bookmarkStart w:id="39" w:name="_Toc96093547"/>
      <w:bookmarkStart w:id="40" w:name="_Toc111723673"/>
      <w:r>
        <w:t>Text</w:t>
      </w:r>
      <w:r w:rsidR="00C87CC1">
        <w:t>,</w:t>
      </w:r>
      <w:r>
        <w:t xml:space="preserve"> Original Meaning</w:t>
      </w:r>
      <w:r w:rsidR="00C87CC1">
        <w:t>, and History</w:t>
      </w:r>
      <w:bookmarkEnd w:id="39"/>
      <w:bookmarkEnd w:id="40"/>
    </w:p>
    <w:p w14:paraId="61AA6C5A" w14:textId="366DDDF1" w:rsidR="007A31B7" w:rsidRDefault="0063514A" w:rsidP="00E9291D">
      <w:pPr>
        <w:pStyle w:val="BodyText"/>
        <w:rPr>
          <w:lang w:eastAsia="ja-JP"/>
        </w:rPr>
      </w:pPr>
      <w:r>
        <w:rPr>
          <w:lang w:eastAsia="ja-JP"/>
        </w:rPr>
        <w:t xml:space="preserve">Return to </w:t>
      </w:r>
      <w:r w:rsidR="005B6EF3">
        <w:rPr>
          <w:lang w:eastAsia="ja-JP"/>
        </w:rPr>
        <w:t>the text of the</w:t>
      </w:r>
      <w:r w:rsidR="002B16DD">
        <w:rPr>
          <w:lang w:eastAsia="ja-JP"/>
        </w:rPr>
        <w:t xml:space="preserve"> Fourth Amendment</w:t>
      </w:r>
      <w:r w:rsidR="00944599">
        <w:rPr>
          <w:lang w:eastAsia="ja-JP"/>
        </w:rPr>
        <w:t>.</w:t>
      </w:r>
      <w:r w:rsidR="00D5746F">
        <w:rPr>
          <w:lang w:eastAsia="ja-JP"/>
        </w:rPr>
        <w:t xml:space="preserve"> </w:t>
      </w:r>
      <w:r w:rsidR="005B781E">
        <w:rPr>
          <w:lang w:eastAsia="ja-JP"/>
        </w:rPr>
        <w:t>Th</w:t>
      </w:r>
      <w:r w:rsidR="005C2466">
        <w:rPr>
          <w:lang w:eastAsia="ja-JP"/>
        </w:rPr>
        <w:t xml:space="preserve">e meaning of </w:t>
      </w:r>
      <w:r w:rsidR="00944599">
        <w:rPr>
          <w:lang w:eastAsia="ja-JP"/>
        </w:rPr>
        <w:t>its</w:t>
      </w:r>
      <w:r w:rsidR="005C2466">
        <w:rPr>
          <w:lang w:eastAsia="ja-JP"/>
        </w:rPr>
        <w:t xml:space="preserve"> first </w:t>
      </w:r>
      <w:r w:rsidR="00F93A95">
        <w:rPr>
          <w:lang w:eastAsia="ja-JP"/>
        </w:rPr>
        <w:t xml:space="preserve">clause is </w:t>
      </w:r>
      <w:r w:rsidR="00DD5D3D">
        <w:rPr>
          <w:lang w:eastAsia="ja-JP"/>
        </w:rPr>
        <w:t>opa</w:t>
      </w:r>
      <w:r w:rsidR="00150754">
        <w:rPr>
          <w:lang w:eastAsia="ja-JP"/>
        </w:rPr>
        <w:t>que</w:t>
      </w:r>
      <w:r>
        <w:rPr>
          <w:lang w:eastAsia="ja-JP"/>
        </w:rPr>
        <w:t>:</w:t>
      </w:r>
      <w:r w:rsidR="00150754">
        <w:rPr>
          <w:lang w:eastAsia="ja-JP"/>
        </w:rPr>
        <w:t xml:space="preserve"> What </w:t>
      </w:r>
      <w:r w:rsidR="009D7111">
        <w:rPr>
          <w:lang w:eastAsia="ja-JP"/>
        </w:rPr>
        <w:t>counts as a “search” or</w:t>
      </w:r>
      <w:r w:rsidR="004B00A7">
        <w:rPr>
          <w:lang w:eastAsia="ja-JP"/>
        </w:rPr>
        <w:t xml:space="preserve"> a “seizure”? Which</w:t>
      </w:r>
      <w:r w:rsidR="00150754">
        <w:rPr>
          <w:lang w:eastAsia="ja-JP"/>
        </w:rPr>
        <w:t xml:space="preserve"> searches </w:t>
      </w:r>
      <w:r w:rsidR="009F6B8D">
        <w:rPr>
          <w:lang w:eastAsia="ja-JP"/>
        </w:rPr>
        <w:t xml:space="preserve">and seizures </w:t>
      </w:r>
      <w:r w:rsidR="00771725">
        <w:rPr>
          <w:lang w:eastAsia="ja-JP"/>
        </w:rPr>
        <w:t>qualify as “unreasonable”</w:t>
      </w:r>
      <w:r w:rsidR="006A7E26">
        <w:rPr>
          <w:lang w:eastAsia="ja-JP"/>
        </w:rPr>
        <w:t xml:space="preserve">? </w:t>
      </w:r>
      <w:r w:rsidR="004B00A7">
        <w:rPr>
          <w:lang w:eastAsia="ja-JP"/>
        </w:rPr>
        <w:t xml:space="preserve">And what is the relationship between the Amendment’s two clauses? </w:t>
      </w:r>
      <w:r w:rsidR="00471F18">
        <w:rPr>
          <w:lang w:eastAsia="ja-JP"/>
        </w:rPr>
        <w:t>Under our</w:t>
      </w:r>
      <w:r w:rsidR="007A31B7">
        <w:rPr>
          <w:lang w:eastAsia="ja-JP"/>
        </w:rPr>
        <w:t xml:space="preserve"> reading, as </w:t>
      </w:r>
      <w:r w:rsidR="00AC28BF">
        <w:rPr>
          <w:lang w:eastAsia="ja-JP"/>
        </w:rPr>
        <w:t>explained</w:t>
      </w:r>
      <w:r w:rsidR="007A31B7">
        <w:rPr>
          <w:lang w:eastAsia="ja-JP"/>
        </w:rPr>
        <w:t xml:space="preserve"> above</w:t>
      </w:r>
      <w:r w:rsidR="00A25A77">
        <w:rPr>
          <w:lang w:eastAsia="ja-JP"/>
        </w:rPr>
        <w:t>,</w:t>
      </w:r>
      <w:r w:rsidR="00B63E94">
        <w:rPr>
          <w:rStyle w:val="FootnoteReference"/>
          <w:lang w:eastAsia="ja-JP"/>
        </w:rPr>
        <w:footnoteReference w:id="137"/>
      </w:r>
      <w:r w:rsidR="00AC28BF">
        <w:rPr>
          <w:lang w:eastAsia="ja-JP"/>
        </w:rPr>
        <w:t xml:space="preserve"> (1) </w:t>
      </w:r>
      <w:r w:rsidR="005171A7">
        <w:rPr>
          <w:lang w:eastAsia="ja-JP"/>
        </w:rPr>
        <w:t>“sea</w:t>
      </w:r>
      <w:r w:rsidR="00576E9C">
        <w:rPr>
          <w:lang w:eastAsia="ja-JP"/>
        </w:rPr>
        <w:t>rch</w:t>
      </w:r>
      <w:r w:rsidR="006557FD">
        <w:rPr>
          <w:lang w:eastAsia="ja-JP"/>
        </w:rPr>
        <w:t>es</w:t>
      </w:r>
      <w:r w:rsidR="00576E9C">
        <w:rPr>
          <w:lang w:eastAsia="ja-JP"/>
        </w:rPr>
        <w:t>” and “seizure</w:t>
      </w:r>
      <w:r w:rsidR="006557FD">
        <w:rPr>
          <w:lang w:eastAsia="ja-JP"/>
        </w:rPr>
        <w:t>s</w:t>
      </w:r>
      <w:r w:rsidR="00EF26D9">
        <w:rPr>
          <w:lang w:eastAsia="ja-JP"/>
        </w:rPr>
        <w:t>”</w:t>
      </w:r>
      <w:r w:rsidR="006557FD">
        <w:rPr>
          <w:lang w:eastAsia="ja-JP"/>
        </w:rPr>
        <w:t xml:space="preserve"> are defin</w:t>
      </w:r>
      <w:r w:rsidR="00CA1C81">
        <w:rPr>
          <w:lang w:eastAsia="ja-JP"/>
        </w:rPr>
        <w:t>ed broadly, using their com</w:t>
      </w:r>
      <w:r w:rsidR="001C68DB">
        <w:rPr>
          <w:lang w:eastAsia="ja-JP"/>
        </w:rPr>
        <w:t>monsense meanings; (</w:t>
      </w:r>
      <w:r w:rsidR="0066093F">
        <w:rPr>
          <w:lang w:eastAsia="ja-JP"/>
        </w:rPr>
        <w:t xml:space="preserve">2) </w:t>
      </w:r>
      <w:r w:rsidR="006E5B9F">
        <w:rPr>
          <w:lang w:eastAsia="ja-JP"/>
        </w:rPr>
        <w:t>“persons</w:t>
      </w:r>
      <w:r w:rsidR="00514632">
        <w:rPr>
          <w:lang w:eastAsia="ja-JP"/>
        </w:rPr>
        <w:t>, houses, papers, and effe</w:t>
      </w:r>
      <w:r w:rsidR="008B37CE">
        <w:rPr>
          <w:lang w:eastAsia="ja-JP"/>
        </w:rPr>
        <w:t xml:space="preserve">cts” are </w:t>
      </w:r>
      <w:r w:rsidR="00E43980">
        <w:rPr>
          <w:lang w:eastAsia="ja-JP"/>
        </w:rPr>
        <w:t>interpreted by referenc</w:t>
      </w:r>
      <w:r w:rsidR="00470814">
        <w:rPr>
          <w:lang w:eastAsia="ja-JP"/>
        </w:rPr>
        <w:t>e to general-l</w:t>
      </w:r>
      <w:r w:rsidR="00FA6A06">
        <w:rPr>
          <w:lang w:eastAsia="ja-JP"/>
        </w:rPr>
        <w:t xml:space="preserve">aw property concepts; </w:t>
      </w:r>
      <w:r w:rsidR="00645527">
        <w:rPr>
          <w:lang w:eastAsia="ja-JP"/>
        </w:rPr>
        <w:t xml:space="preserve">(3) </w:t>
      </w:r>
      <w:r w:rsidR="00EE0F29">
        <w:rPr>
          <w:lang w:eastAsia="ja-JP"/>
        </w:rPr>
        <w:t>whe</w:t>
      </w:r>
      <w:r w:rsidR="00A00E9D">
        <w:rPr>
          <w:lang w:eastAsia="ja-JP"/>
        </w:rPr>
        <w:t xml:space="preserve">ther a </w:t>
      </w:r>
      <w:r w:rsidR="007A31B7">
        <w:rPr>
          <w:lang w:eastAsia="ja-JP"/>
        </w:rPr>
        <w:t xml:space="preserve">search or seizure is </w:t>
      </w:r>
      <w:r w:rsidR="00975DA4">
        <w:rPr>
          <w:lang w:eastAsia="ja-JP"/>
        </w:rPr>
        <w:t>“</w:t>
      </w:r>
      <w:r w:rsidR="002937A2">
        <w:rPr>
          <w:lang w:eastAsia="ja-JP"/>
        </w:rPr>
        <w:t xml:space="preserve">unreasonable” is determined by </w:t>
      </w:r>
      <w:r w:rsidR="005120A0">
        <w:rPr>
          <w:lang w:eastAsia="ja-JP"/>
        </w:rPr>
        <w:t xml:space="preserve">looking at </w:t>
      </w:r>
      <w:r w:rsidR="00E44DE3">
        <w:rPr>
          <w:lang w:eastAsia="ja-JP"/>
        </w:rPr>
        <w:t xml:space="preserve">general law; </w:t>
      </w:r>
      <w:r w:rsidR="0080391C">
        <w:rPr>
          <w:lang w:eastAsia="ja-JP"/>
        </w:rPr>
        <w:t xml:space="preserve">and </w:t>
      </w:r>
      <w:r w:rsidR="006464DC">
        <w:rPr>
          <w:lang w:eastAsia="ja-JP"/>
        </w:rPr>
        <w:t xml:space="preserve">(4) </w:t>
      </w:r>
      <w:r w:rsidR="007A31B7">
        <w:rPr>
          <w:lang w:eastAsia="ja-JP"/>
        </w:rPr>
        <w:t>a</w:t>
      </w:r>
      <w:r w:rsidR="0047639A">
        <w:rPr>
          <w:lang w:eastAsia="ja-JP"/>
        </w:rPr>
        <w:t xml:space="preserve"> proper</w:t>
      </w:r>
      <w:r w:rsidR="007A31B7">
        <w:rPr>
          <w:lang w:eastAsia="ja-JP"/>
        </w:rPr>
        <w:t xml:space="preserve"> warrant </w:t>
      </w:r>
      <w:r w:rsidR="005B6DE1">
        <w:rPr>
          <w:lang w:eastAsia="ja-JP"/>
        </w:rPr>
        <w:t xml:space="preserve">can </w:t>
      </w:r>
      <w:r w:rsidR="0047639A">
        <w:rPr>
          <w:lang w:eastAsia="ja-JP"/>
        </w:rPr>
        <w:t>immunize an otherwise unlawful search or seizure</w:t>
      </w:r>
      <w:r w:rsidR="005B6DE1">
        <w:rPr>
          <w:lang w:eastAsia="ja-JP"/>
        </w:rPr>
        <w:t xml:space="preserve">. To explain and defend this </w:t>
      </w:r>
      <w:r w:rsidR="00E9291D">
        <w:rPr>
          <w:lang w:eastAsia="ja-JP"/>
        </w:rPr>
        <w:t>approach</w:t>
      </w:r>
      <w:r w:rsidR="005B6DE1">
        <w:rPr>
          <w:lang w:eastAsia="ja-JP"/>
        </w:rPr>
        <w:t>, we</w:t>
      </w:r>
      <w:r w:rsidR="003C18D8">
        <w:rPr>
          <w:lang w:eastAsia="ja-JP"/>
        </w:rPr>
        <w:t xml:space="preserve"> </w:t>
      </w:r>
      <w:r w:rsidR="00CB6239">
        <w:rPr>
          <w:lang w:eastAsia="ja-JP"/>
        </w:rPr>
        <w:t>compare it with</w:t>
      </w:r>
      <w:r w:rsidR="00E9291D">
        <w:rPr>
          <w:lang w:eastAsia="ja-JP"/>
        </w:rPr>
        <w:t xml:space="preserve"> dominant readings of the Fourth Amendment.</w:t>
      </w:r>
    </w:p>
    <w:p w14:paraId="4CD07072" w14:textId="7B76D3F2" w:rsidR="00C8363A" w:rsidRDefault="00C23F8F" w:rsidP="00687F11">
      <w:pPr>
        <w:pStyle w:val="BodyText"/>
        <w:rPr>
          <w:lang w:eastAsia="ja-JP"/>
        </w:rPr>
      </w:pPr>
      <w:r>
        <w:rPr>
          <w:lang w:eastAsia="ja-JP"/>
        </w:rPr>
        <w:t xml:space="preserve">One view is that </w:t>
      </w:r>
      <w:r w:rsidR="00372F47">
        <w:rPr>
          <w:lang w:eastAsia="ja-JP"/>
        </w:rPr>
        <w:t xml:space="preserve">the ban on “unreasonable searches and seizures” </w:t>
      </w:r>
      <w:r>
        <w:rPr>
          <w:lang w:eastAsia="ja-JP"/>
        </w:rPr>
        <w:t>is meant</w:t>
      </w:r>
      <w:r w:rsidR="00E567A6">
        <w:rPr>
          <w:lang w:eastAsia="ja-JP"/>
        </w:rPr>
        <w:t xml:space="preserve"> </w:t>
      </w:r>
      <w:r>
        <w:rPr>
          <w:lang w:eastAsia="ja-JP"/>
        </w:rPr>
        <w:t xml:space="preserve">to reinforce </w:t>
      </w:r>
      <w:r w:rsidR="00E567A6">
        <w:rPr>
          <w:lang w:eastAsia="ja-JP"/>
        </w:rPr>
        <w:t xml:space="preserve">only </w:t>
      </w:r>
      <w:r>
        <w:rPr>
          <w:lang w:eastAsia="ja-JP"/>
        </w:rPr>
        <w:t>the second clause, which forbids general warrants</w:t>
      </w:r>
      <w:r w:rsidR="00C263A8">
        <w:rPr>
          <w:lang w:eastAsia="ja-JP"/>
        </w:rPr>
        <w:t>, and carries no additional prescriptive force.</w:t>
      </w:r>
      <w:bookmarkStart w:id="41" w:name="_Ref114097085"/>
      <w:r w:rsidR="00C35AE8" w:rsidRPr="002A4234">
        <w:rPr>
          <w:rStyle w:val="FootnoteReference"/>
        </w:rPr>
        <w:footnoteReference w:id="138"/>
      </w:r>
      <w:bookmarkEnd w:id="41"/>
      <w:r w:rsidR="00011BA8">
        <w:rPr>
          <w:lang w:eastAsia="ja-JP"/>
        </w:rPr>
        <w:t xml:space="preserve"> Another </w:t>
      </w:r>
      <w:r w:rsidR="00061B56">
        <w:rPr>
          <w:lang w:eastAsia="ja-JP"/>
        </w:rPr>
        <w:t>possibility is that</w:t>
      </w:r>
      <w:r w:rsidR="00FE25A1">
        <w:rPr>
          <w:lang w:eastAsia="ja-JP"/>
        </w:rPr>
        <w:t>,</w:t>
      </w:r>
      <w:r w:rsidR="00061B56">
        <w:rPr>
          <w:lang w:eastAsia="ja-JP"/>
        </w:rPr>
        <w:t xml:space="preserve"> </w:t>
      </w:r>
      <w:r w:rsidR="00C8363A">
        <w:rPr>
          <w:lang w:eastAsia="ja-JP"/>
        </w:rPr>
        <w:t>by forbidding “unreasonable searches and seizures</w:t>
      </w:r>
      <w:r w:rsidR="00FE25A1">
        <w:rPr>
          <w:lang w:eastAsia="ja-JP"/>
        </w:rPr>
        <w:t>,</w:t>
      </w:r>
      <w:r w:rsidR="00C8363A">
        <w:rPr>
          <w:lang w:eastAsia="ja-JP"/>
        </w:rPr>
        <w:t xml:space="preserve">” the Fourth Amendment </w:t>
      </w:r>
      <w:r w:rsidR="006E7360">
        <w:rPr>
          <w:lang w:eastAsia="ja-JP"/>
        </w:rPr>
        <w:t>grants</w:t>
      </w:r>
      <w:r w:rsidR="00FE1927">
        <w:rPr>
          <w:lang w:eastAsia="ja-JP"/>
        </w:rPr>
        <w:t xml:space="preserve"> more open-ended discretion to judges </w:t>
      </w:r>
      <w:r w:rsidR="006E7360">
        <w:rPr>
          <w:lang w:eastAsia="ja-JP"/>
        </w:rPr>
        <w:t>(</w:t>
      </w:r>
      <w:r w:rsidR="00FE1927">
        <w:rPr>
          <w:lang w:eastAsia="ja-JP"/>
        </w:rPr>
        <w:t xml:space="preserve">or </w:t>
      </w:r>
      <w:r w:rsidR="006E7360">
        <w:rPr>
          <w:lang w:eastAsia="ja-JP"/>
        </w:rPr>
        <w:t>perhaps</w:t>
      </w:r>
      <w:r w:rsidR="00FE1927">
        <w:rPr>
          <w:lang w:eastAsia="ja-JP"/>
        </w:rPr>
        <w:t xml:space="preserve"> juries</w:t>
      </w:r>
      <w:r w:rsidR="006E7360">
        <w:rPr>
          <w:lang w:eastAsia="ja-JP"/>
        </w:rPr>
        <w:t>)</w:t>
      </w:r>
      <w:r w:rsidR="00FE1927">
        <w:rPr>
          <w:lang w:eastAsia="ja-JP"/>
        </w:rPr>
        <w:t xml:space="preserve"> to determine </w:t>
      </w:r>
      <w:r w:rsidR="00687F11">
        <w:rPr>
          <w:lang w:eastAsia="ja-JP"/>
        </w:rPr>
        <w:t xml:space="preserve">reasonableness. </w:t>
      </w:r>
      <w:r w:rsidR="00A56FD3">
        <w:rPr>
          <w:lang w:eastAsia="ja-JP"/>
        </w:rPr>
        <w:t>A</w:t>
      </w:r>
      <w:r w:rsidR="005F5D5B">
        <w:rPr>
          <w:lang w:eastAsia="ja-JP"/>
        </w:rPr>
        <w:t>nd another</w:t>
      </w:r>
      <w:r w:rsidR="00A56FD3">
        <w:rPr>
          <w:lang w:eastAsia="ja-JP"/>
        </w:rPr>
        <w:t xml:space="preserve"> is that the Fourth Amendment is meant to prohibit </w:t>
      </w:r>
      <w:r w:rsidR="00D953BB">
        <w:rPr>
          <w:lang w:eastAsia="ja-JP"/>
        </w:rPr>
        <w:t xml:space="preserve">specific </w:t>
      </w:r>
      <w:r w:rsidR="00A56FD3">
        <w:rPr>
          <w:lang w:eastAsia="ja-JP"/>
        </w:rPr>
        <w:t>search-and-seizure practices that were considered unlawful under traditional common law at the time of ratification.</w:t>
      </w:r>
    </w:p>
    <w:p w14:paraId="1EFD50EE" w14:textId="651F00F8" w:rsidR="00061B56" w:rsidRPr="00847DE7" w:rsidRDefault="002D638C" w:rsidP="00E3627D">
      <w:pPr>
        <w:pStyle w:val="BodyText"/>
        <w:rPr>
          <w:lang w:eastAsia="ja-JP"/>
        </w:rPr>
      </w:pPr>
      <w:r>
        <w:rPr>
          <w:lang w:eastAsia="ja-JP"/>
        </w:rPr>
        <w:t xml:space="preserve">Our reading differs from each of these approaches, though we think it combines the best </w:t>
      </w:r>
      <w:r w:rsidR="00C8363A">
        <w:rPr>
          <w:lang w:eastAsia="ja-JP"/>
        </w:rPr>
        <w:t xml:space="preserve">parts of each theory. </w:t>
      </w:r>
      <w:r w:rsidR="00687F11">
        <w:rPr>
          <w:lang w:eastAsia="ja-JP"/>
        </w:rPr>
        <w:t>Start with the theory that the Fourth Amendment is intended only to prohibit general warrants</w:t>
      </w:r>
      <w:r w:rsidR="006E2D6D">
        <w:rPr>
          <w:lang w:eastAsia="ja-JP"/>
        </w:rPr>
        <w:t xml:space="preserve">. </w:t>
      </w:r>
      <w:r w:rsidR="006A06B6">
        <w:rPr>
          <w:lang w:eastAsia="ja-JP"/>
        </w:rPr>
        <w:t>Thomas</w:t>
      </w:r>
      <w:r w:rsidR="008B09F9">
        <w:rPr>
          <w:lang w:eastAsia="ja-JP"/>
        </w:rPr>
        <w:t xml:space="preserve"> </w:t>
      </w:r>
      <w:r w:rsidR="00B9651D">
        <w:rPr>
          <w:lang w:eastAsia="ja-JP"/>
        </w:rPr>
        <w:t>Y.</w:t>
      </w:r>
      <w:r w:rsidR="008B09F9">
        <w:rPr>
          <w:lang w:eastAsia="ja-JP"/>
        </w:rPr>
        <w:t xml:space="preserve"> Davies </w:t>
      </w:r>
      <w:r w:rsidR="006A06B6">
        <w:rPr>
          <w:lang w:eastAsia="ja-JP"/>
        </w:rPr>
        <w:t>argues</w:t>
      </w:r>
      <w:r w:rsidR="008B09F9">
        <w:rPr>
          <w:lang w:eastAsia="ja-JP"/>
        </w:rPr>
        <w:t xml:space="preserve"> that the Framers “</w:t>
      </w:r>
      <w:r w:rsidR="008B09F9" w:rsidRPr="008B09F9">
        <w:rPr>
          <w:lang w:eastAsia="ja-JP"/>
        </w:rPr>
        <w:t xml:space="preserve">simply did not perceive the problem of search and seizure the same </w:t>
      </w:r>
      <w:r w:rsidR="008B09F9" w:rsidRPr="008B09F9">
        <w:rPr>
          <w:lang w:eastAsia="ja-JP"/>
        </w:rPr>
        <w:lastRenderedPageBreak/>
        <w:t>way that w</w:t>
      </w:r>
      <w:r w:rsidR="008B09F9">
        <w:rPr>
          <w:lang w:eastAsia="ja-JP"/>
        </w:rPr>
        <w:t>e do.”</w:t>
      </w:r>
      <w:r w:rsidR="00112C3E" w:rsidRPr="002A4234">
        <w:rPr>
          <w:rStyle w:val="FootnoteReference"/>
        </w:rPr>
        <w:footnoteReference w:id="139"/>
      </w:r>
      <w:r w:rsidR="00EF62CF">
        <w:rPr>
          <w:lang w:eastAsia="ja-JP"/>
        </w:rPr>
        <w:t xml:space="preserve"> He argues that, at the time of the framing, </w:t>
      </w:r>
      <w:r w:rsidR="00766F6F">
        <w:rPr>
          <w:lang w:eastAsia="ja-JP"/>
        </w:rPr>
        <w:t xml:space="preserve">officers who conducted searches and seizures had a </w:t>
      </w:r>
      <w:r w:rsidR="008D7B94">
        <w:rPr>
          <w:lang w:eastAsia="ja-JP"/>
        </w:rPr>
        <w:t>much</w:t>
      </w:r>
      <w:r w:rsidR="00766F6F">
        <w:rPr>
          <w:lang w:eastAsia="ja-JP"/>
        </w:rPr>
        <w:t xml:space="preserve"> less discretionary authority than modern police, </w:t>
      </w:r>
      <w:r w:rsidR="00847DE7">
        <w:rPr>
          <w:lang w:eastAsia="ja-JP"/>
        </w:rPr>
        <w:t xml:space="preserve">and that any wrongdoing by an officer that was not authorized by a warrant was perceived </w:t>
      </w:r>
      <w:r w:rsidR="00047333">
        <w:rPr>
          <w:lang w:eastAsia="ja-JP"/>
        </w:rPr>
        <w:t>as</w:t>
      </w:r>
      <w:r w:rsidR="00847DE7">
        <w:rPr>
          <w:lang w:eastAsia="ja-JP"/>
        </w:rPr>
        <w:t xml:space="preserve"> a </w:t>
      </w:r>
      <w:r w:rsidR="00847DE7">
        <w:rPr>
          <w:i/>
          <w:iCs/>
          <w:lang w:eastAsia="ja-JP"/>
        </w:rPr>
        <w:t>private</w:t>
      </w:r>
      <w:r w:rsidR="00847DE7">
        <w:rPr>
          <w:lang w:eastAsia="ja-JP"/>
        </w:rPr>
        <w:t xml:space="preserve"> wrong, punishable as a trespass, and not government action.</w:t>
      </w:r>
      <w:r w:rsidR="0077210B">
        <w:rPr>
          <w:lang w:eastAsia="ja-JP"/>
        </w:rPr>
        <w:t xml:space="preserve"> </w:t>
      </w:r>
      <w:r w:rsidR="00622524">
        <w:rPr>
          <w:lang w:eastAsia="ja-JP"/>
        </w:rPr>
        <w:t xml:space="preserve">For this reason, he argues, the Framers would have seen </w:t>
      </w:r>
      <w:r w:rsidR="0077210B">
        <w:rPr>
          <w:lang w:eastAsia="ja-JP"/>
        </w:rPr>
        <w:t xml:space="preserve">forbidding general warrants as </w:t>
      </w:r>
      <w:r w:rsidR="00047333">
        <w:rPr>
          <w:lang w:eastAsia="ja-JP"/>
        </w:rPr>
        <w:t xml:space="preserve">a </w:t>
      </w:r>
      <w:r w:rsidR="0077210B">
        <w:rPr>
          <w:lang w:eastAsia="ja-JP"/>
        </w:rPr>
        <w:t xml:space="preserve">sufficient </w:t>
      </w:r>
      <w:r w:rsidR="007A228A">
        <w:rPr>
          <w:lang w:eastAsia="ja-JP"/>
        </w:rPr>
        <w:t xml:space="preserve">guard against abusive </w:t>
      </w:r>
      <w:r w:rsidR="00D953BB">
        <w:rPr>
          <w:lang w:eastAsia="ja-JP"/>
        </w:rPr>
        <w:t>practices</w:t>
      </w:r>
      <w:r w:rsidR="007A228A">
        <w:rPr>
          <w:lang w:eastAsia="ja-JP"/>
        </w:rPr>
        <w:t>.</w:t>
      </w:r>
    </w:p>
    <w:p w14:paraId="11E42392" w14:textId="33AC1684" w:rsidR="007A228A" w:rsidRDefault="007A228A" w:rsidP="00F6753A">
      <w:pPr>
        <w:pStyle w:val="BodyText"/>
        <w:rPr>
          <w:lang w:eastAsia="ja-JP"/>
        </w:rPr>
      </w:pPr>
      <w:r>
        <w:rPr>
          <w:lang w:eastAsia="ja-JP"/>
        </w:rPr>
        <w:t xml:space="preserve">Davies’s </w:t>
      </w:r>
      <w:r w:rsidR="003D23F4">
        <w:rPr>
          <w:lang w:eastAsia="ja-JP"/>
        </w:rPr>
        <w:t>research is exhaustive</w:t>
      </w:r>
      <w:r w:rsidR="00C82DB4">
        <w:rPr>
          <w:lang w:eastAsia="ja-JP"/>
        </w:rPr>
        <w:t xml:space="preserve">. </w:t>
      </w:r>
      <w:r w:rsidR="004B14F2">
        <w:rPr>
          <w:lang w:eastAsia="ja-JP"/>
        </w:rPr>
        <w:t>Yet</w:t>
      </w:r>
      <w:r w:rsidR="00047333">
        <w:rPr>
          <w:lang w:eastAsia="ja-JP"/>
        </w:rPr>
        <w:t xml:space="preserve">, </w:t>
      </w:r>
      <w:r w:rsidR="004B14F2">
        <w:rPr>
          <w:lang w:eastAsia="ja-JP"/>
        </w:rPr>
        <w:t>as Davies himself recognizes</w:t>
      </w:r>
      <w:r w:rsidR="00047333">
        <w:rPr>
          <w:lang w:eastAsia="ja-JP"/>
        </w:rPr>
        <w:t xml:space="preserve">, it would be quite difficult to </w:t>
      </w:r>
      <w:r w:rsidR="00332DC7">
        <w:rPr>
          <w:lang w:eastAsia="ja-JP"/>
        </w:rPr>
        <w:t>apply his reading to the Fourth Amendment today.</w:t>
      </w:r>
      <w:r w:rsidR="003C13FD" w:rsidRPr="002A4234">
        <w:rPr>
          <w:rStyle w:val="FootnoteReference"/>
        </w:rPr>
        <w:footnoteReference w:id="140"/>
      </w:r>
      <w:r w:rsidR="00332DC7">
        <w:rPr>
          <w:lang w:eastAsia="ja-JP"/>
        </w:rPr>
        <w:t xml:space="preserve"> </w:t>
      </w:r>
      <w:r w:rsidR="008D0CA2">
        <w:rPr>
          <w:lang w:eastAsia="ja-JP"/>
        </w:rPr>
        <w:t xml:space="preserve">Given the massive expansion </w:t>
      </w:r>
      <w:r w:rsidR="00601342">
        <w:rPr>
          <w:lang w:eastAsia="ja-JP"/>
        </w:rPr>
        <w:t xml:space="preserve">of </w:t>
      </w:r>
      <w:r w:rsidR="008D0CA2">
        <w:rPr>
          <w:lang w:eastAsia="ja-JP"/>
        </w:rPr>
        <w:t>discretionary power granted to police officers,</w:t>
      </w:r>
      <w:r w:rsidR="00775EEE">
        <w:rPr>
          <w:lang w:eastAsia="ja-JP"/>
        </w:rPr>
        <w:t xml:space="preserve"> a reading that prohibit</w:t>
      </w:r>
      <w:r w:rsidR="00AD2EEE">
        <w:rPr>
          <w:lang w:eastAsia="ja-JP"/>
        </w:rPr>
        <w:t>s only</w:t>
      </w:r>
      <w:r w:rsidR="00775EEE">
        <w:rPr>
          <w:lang w:eastAsia="ja-JP"/>
        </w:rPr>
        <w:t xml:space="preserve"> general warrants would leave a great deal of troubling governmental conduct </w:t>
      </w:r>
      <w:r w:rsidR="000C3ECA">
        <w:rPr>
          <w:lang w:eastAsia="ja-JP"/>
        </w:rPr>
        <w:t>unregulated by the Constitution.</w:t>
      </w:r>
      <w:r w:rsidR="003769AD">
        <w:rPr>
          <w:lang w:eastAsia="ja-JP"/>
        </w:rPr>
        <w:t xml:space="preserve"> </w:t>
      </w:r>
      <w:r w:rsidR="002E3F3B">
        <w:rPr>
          <w:lang w:eastAsia="ja-JP"/>
        </w:rPr>
        <w:t xml:space="preserve">That </w:t>
      </w:r>
      <w:r w:rsidR="00583BE3">
        <w:rPr>
          <w:lang w:eastAsia="ja-JP"/>
        </w:rPr>
        <w:t xml:space="preserve">result seems deeply inconsistent with the values the Fourth Amendment is thought to protect. </w:t>
      </w:r>
      <w:r w:rsidR="00797474">
        <w:rPr>
          <w:lang w:eastAsia="ja-JP"/>
        </w:rPr>
        <w:t xml:space="preserve">Moreover, </w:t>
      </w:r>
      <w:r w:rsidR="00C02892">
        <w:rPr>
          <w:lang w:eastAsia="ja-JP"/>
        </w:rPr>
        <w:t>Davies himself reads “unreasonable” as</w:t>
      </w:r>
      <w:r w:rsidR="00714C58">
        <w:rPr>
          <w:lang w:eastAsia="ja-JP"/>
        </w:rPr>
        <w:t xml:space="preserve"> incorporating the common law;</w:t>
      </w:r>
      <w:r w:rsidR="00201F66" w:rsidRPr="002A4234">
        <w:rPr>
          <w:rStyle w:val="FootnoteReference"/>
        </w:rPr>
        <w:footnoteReference w:id="141"/>
      </w:r>
      <w:r w:rsidR="00714C58">
        <w:rPr>
          <w:lang w:eastAsia="ja-JP"/>
        </w:rPr>
        <w:t xml:space="preserve"> he merely </w:t>
      </w:r>
      <w:r w:rsidR="005E1145">
        <w:rPr>
          <w:lang w:eastAsia="ja-JP"/>
        </w:rPr>
        <w:t xml:space="preserve">disagrees </w:t>
      </w:r>
      <w:r w:rsidR="00B02104">
        <w:rPr>
          <w:lang w:eastAsia="ja-JP"/>
        </w:rPr>
        <w:t xml:space="preserve">about which specific common-law rules the Amendment incorporates. </w:t>
      </w:r>
      <w:r w:rsidR="0095763E">
        <w:rPr>
          <w:lang w:eastAsia="ja-JP"/>
        </w:rPr>
        <w:t xml:space="preserve">As </w:t>
      </w:r>
      <w:r w:rsidR="00A61634">
        <w:rPr>
          <w:lang w:eastAsia="ja-JP"/>
        </w:rPr>
        <w:t>we</w:t>
      </w:r>
      <w:r w:rsidR="0095763E">
        <w:rPr>
          <w:lang w:eastAsia="ja-JP"/>
        </w:rPr>
        <w:t xml:space="preserve"> will discuss, the general-law </w:t>
      </w:r>
      <w:r w:rsidR="00B26192">
        <w:rPr>
          <w:lang w:eastAsia="ja-JP"/>
        </w:rPr>
        <w:t>approach</w:t>
      </w:r>
      <w:r w:rsidR="0095763E">
        <w:rPr>
          <w:lang w:eastAsia="ja-JP"/>
        </w:rPr>
        <w:t xml:space="preserve"> </w:t>
      </w:r>
      <w:r w:rsidR="00B26192">
        <w:rPr>
          <w:lang w:eastAsia="ja-JP"/>
        </w:rPr>
        <w:t>provides</w:t>
      </w:r>
      <w:r w:rsidR="0095763E">
        <w:rPr>
          <w:lang w:eastAsia="ja-JP"/>
        </w:rPr>
        <w:t xml:space="preserve"> </w:t>
      </w:r>
      <w:r w:rsidR="00EA2B2F">
        <w:rPr>
          <w:lang w:eastAsia="ja-JP"/>
        </w:rPr>
        <w:t xml:space="preserve">the most sensible </w:t>
      </w:r>
      <w:r w:rsidR="00EF63AE">
        <w:rPr>
          <w:lang w:eastAsia="ja-JP"/>
        </w:rPr>
        <w:t>reading of</w:t>
      </w:r>
      <w:r w:rsidR="00EA2B2F">
        <w:rPr>
          <w:lang w:eastAsia="ja-JP"/>
        </w:rPr>
        <w:t xml:space="preserve"> the text in light of the changed circumstances that Davies recognizes as problematic.</w:t>
      </w:r>
    </w:p>
    <w:p w14:paraId="4D3D7E8A" w14:textId="55FA3714" w:rsidR="00CA3771" w:rsidRDefault="003D5F49" w:rsidP="00A535AA">
      <w:pPr>
        <w:pStyle w:val="BodyText"/>
        <w:rPr>
          <w:lang w:eastAsia="ja-JP"/>
        </w:rPr>
      </w:pPr>
      <w:r>
        <w:rPr>
          <w:lang w:eastAsia="ja-JP"/>
        </w:rPr>
        <w:t xml:space="preserve">Next, consider the argument that </w:t>
      </w:r>
      <w:r w:rsidR="00922CAF">
        <w:rPr>
          <w:lang w:eastAsia="ja-JP"/>
        </w:rPr>
        <w:t xml:space="preserve">the </w:t>
      </w:r>
      <w:r>
        <w:rPr>
          <w:lang w:eastAsia="ja-JP"/>
        </w:rPr>
        <w:t xml:space="preserve">“unreasonable searches and seizures” </w:t>
      </w:r>
      <w:r w:rsidR="00922CAF">
        <w:rPr>
          <w:lang w:eastAsia="ja-JP"/>
        </w:rPr>
        <w:t xml:space="preserve">clause </w:t>
      </w:r>
      <w:r w:rsidR="00B46F1D">
        <w:rPr>
          <w:lang w:eastAsia="ja-JP"/>
        </w:rPr>
        <w:t xml:space="preserve">protects against </w:t>
      </w:r>
      <w:r w:rsidR="00885C98">
        <w:rPr>
          <w:lang w:eastAsia="ja-JP"/>
        </w:rPr>
        <w:t xml:space="preserve">not just general warrants, but </w:t>
      </w:r>
      <w:r w:rsidR="00B46F1D">
        <w:rPr>
          <w:lang w:eastAsia="ja-JP"/>
        </w:rPr>
        <w:t>all searches and seizures forbidden</w:t>
      </w:r>
      <w:r w:rsidR="00922CAF">
        <w:rPr>
          <w:lang w:eastAsia="ja-JP"/>
        </w:rPr>
        <w:t xml:space="preserve"> </w:t>
      </w:r>
      <w:r>
        <w:rPr>
          <w:lang w:eastAsia="ja-JP"/>
        </w:rPr>
        <w:t>by the common law</w:t>
      </w:r>
      <w:r w:rsidR="00C04376">
        <w:rPr>
          <w:lang w:eastAsia="ja-JP"/>
        </w:rPr>
        <w:t xml:space="preserve"> more generally</w:t>
      </w:r>
      <w:r w:rsidR="006538D9">
        <w:rPr>
          <w:lang w:eastAsia="ja-JP"/>
        </w:rPr>
        <w:t>.</w:t>
      </w:r>
      <w:r w:rsidR="00F6753A">
        <w:rPr>
          <w:lang w:eastAsia="ja-JP"/>
        </w:rPr>
        <w:t xml:space="preserve"> </w:t>
      </w:r>
      <w:r w:rsidR="006538D9">
        <w:rPr>
          <w:lang w:eastAsia="ja-JP"/>
        </w:rPr>
        <w:t>Laura Donohue has argued that</w:t>
      </w:r>
      <w:r w:rsidR="00885C98">
        <w:rPr>
          <w:lang w:eastAsia="ja-JP"/>
        </w:rPr>
        <w:t>, in historical context,</w:t>
      </w:r>
      <w:r w:rsidR="006538D9">
        <w:rPr>
          <w:lang w:eastAsia="ja-JP"/>
        </w:rPr>
        <w:t xml:space="preserve"> </w:t>
      </w:r>
      <w:r w:rsidR="00F6753A">
        <w:rPr>
          <w:lang w:eastAsia="ja-JP"/>
        </w:rPr>
        <w:t>“unreasonable”</w:t>
      </w:r>
      <w:r w:rsidR="006538D9">
        <w:rPr>
          <w:lang w:eastAsia="ja-JP"/>
        </w:rPr>
        <w:t xml:space="preserve"> is best understood </w:t>
      </w:r>
      <w:r w:rsidR="00E61B52">
        <w:rPr>
          <w:lang w:eastAsia="ja-JP"/>
        </w:rPr>
        <w:t>to mean</w:t>
      </w:r>
      <w:r w:rsidR="006538D9">
        <w:rPr>
          <w:lang w:eastAsia="ja-JP"/>
        </w:rPr>
        <w:t xml:space="preserve"> “</w:t>
      </w:r>
      <w:r w:rsidR="006538D9" w:rsidRPr="00F05AAE">
        <w:rPr>
          <w:lang w:eastAsia="ja-JP"/>
        </w:rPr>
        <w:t>against reason, or against the reason of the common law.</w:t>
      </w:r>
      <w:r w:rsidR="006538D9">
        <w:rPr>
          <w:lang w:eastAsia="ja-JP"/>
        </w:rPr>
        <w:t>”</w:t>
      </w:r>
      <w:r w:rsidR="006538D9" w:rsidRPr="002A4234">
        <w:rPr>
          <w:rStyle w:val="FootnoteReference"/>
        </w:rPr>
        <w:footnoteReference w:id="142"/>
      </w:r>
      <w:r w:rsidR="00B16EA0">
        <w:rPr>
          <w:lang w:eastAsia="ja-JP"/>
        </w:rPr>
        <w:t xml:space="preserve"> </w:t>
      </w:r>
      <w:r w:rsidR="006538D9">
        <w:rPr>
          <w:lang w:eastAsia="ja-JP"/>
        </w:rPr>
        <w:t>“</w:t>
      </w:r>
      <w:r w:rsidR="00B16EA0">
        <w:rPr>
          <w:lang w:eastAsia="ja-JP"/>
        </w:rPr>
        <w:t>[T]</w:t>
      </w:r>
      <w:r w:rsidR="006538D9" w:rsidRPr="000430B8">
        <w:rPr>
          <w:lang w:eastAsia="ja-JP"/>
        </w:rPr>
        <w:t>he basic idea</w:t>
      </w:r>
      <w:r w:rsidR="00B16EA0">
        <w:rPr>
          <w:lang w:eastAsia="ja-JP"/>
        </w:rPr>
        <w:t>,” she argues,</w:t>
      </w:r>
      <w:r w:rsidR="006538D9" w:rsidRPr="000430B8">
        <w:rPr>
          <w:lang w:eastAsia="ja-JP"/>
        </w:rPr>
        <w:t xml:space="preserve"> </w:t>
      </w:r>
      <w:r w:rsidR="00B16EA0">
        <w:rPr>
          <w:lang w:eastAsia="ja-JP"/>
        </w:rPr>
        <w:t>“</w:t>
      </w:r>
      <w:r w:rsidR="006538D9" w:rsidRPr="000430B8">
        <w:rPr>
          <w:lang w:eastAsia="ja-JP"/>
        </w:rPr>
        <w:t>was that the principles inherent in common law had legal force. That which was consistent</w:t>
      </w:r>
      <w:r w:rsidR="006538D9">
        <w:rPr>
          <w:lang w:eastAsia="ja-JP"/>
        </w:rPr>
        <w:t xml:space="preserve"> </w:t>
      </w:r>
      <w:r w:rsidR="006538D9" w:rsidRPr="008F3FB6">
        <w:rPr>
          <w:lang w:eastAsia="ja-JP"/>
        </w:rPr>
        <w:t>with the common law was re</w:t>
      </w:r>
      <w:r w:rsidR="006538D9">
        <w:rPr>
          <w:lang w:eastAsia="ja-JP"/>
        </w:rPr>
        <w:t>a</w:t>
      </w:r>
      <w:r w:rsidR="006538D9" w:rsidRPr="008F3FB6">
        <w:rPr>
          <w:lang w:eastAsia="ja-JP"/>
        </w:rPr>
        <w:t>sonable and, therefore, legal. That which was inconsistent was unreasonable and illegal.</w:t>
      </w:r>
      <w:r w:rsidR="006538D9">
        <w:rPr>
          <w:lang w:eastAsia="ja-JP"/>
        </w:rPr>
        <w:t>”</w:t>
      </w:r>
      <w:r w:rsidR="006538D9" w:rsidRPr="002A4234">
        <w:rPr>
          <w:rStyle w:val="FootnoteReference"/>
        </w:rPr>
        <w:footnoteReference w:id="143"/>
      </w:r>
      <w:r w:rsidR="006538D9">
        <w:rPr>
          <w:lang w:eastAsia="ja-JP"/>
        </w:rPr>
        <w:t xml:space="preserve"> </w:t>
      </w:r>
      <w:r w:rsidR="00E2525C">
        <w:rPr>
          <w:lang w:eastAsia="ja-JP"/>
        </w:rPr>
        <w:t>Other</w:t>
      </w:r>
      <w:r w:rsidR="00A535AA">
        <w:rPr>
          <w:lang w:eastAsia="ja-JP"/>
        </w:rPr>
        <w:t xml:space="preserve"> scholars agree that the Fourth Amendment should be read as incorporating common law</w:t>
      </w:r>
      <w:r w:rsidR="00D314E0">
        <w:rPr>
          <w:lang w:eastAsia="ja-JP"/>
        </w:rPr>
        <w:t>,</w:t>
      </w:r>
      <w:r w:rsidR="00A535AA">
        <w:rPr>
          <w:lang w:eastAsia="ja-JP"/>
        </w:rPr>
        <w:t xml:space="preserve"> at least in some way.</w:t>
      </w:r>
      <w:bookmarkStart w:id="42" w:name="_Ref114097449"/>
      <w:r w:rsidR="00A535AA" w:rsidRPr="002A4234">
        <w:rPr>
          <w:rStyle w:val="FootnoteReference"/>
        </w:rPr>
        <w:footnoteReference w:id="144"/>
      </w:r>
      <w:bookmarkEnd w:id="42"/>
    </w:p>
    <w:p w14:paraId="5419205D" w14:textId="5B230D01" w:rsidR="004C3090" w:rsidRDefault="005C307F" w:rsidP="00900777">
      <w:pPr>
        <w:pStyle w:val="BodyText"/>
        <w:rPr>
          <w:lang w:eastAsia="ja-JP"/>
        </w:rPr>
      </w:pPr>
      <w:r>
        <w:rPr>
          <w:lang w:eastAsia="ja-JP"/>
        </w:rPr>
        <w:t xml:space="preserve">Donohue’s </w:t>
      </w:r>
      <w:r w:rsidR="006C6BDC">
        <w:rPr>
          <w:lang w:eastAsia="ja-JP"/>
        </w:rPr>
        <w:t xml:space="preserve">research </w:t>
      </w:r>
      <w:r w:rsidR="00CD094C">
        <w:rPr>
          <w:lang w:eastAsia="ja-JP"/>
        </w:rPr>
        <w:t>provides support f</w:t>
      </w:r>
      <w:r w:rsidR="00004EE8">
        <w:rPr>
          <w:lang w:eastAsia="ja-JP"/>
        </w:rPr>
        <w:t xml:space="preserve">or </w:t>
      </w:r>
      <w:r w:rsidR="00141C22">
        <w:rPr>
          <w:lang w:eastAsia="ja-JP"/>
        </w:rPr>
        <w:t>Joseph</w:t>
      </w:r>
      <w:r w:rsidR="00BA65BF">
        <w:rPr>
          <w:lang w:eastAsia="ja-JP"/>
        </w:rPr>
        <w:t xml:space="preserve"> Story’s much earlier as</w:t>
      </w:r>
      <w:r w:rsidR="001146CB">
        <w:rPr>
          <w:lang w:eastAsia="ja-JP"/>
        </w:rPr>
        <w:t xml:space="preserve">sertion that the Fourth Amendment </w:t>
      </w:r>
      <w:r w:rsidR="00EA1BB7">
        <w:rPr>
          <w:lang w:eastAsia="ja-JP"/>
        </w:rPr>
        <w:t xml:space="preserve">was “little more than the affirmance of a great </w:t>
      </w:r>
      <w:r w:rsidR="00EA1BB7">
        <w:rPr>
          <w:lang w:eastAsia="ja-JP"/>
        </w:rPr>
        <w:lastRenderedPageBreak/>
        <w:t>constitutional doctrine of the common law</w:t>
      </w:r>
      <w:r w:rsidR="00E461EF">
        <w:rPr>
          <w:lang w:eastAsia="ja-JP"/>
        </w:rPr>
        <w:t>.”</w:t>
      </w:r>
      <w:r w:rsidR="006F3827" w:rsidRPr="002A4234">
        <w:rPr>
          <w:rStyle w:val="FootnoteReference"/>
        </w:rPr>
        <w:footnoteReference w:id="145"/>
      </w:r>
      <w:r w:rsidR="004D5789">
        <w:rPr>
          <w:lang w:eastAsia="ja-JP"/>
        </w:rPr>
        <w:t xml:space="preserve"> </w:t>
      </w:r>
      <w:r w:rsidR="00F8663E">
        <w:rPr>
          <w:lang w:eastAsia="ja-JP"/>
        </w:rPr>
        <w:t xml:space="preserve">Indeed, </w:t>
      </w:r>
      <w:r w:rsidR="003811F3">
        <w:rPr>
          <w:lang w:eastAsia="ja-JP"/>
        </w:rPr>
        <w:t>there is</w:t>
      </w:r>
      <w:r w:rsidR="003E4C91">
        <w:rPr>
          <w:lang w:eastAsia="ja-JP"/>
        </w:rPr>
        <w:t xml:space="preserve"> plentif</w:t>
      </w:r>
      <w:r w:rsidR="00DF35C6">
        <w:rPr>
          <w:lang w:eastAsia="ja-JP"/>
        </w:rPr>
        <w:t>ul evidence that</w:t>
      </w:r>
      <w:r w:rsidR="003F537B">
        <w:rPr>
          <w:lang w:eastAsia="ja-JP"/>
        </w:rPr>
        <w:t xml:space="preserve"> </w:t>
      </w:r>
      <w:r w:rsidR="00B15842">
        <w:rPr>
          <w:lang w:eastAsia="ja-JP"/>
        </w:rPr>
        <w:t xml:space="preserve">the common law was </w:t>
      </w:r>
      <w:r w:rsidR="00D45A7B">
        <w:rPr>
          <w:lang w:eastAsia="ja-JP"/>
        </w:rPr>
        <w:t>understood to be closely</w:t>
      </w:r>
      <w:r w:rsidR="00B15842">
        <w:rPr>
          <w:lang w:eastAsia="ja-JP"/>
        </w:rPr>
        <w:t xml:space="preserve"> </w:t>
      </w:r>
      <w:r w:rsidR="00D45A7B">
        <w:rPr>
          <w:lang w:eastAsia="ja-JP"/>
        </w:rPr>
        <w:t>connected</w:t>
      </w:r>
      <w:r w:rsidR="00B15842">
        <w:rPr>
          <w:lang w:eastAsia="ja-JP"/>
        </w:rPr>
        <w:t xml:space="preserve"> with</w:t>
      </w:r>
      <w:r w:rsidR="00A321FB">
        <w:rPr>
          <w:lang w:eastAsia="ja-JP"/>
        </w:rPr>
        <w:t xml:space="preserve"> various concepts of</w:t>
      </w:r>
      <w:r w:rsidR="00B15842">
        <w:rPr>
          <w:lang w:eastAsia="ja-JP"/>
        </w:rPr>
        <w:t xml:space="preserve"> “reason” </w:t>
      </w:r>
      <w:r w:rsidR="003F537B">
        <w:rPr>
          <w:lang w:eastAsia="ja-JP"/>
        </w:rPr>
        <w:t>in the Founding era</w:t>
      </w:r>
      <w:r w:rsidR="00B15842">
        <w:rPr>
          <w:lang w:eastAsia="ja-JP"/>
        </w:rPr>
        <w:t>.</w:t>
      </w:r>
      <w:r w:rsidR="00653477" w:rsidRPr="002A4234">
        <w:rPr>
          <w:rStyle w:val="FootnoteReference"/>
        </w:rPr>
        <w:footnoteReference w:id="146"/>
      </w:r>
      <w:r w:rsidR="00521F4D">
        <w:rPr>
          <w:lang w:eastAsia="ja-JP"/>
        </w:rPr>
        <w:t xml:space="preserve"> </w:t>
      </w:r>
      <w:r w:rsidR="00280DC6">
        <w:rPr>
          <w:lang w:eastAsia="ja-JP"/>
        </w:rPr>
        <w:t>Sir Edward Coke argued that “reason is the life of the law, nay the common law itselfe is nothing else but reason</w:t>
      </w:r>
      <w:r w:rsidR="00FD3813">
        <w:rPr>
          <w:lang w:eastAsia="ja-JP"/>
        </w:rPr>
        <w:t>.”</w:t>
      </w:r>
      <w:r w:rsidR="009A7018" w:rsidRPr="002A4234">
        <w:rPr>
          <w:rStyle w:val="FootnoteReference"/>
        </w:rPr>
        <w:footnoteReference w:id="147"/>
      </w:r>
      <w:r w:rsidR="00593B5B">
        <w:rPr>
          <w:lang w:eastAsia="ja-JP"/>
        </w:rPr>
        <w:t xml:space="preserve"> Blackstone sought to justify </w:t>
      </w:r>
      <w:r w:rsidR="008B2C2F">
        <w:rPr>
          <w:lang w:eastAsia="ja-JP"/>
        </w:rPr>
        <w:t xml:space="preserve">English lawyers’ </w:t>
      </w:r>
      <w:r w:rsidR="00B22BF1">
        <w:rPr>
          <w:lang w:eastAsia="ja-JP"/>
        </w:rPr>
        <w:t>praise for</w:t>
      </w:r>
      <w:r w:rsidR="00F64A20">
        <w:rPr>
          <w:lang w:eastAsia="ja-JP"/>
        </w:rPr>
        <w:t xml:space="preserve"> “</w:t>
      </w:r>
      <w:r w:rsidR="00F64A20" w:rsidRPr="00F64A20">
        <w:rPr>
          <w:lang w:eastAsia="ja-JP"/>
        </w:rPr>
        <w:t>the reason of the common law</w:t>
      </w:r>
      <w:r w:rsidR="00F64A20">
        <w:rPr>
          <w:lang w:eastAsia="ja-JP"/>
        </w:rPr>
        <w:t>” and their claims that “</w:t>
      </w:r>
      <w:r w:rsidR="00F64A20" w:rsidRPr="00F64A20">
        <w:rPr>
          <w:lang w:eastAsia="ja-JP"/>
        </w:rPr>
        <w:t>the law is the perfection of reason</w:t>
      </w:r>
      <w:r w:rsidR="00F64A20">
        <w:rPr>
          <w:lang w:eastAsia="ja-JP"/>
        </w:rPr>
        <w:t>.”</w:t>
      </w:r>
      <w:bookmarkStart w:id="44" w:name="_Ref114097728"/>
      <w:r w:rsidR="00431C4F" w:rsidRPr="002A4234">
        <w:rPr>
          <w:rStyle w:val="FootnoteReference"/>
        </w:rPr>
        <w:footnoteReference w:id="148"/>
      </w:r>
      <w:bookmarkEnd w:id="44"/>
      <w:r w:rsidR="002A644E">
        <w:rPr>
          <w:lang w:eastAsia="ja-JP"/>
        </w:rPr>
        <w:t xml:space="preserve"> Moreover,</w:t>
      </w:r>
      <w:r w:rsidR="0084721C">
        <w:rPr>
          <w:lang w:eastAsia="ja-JP"/>
        </w:rPr>
        <w:t xml:space="preserve"> John Adams, the key figure in the </w:t>
      </w:r>
      <w:r w:rsidR="00BF30BA">
        <w:rPr>
          <w:lang w:eastAsia="ja-JP"/>
        </w:rPr>
        <w:t>drafting</w:t>
      </w:r>
      <w:r w:rsidR="0084721C">
        <w:rPr>
          <w:lang w:eastAsia="ja-JP"/>
        </w:rPr>
        <w:t xml:space="preserve"> of the Fourth Amendment, wrote an abstract of </w:t>
      </w:r>
      <w:r w:rsidR="00BF30BA">
        <w:rPr>
          <w:lang w:eastAsia="ja-JP"/>
        </w:rPr>
        <w:t xml:space="preserve">James </w:t>
      </w:r>
      <w:r w:rsidR="0084721C">
        <w:rPr>
          <w:lang w:eastAsia="ja-JP"/>
        </w:rPr>
        <w:t xml:space="preserve">Otis’s </w:t>
      </w:r>
      <w:r w:rsidR="006524BB">
        <w:rPr>
          <w:lang w:eastAsia="ja-JP"/>
        </w:rPr>
        <w:t xml:space="preserve">argument in the </w:t>
      </w:r>
      <w:r w:rsidR="006524BB">
        <w:rPr>
          <w:i/>
          <w:iCs/>
          <w:lang w:eastAsia="ja-JP"/>
        </w:rPr>
        <w:t>Writs of Assistance Case</w:t>
      </w:r>
      <w:r w:rsidR="006524BB">
        <w:rPr>
          <w:lang w:eastAsia="ja-JP"/>
        </w:rPr>
        <w:t xml:space="preserve">, </w:t>
      </w:r>
      <w:r w:rsidR="00D05C06">
        <w:rPr>
          <w:lang w:eastAsia="ja-JP"/>
        </w:rPr>
        <w:t xml:space="preserve">where he summarized Otis as arguing that the “[r]eason of the common law” </w:t>
      </w:r>
      <w:r w:rsidR="00224BCC">
        <w:rPr>
          <w:lang w:eastAsia="ja-JP"/>
        </w:rPr>
        <w:t xml:space="preserve">could “control an Act of Parliament” </w:t>
      </w:r>
      <w:r w:rsidR="00E807BF">
        <w:rPr>
          <w:lang w:eastAsia="ja-JP"/>
        </w:rPr>
        <w:t>that authorized general warrants.</w:t>
      </w:r>
      <w:r w:rsidR="00FD5DF5" w:rsidRPr="002A4234">
        <w:rPr>
          <w:rStyle w:val="FootnoteReference"/>
        </w:rPr>
        <w:footnoteReference w:id="149"/>
      </w:r>
      <w:r w:rsidR="00A75440">
        <w:rPr>
          <w:lang w:eastAsia="ja-JP"/>
        </w:rPr>
        <w:t xml:space="preserve"> </w:t>
      </w:r>
      <w:r w:rsidR="00B7712F">
        <w:rPr>
          <w:lang w:eastAsia="ja-JP"/>
        </w:rPr>
        <w:t>To be sure, some scholars,</w:t>
      </w:r>
      <w:r w:rsidR="004869A4">
        <w:rPr>
          <w:lang w:eastAsia="ja-JP"/>
        </w:rPr>
        <w:t xml:space="preserve"> most notably </w:t>
      </w:r>
      <w:r w:rsidR="00325ADF">
        <w:rPr>
          <w:lang w:eastAsia="ja-JP"/>
        </w:rPr>
        <w:t>David</w:t>
      </w:r>
      <w:r w:rsidR="004869A4">
        <w:rPr>
          <w:lang w:eastAsia="ja-JP"/>
        </w:rPr>
        <w:t xml:space="preserve"> Sklansky,</w:t>
      </w:r>
      <w:r w:rsidR="003C1E9E">
        <w:rPr>
          <w:rStyle w:val="FootnoteReference"/>
          <w:lang w:eastAsia="ja-JP"/>
        </w:rPr>
        <w:footnoteReference w:id="150"/>
      </w:r>
      <w:r w:rsidR="004869A4">
        <w:rPr>
          <w:lang w:eastAsia="ja-JP"/>
        </w:rPr>
        <w:t xml:space="preserve"> dispute the notion that “unreasonable” should invoke the common law</w:t>
      </w:r>
      <w:r w:rsidR="00B7712F">
        <w:rPr>
          <w:lang w:eastAsia="ja-JP"/>
        </w:rPr>
        <w:t>. But</w:t>
      </w:r>
      <w:r w:rsidR="007211F7">
        <w:rPr>
          <w:lang w:eastAsia="ja-JP"/>
        </w:rPr>
        <w:t xml:space="preserve"> even if the case is not conclusive,</w:t>
      </w:r>
      <w:r w:rsidR="000A5691">
        <w:rPr>
          <w:lang w:eastAsia="ja-JP"/>
        </w:rPr>
        <w:t xml:space="preserve"> there</w:t>
      </w:r>
      <w:r w:rsidR="00B7712F">
        <w:rPr>
          <w:lang w:eastAsia="ja-JP"/>
        </w:rPr>
        <w:t xml:space="preserve"> are strong arguments in favor of a reading of “unreasonable</w:t>
      </w:r>
      <w:r w:rsidR="007C0D6D">
        <w:rPr>
          <w:lang w:eastAsia="ja-JP"/>
        </w:rPr>
        <w:t>” that looks to common law in some way.</w:t>
      </w:r>
    </w:p>
    <w:p w14:paraId="7C5832C8" w14:textId="29EEC166" w:rsidR="00B81363" w:rsidRDefault="00F31B03" w:rsidP="00604B26">
      <w:pPr>
        <w:pStyle w:val="BodyText"/>
        <w:rPr>
          <w:lang w:eastAsia="ja-JP"/>
        </w:rPr>
      </w:pPr>
      <w:r>
        <w:rPr>
          <w:lang w:eastAsia="ja-JP"/>
        </w:rPr>
        <w:t xml:space="preserve">But </w:t>
      </w:r>
      <w:r w:rsidR="000E3C4D">
        <w:rPr>
          <w:lang w:eastAsia="ja-JP"/>
        </w:rPr>
        <w:t xml:space="preserve">even </w:t>
      </w:r>
      <w:r>
        <w:rPr>
          <w:lang w:eastAsia="ja-JP"/>
        </w:rPr>
        <w:t xml:space="preserve">if </w:t>
      </w:r>
      <w:r w:rsidR="000E3C4D">
        <w:rPr>
          <w:lang w:eastAsia="ja-JP"/>
        </w:rPr>
        <w:t>one reads “unreasonable”</w:t>
      </w:r>
      <w:r w:rsidR="00900777">
        <w:rPr>
          <w:lang w:eastAsia="ja-JP"/>
        </w:rPr>
        <w:t xml:space="preserve"> </w:t>
      </w:r>
      <w:r w:rsidR="000E3C4D">
        <w:rPr>
          <w:lang w:eastAsia="ja-JP"/>
        </w:rPr>
        <w:t>as</w:t>
      </w:r>
      <w:r w:rsidR="00F90C8B">
        <w:rPr>
          <w:lang w:eastAsia="ja-JP"/>
        </w:rPr>
        <w:t xml:space="preserve"> “against the reason of the common law,”</w:t>
      </w:r>
      <w:r>
        <w:rPr>
          <w:lang w:eastAsia="ja-JP"/>
        </w:rPr>
        <w:t xml:space="preserve"> the question </w:t>
      </w:r>
      <w:r w:rsidR="000822AC">
        <w:rPr>
          <w:lang w:eastAsia="ja-JP"/>
        </w:rPr>
        <w:t>would remain</w:t>
      </w:r>
      <w:r>
        <w:rPr>
          <w:lang w:eastAsia="ja-JP"/>
        </w:rPr>
        <w:t xml:space="preserve">: </w:t>
      </w:r>
      <w:r>
        <w:rPr>
          <w:i/>
          <w:iCs/>
          <w:lang w:eastAsia="ja-JP"/>
        </w:rPr>
        <w:t>which</w:t>
      </w:r>
      <w:r>
        <w:rPr>
          <w:lang w:eastAsia="ja-JP"/>
        </w:rPr>
        <w:t xml:space="preserve"> common law? The dominant answer</w:t>
      </w:r>
      <w:r w:rsidR="00F90C8B">
        <w:rPr>
          <w:lang w:eastAsia="ja-JP"/>
        </w:rPr>
        <w:t xml:space="preserve"> among those who favor this reading</w:t>
      </w:r>
      <w:r>
        <w:rPr>
          <w:lang w:eastAsia="ja-JP"/>
        </w:rPr>
        <w:t xml:space="preserve"> seems to be that the Fourth Amendment incorporates the common-law rules </w:t>
      </w:r>
      <w:r w:rsidR="008E0587">
        <w:rPr>
          <w:lang w:eastAsia="ja-JP"/>
        </w:rPr>
        <w:t xml:space="preserve">that existed </w:t>
      </w:r>
      <w:r>
        <w:rPr>
          <w:lang w:eastAsia="ja-JP"/>
        </w:rPr>
        <w:t>in 1791.</w:t>
      </w:r>
      <w:r w:rsidR="00F90C8B">
        <w:rPr>
          <w:lang w:eastAsia="ja-JP"/>
        </w:rPr>
        <w:t xml:space="preserve"> </w:t>
      </w:r>
      <w:r w:rsidR="00604B26">
        <w:rPr>
          <w:lang w:eastAsia="ja-JP"/>
        </w:rPr>
        <w:t>Another question is exactly how broadly the Fourth Amendment should be read to incorporate the common law. Does it forbid only the common law’s</w:t>
      </w:r>
      <w:r w:rsidR="005B47B5">
        <w:rPr>
          <w:lang w:eastAsia="ja-JP"/>
        </w:rPr>
        <w:t xml:space="preserve"> prohibitions on</w:t>
      </w:r>
      <w:r w:rsidR="00604B26">
        <w:rPr>
          <w:lang w:eastAsia="ja-JP"/>
        </w:rPr>
        <w:t xml:space="preserve"> </w:t>
      </w:r>
      <w:r w:rsidR="00475991">
        <w:rPr>
          <w:lang w:eastAsia="ja-JP"/>
        </w:rPr>
        <w:t>certain</w:t>
      </w:r>
      <w:r w:rsidR="00604B26">
        <w:rPr>
          <w:lang w:eastAsia="ja-JP"/>
        </w:rPr>
        <w:t xml:space="preserve"> </w:t>
      </w:r>
      <w:r w:rsidR="00604B26">
        <w:rPr>
          <w:i/>
          <w:iCs/>
          <w:lang w:eastAsia="ja-JP"/>
        </w:rPr>
        <w:t>search and seizure</w:t>
      </w:r>
      <w:r w:rsidR="00604B26">
        <w:rPr>
          <w:lang w:eastAsia="ja-JP"/>
        </w:rPr>
        <w:t xml:space="preserve"> practice</w:t>
      </w:r>
      <w:r w:rsidR="005B47B5">
        <w:rPr>
          <w:lang w:eastAsia="ja-JP"/>
        </w:rPr>
        <w:t xml:space="preserve">s, or does it more broadly </w:t>
      </w:r>
      <w:r w:rsidR="00414DD2">
        <w:rPr>
          <w:lang w:eastAsia="ja-JP"/>
        </w:rPr>
        <w:t xml:space="preserve">constitutionalize </w:t>
      </w:r>
      <w:r w:rsidR="006413C1">
        <w:rPr>
          <w:lang w:eastAsia="ja-JP"/>
        </w:rPr>
        <w:t xml:space="preserve">common law protections </w:t>
      </w:r>
      <w:r w:rsidR="007B1624">
        <w:rPr>
          <w:lang w:eastAsia="ja-JP"/>
        </w:rPr>
        <w:t>for property and persons?</w:t>
      </w:r>
    </w:p>
    <w:p w14:paraId="10F4B5D9" w14:textId="0B68484B" w:rsidR="00F90C8B" w:rsidRPr="00132A10" w:rsidRDefault="001C033B" w:rsidP="00604B26">
      <w:pPr>
        <w:pStyle w:val="BodyText"/>
        <w:rPr>
          <w:lang w:eastAsia="ja-JP"/>
        </w:rPr>
      </w:pPr>
      <w:r>
        <w:rPr>
          <w:lang w:eastAsia="ja-JP"/>
        </w:rPr>
        <w:t xml:space="preserve">In Supreme Court </w:t>
      </w:r>
      <w:r w:rsidR="004035ED">
        <w:rPr>
          <w:lang w:eastAsia="ja-JP"/>
        </w:rPr>
        <w:t xml:space="preserve">precedent, </w:t>
      </w:r>
      <w:r w:rsidR="002254A6">
        <w:rPr>
          <w:lang w:eastAsia="ja-JP"/>
        </w:rPr>
        <w:t>t</w:t>
      </w:r>
      <w:r w:rsidR="00B03408">
        <w:rPr>
          <w:lang w:eastAsia="ja-JP"/>
        </w:rPr>
        <w:t xml:space="preserve">here </w:t>
      </w:r>
      <w:r w:rsidR="00743CC1">
        <w:rPr>
          <w:lang w:eastAsia="ja-JP"/>
        </w:rPr>
        <w:t>is</w:t>
      </w:r>
      <w:r w:rsidR="00B03408">
        <w:rPr>
          <w:lang w:eastAsia="ja-JP"/>
        </w:rPr>
        <w:t xml:space="preserve"> </w:t>
      </w:r>
      <w:r w:rsidR="00743CC1">
        <w:rPr>
          <w:lang w:eastAsia="ja-JP"/>
        </w:rPr>
        <w:t xml:space="preserve">apparent </w:t>
      </w:r>
      <w:r w:rsidR="00B03408">
        <w:rPr>
          <w:lang w:eastAsia="ja-JP"/>
        </w:rPr>
        <w:t xml:space="preserve">consensus that the Fourth Amendment </w:t>
      </w:r>
      <w:r w:rsidR="000F4452">
        <w:rPr>
          <w:lang w:eastAsia="ja-JP"/>
        </w:rPr>
        <w:t xml:space="preserve">incorporates </w:t>
      </w:r>
      <w:r w:rsidR="00CF79E3">
        <w:rPr>
          <w:lang w:eastAsia="ja-JP"/>
        </w:rPr>
        <w:t>some</w:t>
      </w:r>
      <w:r w:rsidR="000F4452">
        <w:rPr>
          <w:lang w:eastAsia="ja-JP"/>
        </w:rPr>
        <w:t xml:space="preserve"> common-law rules</w:t>
      </w:r>
      <w:r w:rsidR="00F94C5A">
        <w:rPr>
          <w:lang w:eastAsia="ja-JP"/>
        </w:rPr>
        <w:t xml:space="preserve"> specific to search and seizure</w:t>
      </w:r>
      <w:r w:rsidR="00F35B80">
        <w:rPr>
          <w:lang w:eastAsia="ja-JP"/>
        </w:rPr>
        <w:t xml:space="preserve">. </w:t>
      </w:r>
      <w:r w:rsidR="00CB508D">
        <w:rPr>
          <w:lang w:eastAsia="ja-JP"/>
        </w:rPr>
        <w:t xml:space="preserve">In </w:t>
      </w:r>
      <w:r w:rsidR="00CB508D">
        <w:rPr>
          <w:i/>
          <w:iCs/>
          <w:lang w:eastAsia="ja-JP"/>
        </w:rPr>
        <w:t>Wilson v. Arkansas</w:t>
      </w:r>
      <w:r w:rsidR="00CB508D">
        <w:rPr>
          <w:lang w:eastAsia="ja-JP"/>
        </w:rPr>
        <w:t xml:space="preserve">, for example, </w:t>
      </w:r>
      <w:r w:rsidR="00E7253A">
        <w:rPr>
          <w:lang w:eastAsia="ja-JP"/>
        </w:rPr>
        <w:t xml:space="preserve">a unanimous Court agreed </w:t>
      </w:r>
      <w:r w:rsidR="007D6C5C">
        <w:rPr>
          <w:lang w:eastAsia="ja-JP"/>
        </w:rPr>
        <w:t xml:space="preserve">that (1) the common law required law enforcement officers entering a dwelling to knock and announce their presence and that (2) this rule was incorporated into </w:t>
      </w:r>
      <w:r w:rsidR="00ED77D5">
        <w:rPr>
          <w:lang w:eastAsia="ja-JP"/>
        </w:rPr>
        <w:t>Fourth Amendment reasonableness.</w:t>
      </w:r>
      <w:r w:rsidR="00ED77D5" w:rsidRPr="002A4234">
        <w:rPr>
          <w:rStyle w:val="FootnoteReference"/>
        </w:rPr>
        <w:footnoteReference w:id="151"/>
      </w:r>
      <w:r w:rsidR="00132A10">
        <w:rPr>
          <w:lang w:eastAsia="ja-JP"/>
        </w:rPr>
        <w:t xml:space="preserve"> At other times, though, the Court seems to have looked to </w:t>
      </w:r>
      <w:r w:rsidR="00132A10">
        <w:rPr>
          <w:lang w:eastAsia="ja-JP"/>
        </w:rPr>
        <w:lastRenderedPageBreak/>
        <w:t>common law more generally</w:t>
      </w:r>
      <w:r w:rsidR="00B00279">
        <w:rPr>
          <w:lang w:eastAsia="ja-JP"/>
        </w:rPr>
        <w:t xml:space="preserve"> to determine whether a search </w:t>
      </w:r>
      <w:r w:rsidR="0057613F">
        <w:rPr>
          <w:lang w:eastAsia="ja-JP"/>
        </w:rPr>
        <w:t>is permissible.</w:t>
      </w:r>
      <w:r w:rsidR="00606310">
        <w:rPr>
          <w:lang w:eastAsia="ja-JP"/>
        </w:rPr>
        <w:t xml:space="preserve"> I</w:t>
      </w:r>
      <w:r w:rsidR="00132A10">
        <w:rPr>
          <w:lang w:eastAsia="ja-JP"/>
        </w:rPr>
        <w:t xml:space="preserve">n </w:t>
      </w:r>
      <w:r w:rsidR="00132A10">
        <w:rPr>
          <w:i/>
          <w:iCs/>
          <w:lang w:eastAsia="ja-JP"/>
        </w:rPr>
        <w:t>Jones</w:t>
      </w:r>
      <w:r w:rsidR="00132A10">
        <w:rPr>
          <w:lang w:eastAsia="ja-JP"/>
        </w:rPr>
        <w:t>, the Court determined that installation of a GPS tracker was a “search” because it constituted a trespass</w:t>
      </w:r>
      <w:r w:rsidR="006D5997">
        <w:rPr>
          <w:lang w:eastAsia="ja-JP"/>
        </w:rPr>
        <w:t xml:space="preserve"> under common-law principles (though the Court was far from clear about exactly which source of trespass law it was drawing on)</w:t>
      </w:r>
      <w:r w:rsidR="00132A10">
        <w:rPr>
          <w:lang w:eastAsia="ja-JP"/>
        </w:rPr>
        <w:t>.</w:t>
      </w:r>
    </w:p>
    <w:p w14:paraId="0ED86CDB" w14:textId="5CB0AA63" w:rsidR="00451283" w:rsidRDefault="00B01414" w:rsidP="00B62C34">
      <w:pPr>
        <w:pStyle w:val="BodyText"/>
        <w:rPr>
          <w:lang w:eastAsia="ja-JP"/>
        </w:rPr>
      </w:pPr>
      <w:r>
        <w:rPr>
          <w:lang w:eastAsia="ja-JP"/>
        </w:rPr>
        <w:t>Whether limited to</w:t>
      </w:r>
      <w:r w:rsidR="00A0549B">
        <w:rPr>
          <w:lang w:eastAsia="ja-JP"/>
        </w:rPr>
        <w:t xml:space="preserve"> search-and-seizure</w:t>
      </w:r>
      <w:r w:rsidR="002620BA">
        <w:rPr>
          <w:lang w:eastAsia="ja-JP"/>
        </w:rPr>
        <w:t xml:space="preserve"> practice</w:t>
      </w:r>
      <w:r w:rsidR="00A0549B">
        <w:rPr>
          <w:lang w:eastAsia="ja-JP"/>
        </w:rPr>
        <w:t xml:space="preserve"> or not, there are deep problems with </w:t>
      </w:r>
      <w:r w:rsidR="008F7591">
        <w:rPr>
          <w:lang w:eastAsia="ja-JP"/>
        </w:rPr>
        <w:t>reading the Fourth Amendment as freezing</w:t>
      </w:r>
      <w:r w:rsidR="00A0549B">
        <w:rPr>
          <w:lang w:eastAsia="ja-JP"/>
        </w:rPr>
        <w:t xml:space="preserve"> </w:t>
      </w:r>
      <w:r w:rsidR="008E0587">
        <w:rPr>
          <w:lang w:eastAsia="ja-JP"/>
        </w:rPr>
        <w:t xml:space="preserve">in place the common-law rules of </w:t>
      </w:r>
      <w:r w:rsidR="00A0549B">
        <w:rPr>
          <w:lang w:eastAsia="ja-JP"/>
        </w:rPr>
        <w:t xml:space="preserve">1791. </w:t>
      </w:r>
      <w:r w:rsidR="006A209A">
        <w:rPr>
          <w:lang w:eastAsia="ja-JP"/>
        </w:rPr>
        <w:t>F</w:t>
      </w:r>
      <w:r w:rsidR="0046746E">
        <w:rPr>
          <w:lang w:eastAsia="ja-JP"/>
        </w:rPr>
        <w:t xml:space="preserve">or one, </w:t>
      </w:r>
      <w:r w:rsidR="00E94531">
        <w:rPr>
          <w:lang w:eastAsia="ja-JP"/>
        </w:rPr>
        <w:t xml:space="preserve">as </w:t>
      </w:r>
      <w:r w:rsidR="00A535AA">
        <w:rPr>
          <w:lang w:eastAsia="ja-JP"/>
        </w:rPr>
        <w:t xml:space="preserve">Sklansky has </w:t>
      </w:r>
      <w:r w:rsidR="0046746E">
        <w:rPr>
          <w:lang w:eastAsia="ja-JP"/>
        </w:rPr>
        <w:t>argued</w:t>
      </w:r>
      <w:r w:rsidR="00E94531">
        <w:rPr>
          <w:lang w:eastAsia="ja-JP"/>
        </w:rPr>
        <w:t>,</w:t>
      </w:r>
      <w:r w:rsidR="00447125">
        <w:rPr>
          <w:lang w:eastAsia="ja-JP"/>
        </w:rPr>
        <w:t xml:space="preserve"> </w:t>
      </w:r>
      <w:r w:rsidR="00973997">
        <w:rPr>
          <w:lang w:eastAsia="ja-JP"/>
        </w:rPr>
        <w:t xml:space="preserve">common law </w:t>
      </w:r>
      <w:r w:rsidR="00A93786">
        <w:rPr>
          <w:lang w:eastAsia="ja-JP"/>
        </w:rPr>
        <w:t>at that time</w:t>
      </w:r>
      <w:r w:rsidR="00281B01">
        <w:rPr>
          <w:lang w:eastAsia="ja-JP"/>
        </w:rPr>
        <w:t xml:space="preserve"> was</w:t>
      </w:r>
      <w:r w:rsidR="0037784A">
        <w:rPr>
          <w:lang w:eastAsia="ja-JP"/>
        </w:rPr>
        <w:t xml:space="preserve"> “</w:t>
      </w:r>
      <w:r w:rsidR="0037784A" w:rsidRPr="0037784A">
        <w:rPr>
          <w:lang w:eastAsia="ja-JP"/>
        </w:rPr>
        <w:t>far more fragmentary and far less consistent than might be imagined</w:t>
      </w:r>
      <w:r w:rsidR="0037784A">
        <w:rPr>
          <w:lang w:eastAsia="ja-JP"/>
        </w:rPr>
        <w:t>.”</w:t>
      </w:r>
      <w:r w:rsidR="00264645" w:rsidRPr="002A4234">
        <w:rPr>
          <w:rStyle w:val="FootnoteReference"/>
        </w:rPr>
        <w:footnoteReference w:id="152"/>
      </w:r>
      <w:r w:rsidR="00581307">
        <w:rPr>
          <w:lang w:eastAsia="ja-JP"/>
        </w:rPr>
        <w:t xml:space="preserve"> </w:t>
      </w:r>
      <w:r w:rsidR="00D31679">
        <w:rPr>
          <w:lang w:eastAsia="ja-JP"/>
        </w:rPr>
        <w:t>Consequently, a</w:t>
      </w:r>
      <w:r w:rsidR="00581307">
        <w:rPr>
          <w:lang w:eastAsia="ja-JP"/>
        </w:rPr>
        <w:t xml:space="preserve"> theory that </w:t>
      </w:r>
      <w:r w:rsidR="00970266">
        <w:rPr>
          <w:lang w:eastAsia="ja-JP"/>
        </w:rPr>
        <w:t xml:space="preserve">depends on the assumption that such law can be </w:t>
      </w:r>
      <w:r w:rsidR="0037784A">
        <w:rPr>
          <w:lang w:eastAsia="ja-JP"/>
        </w:rPr>
        <w:t xml:space="preserve">consistently </w:t>
      </w:r>
      <w:r w:rsidR="00970266">
        <w:rPr>
          <w:lang w:eastAsia="ja-JP"/>
        </w:rPr>
        <w:t xml:space="preserve">divined with </w:t>
      </w:r>
      <w:r w:rsidR="006C15F2">
        <w:rPr>
          <w:lang w:eastAsia="ja-JP"/>
        </w:rPr>
        <w:t xml:space="preserve">any </w:t>
      </w:r>
      <w:r w:rsidR="00970266">
        <w:rPr>
          <w:lang w:eastAsia="ja-JP"/>
        </w:rPr>
        <w:t xml:space="preserve">certainty today </w:t>
      </w:r>
      <w:r w:rsidR="00164CE7">
        <w:rPr>
          <w:lang w:eastAsia="ja-JP"/>
        </w:rPr>
        <w:t>m</w:t>
      </w:r>
      <w:r w:rsidR="00647867">
        <w:rPr>
          <w:lang w:eastAsia="ja-JP"/>
        </w:rPr>
        <w:t>ight</w:t>
      </w:r>
      <w:r w:rsidR="00164CE7">
        <w:rPr>
          <w:lang w:eastAsia="ja-JP"/>
        </w:rPr>
        <w:t xml:space="preserve"> be </w:t>
      </w:r>
      <w:r w:rsidR="00970266">
        <w:rPr>
          <w:lang w:eastAsia="ja-JP"/>
        </w:rPr>
        <w:t xml:space="preserve">unrealistic. </w:t>
      </w:r>
      <w:r w:rsidR="00457D49">
        <w:rPr>
          <w:lang w:eastAsia="ja-JP"/>
        </w:rPr>
        <w:t>And e</w:t>
      </w:r>
      <w:r w:rsidR="00451283">
        <w:rPr>
          <w:lang w:eastAsia="ja-JP"/>
        </w:rPr>
        <w:t xml:space="preserve">ven where 1791 rules </w:t>
      </w:r>
      <w:r w:rsidR="00970266">
        <w:rPr>
          <w:lang w:eastAsia="ja-JP"/>
        </w:rPr>
        <w:t xml:space="preserve">are </w:t>
      </w:r>
      <w:r w:rsidR="00D31679">
        <w:rPr>
          <w:lang w:eastAsia="ja-JP"/>
        </w:rPr>
        <w:t>sufficiently clear</w:t>
      </w:r>
      <w:r w:rsidR="00451283">
        <w:rPr>
          <w:lang w:eastAsia="ja-JP"/>
        </w:rPr>
        <w:t>, they</w:t>
      </w:r>
      <w:r w:rsidR="00641E41">
        <w:rPr>
          <w:lang w:eastAsia="ja-JP"/>
        </w:rPr>
        <w:t xml:space="preserve"> </w:t>
      </w:r>
      <w:r w:rsidR="00451283">
        <w:rPr>
          <w:lang w:eastAsia="ja-JP"/>
        </w:rPr>
        <w:t xml:space="preserve">provide insufficient guidance for </w:t>
      </w:r>
      <w:r w:rsidR="00641E41">
        <w:rPr>
          <w:lang w:eastAsia="ja-JP"/>
        </w:rPr>
        <w:t>modern</w:t>
      </w:r>
      <w:r w:rsidR="00451283">
        <w:rPr>
          <w:lang w:eastAsia="ja-JP"/>
        </w:rPr>
        <w:t xml:space="preserve"> Fourth Amendment </w:t>
      </w:r>
      <w:r w:rsidR="00641E41">
        <w:rPr>
          <w:lang w:eastAsia="ja-JP"/>
        </w:rPr>
        <w:t>disputes</w:t>
      </w:r>
      <w:r w:rsidR="00451283">
        <w:rPr>
          <w:lang w:eastAsia="ja-JP"/>
        </w:rPr>
        <w:t xml:space="preserve">. As </w:t>
      </w:r>
      <w:r w:rsidR="00525CDA">
        <w:rPr>
          <w:lang w:eastAsia="ja-JP"/>
        </w:rPr>
        <w:t xml:space="preserve">George C. </w:t>
      </w:r>
      <w:r w:rsidR="00451283">
        <w:rPr>
          <w:lang w:eastAsia="ja-JP"/>
        </w:rPr>
        <w:t xml:space="preserve">Thomas </w:t>
      </w:r>
      <w:r w:rsidR="00525CDA">
        <w:rPr>
          <w:lang w:eastAsia="ja-JP"/>
        </w:rPr>
        <w:t xml:space="preserve">III </w:t>
      </w:r>
      <w:r w:rsidR="00451283">
        <w:rPr>
          <w:lang w:eastAsia="ja-JP"/>
        </w:rPr>
        <w:t>argues, “</w:t>
      </w:r>
      <w:r w:rsidR="00451283" w:rsidRPr="00661A01">
        <w:rPr>
          <w:lang w:eastAsia="ja-JP"/>
        </w:rPr>
        <w:t>the common law transplanted literally to today would create a radically incomplete Fourth Amendment.</w:t>
      </w:r>
      <w:r w:rsidR="00451283">
        <w:rPr>
          <w:lang w:eastAsia="ja-JP"/>
        </w:rPr>
        <w:t>”</w:t>
      </w:r>
      <w:r w:rsidR="00451283" w:rsidRPr="002A4234">
        <w:rPr>
          <w:rStyle w:val="FootnoteReference"/>
        </w:rPr>
        <w:footnoteReference w:id="153"/>
      </w:r>
      <w:r w:rsidR="00B7327B">
        <w:rPr>
          <w:lang w:eastAsia="ja-JP"/>
        </w:rPr>
        <w:t xml:space="preserve"> </w:t>
      </w:r>
      <w:r w:rsidR="00914D91">
        <w:rPr>
          <w:lang w:eastAsia="ja-JP"/>
        </w:rPr>
        <w:t xml:space="preserve">At best, </w:t>
      </w:r>
      <w:r w:rsidR="00483C3D">
        <w:rPr>
          <w:lang w:eastAsia="ja-JP"/>
        </w:rPr>
        <w:t xml:space="preserve">as Maureen </w:t>
      </w:r>
      <w:r w:rsidR="00DD5BD0">
        <w:rPr>
          <w:lang w:eastAsia="ja-JP"/>
        </w:rPr>
        <w:t xml:space="preserve">E. </w:t>
      </w:r>
      <w:r w:rsidR="00483C3D">
        <w:rPr>
          <w:lang w:eastAsia="ja-JP"/>
        </w:rPr>
        <w:t>Brady puts it</w:t>
      </w:r>
      <w:r w:rsidR="00A65B9C">
        <w:rPr>
          <w:lang w:eastAsia="ja-JP"/>
        </w:rPr>
        <w:t xml:space="preserve"> in analyzing how to identify “effects” under the Fourth Amendment</w:t>
      </w:r>
      <w:r w:rsidR="00483C3D">
        <w:rPr>
          <w:lang w:eastAsia="ja-JP"/>
        </w:rPr>
        <w:t xml:space="preserve">, </w:t>
      </w:r>
      <w:r w:rsidR="00914D91">
        <w:rPr>
          <w:lang w:eastAsia="ja-JP"/>
        </w:rPr>
        <w:t xml:space="preserve">this approach </w:t>
      </w:r>
      <w:r w:rsidR="00483C3D">
        <w:rPr>
          <w:lang w:eastAsia="ja-JP"/>
        </w:rPr>
        <w:t>would “lead to bizarre historical and definitional line drawing” as courts attempt to shove modern facts into old fact patterns.</w:t>
      </w:r>
      <w:bookmarkStart w:id="45" w:name="_Ref113023859"/>
      <w:r w:rsidR="00483C3D" w:rsidRPr="002A4234">
        <w:rPr>
          <w:rStyle w:val="FootnoteReference"/>
        </w:rPr>
        <w:footnoteReference w:id="154"/>
      </w:r>
      <w:bookmarkEnd w:id="45"/>
      <w:r w:rsidR="00B62C34">
        <w:rPr>
          <w:lang w:eastAsia="ja-JP"/>
        </w:rPr>
        <w:t xml:space="preserve"> Along these lines, </w:t>
      </w:r>
      <w:r w:rsidR="00B7327B">
        <w:rPr>
          <w:lang w:eastAsia="ja-JP"/>
        </w:rPr>
        <w:t>Justice Alito mock</w:t>
      </w:r>
      <w:r w:rsidR="008A288B">
        <w:rPr>
          <w:lang w:eastAsia="ja-JP"/>
        </w:rPr>
        <w:t>ed</w:t>
      </w:r>
      <w:r w:rsidR="00B7327B">
        <w:rPr>
          <w:lang w:eastAsia="ja-JP"/>
        </w:rPr>
        <w:t xml:space="preserve"> the</w:t>
      </w:r>
      <w:r w:rsidR="008A288B">
        <w:rPr>
          <w:lang w:eastAsia="ja-JP"/>
        </w:rPr>
        <w:t xml:space="preserve"> </w:t>
      </w:r>
      <w:r w:rsidR="00673679">
        <w:rPr>
          <w:i/>
          <w:iCs/>
          <w:lang w:eastAsia="ja-JP"/>
        </w:rPr>
        <w:t xml:space="preserve">Jones </w:t>
      </w:r>
      <w:r w:rsidR="00B7327B">
        <w:rPr>
          <w:lang w:eastAsia="ja-JP"/>
        </w:rPr>
        <w:t xml:space="preserve">majority for </w:t>
      </w:r>
      <w:r w:rsidR="00973796">
        <w:rPr>
          <w:lang w:eastAsia="ja-JP"/>
        </w:rPr>
        <w:t xml:space="preserve">deciding </w:t>
      </w:r>
      <w:r w:rsidR="00673679">
        <w:rPr>
          <w:lang w:eastAsia="ja-JP"/>
        </w:rPr>
        <w:t>the case</w:t>
      </w:r>
      <w:r w:rsidR="00673679">
        <w:rPr>
          <w:i/>
          <w:iCs/>
          <w:lang w:eastAsia="ja-JP"/>
        </w:rPr>
        <w:t xml:space="preserve"> </w:t>
      </w:r>
      <w:r w:rsidR="00D07578">
        <w:rPr>
          <w:lang w:eastAsia="ja-JP"/>
        </w:rPr>
        <w:t>“</w:t>
      </w:r>
      <w:r w:rsidR="00B7327B" w:rsidRPr="00D93A03">
        <w:rPr>
          <w:lang w:eastAsia="ja-JP"/>
        </w:rPr>
        <w:t>based on 18th-century tort law</w:t>
      </w:r>
      <w:r w:rsidR="000A0015">
        <w:rPr>
          <w:lang w:eastAsia="ja-JP"/>
        </w:rPr>
        <w:t>,</w:t>
      </w:r>
      <w:r w:rsidR="00B7327B">
        <w:rPr>
          <w:lang w:eastAsia="ja-JP"/>
        </w:rPr>
        <w:t>”</w:t>
      </w:r>
      <w:r w:rsidR="00B7327B" w:rsidRPr="002A4234">
        <w:rPr>
          <w:rStyle w:val="FootnoteReference"/>
        </w:rPr>
        <w:footnoteReference w:id="155"/>
      </w:r>
      <w:r w:rsidR="00B7327B">
        <w:rPr>
          <w:lang w:eastAsia="ja-JP"/>
        </w:rPr>
        <w:t xml:space="preserve"> </w:t>
      </w:r>
      <w:r w:rsidR="00B676F3">
        <w:rPr>
          <w:lang w:eastAsia="ja-JP"/>
        </w:rPr>
        <w:t>remarking</w:t>
      </w:r>
      <w:r w:rsidR="00B7327B">
        <w:rPr>
          <w:lang w:eastAsia="ja-JP"/>
        </w:rPr>
        <w:t xml:space="preserve"> that </w:t>
      </w:r>
      <w:r w:rsidR="00BB0DD4">
        <w:rPr>
          <w:lang w:eastAsia="ja-JP"/>
        </w:rPr>
        <w:t>an</w:t>
      </w:r>
      <w:r w:rsidR="00B7327B">
        <w:rPr>
          <w:lang w:eastAsia="ja-JP"/>
        </w:rPr>
        <w:t xml:space="preserve"> intrusion</w:t>
      </w:r>
      <w:r w:rsidR="008A288B">
        <w:rPr>
          <w:lang w:eastAsia="ja-JP"/>
        </w:rPr>
        <w:t xml:space="preserve"> </w:t>
      </w:r>
      <w:r w:rsidR="005465D4">
        <w:rPr>
          <w:lang w:eastAsia="ja-JP"/>
        </w:rPr>
        <w:t>analogous</w:t>
      </w:r>
      <w:r w:rsidR="008A288B">
        <w:rPr>
          <w:lang w:eastAsia="ja-JP"/>
        </w:rPr>
        <w:t xml:space="preserve"> to GPS tracking</w:t>
      </w:r>
      <w:r w:rsidR="00B7327B">
        <w:rPr>
          <w:lang w:eastAsia="ja-JP"/>
        </w:rPr>
        <w:t xml:space="preserve"> in 1791 “</w:t>
      </w:r>
      <w:r w:rsidR="00B7327B" w:rsidRPr="001715CD">
        <w:rPr>
          <w:lang w:eastAsia="ja-JP"/>
        </w:rPr>
        <w:t>would have required either a gigantic coach, a very tiny constable, or both</w:t>
      </w:r>
      <w:r w:rsidR="00B7327B">
        <w:rPr>
          <w:lang w:eastAsia="ja-JP"/>
        </w:rPr>
        <w:t>.”</w:t>
      </w:r>
      <w:r w:rsidR="00B7327B" w:rsidRPr="002A4234">
        <w:rPr>
          <w:rStyle w:val="FootnoteReference"/>
        </w:rPr>
        <w:footnoteReference w:id="156"/>
      </w:r>
    </w:p>
    <w:p w14:paraId="0A838F61" w14:textId="1A073B3A" w:rsidR="00323320" w:rsidRDefault="00B62C34" w:rsidP="00D63EF0">
      <w:pPr>
        <w:pStyle w:val="BodyText"/>
        <w:rPr>
          <w:lang w:eastAsia="ja-JP"/>
        </w:rPr>
      </w:pPr>
      <w:r>
        <w:rPr>
          <w:lang w:eastAsia="ja-JP"/>
        </w:rPr>
        <w:t>But the strongest argument against reading</w:t>
      </w:r>
      <w:r w:rsidR="00ED2002">
        <w:rPr>
          <w:lang w:eastAsia="ja-JP"/>
        </w:rPr>
        <w:t xml:space="preserve"> the Fourth Amendment as </w:t>
      </w:r>
      <w:r w:rsidR="00FD2BDB">
        <w:rPr>
          <w:lang w:eastAsia="ja-JP"/>
        </w:rPr>
        <w:t xml:space="preserve">freezing in place common-law rules </w:t>
      </w:r>
      <w:r w:rsidR="001D27E2">
        <w:rPr>
          <w:lang w:eastAsia="ja-JP"/>
        </w:rPr>
        <w:t>is</w:t>
      </w:r>
      <w:r>
        <w:rPr>
          <w:lang w:eastAsia="ja-JP"/>
        </w:rPr>
        <w:t xml:space="preserve"> that it is—</w:t>
      </w:r>
      <w:r w:rsidR="00ED2002">
        <w:rPr>
          <w:lang w:eastAsia="ja-JP"/>
        </w:rPr>
        <w:t>oddl</w:t>
      </w:r>
      <w:r>
        <w:rPr>
          <w:lang w:eastAsia="ja-JP"/>
        </w:rPr>
        <w:t>y—</w:t>
      </w:r>
      <w:r w:rsidR="00ED2002">
        <w:rPr>
          <w:lang w:eastAsia="ja-JP"/>
        </w:rPr>
        <w:t xml:space="preserve">deeply </w:t>
      </w:r>
      <w:r w:rsidR="00ED2002" w:rsidRPr="00A244A6">
        <w:rPr>
          <w:i/>
          <w:lang w:eastAsia="ja-JP"/>
        </w:rPr>
        <w:t>a</w:t>
      </w:r>
      <w:r w:rsidR="00ED2002">
        <w:rPr>
          <w:lang w:eastAsia="ja-JP"/>
        </w:rPr>
        <w:t xml:space="preserve">historical. </w:t>
      </w:r>
      <w:r w:rsidR="00642305">
        <w:rPr>
          <w:lang w:eastAsia="ja-JP"/>
        </w:rPr>
        <w:t>J</w:t>
      </w:r>
      <w:r w:rsidR="00ED2002">
        <w:rPr>
          <w:lang w:eastAsia="ja-JP"/>
        </w:rPr>
        <w:t>urists and l</w:t>
      </w:r>
      <w:r w:rsidR="00B71888">
        <w:rPr>
          <w:lang w:eastAsia="ja-JP"/>
        </w:rPr>
        <w:t xml:space="preserve">awyers in 1791 would not have understood the common law as </w:t>
      </w:r>
      <w:r w:rsidR="00D63EF0">
        <w:rPr>
          <w:lang w:eastAsia="ja-JP"/>
        </w:rPr>
        <w:t>perfectly</w:t>
      </w:r>
      <w:r w:rsidR="00CA0558">
        <w:rPr>
          <w:lang w:eastAsia="ja-JP"/>
        </w:rPr>
        <w:t xml:space="preserve"> static</w:t>
      </w:r>
      <w:r w:rsidR="00B71888">
        <w:rPr>
          <w:lang w:eastAsia="ja-JP"/>
        </w:rPr>
        <w:t>.</w:t>
      </w:r>
      <w:r w:rsidR="0033606A" w:rsidRPr="002A4234">
        <w:rPr>
          <w:rStyle w:val="FootnoteReference"/>
        </w:rPr>
        <w:footnoteReference w:id="157"/>
      </w:r>
      <w:r w:rsidR="00480D7F" w:rsidRPr="001E5BD4">
        <w:rPr>
          <w:rStyle w:val="FootnoteReference"/>
          <w:lang w:eastAsia="ja-JP"/>
        </w:rPr>
        <w:t xml:space="preserve"> </w:t>
      </w:r>
      <w:r w:rsidR="00480D7F">
        <w:rPr>
          <w:lang w:eastAsia="ja-JP"/>
        </w:rPr>
        <w:t xml:space="preserve">Blackstone, who believed there to be a </w:t>
      </w:r>
      <w:r w:rsidR="00D85D14">
        <w:rPr>
          <w:lang w:eastAsia="ja-JP"/>
        </w:rPr>
        <w:t>preexisting common law born of custom,</w:t>
      </w:r>
      <w:r w:rsidR="00D81812">
        <w:rPr>
          <w:lang w:eastAsia="ja-JP"/>
        </w:rPr>
        <w:t xml:space="preserve"> did not view </w:t>
      </w:r>
      <w:r w:rsidR="00F936EB">
        <w:rPr>
          <w:lang w:eastAsia="ja-JP"/>
        </w:rPr>
        <w:t xml:space="preserve">existing </w:t>
      </w:r>
      <w:r w:rsidR="00C75F01">
        <w:rPr>
          <w:lang w:eastAsia="ja-JP"/>
        </w:rPr>
        <w:t>caselaw</w:t>
      </w:r>
      <w:r w:rsidR="00F936EB">
        <w:rPr>
          <w:lang w:eastAsia="ja-JP"/>
        </w:rPr>
        <w:t xml:space="preserve"> as the final word on the law</w:t>
      </w:r>
      <w:r w:rsidR="00A54FB4">
        <w:rPr>
          <w:lang w:eastAsia="ja-JP"/>
        </w:rPr>
        <w:t>;</w:t>
      </w:r>
      <w:r w:rsidR="00F936EB">
        <w:rPr>
          <w:lang w:eastAsia="ja-JP"/>
        </w:rPr>
        <w:t xml:space="preserve"> prece</w:t>
      </w:r>
      <w:r w:rsidR="009A5BD4">
        <w:rPr>
          <w:lang w:eastAsia="ja-JP"/>
        </w:rPr>
        <w:t xml:space="preserve">dent was </w:t>
      </w:r>
      <w:r w:rsidR="00A54FB4">
        <w:rPr>
          <w:lang w:eastAsia="ja-JP"/>
        </w:rPr>
        <w:t xml:space="preserve">merely </w:t>
      </w:r>
      <w:r w:rsidR="009A5BD4">
        <w:rPr>
          <w:lang w:eastAsia="ja-JP"/>
        </w:rPr>
        <w:t>evidence of the law</w:t>
      </w:r>
      <w:r w:rsidR="00C75F01">
        <w:rPr>
          <w:lang w:eastAsia="ja-JP"/>
        </w:rPr>
        <w:t>.</w:t>
      </w:r>
      <w:r w:rsidR="009A5BD4">
        <w:rPr>
          <w:lang w:eastAsia="ja-JP"/>
        </w:rPr>
        <w:t xml:space="preserve"> </w:t>
      </w:r>
      <w:r w:rsidR="00C75F01">
        <w:rPr>
          <w:lang w:eastAsia="ja-JP"/>
        </w:rPr>
        <w:t>J</w:t>
      </w:r>
      <w:r w:rsidR="00F62EBB">
        <w:rPr>
          <w:lang w:eastAsia="ja-JP"/>
        </w:rPr>
        <w:t xml:space="preserve">udges </w:t>
      </w:r>
      <w:r w:rsidR="004401D9">
        <w:rPr>
          <w:lang w:eastAsia="ja-JP"/>
        </w:rPr>
        <w:t xml:space="preserve">also </w:t>
      </w:r>
      <w:r w:rsidR="00F62EBB">
        <w:rPr>
          <w:lang w:eastAsia="ja-JP"/>
        </w:rPr>
        <w:t>had to use reason to uncover</w:t>
      </w:r>
      <w:r w:rsidR="00C75F01">
        <w:rPr>
          <w:lang w:eastAsia="ja-JP"/>
        </w:rPr>
        <w:t xml:space="preserve"> th</w:t>
      </w:r>
      <w:r w:rsidR="004401D9">
        <w:rPr>
          <w:lang w:eastAsia="ja-JP"/>
        </w:rPr>
        <w:t>e law</w:t>
      </w:r>
      <w:r w:rsidR="00F62EBB">
        <w:rPr>
          <w:lang w:eastAsia="ja-JP"/>
        </w:rPr>
        <w:t xml:space="preserve"> in each case.</w:t>
      </w:r>
      <w:r w:rsidR="007B0410">
        <w:rPr>
          <w:lang w:eastAsia="ja-JP"/>
        </w:rPr>
        <w:t xml:space="preserve"> He viewed this uncovered law as</w:t>
      </w:r>
      <w:r w:rsidR="00EF08B5">
        <w:rPr>
          <w:lang w:eastAsia="ja-JP"/>
        </w:rPr>
        <w:t xml:space="preserve"> fully binding on future cases, yet acknowledge</w:t>
      </w:r>
      <w:r w:rsidR="006B6BA2">
        <w:rPr>
          <w:lang w:eastAsia="ja-JP"/>
        </w:rPr>
        <w:t>d</w:t>
      </w:r>
      <w:r w:rsidR="00EF08B5">
        <w:rPr>
          <w:lang w:eastAsia="ja-JP"/>
        </w:rPr>
        <w:t xml:space="preserve"> that </w:t>
      </w:r>
      <w:r w:rsidR="00D85D14">
        <w:rPr>
          <w:lang w:eastAsia="ja-JP"/>
        </w:rPr>
        <w:t xml:space="preserve">judges have </w:t>
      </w:r>
      <w:r w:rsidR="00273AE3">
        <w:rPr>
          <w:lang w:eastAsia="ja-JP"/>
        </w:rPr>
        <w:t xml:space="preserve">the power to </w:t>
      </w:r>
      <w:r w:rsidR="009216C5">
        <w:rPr>
          <w:lang w:eastAsia="ja-JP"/>
        </w:rPr>
        <w:t xml:space="preserve">“vindicate” the law from misinterpretation by </w:t>
      </w:r>
      <w:r w:rsidR="00D55C84">
        <w:rPr>
          <w:lang w:eastAsia="ja-JP"/>
        </w:rPr>
        <w:t>“absurd or unjust”</w:t>
      </w:r>
      <w:r w:rsidR="009216C5">
        <w:rPr>
          <w:lang w:eastAsia="ja-JP"/>
        </w:rPr>
        <w:t xml:space="preserve"> precedent.</w:t>
      </w:r>
      <w:r w:rsidR="001E5BD4" w:rsidRPr="002A4234">
        <w:rPr>
          <w:rStyle w:val="FootnoteReference"/>
        </w:rPr>
        <w:footnoteReference w:id="158"/>
      </w:r>
      <w:r w:rsidR="00B71888">
        <w:rPr>
          <w:lang w:eastAsia="ja-JP"/>
        </w:rPr>
        <w:t xml:space="preserve"> </w:t>
      </w:r>
      <w:r w:rsidR="00ED7651">
        <w:rPr>
          <w:lang w:eastAsia="ja-JP"/>
        </w:rPr>
        <w:t xml:space="preserve">Moreover, the </w:t>
      </w:r>
      <w:r w:rsidR="00355238">
        <w:rPr>
          <w:lang w:eastAsia="ja-JP"/>
        </w:rPr>
        <w:t>custom which underlaid the common law was it</w:t>
      </w:r>
      <w:r w:rsidR="00A73E43">
        <w:rPr>
          <w:lang w:eastAsia="ja-JP"/>
        </w:rPr>
        <w:t xml:space="preserve">self subject to change. Michael </w:t>
      </w:r>
      <w:r w:rsidR="00BE58F2">
        <w:rPr>
          <w:lang w:eastAsia="ja-JP"/>
        </w:rPr>
        <w:t xml:space="preserve">W. </w:t>
      </w:r>
      <w:r w:rsidR="00A73E43">
        <w:rPr>
          <w:lang w:eastAsia="ja-JP"/>
        </w:rPr>
        <w:t xml:space="preserve">McConnell has explained how </w:t>
      </w:r>
      <w:r w:rsidR="001D7C03">
        <w:rPr>
          <w:lang w:eastAsia="ja-JP"/>
        </w:rPr>
        <w:lastRenderedPageBreak/>
        <w:t>Blackstone’s predecessor</w:t>
      </w:r>
      <w:r w:rsidR="007D72AE">
        <w:rPr>
          <w:lang w:eastAsia="ja-JP"/>
        </w:rPr>
        <w:t>,</w:t>
      </w:r>
      <w:r w:rsidR="0051220A">
        <w:rPr>
          <w:lang w:eastAsia="ja-JP"/>
        </w:rPr>
        <w:t xml:space="preserve"> Sir Matthew Hale</w:t>
      </w:r>
      <w:r w:rsidR="007D72AE">
        <w:rPr>
          <w:lang w:eastAsia="ja-JP"/>
        </w:rPr>
        <w:t>,</w:t>
      </w:r>
      <w:r w:rsidR="001D7C03">
        <w:rPr>
          <w:lang w:eastAsia="ja-JP"/>
        </w:rPr>
        <w:t xml:space="preserve"> </w:t>
      </w:r>
      <w:r w:rsidR="00EB2D7F">
        <w:rPr>
          <w:lang w:eastAsia="ja-JP"/>
        </w:rPr>
        <w:t>“</w:t>
      </w:r>
      <w:r w:rsidR="00EB2D7F" w:rsidRPr="00EB2D7F">
        <w:rPr>
          <w:lang w:eastAsia="ja-JP"/>
        </w:rPr>
        <w:t>understood and embraced the idea that the common law was continually changing and adapting</w:t>
      </w:r>
      <w:r w:rsidR="00985EE1">
        <w:rPr>
          <w:lang w:eastAsia="ja-JP"/>
        </w:rPr>
        <w:t>”</w:t>
      </w:r>
      <w:r w:rsidR="00BE2D2C">
        <w:rPr>
          <w:lang w:eastAsia="ja-JP"/>
        </w:rPr>
        <w:t xml:space="preserve"> as </w:t>
      </w:r>
      <w:r w:rsidR="00A1494E">
        <w:rPr>
          <w:lang w:eastAsia="ja-JP"/>
        </w:rPr>
        <w:t>custom changed.</w:t>
      </w:r>
      <w:bookmarkStart w:id="46" w:name="_Ref113021432"/>
      <w:r w:rsidR="003B230E" w:rsidRPr="002A4234">
        <w:rPr>
          <w:rStyle w:val="FootnoteReference"/>
        </w:rPr>
        <w:footnoteReference w:id="159"/>
      </w:r>
      <w:bookmarkEnd w:id="46"/>
      <w:r w:rsidR="00A1494E">
        <w:rPr>
          <w:lang w:eastAsia="ja-JP"/>
        </w:rPr>
        <w:t xml:space="preserve"> </w:t>
      </w:r>
      <w:r w:rsidR="00F93776">
        <w:rPr>
          <w:lang w:eastAsia="ja-JP"/>
        </w:rPr>
        <w:t xml:space="preserve"> </w:t>
      </w:r>
      <w:r w:rsidR="00CE0175">
        <w:rPr>
          <w:lang w:eastAsia="ja-JP"/>
        </w:rPr>
        <w:t>T</w:t>
      </w:r>
      <w:r w:rsidR="00811A12">
        <w:rPr>
          <w:lang w:eastAsia="ja-JP"/>
        </w:rPr>
        <w:t xml:space="preserve">his “conception of the common law was adopted as orthodoxy by American lawyers of the </w:t>
      </w:r>
      <w:r w:rsidR="00312C12">
        <w:rPr>
          <w:lang w:eastAsia="ja-JP"/>
        </w:rPr>
        <w:t>f</w:t>
      </w:r>
      <w:r w:rsidR="00811A12">
        <w:rPr>
          <w:lang w:eastAsia="ja-JP"/>
        </w:rPr>
        <w:t>ounding period.”</w:t>
      </w:r>
      <w:r w:rsidR="00811A12" w:rsidRPr="002A4234">
        <w:rPr>
          <w:rStyle w:val="FootnoteReference"/>
        </w:rPr>
        <w:footnoteReference w:id="160"/>
      </w:r>
      <w:r w:rsidR="00AB157B">
        <w:rPr>
          <w:lang w:eastAsia="ja-JP"/>
        </w:rPr>
        <w:t xml:space="preserve"> </w:t>
      </w:r>
      <w:r w:rsidR="001F13F2">
        <w:rPr>
          <w:lang w:eastAsia="ja-JP"/>
        </w:rPr>
        <w:t xml:space="preserve">As to the Fourth Amendment in particular, </w:t>
      </w:r>
      <w:r w:rsidR="008924AF">
        <w:rPr>
          <w:lang w:eastAsia="ja-JP"/>
        </w:rPr>
        <w:t xml:space="preserve">Michael J. Zydney </w:t>
      </w:r>
      <w:r w:rsidR="001F13F2">
        <w:rPr>
          <w:lang w:eastAsia="ja-JP"/>
        </w:rPr>
        <w:t xml:space="preserve">Mannheimer argues that a number of </w:t>
      </w:r>
      <w:r w:rsidR="00E464B0">
        <w:rPr>
          <w:lang w:eastAsia="ja-JP"/>
        </w:rPr>
        <w:t>its</w:t>
      </w:r>
      <w:r w:rsidR="001F13F2">
        <w:rPr>
          <w:lang w:eastAsia="ja-JP"/>
        </w:rPr>
        <w:t xml:space="preserve"> framers and ratifiers saw the common law as fluid and evolving</w:t>
      </w:r>
      <w:r w:rsidR="007C7BE5">
        <w:rPr>
          <w:lang w:eastAsia="ja-JP"/>
        </w:rPr>
        <w:t>.</w:t>
      </w:r>
      <w:r w:rsidR="00173A0F" w:rsidRPr="002A4234">
        <w:rPr>
          <w:rStyle w:val="FootnoteReference"/>
        </w:rPr>
        <w:footnoteReference w:id="161"/>
      </w:r>
      <w:r w:rsidR="007C7BE5">
        <w:rPr>
          <w:lang w:eastAsia="ja-JP"/>
        </w:rPr>
        <w:t xml:space="preserve"> </w:t>
      </w:r>
      <w:r w:rsidR="000A602C">
        <w:rPr>
          <w:lang w:eastAsia="ja-JP"/>
        </w:rPr>
        <w:t>For these reasons</w:t>
      </w:r>
      <w:r w:rsidR="002122A8">
        <w:rPr>
          <w:lang w:eastAsia="ja-JP"/>
        </w:rPr>
        <w:t>, “</w:t>
      </w:r>
      <w:r w:rsidR="003830D5" w:rsidRPr="003830D5">
        <w:rPr>
          <w:lang w:eastAsia="ja-JP"/>
        </w:rPr>
        <w:t>any interpretive approach that seeks to arrest the development of the common law and freeze it at a single point in time clashes with the fluid and evolutionary nature of common law</w:t>
      </w:r>
      <w:r w:rsidR="002122A8" w:rsidRPr="002122A8">
        <w:rPr>
          <w:lang w:eastAsia="ja-JP"/>
        </w:rPr>
        <w:t>.</w:t>
      </w:r>
      <w:r w:rsidR="002122A8">
        <w:rPr>
          <w:lang w:eastAsia="ja-JP"/>
        </w:rPr>
        <w:t>”</w:t>
      </w:r>
      <w:r w:rsidR="004C531F" w:rsidRPr="002A4234">
        <w:rPr>
          <w:rStyle w:val="FootnoteReference"/>
        </w:rPr>
        <w:footnoteReference w:id="162"/>
      </w:r>
    </w:p>
    <w:p w14:paraId="209FFA05" w14:textId="17711B0D" w:rsidR="00A17CB8" w:rsidRDefault="00151774" w:rsidP="00E30971">
      <w:pPr>
        <w:pStyle w:val="BodyText"/>
        <w:rPr>
          <w:lang w:eastAsia="ja-JP"/>
        </w:rPr>
      </w:pPr>
      <w:r>
        <w:rPr>
          <w:lang w:eastAsia="ja-JP"/>
        </w:rPr>
        <w:t xml:space="preserve">For some combination of these reasons, many scholars reject </w:t>
      </w:r>
      <w:r w:rsidR="00CE0175">
        <w:rPr>
          <w:lang w:eastAsia="ja-JP"/>
        </w:rPr>
        <w:t>the notion</w:t>
      </w:r>
      <w:r w:rsidR="00B67B44">
        <w:rPr>
          <w:lang w:eastAsia="ja-JP"/>
        </w:rPr>
        <w:t xml:space="preserve"> that the Fourth Amendment </w:t>
      </w:r>
      <w:r w:rsidR="00CE0175">
        <w:rPr>
          <w:lang w:eastAsia="ja-JP"/>
        </w:rPr>
        <w:t>simply freezes in place</w:t>
      </w:r>
      <w:r w:rsidR="00B67B44">
        <w:rPr>
          <w:lang w:eastAsia="ja-JP"/>
        </w:rPr>
        <w:t xml:space="preserve"> 1791 common law</w:t>
      </w:r>
      <w:r w:rsidR="006A0FFC">
        <w:rPr>
          <w:lang w:eastAsia="ja-JP"/>
        </w:rPr>
        <w:t>.</w:t>
      </w:r>
      <w:bookmarkStart w:id="47" w:name="_Ref114098328"/>
      <w:r w:rsidR="00D676BB" w:rsidRPr="002A4234">
        <w:rPr>
          <w:rStyle w:val="FootnoteReference"/>
        </w:rPr>
        <w:footnoteReference w:id="163"/>
      </w:r>
      <w:bookmarkEnd w:id="47"/>
      <w:r w:rsidR="003830D5">
        <w:rPr>
          <w:lang w:eastAsia="ja-JP"/>
        </w:rPr>
        <w:t xml:space="preserve"> </w:t>
      </w:r>
      <w:r w:rsidR="00E30971">
        <w:rPr>
          <w:lang w:eastAsia="ja-JP"/>
        </w:rPr>
        <w:t xml:space="preserve">Many argue that the better alternative is to read </w:t>
      </w:r>
      <w:r w:rsidR="00245074">
        <w:rPr>
          <w:lang w:eastAsia="ja-JP"/>
        </w:rPr>
        <w:t>the Fourth A</w:t>
      </w:r>
      <w:r w:rsidR="00D76158">
        <w:rPr>
          <w:lang w:eastAsia="ja-JP"/>
        </w:rPr>
        <w:t>mendment</w:t>
      </w:r>
      <w:r w:rsidR="00E30971">
        <w:rPr>
          <w:lang w:eastAsia="ja-JP"/>
        </w:rPr>
        <w:t xml:space="preserve"> as </w:t>
      </w:r>
      <w:r w:rsidR="002D338F">
        <w:rPr>
          <w:lang w:eastAsia="ja-JP"/>
        </w:rPr>
        <w:t>calling for</w:t>
      </w:r>
      <w:r w:rsidR="00E30971">
        <w:rPr>
          <w:lang w:eastAsia="ja-JP"/>
        </w:rPr>
        <w:t xml:space="preserve"> open-ended, discretionary judgments by judges or juries. </w:t>
      </w:r>
      <w:r w:rsidR="00E30971">
        <w:t>Sklanksy argues</w:t>
      </w:r>
      <w:r w:rsidR="00C34688">
        <w:t>:</w:t>
      </w:r>
      <w:r w:rsidR="00E30971">
        <w:t xml:space="preserve"> “Fourth Amendment law, like constitutional law more generally, should continue to take from common law not a set of substantive rules, but rather a method for reasoned, step-by-step elaboration of what the Constitution commands</w:t>
      </w:r>
      <w:r w:rsidR="00526268">
        <w:t> . . .</w:t>
      </w:r>
      <w:r w:rsidR="000E0CF8">
        <w:t> </w:t>
      </w:r>
      <w:r w:rsidR="00373A1B">
        <w:t>.</w:t>
      </w:r>
      <w:r w:rsidR="00E30971">
        <w:t>”</w:t>
      </w:r>
      <w:r w:rsidR="00E30971" w:rsidRPr="002A4234">
        <w:rPr>
          <w:rStyle w:val="FootnoteReference"/>
        </w:rPr>
        <w:footnoteReference w:id="164"/>
      </w:r>
      <w:r w:rsidR="00E30971">
        <w:rPr>
          <w:lang w:eastAsia="ja-JP"/>
        </w:rPr>
        <w:t xml:space="preserve"> </w:t>
      </w:r>
      <w:bookmarkStart w:id="48" w:name="_Hlk74294755"/>
      <w:r w:rsidR="00843E85">
        <w:rPr>
          <w:lang w:eastAsia="ja-JP"/>
        </w:rPr>
        <w:t xml:space="preserve">Carol </w:t>
      </w:r>
      <w:r w:rsidR="00E30971">
        <w:rPr>
          <w:lang w:eastAsia="ja-JP"/>
        </w:rPr>
        <w:t>Steiker contends that the word “</w:t>
      </w:r>
      <w:r w:rsidR="00EA0E47">
        <w:rPr>
          <w:lang w:eastAsia="ja-JP"/>
        </w:rPr>
        <w:t>‘</w:t>
      </w:r>
      <w:r w:rsidR="00E30971">
        <w:rPr>
          <w:lang w:eastAsia="ja-JP"/>
        </w:rPr>
        <w:t>unreasonable</w:t>
      </w:r>
      <w:r w:rsidR="00EA0E47">
        <w:rPr>
          <w:lang w:eastAsia="ja-JP"/>
        </w:rPr>
        <w:t>’ . . . </w:t>
      </w:r>
      <w:r w:rsidR="00E30971">
        <w:rPr>
          <w:lang w:eastAsia="ja-JP"/>
        </w:rPr>
        <w:t xml:space="preserve"> </w:t>
      </w:r>
      <w:r w:rsidR="00E30971" w:rsidRPr="00ED38F8">
        <w:rPr>
          <w:lang w:eastAsia="ja-JP"/>
        </w:rPr>
        <w:t>positively invites co</w:t>
      </w:r>
      <w:r w:rsidR="00E30971">
        <w:rPr>
          <w:lang w:eastAsia="ja-JP"/>
        </w:rPr>
        <w:t>n</w:t>
      </w:r>
      <w:r w:rsidR="00E30971" w:rsidRPr="00ED38F8">
        <w:rPr>
          <w:lang w:eastAsia="ja-JP"/>
        </w:rPr>
        <w:t>structions that change with changing circumstances.</w:t>
      </w:r>
      <w:r w:rsidR="00E30971">
        <w:rPr>
          <w:lang w:eastAsia="ja-JP"/>
        </w:rPr>
        <w:t>”</w:t>
      </w:r>
      <w:r w:rsidR="00E30971" w:rsidRPr="002A4234">
        <w:rPr>
          <w:rStyle w:val="FootnoteReference"/>
        </w:rPr>
        <w:footnoteReference w:id="165"/>
      </w:r>
      <w:r w:rsidR="00E30971">
        <w:rPr>
          <w:lang w:eastAsia="ja-JP"/>
        </w:rPr>
        <w:t xml:space="preserve"> </w:t>
      </w:r>
      <w:r w:rsidR="00843E85">
        <w:rPr>
          <w:lang w:eastAsia="ja-JP"/>
        </w:rPr>
        <w:t xml:space="preserve">Akhil </w:t>
      </w:r>
      <w:r w:rsidR="00FA7FDB">
        <w:rPr>
          <w:lang w:eastAsia="ja-JP"/>
        </w:rPr>
        <w:t xml:space="preserve">Reed </w:t>
      </w:r>
      <w:r w:rsidR="00E30971">
        <w:rPr>
          <w:lang w:eastAsia="ja-JP"/>
        </w:rPr>
        <w:t>Amar</w:t>
      </w:r>
      <w:r w:rsidR="004A0771">
        <w:rPr>
          <w:lang w:eastAsia="ja-JP"/>
        </w:rPr>
        <w:t xml:space="preserve"> </w:t>
      </w:r>
      <w:r w:rsidR="00FB5751">
        <w:rPr>
          <w:lang w:eastAsia="ja-JP"/>
        </w:rPr>
        <w:t>c</w:t>
      </w:r>
      <w:r w:rsidR="00E30971">
        <w:rPr>
          <w:lang w:eastAsia="ja-JP"/>
        </w:rPr>
        <w:t>ontends</w:t>
      </w:r>
      <w:r w:rsidR="00FF3EAC">
        <w:rPr>
          <w:lang w:eastAsia="ja-JP"/>
        </w:rPr>
        <w:t xml:space="preserve"> </w:t>
      </w:r>
      <w:r w:rsidR="00E30971">
        <w:rPr>
          <w:lang w:eastAsia="ja-JP"/>
        </w:rPr>
        <w:t>that “‘[r]</w:t>
      </w:r>
      <w:r w:rsidR="00E30971" w:rsidRPr="00446702">
        <w:rPr>
          <w:lang w:eastAsia="ja-JP"/>
        </w:rPr>
        <w:t>easonableness</w:t>
      </w:r>
      <w:r w:rsidR="00E30971">
        <w:rPr>
          <w:lang w:eastAsia="ja-JP"/>
        </w:rPr>
        <w:t>’</w:t>
      </w:r>
      <w:r w:rsidR="00E30971" w:rsidRPr="00446702">
        <w:rPr>
          <w:lang w:eastAsia="ja-JP"/>
        </w:rPr>
        <w:t xml:space="preserve"> is</w:t>
      </w:r>
      <w:r w:rsidR="00C159BF">
        <w:rPr>
          <w:lang w:eastAsia="ja-JP"/>
        </w:rPr>
        <w:t> </w:t>
      </w:r>
      <w:r w:rsidR="00E30971" w:rsidRPr="003828FE">
        <w:rPr>
          <w:lang w:eastAsia="ja-JP"/>
        </w:rPr>
        <w:t>. . .</w:t>
      </w:r>
      <w:r w:rsidR="00C159BF">
        <w:rPr>
          <w:lang w:eastAsia="ja-JP"/>
        </w:rPr>
        <w:t> </w:t>
      </w:r>
      <w:r w:rsidR="00E30971" w:rsidRPr="00CD79F9">
        <w:rPr>
          <w:lang w:eastAsia="ja-JP"/>
        </w:rPr>
        <w:t>an honest and sensible textual formula to organize candid jury deliberations and fair jury decisions</w:t>
      </w:r>
      <w:r w:rsidR="00E30971">
        <w:rPr>
          <w:lang w:eastAsia="ja-JP"/>
        </w:rPr>
        <w:t>.”</w:t>
      </w:r>
      <w:r w:rsidR="00E30971" w:rsidRPr="002A4234">
        <w:rPr>
          <w:rStyle w:val="FootnoteReference"/>
        </w:rPr>
        <w:footnoteReference w:id="166"/>
      </w:r>
      <w:bookmarkEnd w:id="48"/>
      <w:r w:rsidR="00A17CB8">
        <w:rPr>
          <w:lang w:eastAsia="ja-JP"/>
        </w:rPr>
        <w:t xml:space="preserve"> Richard Re contends that the Fourth Amendment </w:t>
      </w:r>
      <w:r w:rsidR="005A44FC">
        <w:rPr>
          <w:lang w:eastAsia="ja-JP"/>
        </w:rPr>
        <w:t>“</w:t>
      </w:r>
      <w:r w:rsidR="005A44FC" w:rsidRPr="005A44FC">
        <w:rPr>
          <w:lang w:eastAsia="ja-JP"/>
        </w:rPr>
        <w:t>calls for new moral reasoning</w:t>
      </w:r>
      <w:r w:rsidR="00273AA1">
        <w:rPr>
          <w:lang w:eastAsia="ja-JP"/>
        </w:rPr>
        <w:t>”</w:t>
      </w:r>
      <w:r w:rsidR="006D3205">
        <w:rPr>
          <w:lang w:eastAsia="ja-JP"/>
        </w:rPr>
        <w:t xml:space="preserve"> and that courts should look to </w:t>
      </w:r>
      <w:r w:rsidR="006D3205">
        <w:rPr>
          <w:lang w:eastAsia="ja-JP"/>
        </w:rPr>
        <w:lastRenderedPageBreak/>
        <w:t>modern contractarian moral philosophy to flesh out search-and-seizure protections.</w:t>
      </w:r>
      <w:r w:rsidR="00F55798" w:rsidRPr="002A4234">
        <w:rPr>
          <w:rStyle w:val="FootnoteReference"/>
        </w:rPr>
        <w:footnoteReference w:id="167"/>
      </w:r>
    </w:p>
    <w:p w14:paraId="52A8BC34" w14:textId="73A95552" w:rsidR="009B6355" w:rsidRDefault="00A907F3" w:rsidP="00624401">
      <w:pPr>
        <w:pStyle w:val="BodyText"/>
        <w:rPr>
          <w:lang w:eastAsia="ja-JP"/>
        </w:rPr>
      </w:pPr>
      <w:r>
        <w:rPr>
          <w:lang w:eastAsia="ja-JP"/>
        </w:rPr>
        <w:t>Yet</w:t>
      </w:r>
      <w:r w:rsidR="00FA7FDB">
        <w:rPr>
          <w:lang w:eastAsia="ja-JP"/>
        </w:rPr>
        <w:t>,</w:t>
      </w:r>
      <w:r w:rsidR="00064451">
        <w:rPr>
          <w:lang w:eastAsia="ja-JP"/>
        </w:rPr>
        <w:t xml:space="preserve"> treating</w:t>
      </w:r>
      <w:r w:rsidR="00083DA6">
        <w:rPr>
          <w:lang w:eastAsia="ja-JP"/>
        </w:rPr>
        <w:t xml:space="preserve"> the ban on</w:t>
      </w:r>
      <w:r w:rsidR="00064451">
        <w:rPr>
          <w:lang w:eastAsia="ja-JP"/>
        </w:rPr>
        <w:t xml:space="preserve"> “unreasonable</w:t>
      </w:r>
      <w:r w:rsidR="00083DA6">
        <w:rPr>
          <w:lang w:eastAsia="ja-JP"/>
        </w:rPr>
        <w:t xml:space="preserve"> searches and seizures</w:t>
      </w:r>
      <w:r w:rsidR="00064451">
        <w:rPr>
          <w:lang w:eastAsia="ja-JP"/>
        </w:rPr>
        <w:t xml:space="preserve">” as a </w:t>
      </w:r>
      <w:r w:rsidR="00777599">
        <w:rPr>
          <w:lang w:eastAsia="ja-JP"/>
        </w:rPr>
        <w:t xml:space="preserve">concept </w:t>
      </w:r>
      <w:r w:rsidR="00C448C1">
        <w:rPr>
          <w:lang w:eastAsia="ja-JP"/>
        </w:rPr>
        <w:t>to which</w:t>
      </w:r>
      <w:r w:rsidR="00777599">
        <w:rPr>
          <w:lang w:eastAsia="ja-JP"/>
        </w:rPr>
        <w:t xml:space="preserve"> judges or juries </w:t>
      </w:r>
      <w:r w:rsidR="00C448C1">
        <w:rPr>
          <w:lang w:eastAsia="ja-JP"/>
        </w:rPr>
        <w:t>must give content</w:t>
      </w:r>
      <w:r w:rsidR="00870B1C">
        <w:rPr>
          <w:lang w:eastAsia="ja-JP"/>
        </w:rPr>
        <w:t xml:space="preserve"> </w:t>
      </w:r>
      <w:r w:rsidR="00787622">
        <w:rPr>
          <w:lang w:eastAsia="ja-JP"/>
        </w:rPr>
        <w:t>raises</w:t>
      </w:r>
      <w:r>
        <w:rPr>
          <w:lang w:eastAsia="ja-JP"/>
        </w:rPr>
        <w:t xml:space="preserve"> </w:t>
      </w:r>
      <w:r w:rsidR="00787622">
        <w:rPr>
          <w:lang w:eastAsia="ja-JP"/>
        </w:rPr>
        <w:t>new</w:t>
      </w:r>
      <w:r>
        <w:rPr>
          <w:lang w:eastAsia="ja-JP"/>
        </w:rPr>
        <w:t xml:space="preserve"> </w:t>
      </w:r>
      <w:r w:rsidR="00064451">
        <w:rPr>
          <w:lang w:eastAsia="ja-JP"/>
        </w:rPr>
        <w:t xml:space="preserve">problems. </w:t>
      </w:r>
      <w:r w:rsidR="00FA7FDB">
        <w:rPr>
          <w:lang w:eastAsia="ja-JP"/>
        </w:rPr>
        <w:t>In theory, t</w:t>
      </w:r>
      <w:r w:rsidR="00064451">
        <w:rPr>
          <w:lang w:eastAsia="ja-JP"/>
        </w:rPr>
        <w:t xml:space="preserve">he </w:t>
      </w:r>
      <w:r w:rsidR="00064451">
        <w:rPr>
          <w:i/>
          <w:iCs/>
          <w:lang w:eastAsia="ja-JP"/>
        </w:rPr>
        <w:t>Katz</w:t>
      </w:r>
      <w:r w:rsidR="00064451">
        <w:rPr>
          <w:lang w:eastAsia="ja-JP"/>
        </w:rPr>
        <w:t xml:space="preserve"> approach </w:t>
      </w:r>
      <w:r w:rsidR="00045628">
        <w:rPr>
          <w:lang w:eastAsia="ja-JP"/>
        </w:rPr>
        <w:t xml:space="preserve">calls on judges to inquire into </w:t>
      </w:r>
      <w:r w:rsidR="00FA7373">
        <w:rPr>
          <w:lang w:eastAsia="ja-JP"/>
        </w:rPr>
        <w:t>social expectations</w:t>
      </w:r>
      <w:r w:rsidR="00377D33">
        <w:rPr>
          <w:lang w:eastAsia="ja-JP"/>
        </w:rPr>
        <w:t>;</w:t>
      </w:r>
      <w:r w:rsidR="00FA7373">
        <w:rPr>
          <w:lang w:eastAsia="ja-JP"/>
        </w:rPr>
        <w:t xml:space="preserve"> in practice</w:t>
      </w:r>
      <w:r w:rsidR="009249C2">
        <w:rPr>
          <w:lang w:eastAsia="ja-JP"/>
        </w:rPr>
        <w:t>,</w:t>
      </w:r>
      <w:r w:rsidR="00FA7373">
        <w:rPr>
          <w:lang w:eastAsia="ja-JP"/>
        </w:rPr>
        <w:t xml:space="preserve"> it </w:t>
      </w:r>
      <w:r w:rsidR="00130E60">
        <w:rPr>
          <w:lang w:eastAsia="ja-JP"/>
        </w:rPr>
        <w:t xml:space="preserve">seems to </w:t>
      </w:r>
      <w:r w:rsidR="008F4AE9">
        <w:rPr>
          <w:lang w:eastAsia="ja-JP"/>
        </w:rPr>
        <w:t>let them</w:t>
      </w:r>
      <w:r w:rsidR="003A3DFC">
        <w:rPr>
          <w:lang w:eastAsia="ja-JP"/>
        </w:rPr>
        <w:t xml:space="preserve"> </w:t>
      </w:r>
      <w:r w:rsidR="00BD4261">
        <w:rPr>
          <w:lang w:eastAsia="ja-JP"/>
        </w:rPr>
        <w:t xml:space="preserve">determine protections based on their own </w:t>
      </w:r>
      <w:r w:rsidR="0033744A">
        <w:rPr>
          <w:lang w:eastAsia="ja-JP"/>
        </w:rPr>
        <w:t>views</w:t>
      </w:r>
      <w:r w:rsidR="00BD4261">
        <w:rPr>
          <w:lang w:eastAsia="ja-JP"/>
        </w:rPr>
        <w:t xml:space="preserve"> about reasonableness.</w:t>
      </w:r>
      <w:r w:rsidR="007203B0" w:rsidRPr="002A4234">
        <w:rPr>
          <w:rStyle w:val="FootnoteReference"/>
        </w:rPr>
        <w:footnoteReference w:id="168"/>
      </w:r>
      <w:r w:rsidR="002B2C58">
        <w:rPr>
          <w:lang w:eastAsia="ja-JP"/>
        </w:rPr>
        <w:t xml:space="preserve"> </w:t>
      </w:r>
      <w:r w:rsidR="00624401">
        <w:rPr>
          <w:lang w:eastAsia="ja-JP"/>
        </w:rPr>
        <w:t>This</w:t>
      </w:r>
      <w:r w:rsidR="00171173">
        <w:rPr>
          <w:lang w:eastAsia="ja-JP"/>
        </w:rPr>
        <w:t xml:space="preserve"> problem</w:t>
      </w:r>
      <w:r w:rsidR="00FA7FDB">
        <w:rPr>
          <w:lang w:eastAsia="ja-JP"/>
        </w:rPr>
        <w:t xml:space="preserve"> </w:t>
      </w:r>
      <w:r w:rsidR="00171173">
        <w:rPr>
          <w:lang w:eastAsia="ja-JP"/>
        </w:rPr>
        <w:t>extend</w:t>
      </w:r>
      <w:r w:rsidR="00017E3D">
        <w:rPr>
          <w:lang w:eastAsia="ja-JP"/>
        </w:rPr>
        <w:t>s</w:t>
      </w:r>
      <w:r w:rsidR="00171173">
        <w:rPr>
          <w:lang w:eastAsia="ja-JP"/>
        </w:rPr>
        <w:t xml:space="preserve"> beyond</w:t>
      </w:r>
      <w:r w:rsidR="002B2C58">
        <w:rPr>
          <w:lang w:eastAsia="ja-JP"/>
        </w:rPr>
        <w:t xml:space="preserve"> </w:t>
      </w:r>
      <w:r w:rsidR="002B2C58">
        <w:rPr>
          <w:i/>
          <w:iCs/>
          <w:lang w:eastAsia="ja-JP"/>
        </w:rPr>
        <w:t>Katz</w:t>
      </w:r>
      <w:r w:rsidR="008F3C42">
        <w:rPr>
          <w:i/>
          <w:lang w:eastAsia="ja-JP"/>
        </w:rPr>
        <w:t xml:space="preserve"> </w:t>
      </w:r>
      <w:r w:rsidR="00171173">
        <w:rPr>
          <w:lang w:eastAsia="ja-JP"/>
        </w:rPr>
        <w:t>to all open-ended reasonableness inquiries</w:t>
      </w:r>
      <w:r w:rsidR="005B5CF3">
        <w:rPr>
          <w:lang w:eastAsia="ja-JP"/>
        </w:rPr>
        <w:t xml:space="preserve">. </w:t>
      </w:r>
      <w:r w:rsidR="00DE4D36">
        <w:rPr>
          <w:lang w:eastAsia="ja-JP"/>
        </w:rPr>
        <w:t>Justice Scalia</w:t>
      </w:r>
      <w:r w:rsidR="00FA7FDB">
        <w:rPr>
          <w:lang w:eastAsia="ja-JP"/>
        </w:rPr>
        <w:t xml:space="preserve">, </w:t>
      </w:r>
      <w:r w:rsidR="00492FF2">
        <w:rPr>
          <w:lang w:eastAsia="ja-JP"/>
        </w:rPr>
        <w:t xml:space="preserve">a particularly vocal </w:t>
      </w:r>
      <w:r w:rsidR="00026B84">
        <w:rPr>
          <w:lang w:eastAsia="ja-JP"/>
        </w:rPr>
        <w:t>critic</w:t>
      </w:r>
      <w:r w:rsidR="000D2E46">
        <w:rPr>
          <w:lang w:eastAsia="ja-JP"/>
        </w:rPr>
        <w:t xml:space="preserve"> of </w:t>
      </w:r>
      <w:r w:rsidR="000D2E46">
        <w:rPr>
          <w:i/>
          <w:iCs/>
          <w:lang w:eastAsia="ja-JP"/>
        </w:rPr>
        <w:t>Katz</w:t>
      </w:r>
      <w:r w:rsidR="00B2787C">
        <w:rPr>
          <w:lang w:eastAsia="ja-JP"/>
        </w:rPr>
        <w:t>’s ten</w:t>
      </w:r>
      <w:r w:rsidR="00CE7032">
        <w:rPr>
          <w:lang w:eastAsia="ja-JP"/>
        </w:rPr>
        <w:t xml:space="preserve">dency to </w:t>
      </w:r>
      <w:r w:rsidR="00F03252">
        <w:rPr>
          <w:lang w:eastAsia="ja-JP"/>
        </w:rPr>
        <w:t xml:space="preserve">let </w:t>
      </w:r>
      <w:r w:rsidR="002E3058">
        <w:rPr>
          <w:lang w:eastAsia="ja-JP"/>
        </w:rPr>
        <w:t xml:space="preserve">judges </w:t>
      </w:r>
      <w:r w:rsidR="00B66CEE">
        <w:rPr>
          <w:lang w:eastAsia="ja-JP"/>
        </w:rPr>
        <w:t xml:space="preserve">enact </w:t>
      </w:r>
      <w:r w:rsidR="00FA7FDB">
        <w:rPr>
          <w:lang w:eastAsia="ja-JP"/>
        </w:rPr>
        <w:t>personal</w:t>
      </w:r>
      <w:r w:rsidR="00AF34A6">
        <w:rPr>
          <w:lang w:eastAsia="ja-JP"/>
        </w:rPr>
        <w:t xml:space="preserve"> pre</w:t>
      </w:r>
      <w:r w:rsidR="00CD7164">
        <w:rPr>
          <w:lang w:eastAsia="ja-JP"/>
        </w:rPr>
        <w:t>ferences</w:t>
      </w:r>
      <w:r w:rsidR="00FA7FDB">
        <w:rPr>
          <w:lang w:eastAsia="ja-JP"/>
        </w:rPr>
        <w:t xml:space="preserve">, </w:t>
      </w:r>
      <w:r w:rsidR="0095529D">
        <w:rPr>
          <w:lang w:eastAsia="ja-JP"/>
        </w:rPr>
        <w:t>nonethe</w:t>
      </w:r>
      <w:r w:rsidR="00C3247A">
        <w:rPr>
          <w:lang w:eastAsia="ja-JP"/>
        </w:rPr>
        <w:t>less</w:t>
      </w:r>
      <w:r w:rsidR="00DE4D36">
        <w:rPr>
          <w:lang w:eastAsia="ja-JP"/>
        </w:rPr>
        <w:t xml:space="preserve"> endorsed</w:t>
      </w:r>
      <w:r w:rsidR="004954EB">
        <w:rPr>
          <w:lang w:eastAsia="ja-JP"/>
        </w:rPr>
        <w:t xml:space="preserve"> the notion </w:t>
      </w:r>
      <w:r w:rsidR="00AE25EA">
        <w:rPr>
          <w:lang w:eastAsia="ja-JP"/>
        </w:rPr>
        <w:t>that the Fourth Amen</w:t>
      </w:r>
      <w:r w:rsidR="00C56C41">
        <w:rPr>
          <w:lang w:eastAsia="ja-JP"/>
        </w:rPr>
        <w:t xml:space="preserve">dment called for judicial determinations of </w:t>
      </w:r>
      <w:r w:rsidR="00ED6BE1">
        <w:rPr>
          <w:lang w:eastAsia="ja-JP"/>
        </w:rPr>
        <w:t xml:space="preserve">reasonableness </w:t>
      </w:r>
      <w:r w:rsidR="00C3247A">
        <w:rPr>
          <w:lang w:eastAsia="ja-JP"/>
        </w:rPr>
        <w:t xml:space="preserve">to determine </w:t>
      </w:r>
      <w:r w:rsidR="00C828F0">
        <w:rPr>
          <w:lang w:eastAsia="ja-JP"/>
        </w:rPr>
        <w:t>the scope of s</w:t>
      </w:r>
      <w:r w:rsidR="007261E5">
        <w:rPr>
          <w:lang w:eastAsia="ja-JP"/>
        </w:rPr>
        <w:t>earch-and-seizure protections</w:t>
      </w:r>
      <w:r w:rsidR="00DE4D36">
        <w:rPr>
          <w:lang w:eastAsia="ja-JP"/>
        </w:rPr>
        <w:t>.</w:t>
      </w:r>
      <w:r w:rsidR="00DE4D36" w:rsidRPr="002A4234">
        <w:rPr>
          <w:rStyle w:val="FootnoteReference"/>
        </w:rPr>
        <w:footnoteReference w:id="169"/>
      </w:r>
      <w:r w:rsidR="00171173">
        <w:rPr>
          <w:lang w:eastAsia="ja-JP"/>
        </w:rPr>
        <w:t xml:space="preserve"> </w:t>
      </w:r>
      <w:r w:rsidR="00FA7FDB">
        <w:rPr>
          <w:lang w:eastAsia="ja-JP"/>
        </w:rPr>
        <w:t xml:space="preserve">It is hardly clear that Scalia’s </w:t>
      </w:r>
      <w:r w:rsidR="004715E8">
        <w:rPr>
          <w:lang w:eastAsia="ja-JP"/>
        </w:rPr>
        <w:t xml:space="preserve">approach </w:t>
      </w:r>
      <w:r w:rsidR="00FA7FDB">
        <w:rPr>
          <w:lang w:eastAsia="ja-JP"/>
        </w:rPr>
        <w:t xml:space="preserve">would be any </w:t>
      </w:r>
      <w:r w:rsidR="004117AB">
        <w:rPr>
          <w:lang w:eastAsia="ja-JP"/>
        </w:rPr>
        <w:t xml:space="preserve">less </w:t>
      </w:r>
      <w:r w:rsidR="00743327">
        <w:rPr>
          <w:lang w:eastAsia="ja-JP"/>
        </w:rPr>
        <w:t xml:space="preserve">discretionary than </w:t>
      </w:r>
      <w:r w:rsidR="00664131">
        <w:rPr>
          <w:i/>
          <w:iCs/>
          <w:lang w:eastAsia="ja-JP"/>
        </w:rPr>
        <w:t>Katz</w:t>
      </w:r>
      <w:r w:rsidR="00664131">
        <w:rPr>
          <w:lang w:eastAsia="ja-JP"/>
        </w:rPr>
        <w:t>.</w:t>
      </w:r>
    </w:p>
    <w:p w14:paraId="75C06AA1" w14:textId="007414A5" w:rsidR="00C754BA" w:rsidRDefault="005A1325" w:rsidP="00064451">
      <w:pPr>
        <w:pStyle w:val="BodyText"/>
        <w:rPr>
          <w:lang w:eastAsia="ja-JP"/>
        </w:rPr>
      </w:pPr>
      <w:r>
        <w:rPr>
          <w:lang w:eastAsia="ja-JP"/>
        </w:rPr>
        <w:t>Another problem is</w:t>
      </w:r>
      <w:r w:rsidR="00B54405">
        <w:rPr>
          <w:lang w:eastAsia="ja-JP"/>
        </w:rPr>
        <w:t xml:space="preserve"> that</w:t>
      </w:r>
      <w:r w:rsidR="008F3C42">
        <w:rPr>
          <w:lang w:eastAsia="ja-JP"/>
        </w:rPr>
        <w:t xml:space="preserve"> </w:t>
      </w:r>
      <w:r w:rsidR="00171173">
        <w:rPr>
          <w:lang w:eastAsia="ja-JP"/>
        </w:rPr>
        <w:t xml:space="preserve">all-things-considered reasonableness </w:t>
      </w:r>
      <w:r w:rsidR="00E20C23">
        <w:rPr>
          <w:lang w:eastAsia="ja-JP"/>
        </w:rPr>
        <w:t>tests</w:t>
      </w:r>
      <w:r w:rsidR="00171173">
        <w:rPr>
          <w:lang w:eastAsia="ja-JP"/>
        </w:rPr>
        <w:t xml:space="preserve"> </w:t>
      </w:r>
      <w:r w:rsidR="007B7BAD">
        <w:rPr>
          <w:lang w:eastAsia="ja-JP"/>
        </w:rPr>
        <w:t xml:space="preserve">find </w:t>
      </w:r>
      <w:r w:rsidR="00C81210">
        <w:rPr>
          <w:lang w:eastAsia="ja-JP"/>
        </w:rPr>
        <w:t>limited</w:t>
      </w:r>
      <w:r w:rsidR="007B7BAD">
        <w:rPr>
          <w:lang w:eastAsia="ja-JP"/>
        </w:rPr>
        <w:t xml:space="preserve"> </w:t>
      </w:r>
      <w:r w:rsidR="00456C01">
        <w:rPr>
          <w:lang w:eastAsia="ja-JP"/>
        </w:rPr>
        <w:t>support in original understandings</w:t>
      </w:r>
      <w:r w:rsidR="001C2120">
        <w:rPr>
          <w:lang w:eastAsia="ja-JP"/>
        </w:rPr>
        <w:t xml:space="preserve">. </w:t>
      </w:r>
      <w:r w:rsidR="00C81210">
        <w:rPr>
          <w:lang w:eastAsia="ja-JP"/>
        </w:rPr>
        <w:t xml:space="preserve">Some reasonableness approaches, like </w:t>
      </w:r>
      <w:r w:rsidR="00C81210">
        <w:rPr>
          <w:i/>
          <w:iCs/>
          <w:lang w:eastAsia="ja-JP"/>
        </w:rPr>
        <w:t>Katz</w:t>
      </w:r>
      <w:r w:rsidR="00C81210">
        <w:rPr>
          <w:lang w:eastAsia="ja-JP"/>
        </w:rPr>
        <w:t xml:space="preserve">, </w:t>
      </w:r>
      <w:r w:rsidR="009C7407">
        <w:rPr>
          <w:lang w:eastAsia="ja-JP"/>
        </w:rPr>
        <w:t xml:space="preserve">are not </w:t>
      </w:r>
      <w:r w:rsidR="00DB5A69">
        <w:rPr>
          <w:lang w:eastAsia="ja-JP"/>
        </w:rPr>
        <w:t>framed as attempts to follow original meaning.</w:t>
      </w:r>
      <w:bookmarkStart w:id="49" w:name="_Ref113024607"/>
      <w:r w:rsidR="00DB5A69" w:rsidRPr="002A4234">
        <w:rPr>
          <w:rStyle w:val="FootnoteReference"/>
        </w:rPr>
        <w:footnoteReference w:id="170"/>
      </w:r>
      <w:bookmarkEnd w:id="49"/>
      <w:r w:rsidR="009C7407">
        <w:rPr>
          <w:lang w:eastAsia="ja-JP"/>
        </w:rPr>
        <w:t xml:space="preserve"> </w:t>
      </w:r>
      <w:r w:rsidR="00315119">
        <w:rPr>
          <w:lang w:eastAsia="ja-JP"/>
        </w:rPr>
        <w:t xml:space="preserve">To be sure, </w:t>
      </w:r>
      <w:r w:rsidR="00CE28B6">
        <w:rPr>
          <w:lang w:eastAsia="ja-JP"/>
        </w:rPr>
        <w:t>Amar</w:t>
      </w:r>
      <w:r w:rsidR="005F1881">
        <w:rPr>
          <w:lang w:eastAsia="ja-JP"/>
        </w:rPr>
        <w:t>, building on the work of Taylor Telford,</w:t>
      </w:r>
      <w:r w:rsidR="005F1881" w:rsidRPr="002A4234">
        <w:rPr>
          <w:rStyle w:val="FootnoteReference"/>
        </w:rPr>
        <w:footnoteReference w:id="171"/>
      </w:r>
      <w:r w:rsidR="005F1881">
        <w:rPr>
          <w:lang w:eastAsia="ja-JP"/>
        </w:rPr>
        <w:t xml:space="preserve"> attempt</w:t>
      </w:r>
      <w:r w:rsidR="00315119">
        <w:rPr>
          <w:lang w:eastAsia="ja-JP"/>
        </w:rPr>
        <w:t>s</w:t>
      </w:r>
      <w:r w:rsidR="005F1881">
        <w:rPr>
          <w:lang w:eastAsia="ja-JP"/>
        </w:rPr>
        <w:t xml:space="preserve"> to ground his generalized reasonableness approach in history.</w:t>
      </w:r>
      <w:r w:rsidR="00570EB7" w:rsidRPr="002A4234">
        <w:rPr>
          <w:rStyle w:val="FootnoteReference"/>
        </w:rPr>
        <w:footnoteReference w:id="172"/>
      </w:r>
      <w:r w:rsidR="0018194D">
        <w:rPr>
          <w:lang w:eastAsia="ja-JP"/>
        </w:rPr>
        <w:t xml:space="preserve"> But other historically inclined scholars have strongly disputed some of the historical foundations of </w:t>
      </w:r>
      <w:r w:rsidR="001B0F7D">
        <w:rPr>
          <w:lang w:eastAsia="ja-JP"/>
        </w:rPr>
        <w:t xml:space="preserve">Telford’s and </w:t>
      </w:r>
      <w:r w:rsidR="0018194D">
        <w:rPr>
          <w:lang w:eastAsia="ja-JP"/>
        </w:rPr>
        <w:t>Amar’s claims.</w:t>
      </w:r>
      <w:r w:rsidR="002F625A" w:rsidRPr="002A4234">
        <w:rPr>
          <w:rStyle w:val="FootnoteReference"/>
        </w:rPr>
        <w:footnoteReference w:id="173"/>
      </w:r>
      <w:r w:rsidR="001B0F7D">
        <w:rPr>
          <w:lang w:eastAsia="ja-JP"/>
        </w:rPr>
        <w:t xml:space="preserve"> </w:t>
      </w:r>
      <w:r w:rsidR="0046531E">
        <w:rPr>
          <w:lang w:eastAsia="ja-JP"/>
        </w:rPr>
        <w:t xml:space="preserve">For example, </w:t>
      </w:r>
      <w:r w:rsidR="007B39F2">
        <w:rPr>
          <w:lang w:eastAsia="ja-JP"/>
        </w:rPr>
        <w:t xml:space="preserve">Nikolaus Williams </w:t>
      </w:r>
      <w:r w:rsidR="0046531E">
        <w:rPr>
          <w:lang w:eastAsia="ja-JP"/>
        </w:rPr>
        <w:t xml:space="preserve">has </w:t>
      </w:r>
      <w:r w:rsidR="007B39F2">
        <w:rPr>
          <w:lang w:eastAsia="ja-JP"/>
        </w:rPr>
        <w:t>argue</w:t>
      </w:r>
      <w:r w:rsidR="0046531E">
        <w:rPr>
          <w:lang w:eastAsia="ja-JP"/>
        </w:rPr>
        <w:t>d that</w:t>
      </w:r>
      <w:r w:rsidR="007B39F2">
        <w:rPr>
          <w:lang w:eastAsia="ja-JP"/>
        </w:rPr>
        <w:t xml:space="preserve"> </w:t>
      </w:r>
      <w:r w:rsidR="00994EF2">
        <w:rPr>
          <w:lang w:eastAsia="ja-JP"/>
        </w:rPr>
        <w:t>“</w:t>
      </w:r>
      <w:r w:rsidR="00994EF2" w:rsidRPr="00994EF2">
        <w:rPr>
          <w:lang w:eastAsia="ja-JP"/>
        </w:rPr>
        <w:t>there is no evidence that any Framing-era judge or jury decided the legality of a search or seizure by asking whether it was reasonable, by applying a balancing test, or by invoking any other version of the modern reasonableness interpretation</w:t>
      </w:r>
      <w:r w:rsidR="00994EF2">
        <w:rPr>
          <w:lang w:eastAsia="ja-JP"/>
        </w:rPr>
        <w:t>.”</w:t>
      </w:r>
      <w:r w:rsidR="00994EF2" w:rsidRPr="002A4234">
        <w:rPr>
          <w:rStyle w:val="FootnoteReference"/>
        </w:rPr>
        <w:footnoteReference w:id="174"/>
      </w:r>
      <w:r w:rsidR="003953A0">
        <w:rPr>
          <w:lang w:eastAsia="ja-JP"/>
        </w:rPr>
        <w:t xml:space="preserve"> Instead, </w:t>
      </w:r>
      <w:r w:rsidR="0046531E">
        <w:rPr>
          <w:lang w:eastAsia="ja-JP"/>
        </w:rPr>
        <w:t xml:space="preserve">during </w:t>
      </w:r>
      <w:r w:rsidR="00AB4204">
        <w:rPr>
          <w:lang w:eastAsia="ja-JP"/>
        </w:rPr>
        <w:t xml:space="preserve">the Founding </w:t>
      </w:r>
      <w:r w:rsidR="00B30066">
        <w:rPr>
          <w:lang w:eastAsia="ja-JP"/>
        </w:rPr>
        <w:t>E</w:t>
      </w:r>
      <w:r w:rsidR="00AB4204">
        <w:rPr>
          <w:lang w:eastAsia="ja-JP"/>
        </w:rPr>
        <w:t xml:space="preserve">ra, claims of wrongful search and seizure were resolved under the </w:t>
      </w:r>
      <w:r w:rsidR="00C114CB">
        <w:rPr>
          <w:lang w:eastAsia="ja-JP"/>
        </w:rPr>
        <w:t>“categorical rules” of the common law.</w:t>
      </w:r>
      <w:r w:rsidR="00C114CB" w:rsidRPr="002A4234">
        <w:rPr>
          <w:rStyle w:val="FootnoteReference"/>
        </w:rPr>
        <w:footnoteReference w:id="175"/>
      </w:r>
    </w:p>
    <w:p w14:paraId="1DAB8684" w14:textId="009C6F4A" w:rsidR="00BC70B0" w:rsidRDefault="00D57F5C" w:rsidP="00F91A64">
      <w:pPr>
        <w:pStyle w:val="BodyText"/>
        <w:rPr>
          <w:lang w:eastAsia="ja-JP"/>
        </w:rPr>
      </w:pPr>
      <w:r>
        <w:rPr>
          <w:lang w:eastAsia="ja-JP"/>
        </w:rPr>
        <w:t xml:space="preserve">A </w:t>
      </w:r>
      <w:r w:rsidR="00ED372C">
        <w:rPr>
          <w:lang w:eastAsia="ja-JP"/>
        </w:rPr>
        <w:t>different</w:t>
      </w:r>
      <w:r>
        <w:rPr>
          <w:lang w:eastAsia="ja-JP"/>
        </w:rPr>
        <w:t xml:space="preserve"> option is the pure-positive-law </w:t>
      </w:r>
      <w:r w:rsidR="0077477E">
        <w:rPr>
          <w:lang w:eastAsia="ja-JP"/>
        </w:rPr>
        <w:t xml:space="preserve">approach </w:t>
      </w:r>
      <w:r w:rsidR="00DC25C7">
        <w:rPr>
          <w:lang w:eastAsia="ja-JP"/>
        </w:rPr>
        <w:t xml:space="preserve">laid out by Baude and Stern. </w:t>
      </w:r>
      <w:r w:rsidR="007E5269">
        <w:rPr>
          <w:lang w:eastAsia="ja-JP"/>
        </w:rPr>
        <w:t xml:space="preserve">Their approach, </w:t>
      </w:r>
      <w:r w:rsidR="0021498E">
        <w:rPr>
          <w:lang w:eastAsia="ja-JP"/>
        </w:rPr>
        <w:t>somewhat</w:t>
      </w:r>
      <w:r w:rsidR="007E5269">
        <w:rPr>
          <w:lang w:eastAsia="ja-JP"/>
        </w:rPr>
        <w:t xml:space="preserve"> like the </w:t>
      </w:r>
      <w:r w:rsidR="007E5269">
        <w:rPr>
          <w:i/>
          <w:iCs/>
          <w:lang w:eastAsia="ja-JP"/>
        </w:rPr>
        <w:t>Katz</w:t>
      </w:r>
      <w:r w:rsidR="007E5269">
        <w:rPr>
          <w:lang w:eastAsia="ja-JP"/>
        </w:rPr>
        <w:t xml:space="preserve"> test, </w:t>
      </w:r>
      <w:r w:rsidR="00930F8F">
        <w:rPr>
          <w:lang w:eastAsia="ja-JP"/>
        </w:rPr>
        <w:t>is</w:t>
      </w:r>
      <w:r w:rsidR="004224FA">
        <w:rPr>
          <w:lang w:eastAsia="ja-JP"/>
        </w:rPr>
        <w:t xml:space="preserve"> primarily</w:t>
      </w:r>
      <w:r w:rsidR="00930F8F">
        <w:rPr>
          <w:lang w:eastAsia="ja-JP"/>
        </w:rPr>
        <w:t xml:space="preserve"> focused on the </w:t>
      </w:r>
      <w:r w:rsidR="00930F8F">
        <w:rPr>
          <w:lang w:eastAsia="ja-JP"/>
        </w:rPr>
        <w:lastRenderedPageBreak/>
        <w:t>threshold question of whether government conduct is a “search” or “seizure</w:t>
      </w:r>
      <w:r w:rsidR="002A0E0E">
        <w:rPr>
          <w:lang w:eastAsia="ja-JP"/>
        </w:rPr>
        <w:t>.</w:t>
      </w:r>
      <w:r w:rsidR="00930F8F">
        <w:rPr>
          <w:lang w:eastAsia="ja-JP"/>
        </w:rPr>
        <w:t>”</w:t>
      </w:r>
      <w:r w:rsidR="00930F8F" w:rsidRPr="002A4234">
        <w:rPr>
          <w:rStyle w:val="FootnoteReference"/>
        </w:rPr>
        <w:footnoteReference w:id="176"/>
      </w:r>
      <w:r w:rsidR="002A0E0E">
        <w:rPr>
          <w:lang w:eastAsia="ja-JP"/>
        </w:rPr>
        <w:t xml:space="preserve"> </w:t>
      </w:r>
      <w:r w:rsidR="00180FD5">
        <w:rPr>
          <w:lang w:eastAsia="ja-JP"/>
        </w:rPr>
        <w:t xml:space="preserve">As they see it, </w:t>
      </w:r>
      <w:r w:rsidR="00622644">
        <w:rPr>
          <w:lang w:eastAsia="ja-JP"/>
        </w:rPr>
        <w:t xml:space="preserve">a court </w:t>
      </w:r>
      <w:r w:rsidR="0046531E">
        <w:rPr>
          <w:lang w:eastAsia="ja-JP"/>
        </w:rPr>
        <w:t xml:space="preserve">should </w:t>
      </w:r>
      <w:r w:rsidR="00622644">
        <w:rPr>
          <w:lang w:eastAsia="ja-JP"/>
        </w:rPr>
        <w:t>ask whether</w:t>
      </w:r>
      <w:r w:rsidR="0046531E">
        <w:rPr>
          <w:lang w:eastAsia="ja-JP"/>
        </w:rPr>
        <w:t xml:space="preserve"> government </w:t>
      </w:r>
      <w:r w:rsidR="00622644">
        <w:rPr>
          <w:lang w:eastAsia="ja-JP"/>
        </w:rPr>
        <w:t>conduct was “unreasonable”</w:t>
      </w:r>
      <w:r w:rsidR="0046531E">
        <w:rPr>
          <w:lang w:eastAsia="ja-JP"/>
        </w:rPr>
        <w:t xml:space="preserve">—that is, </w:t>
      </w:r>
      <w:r w:rsidR="00622644">
        <w:rPr>
          <w:lang w:eastAsia="ja-JP"/>
        </w:rPr>
        <w:t xml:space="preserve">whether </w:t>
      </w:r>
      <w:r w:rsidR="00A84957">
        <w:rPr>
          <w:lang w:eastAsia="ja-JP"/>
        </w:rPr>
        <w:t xml:space="preserve">there is a sufficient justification for the </w:t>
      </w:r>
      <w:r w:rsidR="00790B84">
        <w:rPr>
          <w:lang w:eastAsia="ja-JP"/>
        </w:rPr>
        <w:t>conduct in question</w:t>
      </w:r>
      <w:r w:rsidR="0046531E">
        <w:rPr>
          <w:lang w:eastAsia="ja-JP"/>
        </w:rPr>
        <w:t>—</w:t>
      </w:r>
      <w:r w:rsidR="0046531E" w:rsidRPr="0046531E">
        <w:rPr>
          <w:lang w:eastAsia="ja-JP"/>
        </w:rPr>
        <w:t xml:space="preserve"> </w:t>
      </w:r>
      <w:r w:rsidR="0046531E">
        <w:rPr>
          <w:lang w:eastAsia="ja-JP"/>
        </w:rPr>
        <w:t>only if it violates the relevant jurisdiction’s positive law</w:t>
      </w:r>
      <w:r w:rsidR="00790B84">
        <w:rPr>
          <w:lang w:eastAsia="ja-JP"/>
        </w:rPr>
        <w:t xml:space="preserve">. </w:t>
      </w:r>
      <w:r w:rsidR="00A527DE">
        <w:rPr>
          <w:lang w:eastAsia="ja-JP"/>
        </w:rPr>
        <w:t>T</w:t>
      </w:r>
      <w:r w:rsidR="004B6D68">
        <w:rPr>
          <w:lang w:eastAsia="ja-JP"/>
        </w:rPr>
        <w:t>hat the words “search[]” and “seizure[]” incorporate by reference all positive law in a given jurisdiction</w:t>
      </w:r>
      <w:r w:rsidR="00A527DE">
        <w:rPr>
          <w:lang w:eastAsia="ja-JP"/>
        </w:rPr>
        <w:t xml:space="preserve"> </w:t>
      </w:r>
      <w:r w:rsidR="005721C5">
        <w:rPr>
          <w:lang w:eastAsia="ja-JP"/>
        </w:rPr>
        <w:t xml:space="preserve">is hard to </w:t>
      </w:r>
      <w:r w:rsidR="00306EEB">
        <w:rPr>
          <w:lang w:eastAsia="ja-JP"/>
        </w:rPr>
        <w:t xml:space="preserve">defend as a </w:t>
      </w:r>
      <w:r w:rsidR="00E9633A">
        <w:rPr>
          <w:lang w:eastAsia="ja-JP"/>
        </w:rPr>
        <w:t>textual matter, even before considering original meaning</w:t>
      </w:r>
      <w:r w:rsidR="00306EEB">
        <w:rPr>
          <w:lang w:eastAsia="ja-JP"/>
        </w:rPr>
        <w:t xml:space="preserve">. </w:t>
      </w:r>
      <w:r w:rsidR="00BC70B0" w:rsidRPr="00BC70B0">
        <w:rPr>
          <w:lang w:eastAsia="ja-JP"/>
        </w:rPr>
        <w:t xml:space="preserve">Under our approach, by contrast, the general law helps </w:t>
      </w:r>
      <w:r w:rsidR="0046531E">
        <w:rPr>
          <w:lang w:eastAsia="ja-JP"/>
        </w:rPr>
        <w:t xml:space="preserve">to </w:t>
      </w:r>
      <w:r w:rsidR="00BC70B0" w:rsidRPr="00BC70B0">
        <w:rPr>
          <w:lang w:eastAsia="ja-JP"/>
        </w:rPr>
        <w:t xml:space="preserve">determine whether the government conduct has impinged on someone’s own person, house, papers, or effects, and whether that intrusion was unreasonable. That is, most hard </w:t>
      </w:r>
      <w:r w:rsidR="00050D6A">
        <w:rPr>
          <w:lang w:eastAsia="ja-JP"/>
        </w:rPr>
        <w:t>questions</w:t>
      </w:r>
      <w:r w:rsidR="00BC70B0" w:rsidRPr="00BC70B0">
        <w:rPr>
          <w:lang w:eastAsia="ja-JP"/>
        </w:rPr>
        <w:t xml:space="preserve"> </w:t>
      </w:r>
      <w:r w:rsidR="00050D6A">
        <w:rPr>
          <w:lang w:eastAsia="ja-JP"/>
        </w:rPr>
        <w:t>involve</w:t>
      </w:r>
      <w:r w:rsidR="00BC70B0" w:rsidRPr="00BC70B0">
        <w:rPr>
          <w:lang w:eastAsia="ja-JP"/>
        </w:rPr>
        <w:t xml:space="preserve"> the reasonableness inquiry, not the threshold question of whether something qualifies as a “search” or “seizure.” </w:t>
      </w:r>
      <w:r w:rsidR="00B80A10">
        <w:rPr>
          <w:lang w:eastAsia="ja-JP"/>
        </w:rPr>
        <w:t>This</w:t>
      </w:r>
      <w:r w:rsidR="00BC70B0" w:rsidRPr="00BC70B0">
        <w:rPr>
          <w:lang w:eastAsia="ja-JP"/>
        </w:rPr>
        <w:t xml:space="preserve"> is a</w:t>
      </w:r>
      <w:r w:rsidR="008C04AF">
        <w:rPr>
          <w:lang w:eastAsia="ja-JP"/>
        </w:rPr>
        <w:t xml:space="preserve"> far more</w:t>
      </w:r>
      <w:r w:rsidR="00BC70B0" w:rsidRPr="00BC70B0">
        <w:rPr>
          <w:lang w:eastAsia="ja-JP"/>
        </w:rPr>
        <w:t xml:space="preserve"> plausible reading of the text.</w:t>
      </w:r>
    </w:p>
    <w:p w14:paraId="7CDB5A29" w14:textId="124698E5" w:rsidR="00382397" w:rsidRDefault="004A08A1" w:rsidP="00CE1BAA">
      <w:pPr>
        <w:pStyle w:val="BodyText"/>
        <w:rPr>
          <w:lang w:eastAsia="ja-JP"/>
        </w:rPr>
      </w:pPr>
      <w:r>
        <w:rPr>
          <w:lang w:eastAsia="ja-JP"/>
        </w:rPr>
        <w:t>Baude and Stern’s approach</w:t>
      </w:r>
      <w:r w:rsidR="00502094">
        <w:rPr>
          <w:lang w:eastAsia="ja-JP"/>
        </w:rPr>
        <w:t xml:space="preserve"> </w:t>
      </w:r>
      <w:r w:rsidR="00454E30">
        <w:rPr>
          <w:lang w:eastAsia="ja-JP"/>
        </w:rPr>
        <w:t>stands on</w:t>
      </w:r>
      <w:r w:rsidR="00D74CC3">
        <w:rPr>
          <w:lang w:eastAsia="ja-JP"/>
        </w:rPr>
        <w:t xml:space="preserve"> </w:t>
      </w:r>
      <w:r w:rsidR="004168C9">
        <w:rPr>
          <w:lang w:eastAsia="ja-JP"/>
        </w:rPr>
        <w:t>even</w:t>
      </w:r>
      <w:r w:rsidR="00454E30">
        <w:rPr>
          <w:lang w:eastAsia="ja-JP"/>
        </w:rPr>
        <w:t xml:space="preserve"> shakier ground when </w:t>
      </w:r>
      <w:r w:rsidR="00502094">
        <w:rPr>
          <w:lang w:eastAsia="ja-JP"/>
        </w:rPr>
        <w:t xml:space="preserve">it comes to </w:t>
      </w:r>
      <w:r w:rsidR="004168C9">
        <w:rPr>
          <w:lang w:eastAsia="ja-JP"/>
        </w:rPr>
        <w:t>originalism</w:t>
      </w:r>
      <w:r w:rsidR="00454E30">
        <w:rPr>
          <w:lang w:eastAsia="ja-JP"/>
        </w:rPr>
        <w:t>.</w:t>
      </w:r>
      <w:r w:rsidR="00800649">
        <w:rPr>
          <w:lang w:eastAsia="ja-JP"/>
        </w:rPr>
        <w:t xml:space="preserve"> </w:t>
      </w:r>
      <w:r w:rsidR="00D74CC3">
        <w:rPr>
          <w:lang w:eastAsia="ja-JP"/>
        </w:rPr>
        <w:t>Orin</w:t>
      </w:r>
      <w:r w:rsidR="00224252">
        <w:rPr>
          <w:lang w:eastAsia="ja-JP"/>
        </w:rPr>
        <w:t xml:space="preserve"> S.</w:t>
      </w:r>
      <w:r w:rsidR="00D74CC3">
        <w:rPr>
          <w:lang w:eastAsia="ja-JP"/>
        </w:rPr>
        <w:t xml:space="preserve"> Kerr contends that </w:t>
      </w:r>
      <w:r w:rsidR="00C0425E">
        <w:rPr>
          <w:lang w:eastAsia="ja-JP"/>
        </w:rPr>
        <w:t xml:space="preserve">Baude and Stern’s </w:t>
      </w:r>
      <w:r w:rsidR="00CB5611">
        <w:rPr>
          <w:lang w:eastAsia="ja-JP"/>
        </w:rPr>
        <w:t xml:space="preserve">theory </w:t>
      </w:r>
      <w:r w:rsidR="00C0425E">
        <w:rPr>
          <w:lang w:eastAsia="ja-JP"/>
        </w:rPr>
        <w:t>“</w:t>
      </w:r>
      <w:r w:rsidR="00C0425E" w:rsidRPr="00C0425E">
        <w:rPr>
          <w:lang w:eastAsia="ja-JP"/>
        </w:rPr>
        <w:t>is unrelated to text, divorced from history, and has no plausible connection to the original meaning of the Fourth Amendment.</w:t>
      </w:r>
      <w:r w:rsidR="00CE1BAA">
        <w:rPr>
          <w:lang w:eastAsia="ja-JP"/>
        </w:rPr>
        <w:t>”</w:t>
      </w:r>
      <w:r w:rsidR="00C0425E" w:rsidRPr="002A4234">
        <w:rPr>
          <w:rStyle w:val="FootnoteReference"/>
        </w:rPr>
        <w:footnoteReference w:id="177"/>
      </w:r>
      <w:r w:rsidR="00CE1BAA">
        <w:rPr>
          <w:lang w:eastAsia="ja-JP"/>
        </w:rPr>
        <w:t xml:space="preserve"> To Kerr’s critiques, we add one more</w:t>
      </w:r>
      <w:r w:rsidR="003D7CC6">
        <w:rPr>
          <w:lang w:eastAsia="ja-JP"/>
        </w:rPr>
        <w:t>: the pure</w:t>
      </w:r>
      <w:r w:rsidR="00421C14">
        <w:rPr>
          <w:lang w:eastAsia="ja-JP"/>
        </w:rPr>
        <w:t xml:space="preserve"> </w:t>
      </w:r>
      <w:r w:rsidR="003D7CC6">
        <w:rPr>
          <w:lang w:eastAsia="ja-JP"/>
        </w:rPr>
        <w:t>positive-law model turns on a jurisprudential theory unknown at the Founding</w:t>
      </w:r>
      <w:r w:rsidR="00D61020">
        <w:rPr>
          <w:lang w:eastAsia="ja-JP"/>
        </w:rPr>
        <w:t xml:space="preserve">. </w:t>
      </w:r>
      <w:r w:rsidR="00F91A64">
        <w:rPr>
          <w:lang w:eastAsia="ja-JP"/>
        </w:rPr>
        <w:t>I</w:t>
      </w:r>
      <w:r w:rsidR="00513953">
        <w:rPr>
          <w:lang w:eastAsia="ja-JP"/>
        </w:rPr>
        <w:t xml:space="preserve">n </w:t>
      </w:r>
      <w:r w:rsidR="00513953">
        <w:rPr>
          <w:i/>
          <w:iCs/>
          <w:lang w:eastAsia="ja-JP"/>
        </w:rPr>
        <w:t>Erie</w:t>
      </w:r>
      <w:r w:rsidR="00F91A64" w:rsidRPr="00D50D54">
        <w:rPr>
          <w:lang w:eastAsia="ja-JP"/>
        </w:rPr>
        <w:t>,</w:t>
      </w:r>
      <w:r w:rsidR="00513953">
        <w:rPr>
          <w:i/>
          <w:iCs/>
          <w:lang w:eastAsia="ja-JP"/>
        </w:rPr>
        <w:t xml:space="preserve"> </w:t>
      </w:r>
      <w:r w:rsidR="00F702E2">
        <w:rPr>
          <w:lang w:eastAsia="ja-JP"/>
        </w:rPr>
        <w:t>the Supreme Court</w:t>
      </w:r>
      <w:r w:rsidR="00355BC3">
        <w:rPr>
          <w:lang w:eastAsia="ja-JP"/>
        </w:rPr>
        <w:t>,</w:t>
      </w:r>
      <w:r w:rsidR="00F702E2">
        <w:rPr>
          <w:lang w:eastAsia="ja-JP"/>
        </w:rPr>
        <w:t xml:space="preserve"> endors</w:t>
      </w:r>
      <w:r w:rsidR="00355BC3">
        <w:rPr>
          <w:lang w:eastAsia="ja-JP"/>
        </w:rPr>
        <w:t>ing</w:t>
      </w:r>
      <w:r w:rsidR="00F702E2">
        <w:rPr>
          <w:lang w:eastAsia="ja-JP"/>
        </w:rPr>
        <w:t xml:space="preserve"> </w:t>
      </w:r>
      <w:r w:rsidR="00355BC3">
        <w:rPr>
          <w:lang w:eastAsia="ja-JP"/>
        </w:rPr>
        <w:t>a</w:t>
      </w:r>
      <w:r w:rsidR="00F702E2">
        <w:rPr>
          <w:lang w:eastAsia="ja-JP"/>
        </w:rPr>
        <w:t xml:space="preserve"> view </w:t>
      </w:r>
      <w:r w:rsidR="00F8287E">
        <w:rPr>
          <w:lang w:eastAsia="ja-JP"/>
        </w:rPr>
        <w:t xml:space="preserve">that Justice Holmes </w:t>
      </w:r>
      <w:r w:rsidR="003E6CE5">
        <w:rPr>
          <w:lang w:eastAsia="ja-JP"/>
        </w:rPr>
        <w:t>had advocated a generation earlier</w:t>
      </w:r>
      <w:r w:rsidR="00355BC3">
        <w:rPr>
          <w:lang w:eastAsia="ja-JP"/>
        </w:rPr>
        <w:t xml:space="preserve">, stated </w:t>
      </w:r>
      <w:r w:rsidR="003E6CE5">
        <w:rPr>
          <w:lang w:eastAsia="ja-JP"/>
        </w:rPr>
        <w:t xml:space="preserve">that </w:t>
      </w:r>
      <w:r w:rsidR="00AD4928">
        <w:rPr>
          <w:lang w:eastAsia="ja-JP"/>
        </w:rPr>
        <w:t>the common law is “</w:t>
      </w:r>
      <w:r w:rsidR="003E6CE5" w:rsidRPr="003E6CE5">
        <w:rPr>
          <w:lang w:eastAsia="ja-JP"/>
        </w:rPr>
        <w:t>the articulate voice of some sovereign or quasi-sovereign that can be identified</w:t>
      </w:r>
      <w:r w:rsidR="003E6CE5">
        <w:rPr>
          <w:lang w:eastAsia="ja-JP"/>
        </w:rPr>
        <w:t>.”</w:t>
      </w:r>
      <w:r w:rsidR="003E6CE5" w:rsidRPr="002A4234">
        <w:rPr>
          <w:rStyle w:val="FootnoteReference"/>
        </w:rPr>
        <w:footnoteReference w:id="178"/>
      </w:r>
      <w:r w:rsidR="00961493">
        <w:rPr>
          <w:lang w:eastAsia="ja-JP"/>
        </w:rPr>
        <w:t xml:space="preserve"> </w:t>
      </w:r>
      <w:r w:rsidR="00454E30">
        <w:rPr>
          <w:lang w:eastAsia="ja-JP"/>
        </w:rPr>
        <w:t xml:space="preserve">But this </w:t>
      </w:r>
      <w:r w:rsidR="00F5684F">
        <w:rPr>
          <w:lang w:eastAsia="ja-JP"/>
        </w:rPr>
        <w:t xml:space="preserve">purely positivist </w:t>
      </w:r>
      <w:r w:rsidR="00454E30">
        <w:rPr>
          <w:lang w:eastAsia="ja-JP"/>
        </w:rPr>
        <w:t>understanding</w:t>
      </w:r>
      <w:r w:rsidR="00355BC3">
        <w:rPr>
          <w:lang w:eastAsia="ja-JP"/>
        </w:rPr>
        <w:t xml:space="preserve"> of</w:t>
      </w:r>
      <w:r w:rsidR="00454E30">
        <w:rPr>
          <w:lang w:eastAsia="ja-JP"/>
        </w:rPr>
        <w:t xml:space="preserve"> the common law </w:t>
      </w:r>
      <w:r w:rsidR="00F5684F">
        <w:rPr>
          <w:lang w:eastAsia="ja-JP"/>
        </w:rPr>
        <w:t xml:space="preserve">is not how </w:t>
      </w:r>
      <w:r w:rsidR="00FD4BEA">
        <w:rPr>
          <w:lang w:eastAsia="ja-JP"/>
        </w:rPr>
        <w:t xml:space="preserve">lawyers at the time of the Fourth Amendment’s ratification would have seen things. </w:t>
      </w:r>
      <w:r w:rsidR="00DF0DEF">
        <w:rPr>
          <w:lang w:eastAsia="ja-JP"/>
        </w:rPr>
        <w:t xml:space="preserve">As McConnell argues, the </w:t>
      </w:r>
      <w:r w:rsidR="00C43D82">
        <w:rPr>
          <w:lang w:eastAsia="ja-JP"/>
        </w:rPr>
        <w:t xml:space="preserve">legal tradition known to the </w:t>
      </w:r>
      <w:r w:rsidR="006B6BA2">
        <w:rPr>
          <w:lang w:eastAsia="ja-JP"/>
        </w:rPr>
        <w:t>F</w:t>
      </w:r>
      <w:r w:rsidR="00C43D82">
        <w:rPr>
          <w:lang w:eastAsia="ja-JP"/>
        </w:rPr>
        <w:t>ounding</w:t>
      </w:r>
      <w:r w:rsidR="00DF0DEF">
        <w:rPr>
          <w:lang w:eastAsia="ja-JP"/>
        </w:rPr>
        <w:t xml:space="preserve"> generation </w:t>
      </w:r>
      <w:r w:rsidR="00C43D82">
        <w:rPr>
          <w:lang w:eastAsia="ja-JP"/>
        </w:rPr>
        <w:t>did</w:t>
      </w:r>
      <w:r w:rsidR="00DF0DEF">
        <w:rPr>
          <w:lang w:eastAsia="ja-JP"/>
        </w:rPr>
        <w:t xml:space="preserve"> </w:t>
      </w:r>
      <w:r w:rsidR="00272C65">
        <w:rPr>
          <w:lang w:eastAsia="ja-JP"/>
        </w:rPr>
        <w:t>not</w:t>
      </w:r>
      <w:r w:rsidR="00DF0DEF">
        <w:rPr>
          <w:lang w:eastAsia="ja-JP"/>
        </w:rPr>
        <w:t xml:space="preserve"> </w:t>
      </w:r>
      <w:r w:rsidR="00C43D82">
        <w:rPr>
          <w:lang w:eastAsia="ja-JP"/>
        </w:rPr>
        <w:t>see</w:t>
      </w:r>
      <w:r w:rsidR="00272C65">
        <w:rPr>
          <w:lang w:eastAsia="ja-JP"/>
        </w:rPr>
        <w:t xml:space="preserve"> </w:t>
      </w:r>
      <w:r w:rsidR="00F24672">
        <w:rPr>
          <w:lang w:eastAsia="ja-JP"/>
        </w:rPr>
        <w:t xml:space="preserve">unwritten constitutional </w:t>
      </w:r>
      <w:r w:rsidR="00272C65">
        <w:rPr>
          <w:lang w:eastAsia="ja-JP"/>
        </w:rPr>
        <w:t xml:space="preserve">rights as mere commands by </w:t>
      </w:r>
      <w:r w:rsidR="00C43D82">
        <w:rPr>
          <w:lang w:eastAsia="ja-JP"/>
        </w:rPr>
        <w:t>a</w:t>
      </w:r>
      <w:r w:rsidR="00272C65">
        <w:rPr>
          <w:lang w:eastAsia="ja-JP"/>
        </w:rPr>
        <w:t xml:space="preserve"> sovereign:</w:t>
      </w:r>
    </w:p>
    <w:p w14:paraId="169C5184" w14:textId="77777777" w:rsidR="0046531E" w:rsidRDefault="0046531E" w:rsidP="00CE1BAA">
      <w:pPr>
        <w:pStyle w:val="BodyText"/>
        <w:rPr>
          <w:lang w:eastAsia="ja-JP"/>
        </w:rPr>
      </w:pPr>
    </w:p>
    <w:p w14:paraId="0282C782" w14:textId="4E3F47EB" w:rsidR="00F24672" w:rsidRDefault="00F24672" w:rsidP="00F24672">
      <w:pPr>
        <w:pStyle w:val="BlockQuote"/>
        <w:rPr>
          <w:lang w:eastAsia="ja-JP"/>
        </w:rPr>
      </w:pPr>
      <w:r w:rsidRPr="00F24672">
        <w:rPr>
          <w:lang w:eastAsia="ja-JP"/>
        </w:rPr>
        <w:t>If it could be shown that the law had a determinate origin in the sovereign will of the King, however long ago, then the successor to that King must have the power to revoke it today. On the other hand, if no man granted us our liberties, no man could take them away</w:t>
      </w:r>
      <w:r w:rsidRPr="003828FE">
        <w:rPr>
          <w:lang w:eastAsia="ja-JP"/>
        </w:rPr>
        <w:t>. .</w:t>
      </w:r>
      <w:r w:rsidR="001D45EB">
        <w:rPr>
          <w:lang w:eastAsia="ja-JP"/>
        </w:rPr>
        <w:t> </w:t>
      </w:r>
      <w:r w:rsidRPr="003828FE">
        <w:rPr>
          <w:lang w:eastAsia="ja-JP"/>
        </w:rPr>
        <w:t>.</w:t>
      </w:r>
      <w:r w:rsidR="001D45EB">
        <w:rPr>
          <w:lang w:eastAsia="ja-JP"/>
        </w:rPr>
        <w:t> </w:t>
      </w:r>
      <w:r>
        <w:rPr>
          <w:lang w:eastAsia="ja-JP"/>
        </w:rPr>
        <w:t>.</w:t>
      </w:r>
      <w:r w:rsidR="001D45EB">
        <w:rPr>
          <w:lang w:eastAsia="ja-JP"/>
        </w:rPr>
        <w:t> </w:t>
      </w:r>
      <w:r w:rsidRPr="00F24672">
        <w:rPr>
          <w:lang w:eastAsia="ja-JP"/>
        </w:rPr>
        <w:t>If rights have their source and authority in long-standing practice, they are not vulnerable to the will of the sovereign.</w:t>
      </w:r>
      <w:r w:rsidR="00F82AD2" w:rsidRPr="002A4234">
        <w:rPr>
          <w:rStyle w:val="FootnoteReference"/>
        </w:rPr>
        <w:footnoteReference w:id="179"/>
      </w:r>
    </w:p>
    <w:p w14:paraId="134704FA" w14:textId="77777777" w:rsidR="0046531E" w:rsidRPr="0046531E" w:rsidRDefault="0046531E" w:rsidP="00D50D54">
      <w:pPr>
        <w:pStyle w:val="BodyText"/>
        <w:rPr>
          <w:lang w:eastAsia="ja-JP"/>
        </w:rPr>
      </w:pPr>
    </w:p>
    <w:p w14:paraId="704FEBB4" w14:textId="6CB6E8F2" w:rsidR="00C87CC1" w:rsidRDefault="00F82AD2" w:rsidP="00176129">
      <w:pPr>
        <w:pStyle w:val="BodyText"/>
        <w:rPr>
          <w:lang w:eastAsia="ja-JP"/>
        </w:rPr>
      </w:pPr>
      <w:r>
        <w:rPr>
          <w:lang w:eastAsia="ja-JP"/>
        </w:rPr>
        <w:t>Given this background</w:t>
      </w:r>
      <w:r w:rsidR="00C43D82">
        <w:rPr>
          <w:lang w:eastAsia="ja-JP"/>
        </w:rPr>
        <w:t xml:space="preserve">, it is difficult to </w:t>
      </w:r>
      <w:r w:rsidR="00260B44">
        <w:rPr>
          <w:lang w:eastAsia="ja-JP"/>
        </w:rPr>
        <w:t>explain</w:t>
      </w:r>
      <w:r w:rsidR="00C43D82">
        <w:rPr>
          <w:lang w:eastAsia="ja-JP"/>
        </w:rPr>
        <w:t xml:space="preserve"> why the Fourth Amendment should be </w:t>
      </w:r>
      <w:r w:rsidR="0098099B">
        <w:rPr>
          <w:lang w:eastAsia="ja-JP"/>
        </w:rPr>
        <w:t>read</w:t>
      </w:r>
      <w:r w:rsidR="00C43D82">
        <w:rPr>
          <w:lang w:eastAsia="ja-JP"/>
        </w:rPr>
        <w:t xml:space="preserve"> as </w:t>
      </w:r>
      <w:r w:rsidR="00AF6983">
        <w:rPr>
          <w:lang w:eastAsia="ja-JP"/>
        </w:rPr>
        <w:t xml:space="preserve">silently </w:t>
      </w:r>
      <w:r w:rsidR="0098099B">
        <w:rPr>
          <w:lang w:eastAsia="ja-JP"/>
        </w:rPr>
        <w:t>incorporating post-</w:t>
      </w:r>
      <w:r w:rsidR="0098099B">
        <w:rPr>
          <w:i/>
          <w:iCs/>
          <w:lang w:eastAsia="ja-JP"/>
        </w:rPr>
        <w:t>Erie</w:t>
      </w:r>
      <w:r w:rsidR="0098099B">
        <w:rPr>
          <w:lang w:eastAsia="ja-JP"/>
        </w:rPr>
        <w:t xml:space="preserve"> </w:t>
      </w:r>
      <w:r w:rsidR="00F91A64">
        <w:rPr>
          <w:lang w:eastAsia="ja-JP"/>
        </w:rPr>
        <w:t>legal theory</w:t>
      </w:r>
      <w:r w:rsidR="00894099">
        <w:rPr>
          <w:lang w:eastAsia="ja-JP"/>
        </w:rPr>
        <w:t xml:space="preserve"> under which protections turn entirely on what </w:t>
      </w:r>
      <w:r w:rsidR="008B20D9">
        <w:rPr>
          <w:lang w:eastAsia="ja-JP"/>
        </w:rPr>
        <w:t xml:space="preserve">rights </w:t>
      </w:r>
      <w:r w:rsidR="00894099">
        <w:rPr>
          <w:lang w:eastAsia="ja-JP"/>
        </w:rPr>
        <w:t xml:space="preserve">a particular sovereign has </w:t>
      </w:r>
      <w:r w:rsidR="00965F34">
        <w:rPr>
          <w:lang w:eastAsia="ja-JP"/>
        </w:rPr>
        <w:t xml:space="preserve">decided </w:t>
      </w:r>
      <w:r w:rsidR="00894099">
        <w:rPr>
          <w:lang w:eastAsia="ja-JP"/>
        </w:rPr>
        <w:t xml:space="preserve">to </w:t>
      </w:r>
      <w:r w:rsidR="008B20D9">
        <w:rPr>
          <w:lang w:eastAsia="ja-JP"/>
        </w:rPr>
        <w:t>recognize</w:t>
      </w:r>
      <w:r w:rsidR="0098099B">
        <w:rPr>
          <w:lang w:eastAsia="ja-JP"/>
        </w:rPr>
        <w:t>.</w:t>
      </w:r>
      <w:r w:rsidR="00C43D82">
        <w:rPr>
          <w:lang w:eastAsia="ja-JP"/>
        </w:rPr>
        <w:t xml:space="preserve"> </w:t>
      </w:r>
      <w:r w:rsidR="005433FA">
        <w:rPr>
          <w:lang w:eastAsia="ja-JP"/>
        </w:rPr>
        <w:t xml:space="preserve">If the Fourth Amendment was </w:t>
      </w:r>
      <w:r w:rsidR="0058444A">
        <w:rPr>
          <w:lang w:eastAsia="ja-JP"/>
        </w:rPr>
        <w:t>originally understood as</w:t>
      </w:r>
      <w:r w:rsidR="005433FA">
        <w:rPr>
          <w:lang w:eastAsia="ja-JP"/>
        </w:rPr>
        <w:t xml:space="preserve"> </w:t>
      </w:r>
      <w:r w:rsidR="00C30E30">
        <w:rPr>
          <w:lang w:eastAsia="ja-JP"/>
        </w:rPr>
        <w:t>protect</w:t>
      </w:r>
      <w:r w:rsidR="0058444A">
        <w:rPr>
          <w:lang w:eastAsia="ja-JP"/>
        </w:rPr>
        <w:t>ing</w:t>
      </w:r>
      <w:r w:rsidR="00C30E30">
        <w:rPr>
          <w:lang w:eastAsia="ja-JP"/>
        </w:rPr>
        <w:t xml:space="preserve"> </w:t>
      </w:r>
      <w:r w:rsidR="00D4309D">
        <w:rPr>
          <w:lang w:eastAsia="ja-JP"/>
        </w:rPr>
        <w:t xml:space="preserve">the people’s fundamental rights </w:t>
      </w:r>
      <w:r w:rsidR="0058444A">
        <w:rPr>
          <w:lang w:eastAsia="ja-JP"/>
        </w:rPr>
        <w:t>from interference</w:t>
      </w:r>
      <w:r w:rsidR="00D4309D">
        <w:rPr>
          <w:lang w:eastAsia="ja-JP"/>
        </w:rPr>
        <w:t xml:space="preserve"> </w:t>
      </w:r>
      <w:r w:rsidR="006F5ABC">
        <w:rPr>
          <w:lang w:eastAsia="ja-JP"/>
        </w:rPr>
        <w:t xml:space="preserve">by the sovereign, </w:t>
      </w:r>
      <w:r w:rsidR="00BE6A14">
        <w:rPr>
          <w:lang w:eastAsia="ja-JP"/>
        </w:rPr>
        <w:t xml:space="preserve">the scope of those rights must </w:t>
      </w:r>
      <w:r w:rsidR="00382F53">
        <w:rPr>
          <w:lang w:eastAsia="ja-JP"/>
        </w:rPr>
        <w:t xml:space="preserve">find a source that preexists the sovereign’s positive law. </w:t>
      </w:r>
      <w:r w:rsidR="00176129">
        <w:rPr>
          <w:lang w:eastAsia="ja-JP"/>
        </w:rPr>
        <w:t xml:space="preserve">That source is </w:t>
      </w:r>
      <w:r w:rsidR="00176129">
        <w:rPr>
          <w:lang w:eastAsia="ja-JP"/>
        </w:rPr>
        <w:lastRenderedPageBreak/>
        <w:t>general law, roo</w:t>
      </w:r>
      <w:r w:rsidR="00AF6983">
        <w:rPr>
          <w:lang w:eastAsia="ja-JP"/>
        </w:rPr>
        <w:t>t</w:t>
      </w:r>
      <w:r w:rsidR="00176129">
        <w:rPr>
          <w:lang w:eastAsia="ja-JP"/>
        </w:rPr>
        <w:t xml:space="preserve">ed in </w:t>
      </w:r>
      <w:r w:rsidR="00EA6B42">
        <w:rPr>
          <w:lang w:eastAsia="ja-JP"/>
        </w:rPr>
        <w:t xml:space="preserve">national </w:t>
      </w:r>
      <w:r w:rsidR="00176129">
        <w:rPr>
          <w:lang w:eastAsia="ja-JP"/>
        </w:rPr>
        <w:t>custom</w:t>
      </w:r>
      <w:r w:rsidR="00A64E0A">
        <w:rPr>
          <w:lang w:eastAsia="ja-JP"/>
        </w:rPr>
        <w:t>s</w:t>
      </w:r>
      <w:r w:rsidR="00C70A3C">
        <w:rPr>
          <w:lang w:eastAsia="ja-JP"/>
        </w:rPr>
        <w:t xml:space="preserve"> and </w:t>
      </w:r>
      <w:r w:rsidR="00EA6B42">
        <w:rPr>
          <w:lang w:eastAsia="ja-JP"/>
        </w:rPr>
        <w:t>practice</w:t>
      </w:r>
      <w:r w:rsidR="00A64E0A">
        <w:rPr>
          <w:lang w:eastAsia="ja-JP"/>
        </w:rPr>
        <w:t>s</w:t>
      </w:r>
      <w:r w:rsidR="00176129">
        <w:rPr>
          <w:lang w:eastAsia="ja-JP"/>
        </w:rPr>
        <w:t xml:space="preserve">. </w:t>
      </w:r>
      <w:r w:rsidR="00D60ED1">
        <w:rPr>
          <w:lang w:eastAsia="ja-JP"/>
        </w:rPr>
        <w:t>For these reasons, o</w:t>
      </w:r>
      <w:r w:rsidR="00502094">
        <w:rPr>
          <w:lang w:eastAsia="ja-JP"/>
        </w:rPr>
        <w:t xml:space="preserve">ur reading is </w:t>
      </w:r>
      <w:r w:rsidR="00AB02B0">
        <w:rPr>
          <w:lang w:eastAsia="ja-JP"/>
        </w:rPr>
        <w:t>more</w:t>
      </w:r>
      <w:r w:rsidR="00502094">
        <w:rPr>
          <w:lang w:eastAsia="ja-JP"/>
        </w:rPr>
        <w:t xml:space="preserve"> defensible as a matter of original meaning, </w:t>
      </w:r>
      <w:r w:rsidR="00D27D3A">
        <w:rPr>
          <w:lang w:eastAsia="ja-JP"/>
        </w:rPr>
        <w:t>especially</w:t>
      </w:r>
      <w:r w:rsidR="00502094">
        <w:rPr>
          <w:lang w:eastAsia="ja-JP"/>
        </w:rPr>
        <w:t xml:space="preserve"> given the evidence that “unreasonable” was meant to invoke or draw on the common law.</w:t>
      </w:r>
    </w:p>
    <w:p w14:paraId="0A0D5174" w14:textId="4707A2AF" w:rsidR="00C87CC1" w:rsidRDefault="00C87CC1" w:rsidP="00C87CC1">
      <w:pPr>
        <w:ind w:firstLine="360"/>
        <w:rPr>
          <w:lang w:eastAsia="ja-JP"/>
        </w:rPr>
      </w:pPr>
      <w:r>
        <w:rPr>
          <w:lang w:eastAsia="ja-JP"/>
        </w:rPr>
        <w:t xml:space="preserve">The general-law approach is also most consistent with the </w:t>
      </w:r>
      <w:r w:rsidR="006047E8">
        <w:rPr>
          <w:lang w:eastAsia="ja-JP"/>
        </w:rPr>
        <w:t xml:space="preserve">manner in which </w:t>
      </w:r>
      <w:r>
        <w:rPr>
          <w:lang w:eastAsia="ja-JP"/>
        </w:rPr>
        <w:t xml:space="preserve">search-and-seizure protections originally operated. </w:t>
      </w:r>
      <w:r w:rsidR="00507730">
        <w:rPr>
          <w:lang w:eastAsia="ja-JP"/>
        </w:rPr>
        <w:t>A</w:t>
      </w:r>
      <w:r>
        <w:rPr>
          <w:lang w:eastAsia="ja-JP"/>
        </w:rPr>
        <w:t>t the time of the Founding</w:t>
      </w:r>
      <w:r w:rsidR="00507730">
        <w:rPr>
          <w:lang w:eastAsia="ja-JP"/>
        </w:rPr>
        <w:t>,</w:t>
      </w:r>
      <w:r>
        <w:rPr>
          <w:lang w:eastAsia="ja-JP"/>
        </w:rPr>
        <w:t xml:space="preserve"> </w:t>
      </w:r>
      <w:r w:rsidR="00507730">
        <w:rPr>
          <w:lang w:eastAsia="ja-JP"/>
        </w:rPr>
        <w:t>t</w:t>
      </w:r>
      <w:r>
        <w:rPr>
          <w:lang w:eastAsia="ja-JP"/>
        </w:rPr>
        <w:t>he exclusionary rule was unheard of</w:t>
      </w:r>
      <w:r w:rsidR="00507730">
        <w:rPr>
          <w:lang w:eastAsia="ja-JP"/>
        </w:rPr>
        <w:t>. I</w:t>
      </w:r>
      <w:r>
        <w:rPr>
          <w:lang w:eastAsia="ja-JP"/>
        </w:rPr>
        <w:t xml:space="preserve">nstead, the traditional remedy </w:t>
      </w:r>
      <w:r w:rsidR="00507730">
        <w:rPr>
          <w:lang w:eastAsia="ja-JP"/>
        </w:rPr>
        <w:t>for an unreasonable search or seizure</w:t>
      </w:r>
      <w:r>
        <w:rPr>
          <w:lang w:eastAsia="ja-JP"/>
        </w:rPr>
        <w:t xml:space="preserve"> was a civil suit, such as a trespass </w:t>
      </w:r>
      <w:r w:rsidR="00507730">
        <w:rPr>
          <w:lang w:eastAsia="ja-JP"/>
        </w:rPr>
        <w:t>action</w:t>
      </w:r>
      <w:r>
        <w:rPr>
          <w:lang w:eastAsia="ja-JP"/>
        </w:rPr>
        <w:t xml:space="preserve">, against those who </w:t>
      </w:r>
      <w:r w:rsidR="00507730">
        <w:rPr>
          <w:lang w:eastAsia="ja-JP"/>
        </w:rPr>
        <w:t xml:space="preserve">conducted </w:t>
      </w:r>
      <w:r w:rsidR="006861AE">
        <w:rPr>
          <w:lang w:eastAsia="ja-JP"/>
        </w:rPr>
        <w:t>it</w:t>
      </w:r>
      <w:r>
        <w:rPr>
          <w:lang w:eastAsia="ja-JP"/>
        </w:rPr>
        <w:t xml:space="preserve">. </w:t>
      </w:r>
      <w:r w:rsidR="00446DE2">
        <w:rPr>
          <w:lang w:eastAsia="ja-JP"/>
        </w:rPr>
        <w:t xml:space="preserve">Indeed, the paradigmatic cases that are seen as motivating the Fourth Amendment’s creation were </w:t>
      </w:r>
      <w:r w:rsidR="00446DE2">
        <w:rPr>
          <w:i/>
          <w:iCs/>
          <w:lang w:eastAsia="ja-JP"/>
        </w:rPr>
        <w:t>civil</w:t>
      </w:r>
      <w:r w:rsidR="00446DE2">
        <w:rPr>
          <w:lang w:eastAsia="ja-JP"/>
        </w:rPr>
        <w:t xml:space="preserve"> suits, not criminal prosecutions.</w:t>
      </w:r>
      <w:r w:rsidR="00446DE2" w:rsidRPr="002A4234">
        <w:rPr>
          <w:rStyle w:val="FootnoteReference"/>
        </w:rPr>
        <w:footnoteReference w:id="180"/>
      </w:r>
      <w:r w:rsidR="00446DE2">
        <w:rPr>
          <w:lang w:eastAsia="ja-JP"/>
        </w:rPr>
        <w:t xml:space="preserve"> In such </w:t>
      </w:r>
      <w:r w:rsidR="000C52B2">
        <w:rPr>
          <w:lang w:eastAsia="ja-JP"/>
        </w:rPr>
        <w:t>an action</w:t>
      </w:r>
      <w:r>
        <w:rPr>
          <w:lang w:eastAsia="ja-JP"/>
        </w:rPr>
        <w:t>, an aggrieved person would seek a remedy under common law</w:t>
      </w:r>
      <w:r w:rsidR="000A2F0E">
        <w:rPr>
          <w:lang w:eastAsia="ja-JP"/>
        </w:rPr>
        <w:t>, typically through suits “</w:t>
      </w:r>
      <w:r w:rsidR="000A2F0E" w:rsidRPr="000A2F0E">
        <w:rPr>
          <w:lang w:eastAsia="ja-JP"/>
        </w:rPr>
        <w:t>framed as trespass or false imprisonment cases</w:t>
      </w:r>
      <w:r w:rsidR="000A2F0E">
        <w:rPr>
          <w:lang w:eastAsia="ja-JP"/>
        </w:rPr>
        <w:t>.”</w:t>
      </w:r>
      <w:r w:rsidR="007A12DF" w:rsidRPr="002A4234">
        <w:rPr>
          <w:rStyle w:val="FootnoteReference"/>
        </w:rPr>
        <w:footnoteReference w:id="181"/>
      </w:r>
      <w:r w:rsidR="00E3738A">
        <w:rPr>
          <w:lang w:eastAsia="ja-JP"/>
        </w:rPr>
        <w:t xml:space="preserve"> </w:t>
      </w:r>
      <w:r w:rsidR="00C40355">
        <w:rPr>
          <w:lang w:eastAsia="ja-JP"/>
        </w:rPr>
        <w:t xml:space="preserve">In such actions, however, </w:t>
      </w:r>
      <w:r w:rsidR="000C52B2">
        <w:rPr>
          <w:lang w:eastAsia="ja-JP"/>
        </w:rPr>
        <w:t xml:space="preserve">a valid warrant would preclude the suit and deprive the </w:t>
      </w:r>
      <w:r w:rsidR="00C978B2">
        <w:rPr>
          <w:lang w:eastAsia="ja-JP"/>
        </w:rPr>
        <w:t>aggrieved person of a remedy.</w:t>
      </w:r>
      <w:r w:rsidRPr="002A4234">
        <w:rPr>
          <w:rStyle w:val="FootnoteReference"/>
        </w:rPr>
        <w:footnoteReference w:id="182"/>
      </w:r>
    </w:p>
    <w:p w14:paraId="3132AC19" w14:textId="24A22FFD" w:rsidR="001B2A61" w:rsidRDefault="001B2A61" w:rsidP="001B2A61">
      <w:pPr>
        <w:ind w:firstLine="360"/>
        <w:rPr>
          <w:lang w:eastAsia="ja-JP"/>
        </w:rPr>
      </w:pPr>
      <w:r>
        <w:rPr>
          <w:lang w:eastAsia="ja-JP"/>
        </w:rPr>
        <w:t>The general-law approach seeks continuity with this historical background. Just as a citizen might have sought to establish that a search violated the common law, our approach looks to the continued development of the common law to determine whether a search is “unreasonable.” Just as a warrant could have defeated civil liability, in our theory a valid warrant can make an otherwise unreasonable search or seizure permissible.</w:t>
      </w:r>
    </w:p>
    <w:p w14:paraId="2401B6B6" w14:textId="11EA4815" w:rsidR="0047462B" w:rsidRDefault="006A2ACF" w:rsidP="00C87CC1">
      <w:pPr>
        <w:ind w:firstLine="360"/>
        <w:rPr>
          <w:lang w:eastAsia="ja-JP"/>
        </w:rPr>
      </w:pPr>
      <w:r>
        <w:rPr>
          <w:lang w:eastAsia="ja-JP"/>
        </w:rPr>
        <w:t xml:space="preserve">But </w:t>
      </w:r>
      <w:r w:rsidR="00496E44">
        <w:rPr>
          <w:lang w:eastAsia="ja-JP"/>
        </w:rPr>
        <w:t>one might ask: how</w:t>
      </w:r>
      <w:r w:rsidR="00F555D8">
        <w:rPr>
          <w:lang w:eastAsia="ja-JP"/>
        </w:rPr>
        <w:t xml:space="preserve"> would a court </w:t>
      </w:r>
      <w:r w:rsidR="003C772C">
        <w:rPr>
          <w:lang w:eastAsia="ja-JP"/>
        </w:rPr>
        <w:t>under the traditional approach</w:t>
      </w:r>
      <w:r w:rsidR="00F555D8">
        <w:rPr>
          <w:lang w:eastAsia="ja-JP"/>
        </w:rPr>
        <w:t xml:space="preserve"> determine whether </w:t>
      </w:r>
      <w:r w:rsidR="007F2EBA">
        <w:rPr>
          <w:lang w:eastAsia="ja-JP"/>
        </w:rPr>
        <w:t xml:space="preserve">the defendant had violated the common law? </w:t>
      </w:r>
      <w:r w:rsidR="004E4C9F">
        <w:rPr>
          <w:lang w:eastAsia="ja-JP"/>
        </w:rPr>
        <w:t xml:space="preserve">We do not claim that courts dealing with trespass suits </w:t>
      </w:r>
      <w:r w:rsidR="00465D8C">
        <w:rPr>
          <w:lang w:eastAsia="ja-JP"/>
        </w:rPr>
        <w:t xml:space="preserve">consistently </w:t>
      </w:r>
      <w:r w:rsidR="00F20289">
        <w:rPr>
          <w:lang w:eastAsia="ja-JP"/>
        </w:rPr>
        <w:t xml:space="preserve">applied </w:t>
      </w:r>
      <w:r w:rsidR="00465D8C">
        <w:rPr>
          <w:lang w:eastAsia="ja-JP"/>
        </w:rPr>
        <w:t xml:space="preserve">a </w:t>
      </w:r>
      <w:r w:rsidR="00465D8C" w:rsidRPr="00CE24A6">
        <w:rPr>
          <w:i/>
          <w:iCs/>
          <w:lang w:eastAsia="ja-JP"/>
        </w:rPr>
        <w:t>uniform</w:t>
      </w:r>
      <w:r w:rsidR="00465D8C">
        <w:rPr>
          <w:lang w:eastAsia="ja-JP"/>
        </w:rPr>
        <w:t xml:space="preserve"> body of general law in such cases. </w:t>
      </w:r>
      <w:r w:rsidR="004E4C9F">
        <w:rPr>
          <w:lang w:eastAsia="ja-JP"/>
        </w:rPr>
        <w:t xml:space="preserve">As Mannheimer </w:t>
      </w:r>
      <w:r w:rsidR="008A414F">
        <w:rPr>
          <w:lang w:eastAsia="ja-JP"/>
        </w:rPr>
        <w:t xml:space="preserve">and others </w:t>
      </w:r>
      <w:r w:rsidR="0047462B">
        <w:rPr>
          <w:lang w:eastAsia="ja-JP"/>
        </w:rPr>
        <w:t>ha</w:t>
      </w:r>
      <w:r w:rsidR="008A414F">
        <w:rPr>
          <w:lang w:eastAsia="ja-JP"/>
        </w:rPr>
        <w:t>ve</w:t>
      </w:r>
      <w:r w:rsidR="0047462B">
        <w:rPr>
          <w:lang w:eastAsia="ja-JP"/>
        </w:rPr>
        <w:t xml:space="preserve"> observed, there was </w:t>
      </w:r>
      <w:r w:rsidR="00101C5C">
        <w:rPr>
          <w:lang w:eastAsia="ja-JP"/>
        </w:rPr>
        <w:t xml:space="preserve">apparently </w:t>
      </w:r>
      <w:r w:rsidR="0047462B">
        <w:rPr>
          <w:lang w:eastAsia="ja-JP"/>
        </w:rPr>
        <w:t xml:space="preserve">variation </w:t>
      </w:r>
      <w:r w:rsidR="00101C5C">
        <w:rPr>
          <w:lang w:eastAsia="ja-JP"/>
        </w:rPr>
        <w:t>in the</w:t>
      </w:r>
      <w:r w:rsidR="00465D8C">
        <w:rPr>
          <w:lang w:eastAsia="ja-JP"/>
        </w:rPr>
        <w:t xml:space="preserve"> specific search-and-seizure rules </w:t>
      </w:r>
      <w:r w:rsidR="00101C5C">
        <w:rPr>
          <w:lang w:eastAsia="ja-JP"/>
        </w:rPr>
        <w:t>applied in different jurisdictions at the Founding.</w:t>
      </w:r>
      <w:r w:rsidR="00FB7C73" w:rsidRPr="002A4234">
        <w:rPr>
          <w:rStyle w:val="FootnoteReference"/>
        </w:rPr>
        <w:footnoteReference w:id="183"/>
      </w:r>
      <w:r w:rsidR="00076D6E">
        <w:rPr>
          <w:lang w:eastAsia="ja-JP"/>
        </w:rPr>
        <w:t xml:space="preserve"> </w:t>
      </w:r>
      <w:r w:rsidR="00FD6D81">
        <w:rPr>
          <w:lang w:eastAsia="ja-JP"/>
        </w:rPr>
        <w:t xml:space="preserve">Mannheimer </w:t>
      </w:r>
      <w:r w:rsidR="00647CB8">
        <w:rPr>
          <w:lang w:eastAsia="ja-JP"/>
        </w:rPr>
        <w:t xml:space="preserve">argues that search-and-seizure law should thus be considered </w:t>
      </w:r>
      <w:r w:rsidR="00647CB8">
        <w:rPr>
          <w:i/>
          <w:iCs/>
          <w:lang w:eastAsia="ja-JP"/>
        </w:rPr>
        <w:t>local</w:t>
      </w:r>
      <w:r w:rsidR="00864D71">
        <w:rPr>
          <w:lang w:eastAsia="ja-JP"/>
        </w:rPr>
        <w:t>, not</w:t>
      </w:r>
      <w:r w:rsidR="00647CB8">
        <w:rPr>
          <w:lang w:eastAsia="ja-JP"/>
        </w:rPr>
        <w:t xml:space="preserve"> general</w:t>
      </w:r>
      <w:r w:rsidR="00864D71">
        <w:rPr>
          <w:lang w:eastAsia="ja-JP"/>
        </w:rPr>
        <w:t xml:space="preserve">, </w:t>
      </w:r>
      <w:r w:rsidR="00647CB8">
        <w:rPr>
          <w:lang w:eastAsia="ja-JP"/>
        </w:rPr>
        <w:t xml:space="preserve">law, </w:t>
      </w:r>
      <w:r w:rsidR="00EF35AD">
        <w:rPr>
          <w:lang w:eastAsia="ja-JP"/>
        </w:rPr>
        <w:t xml:space="preserve">meaning that </w:t>
      </w:r>
      <w:r w:rsidR="00864D71">
        <w:rPr>
          <w:lang w:eastAsia="ja-JP"/>
        </w:rPr>
        <w:t>courts should defer to state law in Fourth Amendment cases</w:t>
      </w:r>
      <w:r w:rsidR="003E7CC5">
        <w:rPr>
          <w:lang w:eastAsia="ja-JP"/>
        </w:rPr>
        <w:t xml:space="preserve"> rather than looking to the general law</w:t>
      </w:r>
      <w:r w:rsidR="005A4692">
        <w:rPr>
          <w:lang w:eastAsia="ja-JP"/>
        </w:rPr>
        <w:t xml:space="preserve">. That </w:t>
      </w:r>
      <w:r w:rsidR="00511C4F">
        <w:rPr>
          <w:lang w:eastAsia="ja-JP"/>
        </w:rPr>
        <w:t>understanding</w:t>
      </w:r>
      <w:r w:rsidR="005A4692">
        <w:rPr>
          <w:lang w:eastAsia="ja-JP"/>
        </w:rPr>
        <w:t xml:space="preserve"> </w:t>
      </w:r>
      <w:r w:rsidR="00BA775A">
        <w:rPr>
          <w:lang w:eastAsia="ja-JP"/>
        </w:rPr>
        <w:t xml:space="preserve">would also </w:t>
      </w:r>
      <w:r w:rsidR="003E7CC5">
        <w:rPr>
          <w:lang w:eastAsia="ja-JP"/>
        </w:rPr>
        <w:t>provide stronger grounding for</w:t>
      </w:r>
      <w:r w:rsidR="00BA775A">
        <w:rPr>
          <w:lang w:eastAsia="ja-JP"/>
        </w:rPr>
        <w:t xml:space="preserve"> Baude </w:t>
      </w:r>
      <w:r w:rsidR="00BF3540">
        <w:rPr>
          <w:lang w:eastAsia="ja-JP"/>
        </w:rPr>
        <w:t>and</w:t>
      </w:r>
      <w:r w:rsidR="00BA775A">
        <w:rPr>
          <w:lang w:eastAsia="ja-JP"/>
        </w:rPr>
        <w:t xml:space="preserve"> Stern’s positive-law model.</w:t>
      </w:r>
    </w:p>
    <w:p w14:paraId="4BB03770" w14:textId="55A327CA" w:rsidR="0066636C" w:rsidRPr="00441C83" w:rsidRDefault="00716125" w:rsidP="00C87CC1">
      <w:pPr>
        <w:ind w:firstLine="360"/>
        <w:rPr>
          <w:lang w:eastAsia="ja-JP"/>
        </w:rPr>
      </w:pPr>
      <w:r>
        <w:rPr>
          <w:lang w:eastAsia="ja-JP"/>
        </w:rPr>
        <w:t xml:space="preserve">We are </w:t>
      </w:r>
      <w:r w:rsidR="00895C37">
        <w:rPr>
          <w:lang w:eastAsia="ja-JP"/>
        </w:rPr>
        <w:t xml:space="preserve">skeptical that Fourth Amendment protections should be exclusively a matter of local law. </w:t>
      </w:r>
      <w:r w:rsidR="0091387B">
        <w:rPr>
          <w:lang w:eastAsia="ja-JP"/>
        </w:rPr>
        <w:t xml:space="preserve">To be sure, the distinction between general and local law was </w:t>
      </w:r>
      <w:r w:rsidR="0091387B">
        <w:rPr>
          <w:lang w:eastAsia="ja-JP"/>
        </w:rPr>
        <w:lastRenderedPageBreak/>
        <w:t>understood</w:t>
      </w:r>
      <w:r w:rsidR="003F3AA4">
        <w:rPr>
          <w:lang w:eastAsia="ja-JP"/>
        </w:rPr>
        <w:t xml:space="preserve"> even in the pre-</w:t>
      </w:r>
      <w:r w:rsidR="003F3AA4">
        <w:rPr>
          <w:i/>
          <w:iCs/>
          <w:lang w:eastAsia="ja-JP"/>
        </w:rPr>
        <w:t>Erie</w:t>
      </w:r>
      <w:r w:rsidR="003F3AA4">
        <w:rPr>
          <w:lang w:eastAsia="ja-JP"/>
        </w:rPr>
        <w:t xml:space="preserve"> era. </w:t>
      </w:r>
      <w:r w:rsidR="00683E32">
        <w:rPr>
          <w:lang w:eastAsia="ja-JP"/>
        </w:rPr>
        <w:t xml:space="preserve">As noted above, </w:t>
      </w:r>
      <w:r w:rsidR="00B63750">
        <w:rPr>
          <w:i/>
          <w:iCs/>
          <w:lang w:eastAsia="ja-JP"/>
        </w:rPr>
        <w:t>Swift v. Tyson</w:t>
      </w:r>
      <w:r w:rsidR="006861AE">
        <w:rPr>
          <w:lang w:eastAsia="ja-JP"/>
        </w:rPr>
        <w:t xml:space="preserve">, </w:t>
      </w:r>
      <w:r w:rsidR="004B6878">
        <w:rPr>
          <w:lang w:eastAsia="ja-JP"/>
        </w:rPr>
        <w:t xml:space="preserve">which famously upheld the use of general law by federal courts—nonetheless recognized that some matters </w:t>
      </w:r>
      <w:r w:rsidR="00EE3174">
        <w:rPr>
          <w:lang w:eastAsia="ja-JP"/>
        </w:rPr>
        <w:t xml:space="preserve">such as title </w:t>
      </w:r>
      <w:r w:rsidR="00412667">
        <w:rPr>
          <w:lang w:eastAsia="ja-JP"/>
        </w:rPr>
        <w:t xml:space="preserve">to real property </w:t>
      </w:r>
      <w:r w:rsidR="005C035A">
        <w:rPr>
          <w:lang w:eastAsia="ja-JP"/>
        </w:rPr>
        <w:t>were questions of purely local law.</w:t>
      </w:r>
      <w:r w:rsidR="007F08CE" w:rsidRPr="002A4234">
        <w:rPr>
          <w:rStyle w:val="FootnoteReference"/>
        </w:rPr>
        <w:footnoteReference w:id="184"/>
      </w:r>
      <w:r w:rsidR="00C274C7">
        <w:rPr>
          <w:lang w:eastAsia="ja-JP"/>
        </w:rPr>
        <w:t xml:space="preserve"> But that there was different state courts </w:t>
      </w:r>
      <w:r w:rsidR="0061208C">
        <w:rPr>
          <w:lang w:eastAsia="ja-JP"/>
        </w:rPr>
        <w:t xml:space="preserve">varied in how they decided </w:t>
      </w:r>
      <w:r w:rsidR="00164A66">
        <w:rPr>
          <w:lang w:eastAsia="ja-JP"/>
        </w:rPr>
        <w:t xml:space="preserve">search-and-seizure questions </w:t>
      </w:r>
      <w:r w:rsidR="000F5155">
        <w:rPr>
          <w:lang w:eastAsia="ja-JP"/>
        </w:rPr>
        <w:t xml:space="preserve">does not show that those questions are best understood as local law. What should matter is what courts </w:t>
      </w:r>
      <w:r w:rsidR="000F5155">
        <w:rPr>
          <w:i/>
          <w:iCs/>
          <w:lang w:eastAsia="ja-JP"/>
        </w:rPr>
        <w:t>understood</w:t>
      </w:r>
      <w:r w:rsidR="000F5155">
        <w:rPr>
          <w:lang w:eastAsia="ja-JP"/>
        </w:rPr>
        <w:t xml:space="preserve"> themselves to be doing—were they</w:t>
      </w:r>
      <w:r w:rsidR="002077F1">
        <w:rPr>
          <w:lang w:eastAsia="ja-JP"/>
        </w:rPr>
        <w:t xml:space="preserve"> merely explicating sovereign-specific</w:t>
      </w:r>
      <w:r w:rsidR="00190A98">
        <w:rPr>
          <w:lang w:eastAsia="ja-JP"/>
        </w:rPr>
        <w:t xml:space="preserve"> </w:t>
      </w:r>
      <w:r w:rsidR="00273496">
        <w:rPr>
          <w:lang w:eastAsia="ja-JP"/>
        </w:rPr>
        <w:t xml:space="preserve">local rules, or were they </w:t>
      </w:r>
      <w:r w:rsidR="000B7B8B">
        <w:rPr>
          <w:lang w:eastAsia="ja-JP"/>
        </w:rPr>
        <w:t>instead</w:t>
      </w:r>
      <w:r w:rsidR="00273496">
        <w:rPr>
          <w:lang w:eastAsia="ja-JP"/>
        </w:rPr>
        <w:t xml:space="preserve"> </w:t>
      </w:r>
      <w:r w:rsidR="004E4CEF">
        <w:rPr>
          <w:lang w:eastAsia="ja-JP"/>
        </w:rPr>
        <w:t xml:space="preserve">offering their best reading of the common law, even if other courts </w:t>
      </w:r>
      <w:r w:rsidR="002125EA">
        <w:rPr>
          <w:lang w:eastAsia="ja-JP"/>
        </w:rPr>
        <w:t>disagreed about</w:t>
      </w:r>
      <w:r w:rsidR="004E4CEF">
        <w:rPr>
          <w:lang w:eastAsia="ja-JP"/>
        </w:rPr>
        <w:t xml:space="preserve"> the </w:t>
      </w:r>
      <w:r w:rsidR="00C27EB9">
        <w:rPr>
          <w:lang w:eastAsia="ja-JP"/>
        </w:rPr>
        <w:t xml:space="preserve">contours of </w:t>
      </w:r>
      <w:r w:rsidR="006861AE">
        <w:rPr>
          <w:lang w:eastAsia="ja-JP"/>
        </w:rPr>
        <w:t>its</w:t>
      </w:r>
      <w:r w:rsidR="004E4CEF">
        <w:rPr>
          <w:lang w:eastAsia="ja-JP"/>
        </w:rPr>
        <w:t xml:space="preserve"> </w:t>
      </w:r>
      <w:r w:rsidR="002125EA">
        <w:rPr>
          <w:lang w:eastAsia="ja-JP"/>
        </w:rPr>
        <w:t>protections</w:t>
      </w:r>
      <w:r w:rsidR="004E4CEF">
        <w:rPr>
          <w:lang w:eastAsia="ja-JP"/>
        </w:rPr>
        <w:t xml:space="preserve">? </w:t>
      </w:r>
      <w:r w:rsidR="00BF7029">
        <w:rPr>
          <w:lang w:eastAsia="ja-JP"/>
        </w:rPr>
        <w:t xml:space="preserve">Some suggestive evidence is found in the work of Ann Woolhandler. She documents </w:t>
      </w:r>
      <w:r w:rsidR="0081554E">
        <w:rPr>
          <w:lang w:eastAsia="ja-JP"/>
        </w:rPr>
        <w:t xml:space="preserve">how federal courts in the nineteenth century </w:t>
      </w:r>
      <w:r w:rsidR="0046125A">
        <w:rPr>
          <w:lang w:eastAsia="ja-JP"/>
        </w:rPr>
        <w:t>looked to general</w:t>
      </w:r>
      <w:r w:rsidR="00CD3D90">
        <w:rPr>
          <w:lang w:eastAsia="ja-JP"/>
        </w:rPr>
        <w:t>, not local,</w:t>
      </w:r>
      <w:r w:rsidR="0046125A">
        <w:rPr>
          <w:lang w:eastAsia="ja-JP"/>
        </w:rPr>
        <w:t xml:space="preserve"> </w:t>
      </w:r>
      <w:r w:rsidR="00D56918">
        <w:rPr>
          <w:lang w:eastAsia="ja-JP"/>
        </w:rPr>
        <w:t xml:space="preserve">law in resolving </w:t>
      </w:r>
      <w:r w:rsidR="00CD3D90">
        <w:rPr>
          <w:lang w:eastAsia="ja-JP"/>
        </w:rPr>
        <w:t>trespass cases against state government officials that arose under federal diversity jurisdiction.</w:t>
      </w:r>
      <w:r w:rsidR="007A5172" w:rsidRPr="002A4234">
        <w:rPr>
          <w:rStyle w:val="FootnoteReference"/>
        </w:rPr>
        <w:footnoteReference w:id="185"/>
      </w:r>
      <w:r w:rsidR="00853D35">
        <w:rPr>
          <w:lang w:eastAsia="ja-JP"/>
        </w:rPr>
        <w:t xml:space="preserve"> But w</w:t>
      </w:r>
      <w:r w:rsidR="00D94224">
        <w:rPr>
          <w:lang w:eastAsia="ja-JP"/>
        </w:rPr>
        <w:t xml:space="preserve">e cannot </w:t>
      </w:r>
      <w:r w:rsidR="00853D35">
        <w:rPr>
          <w:lang w:eastAsia="ja-JP"/>
        </w:rPr>
        <w:t>conclusively</w:t>
      </w:r>
      <w:r w:rsidR="00D94224">
        <w:rPr>
          <w:lang w:eastAsia="ja-JP"/>
        </w:rPr>
        <w:t xml:space="preserve"> resolve this </w:t>
      </w:r>
      <w:r w:rsidR="00853D35">
        <w:rPr>
          <w:lang w:eastAsia="ja-JP"/>
        </w:rPr>
        <w:t>question</w:t>
      </w:r>
      <w:r w:rsidR="00D94224">
        <w:rPr>
          <w:lang w:eastAsia="ja-JP"/>
        </w:rPr>
        <w:t xml:space="preserve"> here, and as our argument is not primarily an originalist one</w:t>
      </w:r>
      <w:r w:rsidR="00FA7529">
        <w:rPr>
          <w:lang w:eastAsia="ja-JP"/>
        </w:rPr>
        <w:t>,</w:t>
      </w:r>
      <w:r w:rsidR="00D94224">
        <w:rPr>
          <w:lang w:eastAsia="ja-JP"/>
        </w:rPr>
        <w:t xml:space="preserve"> we do not feel obliged to do so.</w:t>
      </w:r>
    </w:p>
    <w:p w14:paraId="7FAAEF78" w14:textId="48CB6C4C" w:rsidR="00064451" w:rsidRPr="00BB714F" w:rsidRDefault="00853D35" w:rsidP="00064451">
      <w:pPr>
        <w:pStyle w:val="BodyText"/>
        <w:rPr>
          <w:rFonts w:eastAsia="Calibri"/>
          <w:lang w:eastAsia="ja-JP"/>
        </w:rPr>
      </w:pPr>
      <w:r>
        <w:rPr>
          <w:lang w:eastAsia="ja-JP"/>
        </w:rPr>
        <w:t>We also recognize that t</w:t>
      </w:r>
      <w:r w:rsidR="00A033E5">
        <w:rPr>
          <w:lang w:eastAsia="ja-JP"/>
        </w:rPr>
        <w:t xml:space="preserve">here </w:t>
      </w:r>
      <w:r w:rsidR="005F01DC">
        <w:rPr>
          <w:lang w:eastAsia="ja-JP"/>
        </w:rPr>
        <w:t xml:space="preserve">were various obstacles to </w:t>
      </w:r>
      <w:r w:rsidR="006E0D5B">
        <w:rPr>
          <w:lang w:eastAsia="ja-JP"/>
        </w:rPr>
        <w:t>suit in pre-Founding search-and-seizure litiga</w:t>
      </w:r>
      <w:r w:rsidR="007719EA">
        <w:rPr>
          <w:lang w:eastAsia="ja-JP"/>
        </w:rPr>
        <w:t>ti</w:t>
      </w:r>
      <w:r w:rsidR="006E0D5B">
        <w:rPr>
          <w:lang w:eastAsia="ja-JP"/>
        </w:rPr>
        <w:t>on and</w:t>
      </w:r>
      <w:r w:rsidR="00A05E7A">
        <w:rPr>
          <w:lang w:eastAsia="ja-JP"/>
        </w:rPr>
        <w:t xml:space="preserve"> that</w:t>
      </w:r>
      <w:r w:rsidR="006E0D5B">
        <w:rPr>
          <w:lang w:eastAsia="ja-JP"/>
        </w:rPr>
        <w:t xml:space="preserve"> the </w:t>
      </w:r>
      <w:r w:rsidR="009F7CC3">
        <w:rPr>
          <w:lang w:eastAsia="ja-JP"/>
        </w:rPr>
        <w:t>content</w:t>
      </w:r>
      <w:r w:rsidR="006E0D5B">
        <w:rPr>
          <w:lang w:eastAsia="ja-JP"/>
        </w:rPr>
        <w:t xml:space="preserve"> of the common law </w:t>
      </w:r>
      <w:r w:rsidR="0084235E">
        <w:rPr>
          <w:lang w:eastAsia="ja-JP"/>
        </w:rPr>
        <w:t>was not</w:t>
      </w:r>
      <w:r w:rsidR="006E0D5B">
        <w:rPr>
          <w:lang w:eastAsia="ja-JP"/>
        </w:rPr>
        <w:t xml:space="preserve"> </w:t>
      </w:r>
      <w:r w:rsidR="007719EA">
        <w:rPr>
          <w:lang w:eastAsia="ja-JP"/>
        </w:rPr>
        <w:t xml:space="preserve">perfectly coterminous with </w:t>
      </w:r>
      <w:r w:rsidR="009F7CC3">
        <w:rPr>
          <w:lang w:eastAsia="ja-JP"/>
        </w:rPr>
        <w:t>the likely outcomes of civil suits. Moreover, there</w:t>
      </w:r>
      <w:r w:rsidR="00A033E5">
        <w:rPr>
          <w:lang w:eastAsia="ja-JP"/>
        </w:rPr>
        <w:t xml:space="preserve"> </w:t>
      </w:r>
      <w:r w:rsidR="00C17549">
        <w:rPr>
          <w:lang w:eastAsia="ja-JP"/>
        </w:rPr>
        <w:t>are</w:t>
      </w:r>
      <w:r w:rsidR="00A033E5">
        <w:rPr>
          <w:lang w:eastAsia="ja-JP"/>
        </w:rPr>
        <w:t xml:space="preserve"> many disanalogies between pre-1791 </w:t>
      </w:r>
      <w:r w:rsidR="005F01DC">
        <w:rPr>
          <w:lang w:eastAsia="ja-JP"/>
        </w:rPr>
        <w:t>search-and-seizure litigation and how the general-law approach would work in twenty-first century</w:t>
      </w:r>
      <w:r w:rsidR="009F7CC3">
        <w:rPr>
          <w:lang w:eastAsia="ja-JP"/>
        </w:rPr>
        <w:t xml:space="preserve"> criminal cases. </w:t>
      </w:r>
      <w:r w:rsidR="00957BED">
        <w:rPr>
          <w:lang w:eastAsia="ja-JP"/>
        </w:rPr>
        <w:t>For these reasons, we do not contend that the general</w:t>
      </w:r>
      <w:r w:rsidR="007941A4">
        <w:rPr>
          <w:lang w:eastAsia="ja-JP"/>
        </w:rPr>
        <w:t>-</w:t>
      </w:r>
      <w:r w:rsidR="00957BED">
        <w:rPr>
          <w:lang w:eastAsia="ja-JP"/>
        </w:rPr>
        <w:t xml:space="preserve">law approach </w:t>
      </w:r>
      <w:r w:rsidR="000D2248">
        <w:rPr>
          <w:lang w:eastAsia="ja-JP"/>
        </w:rPr>
        <w:t xml:space="preserve">is identical to the </w:t>
      </w:r>
      <w:r w:rsidR="0092485D">
        <w:rPr>
          <w:lang w:eastAsia="ja-JP"/>
        </w:rPr>
        <w:t>approach that courts would take to</w:t>
      </w:r>
      <w:r w:rsidR="000D2248">
        <w:rPr>
          <w:lang w:eastAsia="ja-JP"/>
        </w:rPr>
        <w:t xml:space="preserve"> these questions in 1791. Here, we need not outrun the bear; we believe</w:t>
      </w:r>
      <w:r w:rsidR="00B35651">
        <w:rPr>
          <w:lang w:eastAsia="ja-JP"/>
        </w:rPr>
        <w:t xml:space="preserve"> that</w:t>
      </w:r>
      <w:r w:rsidR="000D2248">
        <w:rPr>
          <w:lang w:eastAsia="ja-JP"/>
        </w:rPr>
        <w:t xml:space="preserve"> our theory offers </w:t>
      </w:r>
      <w:r w:rsidR="000D2248">
        <w:rPr>
          <w:i/>
          <w:iCs/>
          <w:lang w:eastAsia="ja-JP"/>
        </w:rPr>
        <w:t xml:space="preserve">more </w:t>
      </w:r>
      <w:r w:rsidR="000D2248">
        <w:rPr>
          <w:lang w:eastAsia="ja-JP"/>
        </w:rPr>
        <w:t xml:space="preserve">continuity with the Founding </w:t>
      </w:r>
      <w:r w:rsidR="00B74C9A">
        <w:rPr>
          <w:lang w:eastAsia="ja-JP"/>
        </w:rPr>
        <w:t>E</w:t>
      </w:r>
      <w:r w:rsidR="000D2248">
        <w:rPr>
          <w:lang w:eastAsia="ja-JP"/>
        </w:rPr>
        <w:t>ra than the available alternatives. But</w:t>
      </w:r>
      <w:r w:rsidR="00B35651">
        <w:rPr>
          <w:lang w:eastAsia="ja-JP"/>
        </w:rPr>
        <w:t>,</w:t>
      </w:r>
      <w:r w:rsidR="00176129">
        <w:rPr>
          <w:lang w:eastAsia="ja-JP"/>
        </w:rPr>
        <w:t xml:space="preserve"> ultimately</w:t>
      </w:r>
      <w:r w:rsidR="00B35651">
        <w:rPr>
          <w:lang w:eastAsia="ja-JP"/>
        </w:rPr>
        <w:t>,</w:t>
      </w:r>
      <w:r w:rsidR="00176129">
        <w:rPr>
          <w:lang w:eastAsia="ja-JP"/>
        </w:rPr>
        <w:t xml:space="preserve"> our approach does not require certainty </w:t>
      </w:r>
      <w:r w:rsidR="00B17CFE">
        <w:rPr>
          <w:lang w:eastAsia="ja-JP"/>
        </w:rPr>
        <w:t>on</w:t>
      </w:r>
      <w:r w:rsidR="00176129">
        <w:rPr>
          <w:lang w:eastAsia="ja-JP"/>
        </w:rPr>
        <w:t xml:space="preserve"> that point. </w:t>
      </w:r>
      <w:r w:rsidR="00B35651">
        <w:rPr>
          <w:lang w:eastAsia="ja-JP"/>
        </w:rPr>
        <w:t>T</w:t>
      </w:r>
      <w:r w:rsidR="00176129">
        <w:rPr>
          <w:lang w:eastAsia="ja-JP"/>
        </w:rPr>
        <w:t>he text and historical record</w:t>
      </w:r>
      <w:r w:rsidR="00B35651">
        <w:rPr>
          <w:lang w:eastAsia="ja-JP"/>
        </w:rPr>
        <w:t xml:space="preserve"> are sufficiently ambiguous</w:t>
      </w:r>
      <w:r w:rsidR="00176129">
        <w:rPr>
          <w:lang w:eastAsia="ja-JP"/>
        </w:rPr>
        <w:t xml:space="preserve"> that our reading is at least plausible</w:t>
      </w:r>
      <w:r w:rsidR="00DD3740">
        <w:rPr>
          <w:lang w:eastAsia="ja-JP"/>
        </w:rPr>
        <w:t>.</w:t>
      </w:r>
      <w:r w:rsidR="00176129">
        <w:rPr>
          <w:lang w:eastAsia="ja-JP"/>
        </w:rPr>
        <w:t xml:space="preserve"> </w:t>
      </w:r>
      <w:r w:rsidR="00DD3740">
        <w:rPr>
          <w:lang w:eastAsia="ja-JP"/>
        </w:rPr>
        <w:t>And</w:t>
      </w:r>
      <w:r w:rsidR="00176129">
        <w:rPr>
          <w:lang w:eastAsia="ja-JP"/>
        </w:rPr>
        <w:t xml:space="preserve"> there are a number of jurisprudential </w:t>
      </w:r>
      <w:r w:rsidR="008C00D0">
        <w:rPr>
          <w:lang w:eastAsia="ja-JP"/>
        </w:rPr>
        <w:t xml:space="preserve">and practical </w:t>
      </w:r>
      <w:r w:rsidR="00176129">
        <w:rPr>
          <w:lang w:eastAsia="ja-JP"/>
        </w:rPr>
        <w:t xml:space="preserve">reasons why interpreters should </w:t>
      </w:r>
      <w:r w:rsidR="00DD3740">
        <w:rPr>
          <w:lang w:eastAsia="ja-JP"/>
        </w:rPr>
        <w:t>prefer</w:t>
      </w:r>
      <w:r w:rsidR="00176129">
        <w:rPr>
          <w:lang w:eastAsia="ja-JP"/>
        </w:rPr>
        <w:t xml:space="preserve"> the general-law approach</w:t>
      </w:r>
      <w:r w:rsidR="00DD3740">
        <w:rPr>
          <w:lang w:eastAsia="ja-JP"/>
        </w:rPr>
        <w:t xml:space="preserve">, even if one </w:t>
      </w:r>
      <w:r w:rsidR="0073601A">
        <w:rPr>
          <w:lang w:eastAsia="ja-JP"/>
        </w:rPr>
        <w:t xml:space="preserve">also </w:t>
      </w:r>
      <w:r w:rsidR="00DD3740">
        <w:rPr>
          <w:lang w:eastAsia="ja-JP"/>
        </w:rPr>
        <w:t xml:space="preserve">finds </w:t>
      </w:r>
      <w:r w:rsidR="008637EE">
        <w:rPr>
          <w:lang w:eastAsia="ja-JP"/>
        </w:rPr>
        <w:t>alternative theories</w:t>
      </w:r>
      <w:r w:rsidR="00DD3740">
        <w:rPr>
          <w:lang w:eastAsia="ja-JP"/>
        </w:rPr>
        <w:t xml:space="preserve"> plausible</w:t>
      </w:r>
      <w:r w:rsidR="00176129">
        <w:rPr>
          <w:lang w:eastAsia="ja-JP"/>
        </w:rPr>
        <w:t>.</w:t>
      </w:r>
    </w:p>
    <w:p w14:paraId="471780A1" w14:textId="46A60E9F" w:rsidR="000908BB" w:rsidRDefault="000908BB" w:rsidP="005834E7">
      <w:pPr>
        <w:pStyle w:val="Heading3"/>
      </w:pPr>
      <w:bookmarkStart w:id="50" w:name="_Toc96093548"/>
      <w:bookmarkStart w:id="51" w:name="_Toc111723674"/>
      <w:r>
        <w:t>Preceden</w:t>
      </w:r>
      <w:r w:rsidR="00511B04">
        <w:t>t</w:t>
      </w:r>
      <w:bookmarkEnd w:id="50"/>
      <w:bookmarkEnd w:id="51"/>
    </w:p>
    <w:p w14:paraId="0B9C058B" w14:textId="7992FDE3" w:rsidR="00861C97" w:rsidRDefault="00997CFB" w:rsidP="00E13E75">
      <w:pPr>
        <w:pStyle w:val="BodyText"/>
        <w:rPr>
          <w:lang w:eastAsia="ja-JP"/>
        </w:rPr>
      </w:pPr>
      <w:r>
        <w:rPr>
          <w:lang w:eastAsia="ja-JP"/>
        </w:rPr>
        <w:t>Although</w:t>
      </w:r>
      <w:r w:rsidR="00222091">
        <w:rPr>
          <w:lang w:eastAsia="ja-JP"/>
        </w:rPr>
        <w:t xml:space="preserve"> </w:t>
      </w:r>
      <w:r>
        <w:rPr>
          <w:lang w:eastAsia="ja-JP"/>
        </w:rPr>
        <w:t>t</w:t>
      </w:r>
      <w:r w:rsidR="000169B1">
        <w:rPr>
          <w:lang w:eastAsia="ja-JP"/>
        </w:rPr>
        <w:t xml:space="preserve">he general-law approach </w:t>
      </w:r>
      <w:r w:rsidR="00E12D3A">
        <w:rPr>
          <w:lang w:eastAsia="ja-JP"/>
        </w:rPr>
        <w:t>might</w:t>
      </w:r>
      <w:r w:rsidR="000169B1">
        <w:rPr>
          <w:lang w:eastAsia="ja-JP"/>
        </w:rPr>
        <w:t xml:space="preserve"> </w:t>
      </w:r>
      <w:r w:rsidR="00962BAE">
        <w:rPr>
          <w:lang w:eastAsia="ja-JP"/>
        </w:rPr>
        <w:t>first</w:t>
      </w:r>
      <w:r w:rsidR="00B1517F">
        <w:rPr>
          <w:lang w:eastAsia="ja-JP"/>
        </w:rPr>
        <w:t xml:space="preserve"> </w:t>
      </w:r>
      <w:r w:rsidR="000E03A5">
        <w:rPr>
          <w:lang w:eastAsia="ja-JP"/>
        </w:rPr>
        <w:t>look like</w:t>
      </w:r>
      <w:r w:rsidR="00B1517F">
        <w:rPr>
          <w:lang w:eastAsia="ja-JP"/>
        </w:rPr>
        <w:t xml:space="preserve"> a </w:t>
      </w:r>
      <w:r w:rsidR="0016770B">
        <w:rPr>
          <w:lang w:eastAsia="ja-JP"/>
        </w:rPr>
        <w:t xml:space="preserve">dramatic change </w:t>
      </w:r>
      <w:r w:rsidR="002037AC">
        <w:rPr>
          <w:lang w:eastAsia="ja-JP"/>
        </w:rPr>
        <w:t>to Fourth Amendment precedent</w:t>
      </w:r>
      <w:r>
        <w:rPr>
          <w:lang w:eastAsia="ja-JP"/>
        </w:rPr>
        <w:t xml:space="preserve">, it </w:t>
      </w:r>
      <w:r w:rsidR="00962BAE">
        <w:rPr>
          <w:lang w:eastAsia="ja-JP"/>
        </w:rPr>
        <w:t xml:space="preserve">actually </w:t>
      </w:r>
      <w:r>
        <w:rPr>
          <w:lang w:eastAsia="ja-JP"/>
        </w:rPr>
        <w:t>offers a coherent explanation for much</w:t>
      </w:r>
      <w:r w:rsidR="00E13E75">
        <w:rPr>
          <w:lang w:eastAsia="ja-JP"/>
        </w:rPr>
        <w:t xml:space="preserve"> of the Court’s</w:t>
      </w:r>
      <w:r w:rsidR="002037AC">
        <w:rPr>
          <w:lang w:eastAsia="ja-JP"/>
        </w:rPr>
        <w:t xml:space="preserve"> </w:t>
      </w:r>
      <w:r w:rsidR="006E340C">
        <w:rPr>
          <w:lang w:eastAsia="ja-JP"/>
        </w:rPr>
        <w:t>existing</w:t>
      </w:r>
      <w:r w:rsidR="002037AC">
        <w:rPr>
          <w:lang w:eastAsia="ja-JP"/>
        </w:rPr>
        <w:t xml:space="preserve"> </w:t>
      </w:r>
      <w:r w:rsidR="000E03A5">
        <w:rPr>
          <w:lang w:eastAsia="ja-JP"/>
        </w:rPr>
        <w:t>doctrine</w:t>
      </w:r>
      <w:r w:rsidR="002037AC">
        <w:rPr>
          <w:lang w:eastAsia="ja-JP"/>
        </w:rPr>
        <w:t xml:space="preserve">. </w:t>
      </w:r>
      <w:r w:rsidR="001168EA">
        <w:rPr>
          <w:lang w:eastAsia="ja-JP"/>
        </w:rPr>
        <w:t>In</w:t>
      </w:r>
      <w:r w:rsidR="00ED49F8">
        <w:rPr>
          <w:lang w:eastAsia="ja-JP"/>
        </w:rPr>
        <w:t xml:space="preserve"> recent</w:t>
      </w:r>
      <w:r w:rsidR="002037AC">
        <w:rPr>
          <w:lang w:eastAsia="ja-JP"/>
        </w:rPr>
        <w:t xml:space="preserve"> cases where </w:t>
      </w:r>
      <w:r w:rsidR="008E2647">
        <w:rPr>
          <w:lang w:eastAsia="ja-JP"/>
        </w:rPr>
        <w:t xml:space="preserve">the Court </w:t>
      </w:r>
      <w:r w:rsidR="00ED49F8">
        <w:rPr>
          <w:lang w:eastAsia="ja-JP"/>
        </w:rPr>
        <w:t>made a positive-law turn</w:t>
      </w:r>
      <w:r w:rsidR="001168EA">
        <w:rPr>
          <w:lang w:eastAsia="ja-JP"/>
        </w:rPr>
        <w:t>,</w:t>
      </w:r>
      <w:r w:rsidR="005D1817">
        <w:t xml:space="preserve"> </w:t>
      </w:r>
      <w:r w:rsidR="00861C97">
        <w:t>the Court’s</w:t>
      </w:r>
      <w:r w:rsidR="005D1817">
        <w:t xml:space="preserve"> analysis </w:t>
      </w:r>
      <w:r w:rsidR="00EC6372">
        <w:t>looks like an inquiry into general law</w:t>
      </w:r>
      <w:r w:rsidR="005D1817">
        <w:t xml:space="preserve">. </w:t>
      </w:r>
      <w:r w:rsidR="00861C97">
        <w:t>Consider</w:t>
      </w:r>
      <w:r w:rsidR="005D1817">
        <w:t xml:space="preserve"> </w:t>
      </w:r>
      <w:r w:rsidR="005D1817" w:rsidRPr="00B04219">
        <w:rPr>
          <w:i/>
          <w:iCs/>
        </w:rPr>
        <w:t>Florida v. Jardines</w:t>
      </w:r>
      <w:r w:rsidR="005D1817">
        <w:t>,</w:t>
      </w:r>
      <w:r w:rsidR="005D1817" w:rsidRPr="002A4234">
        <w:rPr>
          <w:rStyle w:val="FootnoteReference"/>
        </w:rPr>
        <w:footnoteReference w:id="186"/>
      </w:r>
      <w:r w:rsidR="005D1817">
        <w:t xml:space="preserve"> </w:t>
      </w:r>
      <w:r w:rsidR="00861C97">
        <w:t>where</w:t>
      </w:r>
      <w:r w:rsidR="005D1817">
        <w:t xml:space="preserve"> the Court was asked to determine whether police may approach the front door of a home and use a drug-sniffing dog without a warrant. </w:t>
      </w:r>
      <w:r w:rsidR="0046551F">
        <w:rPr>
          <w:lang w:eastAsia="ja-JP"/>
        </w:rPr>
        <w:t>Justice Scalia</w:t>
      </w:r>
      <w:r w:rsidR="00375619">
        <w:rPr>
          <w:lang w:eastAsia="ja-JP"/>
        </w:rPr>
        <w:t>’s majority opinion</w:t>
      </w:r>
      <w:r w:rsidR="0046551F" w:rsidRPr="0046551F">
        <w:rPr>
          <w:lang w:eastAsia="ja-JP"/>
        </w:rPr>
        <w:t xml:space="preserve"> answered that question by beginning with </w:t>
      </w:r>
      <w:r w:rsidR="0046551F" w:rsidRPr="0046551F">
        <w:rPr>
          <w:lang w:eastAsia="ja-JP"/>
        </w:rPr>
        <w:lastRenderedPageBreak/>
        <w:t>common law and</w:t>
      </w:r>
      <w:r w:rsidR="001F429F">
        <w:rPr>
          <w:lang w:eastAsia="ja-JP"/>
        </w:rPr>
        <w:t>,</w:t>
      </w:r>
      <w:r w:rsidR="0046551F" w:rsidRPr="0046551F">
        <w:rPr>
          <w:lang w:eastAsia="ja-JP"/>
        </w:rPr>
        <w:t xml:space="preserve"> in particular</w:t>
      </w:r>
      <w:r w:rsidR="001F429F">
        <w:rPr>
          <w:lang w:eastAsia="ja-JP"/>
        </w:rPr>
        <w:t>, with</w:t>
      </w:r>
      <w:r w:rsidR="0046551F" w:rsidRPr="0046551F">
        <w:rPr>
          <w:lang w:eastAsia="ja-JP"/>
        </w:rPr>
        <w:t xml:space="preserve"> the “ancient and durable” concept of the curtilage.</w:t>
      </w:r>
      <w:r w:rsidR="0046551F" w:rsidRPr="002A4234">
        <w:rPr>
          <w:rStyle w:val="FootnoteReference"/>
        </w:rPr>
        <w:footnoteReference w:id="187"/>
      </w:r>
    </w:p>
    <w:p w14:paraId="71C08181" w14:textId="330B2E00" w:rsidR="003857C1" w:rsidRDefault="00861C97" w:rsidP="00375619">
      <w:pPr>
        <w:pStyle w:val="BodyText"/>
        <w:rPr>
          <w:lang w:eastAsia="ja-JP"/>
        </w:rPr>
      </w:pPr>
      <w:r>
        <w:rPr>
          <w:lang w:eastAsia="ja-JP"/>
        </w:rPr>
        <w:t>But t</w:t>
      </w:r>
      <w:r w:rsidR="00573B84">
        <w:t xml:space="preserve">he opinion </w:t>
      </w:r>
      <w:r w:rsidR="005D1817">
        <w:t xml:space="preserve">did not rest on whether such a practice would have violated the common law in 1791. Nor did </w:t>
      </w:r>
      <w:r w:rsidR="00230ECA">
        <w:t>it</w:t>
      </w:r>
      <w:r w:rsidR="005D1817">
        <w:t xml:space="preserve"> scour Florida property and tort law to determine how Florida courts and the Florida legislature had </w:t>
      </w:r>
      <w:r w:rsidR="0080626C">
        <w:t xml:space="preserve">addressed the scope of the license that homeowners extend to </w:t>
      </w:r>
      <w:r w:rsidR="004C38CE">
        <w:t>visitors</w:t>
      </w:r>
      <w:r w:rsidR="005D1817">
        <w:t xml:space="preserve">. </w:t>
      </w:r>
      <w:r w:rsidR="00230ECA">
        <w:rPr>
          <w:lang w:eastAsia="ja-JP"/>
        </w:rPr>
        <w:t>Instead,</w:t>
      </w:r>
      <w:r w:rsidR="00203405">
        <w:rPr>
          <w:lang w:eastAsia="ja-JP"/>
        </w:rPr>
        <w:t xml:space="preserve"> relying on an opinion by Justice Holmes</w:t>
      </w:r>
      <w:r w:rsidR="00230ECA">
        <w:rPr>
          <w:lang w:eastAsia="ja-JP"/>
        </w:rPr>
        <w:t>,</w:t>
      </w:r>
      <w:r w:rsidR="001C7A75" w:rsidRPr="001C7A75">
        <w:rPr>
          <w:lang w:eastAsia="ja-JP"/>
        </w:rPr>
        <w:t xml:space="preserve"> the Court inquired into whether a license for such an intrusion onto the curtilage could be “‘implied from the habits of the country.’”</w:t>
      </w:r>
      <w:r w:rsidR="001C7A75" w:rsidRPr="002A4234">
        <w:rPr>
          <w:rStyle w:val="FootnoteReference"/>
        </w:rPr>
        <w:footnoteReference w:id="188"/>
      </w:r>
      <w:r w:rsidR="001C7A75" w:rsidRPr="001C7A75">
        <w:rPr>
          <w:lang w:eastAsia="ja-JP"/>
        </w:rPr>
        <w:t xml:space="preserve"> Doing so, the Court concluded that home dwellers extended an implied license permitting visitors “to approach the home by the front path, knock promptly, wait briefly to be received, and then (absent invitation to linger longer) leave</w:t>
      </w:r>
      <w:r w:rsidR="00C950E2">
        <w:rPr>
          <w:lang w:eastAsia="ja-JP"/>
        </w:rPr>
        <w:t>.</w:t>
      </w:r>
      <w:r w:rsidR="001C7A75" w:rsidRPr="001C7A75">
        <w:rPr>
          <w:lang w:eastAsia="ja-JP"/>
        </w:rPr>
        <w:t>”</w:t>
      </w:r>
      <w:r w:rsidR="00C950E2" w:rsidRPr="002A4234">
        <w:rPr>
          <w:rStyle w:val="FootnoteReference"/>
        </w:rPr>
        <w:footnoteReference w:id="189"/>
      </w:r>
      <w:r w:rsidR="00C950E2">
        <w:rPr>
          <w:lang w:eastAsia="ja-JP"/>
        </w:rPr>
        <w:t xml:space="preserve"> That license did not, however, permit visitors</w:t>
      </w:r>
      <w:r w:rsidR="001C7A75" w:rsidRPr="001C7A75">
        <w:rPr>
          <w:lang w:eastAsia="ja-JP"/>
        </w:rPr>
        <w:t xml:space="preserve"> to “introduce[e] a trained police dog to explore the area around the home in hopes of discovering incriminating evidence</w:t>
      </w:r>
      <w:r w:rsidR="001409AB">
        <w:rPr>
          <w:lang w:eastAsia="ja-JP"/>
        </w:rPr>
        <w:t>,</w:t>
      </w:r>
      <w:r w:rsidR="001C7A75" w:rsidRPr="001C7A75">
        <w:rPr>
          <w:lang w:eastAsia="ja-JP"/>
        </w:rPr>
        <w:t>”</w:t>
      </w:r>
      <w:bookmarkStart w:id="52" w:name="_Hlk95664604"/>
      <w:r w:rsidR="001C7A75" w:rsidRPr="002A4234">
        <w:rPr>
          <w:rStyle w:val="FootnoteReference"/>
        </w:rPr>
        <w:footnoteReference w:id="190"/>
      </w:r>
      <w:bookmarkEnd w:id="52"/>
      <w:r w:rsidR="001C7A75" w:rsidRPr="001C7A75">
        <w:rPr>
          <w:lang w:eastAsia="ja-JP"/>
        </w:rPr>
        <w:t xml:space="preserve"> </w:t>
      </w:r>
      <w:r w:rsidR="001409AB">
        <w:rPr>
          <w:lang w:eastAsia="ja-JP"/>
        </w:rPr>
        <w:t xml:space="preserve">because </w:t>
      </w:r>
      <w:r w:rsidR="001409AB">
        <w:t>“</w:t>
      </w:r>
      <w:r w:rsidR="001409AB" w:rsidRPr="00FB2362">
        <w:t>the background social norms that invite a visitor to the front door do not invite him there to conduct a search</w:t>
      </w:r>
      <w:r w:rsidR="001409AB">
        <w:t>.”</w:t>
      </w:r>
      <w:r w:rsidR="00846ACD" w:rsidRPr="002A4234">
        <w:rPr>
          <w:rStyle w:val="FootnoteReference"/>
        </w:rPr>
        <w:footnoteReference w:id="191"/>
      </w:r>
    </w:p>
    <w:p w14:paraId="5E7F72B9" w14:textId="0B758AB5" w:rsidR="003857C1" w:rsidRDefault="006625C1" w:rsidP="001E0D98">
      <w:pPr>
        <w:pStyle w:val="BodyText"/>
      </w:pPr>
      <w:r>
        <w:t>In defending a pure</w:t>
      </w:r>
      <w:r w:rsidR="00E67071">
        <w:t xml:space="preserve"> </w:t>
      </w:r>
      <w:r>
        <w:t xml:space="preserve">positive-law model, </w:t>
      </w:r>
      <w:r w:rsidR="005D1817">
        <w:t xml:space="preserve">Baude and Stern </w:t>
      </w:r>
      <w:r w:rsidR="00230ECA">
        <w:t>criticize</w:t>
      </w:r>
      <w:r w:rsidR="005D1817">
        <w:t xml:space="preserve"> </w:t>
      </w:r>
      <w:r w:rsidR="00A92A49">
        <w:t>this decision</w:t>
      </w:r>
      <w:r w:rsidR="005D1817">
        <w:t xml:space="preserve"> for looking to property law not “</w:t>
      </w:r>
      <w:r w:rsidR="005D1817" w:rsidRPr="00ED738D">
        <w:t xml:space="preserve">as actual </w:t>
      </w:r>
      <w:r w:rsidR="005D1817" w:rsidRPr="00C52803">
        <w:t>law</w:t>
      </w:r>
      <w:r w:rsidR="005D1817" w:rsidRPr="00ED738D">
        <w:t xml:space="preserve"> but rather as a source of analogies.</w:t>
      </w:r>
      <w:r w:rsidR="005D1817">
        <w:t>”</w:t>
      </w:r>
      <w:r w:rsidR="005D1817" w:rsidRPr="002A4234">
        <w:rPr>
          <w:rStyle w:val="FootnoteReference"/>
        </w:rPr>
        <w:footnoteReference w:id="192"/>
      </w:r>
      <w:r w:rsidR="005D1817">
        <w:t xml:space="preserve"> </w:t>
      </w:r>
      <w:r w:rsidR="00F476B1">
        <w:t>But t</w:t>
      </w:r>
      <w:r>
        <w:t>his</w:t>
      </w:r>
      <w:r w:rsidR="00F476B1">
        <w:t xml:space="preserve"> critique</w:t>
      </w:r>
      <w:r>
        <w:t xml:space="preserve"> misunderstands what</w:t>
      </w:r>
      <w:r w:rsidR="005D1817">
        <w:t xml:space="preserve"> Justice Scalia was </w:t>
      </w:r>
      <w:r w:rsidR="009C0E7E">
        <w:t>doing</w:t>
      </w:r>
      <w:r w:rsidR="009D7B3E">
        <w:t xml:space="preserve"> in </w:t>
      </w:r>
      <w:r w:rsidR="009D7B3E">
        <w:rPr>
          <w:i/>
          <w:iCs/>
        </w:rPr>
        <w:t>Jardines</w:t>
      </w:r>
      <w:r>
        <w:t xml:space="preserve">. </w:t>
      </w:r>
      <w:r w:rsidR="00A92A49">
        <w:t>His opinion</w:t>
      </w:r>
      <w:r>
        <w:t xml:space="preserve"> </w:t>
      </w:r>
      <w:r w:rsidRPr="0061208C">
        <w:rPr>
          <w:i/>
          <w:iCs/>
        </w:rPr>
        <w:t>was</w:t>
      </w:r>
      <w:r w:rsidR="005D1817">
        <w:t xml:space="preserve"> asking legal questions; </w:t>
      </w:r>
      <w:r w:rsidR="00A92A49">
        <w:t>it</w:t>
      </w:r>
      <w:r w:rsidR="005D1817">
        <w:t xml:space="preserve"> merely was asking questions about </w:t>
      </w:r>
      <w:r w:rsidR="005D1817">
        <w:rPr>
          <w:i/>
          <w:iCs/>
        </w:rPr>
        <w:t>general law</w:t>
      </w:r>
      <w:r w:rsidR="005D1817">
        <w:t xml:space="preserve">, not the </w:t>
      </w:r>
      <w:r>
        <w:t>positive</w:t>
      </w:r>
      <w:r w:rsidR="005D1817">
        <w:t xml:space="preserve"> law of Florida.</w:t>
      </w:r>
      <w:r w:rsidR="003857C1">
        <w:t xml:space="preserve"> </w:t>
      </w:r>
      <w:r w:rsidR="00A92A49">
        <w:t xml:space="preserve">Indeed, an inquiry into </w:t>
      </w:r>
      <w:r w:rsidR="007E50BF">
        <w:t xml:space="preserve">the “habits of the country” </w:t>
      </w:r>
      <w:r w:rsidR="002F24D5">
        <w:t xml:space="preserve">and “background social norms” </w:t>
      </w:r>
      <w:r w:rsidR="007E50BF">
        <w:t xml:space="preserve">is essentially an inquiry into </w:t>
      </w:r>
      <w:r w:rsidR="00336D3B">
        <w:t xml:space="preserve">the country’s </w:t>
      </w:r>
      <w:r w:rsidR="00147E70">
        <w:rPr>
          <w:i/>
          <w:iCs/>
        </w:rPr>
        <w:t>custom</w:t>
      </w:r>
      <w:r w:rsidR="00147E70">
        <w:t xml:space="preserve">, which </w:t>
      </w:r>
      <w:r w:rsidR="007A0670">
        <w:t xml:space="preserve">at least in theory underlies </w:t>
      </w:r>
      <w:r w:rsidR="003A4551">
        <w:t>general</w:t>
      </w:r>
      <w:r w:rsidR="00522A17">
        <w:t xml:space="preserve"> law.</w:t>
      </w:r>
      <w:r w:rsidR="003A4551" w:rsidRPr="002A4234">
        <w:rPr>
          <w:rStyle w:val="FootnoteReference"/>
        </w:rPr>
        <w:footnoteReference w:id="193"/>
      </w:r>
    </w:p>
    <w:p w14:paraId="6FA439CA" w14:textId="4CD6F3ED" w:rsidR="006A4FAA" w:rsidRDefault="006A4FAA" w:rsidP="00E25DE9">
      <w:pPr>
        <w:pStyle w:val="BodyText"/>
        <w:rPr>
          <w:lang w:eastAsia="ja-JP"/>
        </w:rPr>
      </w:pPr>
      <w:r>
        <w:rPr>
          <w:lang w:eastAsia="ja-JP"/>
        </w:rPr>
        <w:t xml:space="preserve">In the same vein, consider </w:t>
      </w:r>
      <w:r>
        <w:rPr>
          <w:i/>
          <w:iCs/>
          <w:lang w:eastAsia="ja-JP"/>
        </w:rPr>
        <w:t>Jones</w:t>
      </w:r>
      <w:r w:rsidR="002023F5" w:rsidRPr="0061208C">
        <w:rPr>
          <w:lang w:eastAsia="ja-JP"/>
        </w:rPr>
        <w:t>,</w:t>
      </w:r>
      <w:r>
        <w:rPr>
          <w:lang w:eastAsia="ja-JP"/>
        </w:rPr>
        <w:t xml:space="preserve"> </w:t>
      </w:r>
      <w:r w:rsidR="002023F5">
        <w:rPr>
          <w:lang w:eastAsia="ja-JP"/>
        </w:rPr>
        <w:t>which</w:t>
      </w:r>
      <w:r>
        <w:rPr>
          <w:lang w:eastAsia="ja-JP"/>
        </w:rPr>
        <w:t xml:space="preserve"> held that police installation of a GPS device was a Fourth Amendment “search.”</w:t>
      </w:r>
      <w:r w:rsidR="002023F5" w:rsidRPr="002A4234">
        <w:rPr>
          <w:rStyle w:val="FootnoteReference"/>
        </w:rPr>
        <w:footnoteReference w:id="194"/>
      </w:r>
      <w:r>
        <w:rPr>
          <w:lang w:eastAsia="ja-JP"/>
        </w:rPr>
        <w:t xml:space="preserve"> The majority did so not by applying the </w:t>
      </w:r>
      <w:r>
        <w:rPr>
          <w:i/>
          <w:iCs/>
          <w:lang w:eastAsia="ja-JP"/>
        </w:rPr>
        <w:t>Katz</w:t>
      </w:r>
      <w:r>
        <w:rPr>
          <w:lang w:eastAsia="ja-JP"/>
        </w:rPr>
        <w:t xml:space="preserve"> test but instead by looking to “common-law trespass</w:t>
      </w:r>
      <w:r w:rsidR="00D50708">
        <w:rPr>
          <w:lang w:eastAsia="ja-JP"/>
        </w:rPr>
        <w:t>,</w:t>
      </w:r>
      <w:r>
        <w:rPr>
          <w:lang w:eastAsia="ja-JP"/>
        </w:rPr>
        <w:t>”</w:t>
      </w:r>
      <w:r w:rsidRPr="002A4234">
        <w:rPr>
          <w:rStyle w:val="FootnoteReference"/>
        </w:rPr>
        <w:footnoteReference w:id="195"/>
      </w:r>
      <w:r>
        <w:rPr>
          <w:lang w:eastAsia="ja-JP"/>
        </w:rPr>
        <w:t xml:space="preserve"> and by concluding that “[t]he Government </w:t>
      </w:r>
      <w:r w:rsidRPr="00203D33">
        <w:rPr>
          <w:lang w:eastAsia="ja-JP"/>
        </w:rPr>
        <w:t>physically occupied private property for the purpose of obtaining information</w:t>
      </w:r>
      <w:r>
        <w:rPr>
          <w:lang w:eastAsia="ja-JP"/>
        </w:rPr>
        <w:t>.”</w:t>
      </w:r>
      <w:r w:rsidRPr="002A4234">
        <w:rPr>
          <w:rStyle w:val="FootnoteReference"/>
        </w:rPr>
        <w:footnoteReference w:id="196"/>
      </w:r>
      <w:r>
        <w:rPr>
          <w:lang w:eastAsia="ja-JP"/>
        </w:rPr>
        <w:t xml:space="preserve"> </w:t>
      </w:r>
      <w:r w:rsidR="004B7AAF">
        <w:rPr>
          <w:lang w:eastAsia="ja-JP"/>
        </w:rPr>
        <w:t>T</w:t>
      </w:r>
      <w:r>
        <w:rPr>
          <w:lang w:eastAsia="ja-JP"/>
        </w:rPr>
        <w:t xml:space="preserve">he Court could be read as endorsing </w:t>
      </w:r>
      <w:r w:rsidR="004B7AAF">
        <w:rPr>
          <w:lang w:eastAsia="ja-JP"/>
        </w:rPr>
        <w:t>a</w:t>
      </w:r>
      <w:r w:rsidR="005B3681">
        <w:rPr>
          <w:lang w:eastAsia="ja-JP"/>
        </w:rPr>
        <w:t xml:space="preserve"> frozen-in-amber reading of the Fourth Amendment, given its assertion that “</w:t>
      </w:r>
      <w:r w:rsidR="005B3681" w:rsidRPr="005B3681">
        <w:rPr>
          <w:lang w:eastAsia="ja-JP"/>
        </w:rPr>
        <w:t xml:space="preserve">such a physical intrusion would have been considered a </w:t>
      </w:r>
      <w:r w:rsidR="00D865AC">
        <w:rPr>
          <w:lang w:eastAsia="ja-JP"/>
        </w:rPr>
        <w:t>‘</w:t>
      </w:r>
      <w:r w:rsidR="005B3681" w:rsidRPr="005B3681">
        <w:rPr>
          <w:lang w:eastAsia="ja-JP"/>
        </w:rPr>
        <w:t>search</w:t>
      </w:r>
      <w:r w:rsidR="00D865AC">
        <w:rPr>
          <w:lang w:eastAsia="ja-JP"/>
        </w:rPr>
        <w:t>’</w:t>
      </w:r>
      <w:r w:rsidR="005B3681" w:rsidRPr="005B3681">
        <w:rPr>
          <w:lang w:eastAsia="ja-JP"/>
        </w:rPr>
        <w:t xml:space="preserve"> within the meaning of the Fourth Amendment when it was adopted</w:t>
      </w:r>
      <w:r w:rsidR="004B7AAF">
        <w:rPr>
          <w:lang w:eastAsia="ja-JP"/>
        </w:rPr>
        <w:t>.</w:t>
      </w:r>
      <w:r w:rsidR="005B3681">
        <w:rPr>
          <w:lang w:eastAsia="ja-JP"/>
        </w:rPr>
        <w:t>”</w:t>
      </w:r>
      <w:r w:rsidR="005B3681" w:rsidRPr="002A4234">
        <w:rPr>
          <w:rStyle w:val="FootnoteReference"/>
        </w:rPr>
        <w:footnoteReference w:id="197"/>
      </w:r>
      <w:r w:rsidR="004B7AAF">
        <w:rPr>
          <w:lang w:eastAsia="ja-JP"/>
        </w:rPr>
        <w:t xml:space="preserve"> </w:t>
      </w:r>
      <w:r w:rsidR="007659A8">
        <w:rPr>
          <w:lang w:eastAsia="ja-JP"/>
        </w:rPr>
        <w:t>But the opinion d</w:t>
      </w:r>
      <w:r w:rsidR="003E54A6">
        <w:rPr>
          <w:lang w:eastAsia="ja-JP"/>
        </w:rPr>
        <w:t>id not engage</w:t>
      </w:r>
      <w:r w:rsidR="003C7F85">
        <w:rPr>
          <w:lang w:eastAsia="ja-JP"/>
        </w:rPr>
        <w:t xml:space="preserve"> any</w:t>
      </w:r>
      <w:r w:rsidR="003E54A6">
        <w:rPr>
          <w:lang w:eastAsia="ja-JP"/>
        </w:rPr>
        <w:t xml:space="preserve"> </w:t>
      </w:r>
      <w:r w:rsidR="00F96DB0">
        <w:rPr>
          <w:lang w:eastAsia="ja-JP"/>
        </w:rPr>
        <w:t>eighteenth</w:t>
      </w:r>
      <w:r w:rsidR="000626C2">
        <w:rPr>
          <w:lang w:eastAsia="ja-JP"/>
        </w:rPr>
        <w:t>-century trespass cases</w:t>
      </w:r>
      <w:r w:rsidR="003C7F85">
        <w:rPr>
          <w:lang w:eastAsia="ja-JP"/>
        </w:rPr>
        <w:t xml:space="preserve"> (let alone any </w:t>
      </w:r>
      <w:r w:rsidR="00F96DB0">
        <w:rPr>
          <w:lang w:eastAsia="ja-JP"/>
        </w:rPr>
        <w:t>twenty-first</w:t>
      </w:r>
      <w:r w:rsidR="003C7F85">
        <w:rPr>
          <w:lang w:eastAsia="ja-JP"/>
        </w:rPr>
        <w:t>-century ones)</w:t>
      </w:r>
      <w:r w:rsidR="00D738A2">
        <w:rPr>
          <w:lang w:eastAsia="ja-JP"/>
        </w:rPr>
        <w:t xml:space="preserve">; instead, it </w:t>
      </w:r>
      <w:r w:rsidR="00D738A2">
        <w:rPr>
          <w:lang w:eastAsia="ja-JP"/>
        </w:rPr>
        <w:lastRenderedPageBreak/>
        <w:t xml:space="preserve">applied a much more general </w:t>
      </w:r>
      <w:r w:rsidR="003C7F85">
        <w:rPr>
          <w:lang w:eastAsia="ja-JP"/>
        </w:rPr>
        <w:t xml:space="preserve">concept of “trespass” </w:t>
      </w:r>
      <w:r w:rsidR="00E25DE9">
        <w:rPr>
          <w:lang w:eastAsia="ja-JP"/>
        </w:rPr>
        <w:t xml:space="preserve">that </w:t>
      </w:r>
      <w:r w:rsidR="0032455E">
        <w:rPr>
          <w:lang w:eastAsia="ja-JP"/>
        </w:rPr>
        <w:t>looks like an inquiry into</w:t>
      </w:r>
      <w:r w:rsidR="00E25DE9">
        <w:rPr>
          <w:lang w:eastAsia="ja-JP"/>
        </w:rPr>
        <w:t xml:space="preserve"> general</w:t>
      </w:r>
      <w:r w:rsidR="0032455E">
        <w:rPr>
          <w:lang w:eastAsia="ja-JP"/>
        </w:rPr>
        <w:t xml:space="preserve"> </w:t>
      </w:r>
      <w:r w:rsidR="00E25DE9">
        <w:rPr>
          <w:lang w:eastAsia="ja-JP"/>
        </w:rPr>
        <w:t xml:space="preserve">law. Moreover, </w:t>
      </w:r>
      <w:r w:rsidR="00E12FF9">
        <w:rPr>
          <w:lang w:eastAsia="ja-JP"/>
        </w:rPr>
        <w:t xml:space="preserve">Justice Scalia’s opinion bristled at Justice Alito’s argument that the majority was </w:t>
      </w:r>
      <w:r w:rsidR="0032455E">
        <w:rPr>
          <w:lang w:eastAsia="ja-JP"/>
        </w:rPr>
        <w:t xml:space="preserve">applying </w:t>
      </w:r>
      <w:r w:rsidR="00E12FF9">
        <w:rPr>
          <w:lang w:eastAsia="ja-JP"/>
        </w:rPr>
        <w:t>“18th-century tort</w:t>
      </w:r>
      <w:r w:rsidR="00C669A3">
        <w:rPr>
          <w:lang w:eastAsia="ja-JP"/>
        </w:rPr>
        <w:t xml:space="preserve"> law</w:t>
      </w:r>
      <w:r w:rsidR="00E25DE9">
        <w:rPr>
          <w:lang w:eastAsia="ja-JP"/>
        </w:rPr>
        <w:t>,</w:t>
      </w:r>
      <w:r w:rsidR="00C669A3">
        <w:rPr>
          <w:lang w:eastAsia="ja-JP"/>
        </w:rPr>
        <w:t>”</w:t>
      </w:r>
      <w:r w:rsidR="00C669A3" w:rsidRPr="002A4234">
        <w:rPr>
          <w:rStyle w:val="FootnoteReference"/>
        </w:rPr>
        <w:footnoteReference w:id="198"/>
      </w:r>
      <w:r w:rsidR="00046A50">
        <w:rPr>
          <w:lang w:eastAsia="ja-JP"/>
        </w:rPr>
        <w:t xml:space="preserve"> </w:t>
      </w:r>
      <w:r w:rsidR="00E25DE9">
        <w:rPr>
          <w:lang w:eastAsia="ja-JP"/>
        </w:rPr>
        <w:t>by responding</w:t>
      </w:r>
      <w:r w:rsidR="00501D41">
        <w:rPr>
          <w:lang w:eastAsia="ja-JP"/>
        </w:rPr>
        <w:t xml:space="preserve"> that “[w]hat </w:t>
      </w:r>
      <w:r w:rsidR="00501D41" w:rsidRPr="00501D41">
        <w:rPr>
          <w:lang w:eastAsia="ja-JP"/>
        </w:rPr>
        <w:t xml:space="preserve">we apply is an 18th-century guarantee against unreasonable searches, which we believe must provide </w:t>
      </w:r>
      <w:r w:rsidR="00501D41" w:rsidRPr="00501D41">
        <w:rPr>
          <w:i/>
          <w:iCs/>
          <w:lang w:eastAsia="ja-JP"/>
        </w:rPr>
        <w:t>at a minimum</w:t>
      </w:r>
      <w:r w:rsidR="00501D41" w:rsidRPr="00501D41">
        <w:rPr>
          <w:lang w:eastAsia="ja-JP"/>
        </w:rPr>
        <w:t xml:space="preserve"> the degree of protection it afforded when it was adopted.</w:t>
      </w:r>
      <w:r w:rsidR="00501D41">
        <w:rPr>
          <w:lang w:eastAsia="ja-JP"/>
        </w:rPr>
        <w:t>”</w:t>
      </w:r>
      <w:r w:rsidR="00501D41" w:rsidRPr="002A4234">
        <w:rPr>
          <w:rStyle w:val="FootnoteReference"/>
        </w:rPr>
        <w:footnoteReference w:id="199"/>
      </w:r>
    </w:p>
    <w:p w14:paraId="0406ED2D" w14:textId="27697721" w:rsidR="00634D05" w:rsidRDefault="004B7AAF" w:rsidP="001E0D98">
      <w:pPr>
        <w:pStyle w:val="BodyText"/>
      </w:pPr>
      <w:r>
        <w:t>That</w:t>
      </w:r>
      <w:r w:rsidR="00E25DE9">
        <w:t xml:space="preserve"> Justice Scalia saw the Fourth Amendment as </w:t>
      </w:r>
      <w:r w:rsidR="00AE74F4">
        <w:t xml:space="preserve">incorporating </w:t>
      </w:r>
      <w:r w:rsidR="00842093">
        <w:t>modern developments in the law</w:t>
      </w:r>
      <w:r w:rsidR="00797575">
        <w:t xml:space="preserve"> </w:t>
      </w:r>
      <w:r>
        <w:t xml:space="preserve">is especially clear when one considers </w:t>
      </w:r>
      <w:r w:rsidR="00797575">
        <w:t>his</w:t>
      </w:r>
      <w:r w:rsidR="00641882">
        <w:t xml:space="preserve"> dissent in </w:t>
      </w:r>
      <w:r w:rsidR="00641882">
        <w:rPr>
          <w:i/>
          <w:iCs/>
        </w:rPr>
        <w:t>Georgia v. Randolph</w:t>
      </w:r>
      <w:r w:rsidR="001A5124">
        <w:t>,</w:t>
      </w:r>
      <w:r w:rsidR="00743C8E" w:rsidRPr="002A4234">
        <w:rPr>
          <w:rStyle w:val="FootnoteReference"/>
        </w:rPr>
        <w:footnoteReference w:id="200"/>
      </w:r>
      <w:r w:rsidR="001A5124">
        <w:rPr>
          <w:i/>
          <w:iCs/>
        </w:rPr>
        <w:t xml:space="preserve"> </w:t>
      </w:r>
      <w:r w:rsidR="001A5124">
        <w:t>discussed above.</w:t>
      </w:r>
      <w:r w:rsidR="00641882">
        <w:t xml:space="preserve"> </w:t>
      </w:r>
      <w:r w:rsidR="006C2885">
        <w:t xml:space="preserve">In concurrence, Justice Stevens argued that </w:t>
      </w:r>
      <w:r w:rsidR="009C176D">
        <w:t xml:space="preserve">“original understanding” should not </w:t>
      </w:r>
      <w:r w:rsidR="007F0554">
        <w:t xml:space="preserve">control whether </w:t>
      </w:r>
      <w:r w:rsidR="007D3EED">
        <w:t>a co-occupant</w:t>
      </w:r>
      <w:r w:rsidR="00AF474B">
        <w:t>’</w:t>
      </w:r>
      <w:r w:rsidR="007D3EED">
        <w:t xml:space="preserve">s objection </w:t>
      </w:r>
      <w:r w:rsidR="00E33E3D">
        <w:t>rendered a search impermissible</w:t>
      </w:r>
      <w:r w:rsidR="009C176D">
        <w:t>, because</w:t>
      </w:r>
      <w:r w:rsidR="00387DA1">
        <w:t xml:space="preserve"> </w:t>
      </w:r>
      <w:r w:rsidR="004E4F07">
        <w:t>under</w:t>
      </w:r>
      <w:r w:rsidR="00387DA1">
        <w:t xml:space="preserve"> the </w:t>
      </w:r>
      <w:r w:rsidR="004E4F07">
        <w:t>sexist assumptions of</w:t>
      </w:r>
      <w:r w:rsidR="00387DA1">
        <w:t xml:space="preserve"> </w:t>
      </w:r>
      <w:r w:rsidR="00A76712">
        <w:t>eighteenth</w:t>
      </w:r>
      <w:r w:rsidR="00E403DE">
        <w:t>-century</w:t>
      </w:r>
      <w:r w:rsidR="004E4F07">
        <w:t xml:space="preserve"> law</w:t>
      </w:r>
      <w:r w:rsidR="00387DA1">
        <w:t xml:space="preserve"> </w:t>
      </w:r>
      <w:r w:rsidR="00743C8E">
        <w:t>“</w:t>
      </w:r>
      <w:r w:rsidR="00743C8E" w:rsidRPr="00743C8E">
        <w:t>only the consent of the husband would matter.</w:t>
      </w:r>
      <w:r w:rsidR="00743C8E">
        <w:t>”</w:t>
      </w:r>
      <w:r w:rsidR="00743C8E" w:rsidRPr="002A4234">
        <w:rPr>
          <w:rStyle w:val="FootnoteReference"/>
        </w:rPr>
        <w:footnoteReference w:id="201"/>
      </w:r>
      <w:r w:rsidR="00E82ADA">
        <w:t xml:space="preserve"> Scalia </w:t>
      </w:r>
      <w:r w:rsidR="00613D69">
        <w:t>countered</w:t>
      </w:r>
      <w:r w:rsidR="00DB4309">
        <w:t xml:space="preserve"> that </w:t>
      </w:r>
      <w:r w:rsidR="00613D69">
        <w:t>this objection</w:t>
      </w:r>
      <w:r w:rsidR="00DB4309">
        <w:t xml:space="preserve"> “</w:t>
      </w:r>
      <w:r w:rsidR="00DB4309" w:rsidRPr="00DB4309">
        <w:t>confuses the original import of the Fourth Amendment with the background sources of law to which the Amendment, on its original meaning, referred</w:t>
      </w:r>
      <w:r w:rsidR="00DB4309">
        <w:t>.”</w:t>
      </w:r>
      <w:r w:rsidR="00DB4309" w:rsidRPr="002A4234">
        <w:rPr>
          <w:rStyle w:val="FootnoteReference"/>
        </w:rPr>
        <w:footnoteReference w:id="202"/>
      </w:r>
      <w:r w:rsidR="005677A9">
        <w:t xml:space="preserve"> </w:t>
      </w:r>
      <w:r w:rsidR="001C3B0D">
        <w:t>In his view,</w:t>
      </w:r>
    </w:p>
    <w:p w14:paraId="1B8723E9" w14:textId="140BFA05" w:rsidR="00641882" w:rsidRPr="0061208C" w:rsidRDefault="00EC7770" w:rsidP="00634D05">
      <w:pPr>
        <w:pStyle w:val="BlockQuote"/>
        <w:rPr>
          <w:sz w:val="24"/>
          <w:szCs w:val="32"/>
        </w:rPr>
      </w:pPr>
      <w:r w:rsidRPr="0061208C">
        <w:rPr>
          <w:sz w:val="24"/>
          <w:szCs w:val="32"/>
        </w:rPr>
        <w:t>As property law developed, individuals who previously could not authorize a search might become able to do so, and those who once could grant such consent might no longer have that power. But changes in the law of property to which the Fourth Amendment referred would not alter the Amendment</w:t>
      </w:r>
      <w:r w:rsidR="002805E0">
        <w:rPr>
          <w:sz w:val="24"/>
          <w:szCs w:val="32"/>
        </w:rPr>
        <w:t>’</w:t>
      </w:r>
      <w:r w:rsidRPr="0061208C">
        <w:rPr>
          <w:sz w:val="24"/>
          <w:szCs w:val="32"/>
        </w:rPr>
        <w:t>s meaning</w:t>
      </w:r>
      <w:r w:rsidR="00E539EE">
        <w:rPr>
          <w:sz w:val="24"/>
          <w:szCs w:val="32"/>
        </w:rPr>
        <w:t> </w:t>
      </w:r>
      <w:r w:rsidR="007B6075" w:rsidRPr="0061208C">
        <w:rPr>
          <w:sz w:val="24"/>
          <w:szCs w:val="32"/>
        </w:rPr>
        <w:t>.</w:t>
      </w:r>
      <w:r w:rsidR="00E539EE">
        <w:rPr>
          <w:sz w:val="24"/>
          <w:szCs w:val="32"/>
        </w:rPr>
        <w:t> . . </w:t>
      </w:r>
      <w:r w:rsidR="007B6075">
        <w:rPr>
          <w:sz w:val="24"/>
          <w:szCs w:val="32"/>
        </w:rPr>
        <w:t>.</w:t>
      </w:r>
      <w:r w:rsidR="007B6075" w:rsidRPr="0061208C">
        <w:rPr>
          <w:rStyle w:val="FootnoteReference"/>
          <w:sz w:val="24"/>
          <w:szCs w:val="32"/>
        </w:rPr>
        <w:footnoteReference w:id="203"/>
      </w:r>
    </w:p>
    <w:p w14:paraId="01661196" w14:textId="0C199B64" w:rsidR="003F0AF1" w:rsidRDefault="00542A1B" w:rsidP="003533AA">
      <w:pPr>
        <w:pStyle w:val="BodyText"/>
      </w:pPr>
      <w:r>
        <w:t xml:space="preserve">Justice Scalia’s dissent did not </w:t>
      </w:r>
      <w:r w:rsidR="003533AA">
        <w:t xml:space="preserve">make clear what he saw as the sources of law from which the Fourth Amendment </w:t>
      </w:r>
      <w:r w:rsidR="00AB1F22">
        <w:t>sh</w:t>
      </w:r>
      <w:r w:rsidR="003533AA">
        <w:t xml:space="preserve">ould draw. But more </w:t>
      </w:r>
      <w:r w:rsidR="008976F6">
        <w:t>broadly,</w:t>
      </w:r>
      <w:r w:rsidR="003533AA">
        <w:t xml:space="preserve"> his understanding</w:t>
      </w:r>
      <w:r w:rsidR="00C64D51">
        <w:t xml:space="preserve"> is </w:t>
      </w:r>
      <w:r w:rsidR="00AE05CD">
        <w:t xml:space="preserve">essentially </w:t>
      </w:r>
      <w:r w:rsidR="00C64D51">
        <w:t xml:space="preserve">the premise of the general-law approach. It </w:t>
      </w:r>
      <w:r w:rsidR="001E20E9">
        <w:t xml:space="preserve">treats the basic protections of the Fourth Amendment as fixed, but it recognizes that how </w:t>
      </w:r>
      <w:r w:rsidR="008976F6">
        <w:t>the Amendment</w:t>
      </w:r>
      <w:r w:rsidR="001E20E9">
        <w:t xml:space="preserve"> appl</w:t>
      </w:r>
      <w:r w:rsidR="008976F6">
        <w:t>ies</w:t>
      </w:r>
      <w:r w:rsidR="001E20E9">
        <w:t xml:space="preserve"> to </w:t>
      </w:r>
      <w:r w:rsidR="0097250E">
        <w:t xml:space="preserve">new circumstances can change as the </w:t>
      </w:r>
      <w:r w:rsidR="00AE05CD">
        <w:t>general law changes.</w:t>
      </w:r>
    </w:p>
    <w:p w14:paraId="51F8DD88" w14:textId="099B9932" w:rsidR="003F0AF1" w:rsidRPr="001F7A26" w:rsidRDefault="00E25087" w:rsidP="00ED49F8">
      <w:pPr>
        <w:pStyle w:val="BodyText"/>
        <w:rPr>
          <w:lang w:eastAsia="ja-JP"/>
        </w:rPr>
      </w:pPr>
      <w:r>
        <w:rPr>
          <w:lang w:eastAsia="ja-JP"/>
        </w:rPr>
        <w:t>Unlike the pure</w:t>
      </w:r>
      <w:r w:rsidR="002417E7">
        <w:rPr>
          <w:lang w:eastAsia="ja-JP"/>
        </w:rPr>
        <w:t xml:space="preserve"> </w:t>
      </w:r>
      <w:r>
        <w:rPr>
          <w:lang w:eastAsia="ja-JP"/>
        </w:rPr>
        <w:t>positive-law model, t</w:t>
      </w:r>
      <w:r w:rsidR="003F0AF1">
        <w:rPr>
          <w:lang w:eastAsia="ja-JP"/>
        </w:rPr>
        <w:t>he general-law approach a</w:t>
      </w:r>
      <w:r w:rsidR="00BB7752">
        <w:rPr>
          <w:lang w:eastAsia="ja-JP"/>
        </w:rPr>
        <w:t xml:space="preserve">lso </w:t>
      </w:r>
      <w:r w:rsidR="008C1FB8">
        <w:rPr>
          <w:lang w:eastAsia="ja-JP"/>
        </w:rPr>
        <w:t xml:space="preserve">is </w:t>
      </w:r>
      <w:r>
        <w:rPr>
          <w:lang w:eastAsia="ja-JP"/>
        </w:rPr>
        <w:t>easy</w:t>
      </w:r>
      <w:r w:rsidR="00F147F1">
        <w:rPr>
          <w:lang w:eastAsia="ja-JP"/>
        </w:rPr>
        <w:t xml:space="preserve"> to reconcile with</w:t>
      </w:r>
      <w:r w:rsidR="00BB7752">
        <w:rPr>
          <w:lang w:eastAsia="ja-JP"/>
        </w:rPr>
        <w:t xml:space="preserve"> the</w:t>
      </w:r>
      <w:r>
        <w:rPr>
          <w:lang w:eastAsia="ja-JP"/>
        </w:rPr>
        <w:t xml:space="preserve"> method (though perhaps not the results) in </w:t>
      </w:r>
      <w:r w:rsidR="00BB7752">
        <w:rPr>
          <w:lang w:eastAsia="ja-JP"/>
        </w:rPr>
        <w:t xml:space="preserve">cases </w:t>
      </w:r>
      <w:r w:rsidR="00C663BB">
        <w:rPr>
          <w:lang w:eastAsia="ja-JP"/>
        </w:rPr>
        <w:t>pred</w:t>
      </w:r>
      <w:r w:rsidR="00E52633">
        <w:rPr>
          <w:lang w:eastAsia="ja-JP"/>
        </w:rPr>
        <w:t xml:space="preserve">ating </w:t>
      </w:r>
      <w:r w:rsidR="00E52633">
        <w:rPr>
          <w:i/>
          <w:iCs/>
          <w:lang w:eastAsia="ja-JP"/>
        </w:rPr>
        <w:t>Katz</w:t>
      </w:r>
      <w:r w:rsidR="00E52633">
        <w:rPr>
          <w:lang w:eastAsia="ja-JP"/>
        </w:rPr>
        <w:t xml:space="preserve">. </w:t>
      </w:r>
      <w:r w:rsidR="001F7A26">
        <w:rPr>
          <w:lang w:eastAsia="ja-JP"/>
        </w:rPr>
        <w:t xml:space="preserve">In </w:t>
      </w:r>
      <w:r w:rsidR="001F7A26">
        <w:rPr>
          <w:i/>
          <w:iCs/>
          <w:lang w:eastAsia="ja-JP"/>
        </w:rPr>
        <w:t>Olmstead</w:t>
      </w:r>
      <w:r w:rsidR="001F7A26">
        <w:rPr>
          <w:lang w:eastAsia="ja-JP"/>
        </w:rPr>
        <w:t xml:space="preserve">, for example, the Court </w:t>
      </w:r>
      <w:r w:rsidR="006939E3">
        <w:rPr>
          <w:lang w:eastAsia="ja-JP"/>
        </w:rPr>
        <w:t>st</w:t>
      </w:r>
      <w:r w:rsidR="00F048D1">
        <w:rPr>
          <w:lang w:eastAsia="ja-JP"/>
        </w:rPr>
        <w:t xml:space="preserve">ressed that </w:t>
      </w:r>
      <w:r w:rsidR="00E62466">
        <w:rPr>
          <w:lang w:eastAsia="ja-JP"/>
        </w:rPr>
        <w:t xml:space="preserve">the government </w:t>
      </w:r>
      <w:r w:rsidR="00E30DD2">
        <w:rPr>
          <w:lang w:eastAsia="ja-JP"/>
        </w:rPr>
        <w:t>had not “trespass</w:t>
      </w:r>
      <w:r w:rsidR="00944B8A">
        <w:rPr>
          <w:lang w:eastAsia="ja-JP"/>
        </w:rPr>
        <w:t>[</w:t>
      </w:r>
      <w:r w:rsidR="005F1DF6">
        <w:rPr>
          <w:lang w:eastAsia="ja-JP"/>
        </w:rPr>
        <w:t xml:space="preserve">ed] upon any property of the </w:t>
      </w:r>
      <w:r w:rsidR="00DD522B">
        <w:rPr>
          <w:lang w:eastAsia="ja-JP"/>
        </w:rPr>
        <w:t xml:space="preserve">defendants” by </w:t>
      </w:r>
      <w:r w:rsidR="00623C8C">
        <w:rPr>
          <w:lang w:eastAsia="ja-JP"/>
        </w:rPr>
        <w:t>wiret</w:t>
      </w:r>
      <w:r w:rsidR="001E5E32">
        <w:rPr>
          <w:lang w:eastAsia="ja-JP"/>
        </w:rPr>
        <w:t>apping their telephone l</w:t>
      </w:r>
      <w:r w:rsidR="00071035">
        <w:rPr>
          <w:lang w:eastAsia="ja-JP"/>
        </w:rPr>
        <w:t>ines.</w:t>
      </w:r>
      <w:r w:rsidR="00EC73C6" w:rsidRPr="002A4234">
        <w:rPr>
          <w:rStyle w:val="FootnoteReference"/>
        </w:rPr>
        <w:footnoteReference w:id="204"/>
      </w:r>
      <w:r w:rsidR="00D21853">
        <w:rPr>
          <w:lang w:eastAsia="ja-JP"/>
        </w:rPr>
        <w:t xml:space="preserve"> In reaching that </w:t>
      </w:r>
      <w:r w:rsidR="004902F0">
        <w:rPr>
          <w:lang w:eastAsia="ja-JP"/>
        </w:rPr>
        <w:t xml:space="preserve">conclusion, the Court did not </w:t>
      </w:r>
      <w:r w:rsidR="009D2595">
        <w:rPr>
          <w:lang w:eastAsia="ja-JP"/>
        </w:rPr>
        <w:t xml:space="preserve">examine the </w:t>
      </w:r>
      <w:r w:rsidR="00102EBE">
        <w:rPr>
          <w:lang w:eastAsia="ja-JP"/>
        </w:rPr>
        <w:t>positive</w:t>
      </w:r>
      <w:r w:rsidR="0075271B">
        <w:rPr>
          <w:lang w:eastAsia="ja-JP"/>
        </w:rPr>
        <w:t xml:space="preserve"> property</w:t>
      </w:r>
      <w:r w:rsidR="00102EBE">
        <w:rPr>
          <w:lang w:eastAsia="ja-JP"/>
        </w:rPr>
        <w:t xml:space="preserve"> law of </w:t>
      </w:r>
      <w:r w:rsidR="00D958BC">
        <w:rPr>
          <w:lang w:eastAsia="ja-JP"/>
        </w:rPr>
        <w:t xml:space="preserve">the state of Washington, where the </w:t>
      </w:r>
      <w:r w:rsidR="006055AA">
        <w:rPr>
          <w:lang w:eastAsia="ja-JP"/>
        </w:rPr>
        <w:t>wiretapping oc</w:t>
      </w:r>
      <w:r w:rsidR="007F0865">
        <w:rPr>
          <w:lang w:eastAsia="ja-JP"/>
        </w:rPr>
        <w:t xml:space="preserve">curred. </w:t>
      </w:r>
      <w:r w:rsidR="00BC0CDD">
        <w:rPr>
          <w:lang w:eastAsia="ja-JP"/>
        </w:rPr>
        <w:t>In fact, when consider</w:t>
      </w:r>
      <w:r w:rsidR="000E658B">
        <w:rPr>
          <w:lang w:eastAsia="ja-JP"/>
        </w:rPr>
        <w:t>ing whether the evi</w:t>
      </w:r>
      <w:r w:rsidR="00761E0E">
        <w:rPr>
          <w:lang w:eastAsia="ja-JP"/>
        </w:rPr>
        <w:t xml:space="preserve">dence might be </w:t>
      </w:r>
      <w:r w:rsidR="00C5228A">
        <w:rPr>
          <w:lang w:eastAsia="ja-JP"/>
        </w:rPr>
        <w:t>inadmiss</w:t>
      </w:r>
      <w:r w:rsidR="00F90075">
        <w:rPr>
          <w:lang w:eastAsia="ja-JP"/>
        </w:rPr>
        <w:t xml:space="preserve">ible because </w:t>
      </w:r>
      <w:r w:rsidR="00A40A1E">
        <w:rPr>
          <w:lang w:eastAsia="ja-JP"/>
        </w:rPr>
        <w:t>Washi</w:t>
      </w:r>
      <w:r w:rsidR="00887CA6">
        <w:rPr>
          <w:lang w:eastAsia="ja-JP"/>
        </w:rPr>
        <w:t>ngton law</w:t>
      </w:r>
      <w:r w:rsidR="00123B80">
        <w:rPr>
          <w:lang w:eastAsia="ja-JP"/>
        </w:rPr>
        <w:t xml:space="preserve"> </w:t>
      </w:r>
      <w:r w:rsidR="00432B23">
        <w:rPr>
          <w:lang w:eastAsia="ja-JP"/>
        </w:rPr>
        <w:t>made</w:t>
      </w:r>
      <w:r w:rsidR="00513842">
        <w:rPr>
          <w:lang w:eastAsia="ja-JP"/>
        </w:rPr>
        <w:t xml:space="preserve"> </w:t>
      </w:r>
      <w:r w:rsidR="0008232B">
        <w:rPr>
          <w:lang w:eastAsia="ja-JP"/>
        </w:rPr>
        <w:t xml:space="preserve">such </w:t>
      </w:r>
      <w:r w:rsidR="006169DE">
        <w:rPr>
          <w:lang w:eastAsia="ja-JP"/>
        </w:rPr>
        <w:t xml:space="preserve">wiretapping a </w:t>
      </w:r>
      <w:r w:rsidR="00C16127">
        <w:rPr>
          <w:lang w:eastAsia="ja-JP"/>
        </w:rPr>
        <w:t>misdemeanor</w:t>
      </w:r>
      <w:r w:rsidR="00DD307B">
        <w:rPr>
          <w:lang w:eastAsia="ja-JP"/>
        </w:rPr>
        <w:t xml:space="preserve">, the Court </w:t>
      </w:r>
      <w:r w:rsidR="008372DC">
        <w:rPr>
          <w:lang w:eastAsia="ja-JP"/>
        </w:rPr>
        <w:t>emphatically rej</w:t>
      </w:r>
      <w:r w:rsidR="00953010">
        <w:rPr>
          <w:lang w:eastAsia="ja-JP"/>
        </w:rPr>
        <w:t>ected the notion that</w:t>
      </w:r>
      <w:r w:rsidR="005A0707">
        <w:rPr>
          <w:lang w:eastAsia="ja-JP"/>
        </w:rPr>
        <w:t xml:space="preserve"> state</w:t>
      </w:r>
      <w:r w:rsidR="00953010">
        <w:rPr>
          <w:lang w:eastAsia="ja-JP"/>
        </w:rPr>
        <w:t xml:space="preserve"> positive </w:t>
      </w:r>
      <w:r w:rsidR="00922DCE">
        <w:rPr>
          <w:lang w:eastAsia="ja-JP"/>
        </w:rPr>
        <w:t>law sho</w:t>
      </w:r>
      <w:r w:rsidR="001A47ED">
        <w:rPr>
          <w:lang w:eastAsia="ja-JP"/>
        </w:rPr>
        <w:t>uld control</w:t>
      </w:r>
      <w:r w:rsidR="00E70570">
        <w:rPr>
          <w:lang w:eastAsia="ja-JP"/>
        </w:rPr>
        <w:t>.</w:t>
      </w:r>
      <w:r w:rsidR="00197E9A" w:rsidRPr="002A4234">
        <w:rPr>
          <w:rStyle w:val="FootnoteReference"/>
        </w:rPr>
        <w:footnoteReference w:id="205"/>
      </w:r>
      <w:r w:rsidR="00AF1442">
        <w:rPr>
          <w:lang w:eastAsia="ja-JP"/>
        </w:rPr>
        <w:t xml:space="preserve"> </w:t>
      </w:r>
      <w:r w:rsidR="00F613DA">
        <w:rPr>
          <w:lang w:eastAsia="ja-JP"/>
        </w:rPr>
        <w:t xml:space="preserve">Under </w:t>
      </w:r>
      <w:r w:rsidR="00783EC5">
        <w:rPr>
          <w:lang w:eastAsia="ja-JP"/>
        </w:rPr>
        <w:t>the pure</w:t>
      </w:r>
      <w:r w:rsidR="009C73F6">
        <w:rPr>
          <w:lang w:eastAsia="ja-JP"/>
        </w:rPr>
        <w:t xml:space="preserve"> </w:t>
      </w:r>
      <w:r w:rsidR="00783EC5">
        <w:rPr>
          <w:lang w:eastAsia="ja-JP"/>
        </w:rPr>
        <w:t>po</w:t>
      </w:r>
      <w:r w:rsidR="004F2340">
        <w:rPr>
          <w:lang w:eastAsia="ja-JP"/>
        </w:rPr>
        <w:t xml:space="preserve">sitive-law </w:t>
      </w:r>
      <w:r w:rsidR="000A4AF5">
        <w:rPr>
          <w:lang w:eastAsia="ja-JP"/>
        </w:rPr>
        <w:t>theory</w:t>
      </w:r>
      <w:r w:rsidR="00542044">
        <w:rPr>
          <w:lang w:eastAsia="ja-JP"/>
        </w:rPr>
        <w:t xml:space="preserve">, the </w:t>
      </w:r>
      <w:r w:rsidR="00542044">
        <w:rPr>
          <w:lang w:eastAsia="ja-JP"/>
        </w:rPr>
        <w:lastRenderedPageBreak/>
        <w:t xml:space="preserve">Court </w:t>
      </w:r>
      <w:r w:rsidR="008510FA">
        <w:rPr>
          <w:lang w:eastAsia="ja-JP"/>
        </w:rPr>
        <w:t xml:space="preserve">should have concluded that the </w:t>
      </w:r>
      <w:r w:rsidR="00F205B7">
        <w:rPr>
          <w:lang w:eastAsia="ja-JP"/>
        </w:rPr>
        <w:t xml:space="preserve">government conduct </w:t>
      </w:r>
      <w:r w:rsidR="00470869">
        <w:rPr>
          <w:lang w:eastAsia="ja-JP"/>
        </w:rPr>
        <w:t xml:space="preserve">was an </w:t>
      </w:r>
      <w:r w:rsidR="00D564C2">
        <w:rPr>
          <w:lang w:eastAsia="ja-JP"/>
        </w:rPr>
        <w:t>impermissible sear</w:t>
      </w:r>
      <w:r w:rsidR="004D0E92">
        <w:rPr>
          <w:lang w:eastAsia="ja-JP"/>
        </w:rPr>
        <w:t>ch.</w:t>
      </w:r>
    </w:p>
    <w:p w14:paraId="4E691EE2" w14:textId="48FF3C31" w:rsidR="000169B1" w:rsidRDefault="0026782D" w:rsidP="000908BB">
      <w:pPr>
        <w:pStyle w:val="BodyText"/>
        <w:rPr>
          <w:lang w:eastAsia="ja-JP"/>
        </w:rPr>
      </w:pPr>
      <w:r>
        <w:rPr>
          <w:lang w:eastAsia="ja-JP"/>
        </w:rPr>
        <w:t>Along similar lines consider</w:t>
      </w:r>
      <w:r w:rsidR="00B16767" w:rsidRPr="00B16767">
        <w:rPr>
          <w:lang w:eastAsia="ja-JP"/>
        </w:rPr>
        <w:t xml:space="preserve"> </w:t>
      </w:r>
      <w:r w:rsidR="00B16767" w:rsidRPr="00B16767">
        <w:rPr>
          <w:i/>
          <w:iCs/>
          <w:lang w:eastAsia="ja-JP"/>
        </w:rPr>
        <w:t>On Lee</w:t>
      </w:r>
      <w:r w:rsidR="00924F6D">
        <w:rPr>
          <w:i/>
          <w:iCs/>
          <w:lang w:eastAsia="ja-JP"/>
        </w:rPr>
        <w:t xml:space="preserve"> v. United S</w:t>
      </w:r>
      <w:r w:rsidR="005D7B6E">
        <w:rPr>
          <w:i/>
          <w:iCs/>
          <w:lang w:eastAsia="ja-JP"/>
        </w:rPr>
        <w:t>tates</w:t>
      </w:r>
      <w:r w:rsidR="007935C1">
        <w:rPr>
          <w:lang w:eastAsia="ja-JP"/>
        </w:rPr>
        <w:t>,</w:t>
      </w:r>
      <w:r w:rsidR="005F179B" w:rsidRPr="002A4234">
        <w:rPr>
          <w:rStyle w:val="FootnoteReference"/>
        </w:rPr>
        <w:footnoteReference w:id="206"/>
      </w:r>
      <w:r w:rsidR="007935C1">
        <w:rPr>
          <w:lang w:eastAsia="ja-JP"/>
        </w:rPr>
        <w:t xml:space="preserve"> another </w:t>
      </w:r>
      <w:r w:rsidR="00865C45">
        <w:rPr>
          <w:lang w:eastAsia="ja-JP"/>
        </w:rPr>
        <w:t>pre-</w:t>
      </w:r>
      <w:r w:rsidR="00865C45">
        <w:rPr>
          <w:i/>
          <w:iCs/>
          <w:lang w:eastAsia="ja-JP"/>
        </w:rPr>
        <w:t xml:space="preserve">Katz </w:t>
      </w:r>
      <w:r w:rsidR="007935C1">
        <w:rPr>
          <w:lang w:eastAsia="ja-JP"/>
        </w:rPr>
        <w:t>wiretapp</w:t>
      </w:r>
      <w:r w:rsidR="00C54FD5">
        <w:rPr>
          <w:lang w:eastAsia="ja-JP"/>
        </w:rPr>
        <w:t>ing case</w:t>
      </w:r>
      <w:r w:rsidR="00BA1D47">
        <w:rPr>
          <w:lang w:eastAsia="ja-JP"/>
        </w:rPr>
        <w:t xml:space="preserve">. </w:t>
      </w:r>
      <w:r w:rsidR="003450ED">
        <w:rPr>
          <w:lang w:eastAsia="ja-JP"/>
        </w:rPr>
        <w:t>Th</w:t>
      </w:r>
      <w:r w:rsidR="002040BB">
        <w:rPr>
          <w:lang w:eastAsia="ja-JP"/>
        </w:rPr>
        <w:t xml:space="preserve">ere, </w:t>
      </w:r>
      <w:r w:rsidR="00F575A2">
        <w:rPr>
          <w:lang w:eastAsia="ja-JP"/>
        </w:rPr>
        <w:t xml:space="preserve">an </w:t>
      </w:r>
      <w:r w:rsidR="008374CF">
        <w:rPr>
          <w:lang w:eastAsia="ja-JP"/>
        </w:rPr>
        <w:t xml:space="preserve">undercover </w:t>
      </w:r>
      <w:r w:rsidR="00C957B7">
        <w:rPr>
          <w:lang w:eastAsia="ja-JP"/>
        </w:rPr>
        <w:t xml:space="preserve">agent </w:t>
      </w:r>
      <w:r w:rsidR="00102271">
        <w:rPr>
          <w:lang w:eastAsia="ja-JP"/>
        </w:rPr>
        <w:t xml:space="preserve">working on behalf </w:t>
      </w:r>
      <w:r w:rsidR="00437899">
        <w:rPr>
          <w:lang w:eastAsia="ja-JP"/>
        </w:rPr>
        <w:t xml:space="preserve">of </w:t>
      </w:r>
      <w:r w:rsidR="008374CF">
        <w:rPr>
          <w:lang w:eastAsia="ja-JP"/>
        </w:rPr>
        <w:t xml:space="preserve">the government </w:t>
      </w:r>
      <w:r w:rsidR="00463B4D">
        <w:rPr>
          <w:lang w:eastAsia="ja-JP"/>
        </w:rPr>
        <w:t>w</w:t>
      </w:r>
      <w:r w:rsidR="00591184">
        <w:rPr>
          <w:lang w:eastAsia="ja-JP"/>
        </w:rPr>
        <w:t>ore a conce</w:t>
      </w:r>
      <w:r w:rsidR="007B662D">
        <w:rPr>
          <w:lang w:eastAsia="ja-JP"/>
        </w:rPr>
        <w:t xml:space="preserve">aled </w:t>
      </w:r>
      <w:r w:rsidR="005A168E">
        <w:rPr>
          <w:lang w:eastAsia="ja-JP"/>
        </w:rPr>
        <w:t>mic</w:t>
      </w:r>
      <w:r w:rsidR="00325188">
        <w:rPr>
          <w:lang w:eastAsia="ja-JP"/>
        </w:rPr>
        <w:t>rophone and radio tra</w:t>
      </w:r>
      <w:r w:rsidR="00F530C4">
        <w:rPr>
          <w:lang w:eastAsia="ja-JP"/>
        </w:rPr>
        <w:t>nsmitter</w:t>
      </w:r>
      <w:r w:rsidR="00DC0DB5">
        <w:rPr>
          <w:lang w:eastAsia="ja-JP"/>
        </w:rPr>
        <w:t xml:space="preserve"> while </w:t>
      </w:r>
      <w:r w:rsidR="00782A4D">
        <w:rPr>
          <w:lang w:eastAsia="ja-JP"/>
        </w:rPr>
        <w:t xml:space="preserve">speaking with </w:t>
      </w:r>
      <w:r w:rsidR="00B464A5">
        <w:rPr>
          <w:lang w:eastAsia="ja-JP"/>
        </w:rPr>
        <w:t>the defendant insid</w:t>
      </w:r>
      <w:r w:rsidR="003876CF">
        <w:rPr>
          <w:lang w:eastAsia="ja-JP"/>
        </w:rPr>
        <w:t>e his business</w:t>
      </w:r>
      <w:r w:rsidR="008D4694">
        <w:rPr>
          <w:lang w:eastAsia="ja-JP"/>
        </w:rPr>
        <w:t>; a</w:t>
      </w:r>
      <w:r w:rsidR="00462752">
        <w:rPr>
          <w:lang w:eastAsia="ja-JP"/>
        </w:rPr>
        <w:t xml:space="preserve"> law</w:t>
      </w:r>
      <w:r w:rsidR="008B2A93">
        <w:rPr>
          <w:lang w:eastAsia="ja-JP"/>
        </w:rPr>
        <w:t>-</w:t>
      </w:r>
      <w:r w:rsidR="00462752">
        <w:rPr>
          <w:lang w:eastAsia="ja-JP"/>
        </w:rPr>
        <w:t xml:space="preserve">enforcement </w:t>
      </w:r>
      <w:r w:rsidR="0003137A">
        <w:rPr>
          <w:lang w:eastAsia="ja-JP"/>
        </w:rPr>
        <w:t xml:space="preserve">agent </w:t>
      </w:r>
      <w:r w:rsidR="00211A92">
        <w:rPr>
          <w:lang w:eastAsia="ja-JP"/>
        </w:rPr>
        <w:t>lis</w:t>
      </w:r>
      <w:r w:rsidR="00240E10">
        <w:rPr>
          <w:lang w:eastAsia="ja-JP"/>
        </w:rPr>
        <w:t>tened</w:t>
      </w:r>
      <w:r w:rsidR="00C936FD">
        <w:rPr>
          <w:lang w:eastAsia="ja-JP"/>
        </w:rPr>
        <w:t xml:space="preserve"> in on the co</w:t>
      </w:r>
      <w:r w:rsidR="00397D54">
        <w:rPr>
          <w:lang w:eastAsia="ja-JP"/>
        </w:rPr>
        <w:t>nve</w:t>
      </w:r>
      <w:r w:rsidR="00712BEA">
        <w:rPr>
          <w:lang w:eastAsia="ja-JP"/>
        </w:rPr>
        <w:t>rsation and su</w:t>
      </w:r>
      <w:r w:rsidR="00F10C0A">
        <w:rPr>
          <w:lang w:eastAsia="ja-JP"/>
        </w:rPr>
        <w:t xml:space="preserve">bsequently </w:t>
      </w:r>
      <w:r w:rsidR="00BC63F1">
        <w:rPr>
          <w:lang w:eastAsia="ja-JP"/>
        </w:rPr>
        <w:t>testified a</w:t>
      </w:r>
      <w:r w:rsidR="00A91D08">
        <w:rPr>
          <w:lang w:eastAsia="ja-JP"/>
        </w:rPr>
        <w:t>bout it.</w:t>
      </w:r>
      <w:r w:rsidR="0009368C" w:rsidRPr="002A4234">
        <w:rPr>
          <w:rStyle w:val="FootnoteReference"/>
        </w:rPr>
        <w:footnoteReference w:id="207"/>
      </w:r>
      <w:r w:rsidR="00803B2B">
        <w:rPr>
          <w:lang w:eastAsia="ja-JP"/>
        </w:rPr>
        <w:t xml:space="preserve"> The Court </w:t>
      </w:r>
      <w:r>
        <w:rPr>
          <w:lang w:eastAsia="ja-JP"/>
        </w:rPr>
        <w:t>found</w:t>
      </w:r>
      <w:r w:rsidR="002E5E4F">
        <w:rPr>
          <w:lang w:eastAsia="ja-JP"/>
        </w:rPr>
        <w:t xml:space="preserve"> no Fourth Amendment </w:t>
      </w:r>
      <w:r w:rsidR="000B6FD3">
        <w:rPr>
          <w:lang w:eastAsia="ja-JP"/>
        </w:rPr>
        <w:t xml:space="preserve">violation because </w:t>
      </w:r>
      <w:r w:rsidR="00453811">
        <w:rPr>
          <w:lang w:eastAsia="ja-JP"/>
        </w:rPr>
        <w:t xml:space="preserve">“no </w:t>
      </w:r>
      <w:r w:rsidR="00E06AE8">
        <w:rPr>
          <w:lang w:eastAsia="ja-JP"/>
        </w:rPr>
        <w:t>trespass was committed</w:t>
      </w:r>
      <w:r w:rsidR="003C542C">
        <w:rPr>
          <w:lang w:eastAsia="ja-JP"/>
        </w:rPr>
        <w:t>”</w:t>
      </w:r>
      <w:r w:rsidR="002801DE">
        <w:rPr>
          <w:rStyle w:val="FootnoteReference"/>
        </w:rPr>
        <w:t xml:space="preserve"> </w:t>
      </w:r>
      <w:r w:rsidR="002801DE">
        <w:t>given that</w:t>
      </w:r>
      <w:r w:rsidR="004D6374">
        <w:t xml:space="preserve"> </w:t>
      </w:r>
      <w:r w:rsidR="004D6374">
        <w:rPr>
          <w:lang w:eastAsia="ja-JP"/>
        </w:rPr>
        <w:t>the under</w:t>
      </w:r>
      <w:r w:rsidR="00060B20">
        <w:rPr>
          <w:lang w:eastAsia="ja-JP"/>
        </w:rPr>
        <w:t xml:space="preserve">cover agent </w:t>
      </w:r>
      <w:r w:rsidR="00CE1BB2">
        <w:rPr>
          <w:lang w:eastAsia="ja-JP"/>
        </w:rPr>
        <w:t>“</w:t>
      </w:r>
      <w:r w:rsidR="003051FD" w:rsidRPr="003051FD">
        <w:rPr>
          <w:lang w:eastAsia="ja-JP"/>
        </w:rPr>
        <w:t>entered a place of business with the consent, if not by the implied invitation,</w:t>
      </w:r>
      <w:r w:rsidR="00FD340E">
        <w:rPr>
          <w:lang w:eastAsia="ja-JP"/>
        </w:rPr>
        <w:t>” of the defendant.</w:t>
      </w:r>
      <w:r w:rsidR="00F14828" w:rsidRPr="002A4234">
        <w:rPr>
          <w:rStyle w:val="FootnoteReference"/>
        </w:rPr>
        <w:footnoteReference w:id="208"/>
      </w:r>
      <w:r w:rsidR="008C7AAB">
        <w:rPr>
          <w:lang w:eastAsia="ja-JP"/>
        </w:rPr>
        <w:t xml:space="preserve"> </w:t>
      </w:r>
      <w:r w:rsidR="00E03864">
        <w:rPr>
          <w:lang w:eastAsia="ja-JP"/>
        </w:rPr>
        <w:t>The Court reached this conclusion without consulting any jurisdiction’s positive law. The Court also rejected</w:t>
      </w:r>
      <w:r w:rsidR="001E5FFC">
        <w:rPr>
          <w:lang w:eastAsia="ja-JP"/>
        </w:rPr>
        <w:t xml:space="preserve"> the </w:t>
      </w:r>
      <w:r w:rsidR="00E03864">
        <w:rPr>
          <w:lang w:eastAsia="ja-JP"/>
        </w:rPr>
        <w:t>argument</w:t>
      </w:r>
      <w:r w:rsidR="001E5FFC">
        <w:rPr>
          <w:lang w:eastAsia="ja-JP"/>
        </w:rPr>
        <w:t xml:space="preserve"> that the agent’s </w:t>
      </w:r>
      <w:r w:rsidR="000720B9">
        <w:rPr>
          <w:lang w:eastAsia="ja-JP"/>
        </w:rPr>
        <w:t>“</w:t>
      </w:r>
      <w:r w:rsidR="000720B9" w:rsidRPr="000720B9">
        <w:rPr>
          <w:lang w:eastAsia="ja-JP"/>
        </w:rPr>
        <w:t xml:space="preserve">subsequent </w:t>
      </w:r>
      <w:r w:rsidR="000720B9">
        <w:rPr>
          <w:lang w:eastAsia="ja-JP"/>
        </w:rPr>
        <w:t>‘</w:t>
      </w:r>
      <w:r w:rsidR="000720B9" w:rsidRPr="000720B9">
        <w:rPr>
          <w:lang w:eastAsia="ja-JP"/>
        </w:rPr>
        <w:t>unlawful conduct</w:t>
      </w:r>
      <w:r w:rsidR="000720B9">
        <w:rPr>
          <w:lang w:eastAsia="ja-JP"/>
        </w:rPr>
        <w:t>’</w:t>
      </w:r>
      <w:r w:rsidR="000720B9" w:rsidRPr="000720B9">
        <w:rPr>
          <w:lang w:eastAsia="ja-JP"/>
        </w:rPr>
        <w:t xml:space="preserve"> vitiated the consent and rendered his entry a trespass </w:t>
      </w:r>
      <w:r w:rsidR="000720B9" w:rsidRPr="00E03864">
        <w:rPr>
          <w:i/>
          <w:iCs/>
          <w:lang w:eastAsia="ja-JP"/>
        </w:rPr>
        <w:t>ab initio</w:t>
      </w:r>
      <w:r w:rsidR="001A418C">
        <w:rPr>
          <w:lang w:eastAsia="ja-JP"/>
        </w:rPr>
        <w:t>,</w:t>
      </w:r>
      <w:r w:rsidR="00E03864">
        <w:rPr>
          <w:lang w:eastAsia="ja-JP"/>
        </w:rPr>
        <w:t>”</w:t>
      </w:r>
      <w:r w:rsidR="000720B9" w:rsidRPr="002A4234">
        <w:rPr>
          <w:rStyle w:val="FootnoteReference"/>
        </w:rPr>
        <w:footnoteReference w:id="209"/>
      </w:r>
      <w:r w:rsidR="00E03864">
        <w:rPr>
          <w:lang w:eastAsia="ja-JP"/>
        </w:rPr>
        <w:t xml:space="preserve"> </w:t>
      </w:r>
      <w:r w:rsidR="001A418C">
        <w:rPr>
          <w:lang w:eastAsia="ja-JP"/>
        </w:rPr>
        <w:t>and in doing so</w:t>
      </w:r>
      <w:r w:rsidR="00E03864">
        <w:rPr>
          <w:lang w:eastAsia="ja-JP"/>
        </w:rPr>
        <w:t xml:space="preserve"> </w:t>
      </w:r>
      <w:r w:rsidR="00FE147D">
        <w:rPr>
          <w:lang w:eastAsia="ja-JP"/>
        </w:rPr>
        <w:t>expressed skepticism</w:t>
      </w:r>
      <w:r w:rsidR="00E03864">
        <w:rPr>
          <w:lang w:eastAsia="ja-JP"/>
        </w:rPr>
        <w:t xml:space="preserve"> that </w:t>
      </w:r>
      <w:r w:rsidR="00FE147D">
        <w:rPr>
          <w:lang w:eastAsia="ja-JP"/>
        </w:rPr>
        <w:t>“</w:t>
      </w:r>
      <w:r w:rsidR="00FE147D" w:rsidRPr="00FE147D">
        <w:rPr>
          <w:lang w:eastAsia="ja-JP"/>
        </w:rPr>
        <w:t>the niceties of tort law initiated almost two and a half centuries ago</w:t>
      </w:r>
      <w:r w:rsidR="001526FF">
        <w:rPr>
          <w:lang w:eastAsia="ja-JP"/>
        </w:rPr>
        <w:t> </w:t>
      </w:r>
      <w:r w:rsidR="00FE147D">
        <w:rPr>
          <w:lang w:eastAsia="ja-JP"/>
        </w:rPr>
        <w:t>.</w:t>
      </w:r>
      <w:r w:rsidR="001526FF">
        <w:rPr>
          <w:lang w:eastAsia="ja-JP"/>
        </w:rPr>
        <w:t> </w:t>
      </w:r>
      <w:r w:rsidR="00FE147D">
        <w:rPr>
          <w:lang w:eastAsia="ja-JP"/>
        </w:rPr>
        <w:t>.</w:t>
      </w:r>
      <w:r w:rsidR="001526FF">
        <w:rPr>
          <w:lang w:eastAsia="ja-JP"/>
        </w:rPr>
        <w:t> </w:t>
      </w:r>
      <w:r w:rsidR="00FE147D">
        <w:rPr>
          <w:lang w:eastAsia="ja-JP"/>
        </w:rPr>
        <w:t>.</w:t>
      </w:r>
      <w:r w:rsidR="001526FF">
        <w:rPr>
          <w:lang w:eastAsia="ja-JP"/>
        </w:rPr>
        <w:t> </w:t>
      </w:r>
      <w:r w:rsidR="00FE147D">
        <w:rPr>
          <w:lang w:eastAsia="ja-JP"/>
        </w:rPr>
        <w:t>are of much aid in determining rights under the Fourth Amendment.”</w:t>
      </w:r>
      <w:r w:rsidR="00FE147D" w:rsidRPr="002A4234">
        <w:rPr>
          <w:rStyle w:val="FootnoteReference"/>
        </w:rPr>
        <w:footnoteReference w:id="210"/>
      </w:r>
      <w:r w:rsidR="00FE147D">
        <w:rPr>
          <w:lang w:eastAsia="ja-JP"/>
        </w:rPr>
        <w:t xml:space="preserve"> </w:t>
      </w:r>
      <w:r w:rsidR="00400BCF">
        <w:rPr>
          <w:lang w:eastAsia="ja-JP"/>
        </w:rPr>
        <w:t xml:space="preserve">In </w:t>
      </w:r>
      <w:r w:rsidR="00400BCF">
        <w:rPr>
          <w:i/>
          <w:iCs/>
          <w:lang w:eastAsia="ja-JP"/>
        </w:rPr>
        <w:t>On Lee</w:t>
      </w:r>
      <w:r w:rsidR="00400BCF">
        <w:rPr>
          <w:lang w:eastAsia="ja-JP"/>
        </w:rPr>
        <w:t>, then, the Court seemed to draw on its own</w:t>
      </w:r>
      <w:r w:rsidR="00867F02">
        <w:rPr>
          <w:lang w:eastAsia="ja-JP"/>
        </w:rPr>
        <w:t xml:space="preserve"> </w:t>
      </w:r>
      <w:r w:rsidR="00400BCF">
        <w:rPr>
          <w:lang w:eastAsia="ja-JP"/>
        </w:rPr>
        <w:t xml:space="preserve">sense of </w:t>
      </w:r>
      <w:r w:rsidR="00451B0A">
        <w:rPr>
          <w:lang w:eastAsia="ja-JP"/>
        </w:rPr>
        <w:t xml:space="preserve">what the common law </w:t>
      </w:r>
      <w:r w:rsidR="002E2A62">
        <w:rPr>
          <w:lang w:eastAsia="ja-JP"/>
        </w:rPr>
        <w:t>required in general</w:t>
      </w:r>
      <w:r w:rsidR="00867F02">
        <w:rPr>
          <w:lang w:eastAsia="ja-JP"/>
        </w:rPr>
        <w:t>.</w:t>
      </w:r>
    </w:p>
    <w:p w14:paraId="1761BADA" w14:textId="5368781B" w:rsidR="00A86A01" w:rsidRDefault="00F00757" w:rsidP="0059279D">
      <w:pPr>
        <w:pStyle w:val="BodyText"/>
        <w:rPr>
          <w:lang w:eastAsia="ja-JP"/>
        </w:rPr>
      </w:pPr>
      <w:r w:rsidRPr="00FE147D">
        <w:rPr>
          <w:lang w:eastAsia="ja-JP"/>
        </w:rPr>
        <w:t xml:space="preserve">Perhaps most surprising, however, is </w:t>
      </w:r>
      <w:r w:rsidR="00FC0A1B">
        <w:rPr>
          <w:lang w:eastAsia="ja-JP"/>
        </w:rPr>
        <w:t>what</w:t>
      </w:r>
      <w:r w:rsidR="006C3C58">
        <w:rPr>
          <w:lang w:eastAsia="ja-JP"/>
        </w:rPr>
        <w:t xml:space="preserve"> the</w:t>
      </w:r>
      <w:r w:rsidRPr="00FE147D">
        <w:rPr>
          <w:lang w:eastAsia="ja-JP"/>
        </w:rPr>
        <w:t xml:space="preserve"> general-law approach</w:t>
      </w:r>
      <w:r w:rsidR="00D43B7E">
        <w:rPr>
          <w:lang w:eastAsia="ja-JP"/>
        </w:rPr>
        <w:t xml:space="preserve"> </w:t>
      </w:r>
      <w:r w:rsidR="00FC0A1B">
        <w:rPr>
          <w:lang w:eastAsia="ja-JP"/>
        </w:rPr>
        <w:t xml:space="preserve">says </w:t>
      </w:r>
      <w:r w:rsidR="003E5540">
        <w:rPr>
          <w:lang w:eastAsia="ja-JP"/>
        </w:rPr>
        <w:t>about</w:t>
      </w:r>
      <w:r w:rsidR="006C3C58">
        <w:rPr>
          <w:lang w:eastAsia="ja-JP"/>
        </w:rPr>
        <w:t xml:space="preserve"> </w:t>
      </w:r>
      <w:r w:rsidR="003E5540" w:rsidRPr="00FE147D">
        <w:rPr>
          <w:lang w:eastAsia="ja-JP"/>
        </w:rPr>
        <w:t xml:space="preserve">the Court’s </w:t>
      </w:r>
      <w:r w:rsidR="003E5540" w:rsidRPr="00FE147D">
        <w:rPr>
          <w:i/>
          <w:iCs/>
          <w:lang w:eastAsia="ja-JP"/>
        </w:rPr>
        <w:t xml:space="preserve">Katz </w:t>
      </w:r>
      <w:r w:rsidR="003E5540" w:rsidRPr="00FE147D">
        <w:rPr>
          <w:lang w:eastAsia="ja-JP"/>
        </w:rPr>
        <w:t>jurisprudence.</w:t>
      </w:r>
      <w:r w:rsidR="003E5540">
        <w:rPr>
          <w:lang w:eastAsia="ja-JP"/>
        </w:rPr>
        <w:t xml:space="preserve"> </w:t>
      </w:r>
      <w:r w:rsidR="00D43B7E">
        <w:rPr>
          <w:lang w:eastAsia="ja-JP"/>
        </w:rPr>
        <w:t xml:space="preserve">At first glance, the theory might seem to </w:t>
      </w:r>
      <w:r w:rsidR="003E5540">
        <w:rPr>
          <w:lang w:eastAsia="ja-JP"/>
        </w:rPr>
        <w:t>call for reconsidering the last half century of Fourth Amendment</w:t>
      </w:r>
      <w:r w:rsidR="0059279D">
        <w:rPr>
          <w:lang w:eastAsia="ja-JP"/>
        </w:rPr>
        <w:t xml:space="preserve"> </w:t>
      </w:r>
      <w:r w:rsidR="00C75F01">
        <w:rPr>
          <w:lang w:eastAsia="ja-JP"/>
        </w:rPr>
        <w:t>caselaw</w:t>
      </w:r>
      <w:r w:rsidR="0059279D">
        <w:rPr>
          <w:lang w:eastAsia="ja-JP"/>
        </w:rPr>
        <w:t xml:space="preserve">. But the general-law approach can </w:t>
      </w:r>
      <w:r w:rsidR="00555C3E">
        <w:rPr>
          <w:lang w:eastAsia="ja-JP"/>
        </w:rPr>
        <w:t>actually</w:t>
      </w:r>
      <w:r w:rsidR="0059279D">
        <w:rPr>
          <w:lang w:eastAsia="ja-JP"/>
        </w:rPr>
        <w:t xml:space="preserve"> be reconciled with</w:t>
      </w:r>
      <w:r w:rsidR="00D43B7E" w:rsidRPr="00FE147D">
        <w:rPr>
          <w:lang w:eastAsia="ja-JP"/>
        </w:rPr>
        <w:t xml:space="preserve"> </w:t>
      </w:r>
      <w:r w:rsidR="00D43B7E">
        <w:rPr>
          <w:lang w:eastAsia="ja-JP"/>
        </w:rPr>
        <w:t>much</w:t>
      </w:r>
      <w:r w:rsidR="002B46BD">
        <w:rPr>
          <w:lang w:eastAsia="ja-JP"/>
        </w:rPr>
        <w:t xml:space="preserve"> (though not all)</w:t>
      </w:r>
      <w:r w:rsidR="00D43B7E" w:rsidRPr="00FE147D">
        <w:rPr>
          <w:lang w:eastAsia="ja-JP"/>
        </w:rPr>
        <w:t xml:space="preserve"> of </w:t>
      </w:r>
      <w:bookmarkStart w:id="53" w:name="_Hlk96000422"/>
      <w:r w:rsidR="00D43B7E" w:rsidRPr="00FE147D">
        <w:rPr>
          <w:lang w:eastAsia="ja-JP"/>
        </w:rPr>
        <w:t xml:space="preserve">the Court’s </w:t>
      </w:r>
      <w:r w:rsidR="00D43B7E" w:rsidRPr="00FE147D">
        <w:rPr>
          <w:i/>
          <w:iCs/>
          <w:lang w:eastAsia="ja-JP"/>
        </w:rPr>
        <w:t xml:space="preserve">Katz </w:t>
      </w:r>
      <w:r w:rsidR="00D43B7E" w:rsidRPr="00FE147D">
        <w:rPr>
          <w:lang w:eastAsia="ja-JP"/>
        </w:rPr>
        <w:t>jurisprudence</w:t>
      </w:r>
      <w:bookmarkEnd w:id="53"/>
      <w:r w:rsidR="00AD1C8B">
        <w:rPr>
          <w:lang w:eastAsia="ja-JP"/>
        </w:rPr>
        <w:t>.</w:t>
      </w:r>
      <w:r w:rsidR="00902BE0">
        <w:rPr>
          <w:lang w:eastAsia="ja-JP"/>
        </w:rPr>
        <w:t xml:space="preserve"> </w:t>
      </w:r>
      <w:r w:rsidR="00A86A01">
        <w:rPr>
          <w:lang w:eastAsia="ja-JP"/>
        </w:rPr>
        <w:t xml:space="preserve">This is </w:t>
      </w:r>
      <w:r w:rsidR="00902BE0">
        <w:rPr>
          <w:lang w:eastAsia="ja-JP"/>
        </w:rPr>
        <w:t>so</w:t>
      </w:r>
      <w:r w:rsidR="00A86A01">
        <w:rPr>
          <w:lang w:eastAsia="ja-JP"/>
        </w:rPr>
        <w:t xml:space="preserve"> for two reasons.</w:t>
      </w:r>
    </w:p>
    <w:p w14:paraId="3F4A403A" w14:textId="41D1FB9F" w:rsidR="00C4298E" w:rsidRPr="007D0FFA" w:rsidRDefault="00A86A01" w:rsidP="007D0FFA">
      <w:pPr>
        <w:pStyle w:val="BodyText"/>
        <w:rPr>
          <w:i/>
          <w:iCs/>
          <w:lang w:eastAsia="ja-JP"/>
        </w:rPr>
      </w:pPr>
      <w:r>
        <w:rPr>
          <w:lang w:eastAsia="ja-JP"/>
        </w:rPr>
        <w:t xml:space="preserve">First, </w:t>
      </w:r>
      <w:r w:rsidR="0092744D">
        <w:rPr>
          <w:lang w:eastAsia="ja-JP"/>
        </w:rPr>
        <w:t>t</w:t>
      </w:r>
      <w:r w:rsidR="00E51A1A">
        <w:rPr>
          <w:lang w:eastAsia="ja-JP"/>
        </w:rPr>
        <w:t>he</w:t>
      </w:r>
      <w:r w:rsidR="0059279D">
        <w:rPr>
          <w:lang w:eastAsia="ja-JP"/>
        </w:rPr>
        <w:t xml:space="preserve"> questions that courts ask under</w:t>
      </w:r>
      <w:r w:rsidR="00E51A1A">
        <w:rPr>
          <w:lang w:eastAsia="ja-JP"/>
        </w:rPr>
        <w:t xml:space="preserve"> </w:t>
      </w:r>
      <w:r w:rsidR="00E51A1A">
        <w:rPr>
          <w:i/>
          <w:iCs/>
          <w:lang w:eastAsia="ja-JP"/>
        </w:rPr>
        <w:t>Katz</w:t>
      </w:r>
      <w:r w:rsidR="00E51A1A">
        <w:rPr>
          <w:lang w:eastAsia="ja-JP"/>
        </w:rPr>
        <w:t xml:space="preserve"> </w:t>
      </w:r>
      <w:r w:rsidR="0092744D">
        <w:rPr>
          <w:lang w:eastAsia="ja-JP"/>
        </w:rPr>
        <w:t xml:space="preserve">often </w:t>
      </w:r>
      <w:r w:rsidR="005C5DD5">
        <w:rPr>
          <w:lang w:eastAsia="ja-JP"/>
        </w:rPr>
        <w:t xml:space="preserve">end up looking </w:t>
      </w:r>
      <w:r w:rsidR="0059279D">
        <w:rPr>
          <w:lang w:eastAsia="ja-JP"/>
        </w:rPr>
        <w:t xml:space="preserve">similar to those </w:t>
      </w:r>
      <w:r w:rsidR="005C5DD5">
        <w:rPr>
          <w:lang w:eastAsia="ja-JP"/>
        </w:rPr>
        <w:t>that the general-law approach calls for</w:t>
      </w:r>
      <w:r w:rsidR="00E55616">
        <w:rPr>
          <w:lang w:eastAsia="ja-JP"/>
        </w:rPr>
        <w:t xml:space="preserve"> (even if it asks those questions under a different </w:t>
      </w:r>
      <w:r w:rsidR="00B90EA0">
        <w:rPr>
          <w:lang w:eastAsia="ja-JP"/>
        </w:rPr>
        <w:t xml:space="preserve">conceptual </w:t>
      </w:r>
      <w:r w:rsidR="00E55616">
        <w:rPr>
          <w:lang w:eastAsia="ja-JP"/>
        </w:rPr>
        <w:t>stage of the an</w:t>
      </w:r>
      <w:r w:rsidR="00AD1C8B">
        <w:rPr>
          <w:lang w:eastAsia="ja-JP"/>
        </w:rPr>
        <w:t>al</w:t>
      </w:r>
      <w:r w:rsidR="00E55616">
        <w:rPr>
          <w:lang w:eastAsia="ja-JP"/>
        </w:rPr>
        <w:t>ysis</w:t>
      </w:r>
      <w:r w:rsidR="00EB4B13">
        <w:rPr>
          <w:lang w:eastAsia="ja-JP"/>
        </w:rPr>
        <w:t>)</w:t>
      </w:r>
      <w:r w:rsidR="005C5DD5">
        <w:rPr>
          <w:lang w:eastAsia="ja-JP"/>
        </w:rPr>
        <w:t>.</w:t>
      </w:r>
      <w:r w:rsidR="00E55616" w:rsidRPr="002A4234">
        <w:rPr>
          <w:rStyle w:val="FootnoteReference"/>
        </w:rPr>
        <w:footnoteReference w:id="211"/>
      </w:r>
      <w:r w:rsidR="005C5DD5">
        <w:rPr>
          <w:lang w:eastAsia="ja-JP"/>
        </w:rPr>
        <w:t xml:space="preserve"> Consider Justice Kagan’s concurrence in </w:t>
      </w:r>
      <w:r w:rsidR="005C5DD5">
        <w:rPr>
          <w:i/>
          <w:iCs/>
          <w:lang w:eastAsia="ja-JP"/>
        </w:rPr>
        <w:t>Jardines</w:t>
      </w:r>
      <w:r w:rsidR="005C5DD5">
        <w:rPr>
          <w:lang w:eastAsia="ja-JP"/>
        </w:rPr>
        <w:t xml:space="preserve">. Although she joined the majority opinion and its </w:t>
      </w:r>
      <w:r w:rsidR="00AA196C">
        <w:rPr>
          <w:lang w:eastAsia="ja-JP"/>
        </w:rPr>
        <w:t xml:space="preserve">property-based analysis, she wrote separately to stress that </w:t>
      </w:r>
      <w:r w:rsidR="00C97E5C">
        <w:rPr>
          <w:lang w:eastAsia="ja-JP"/>
        </w:rPr>
        <w:t xml:space="preserve">she </w:t>
      </w:r>
      <w:r w:rsidR="005B39C9">
        <w:rPr>
          <w:lang w:eastAsia="ja-JP"/>
        </w:rPr>
        <w:t>“</w:t>
      </w:r>
      <w:r w:rsidR="005B39C9" w:rsidRPr="005B39C9">
        <w:rPr>
          <w:lang w:eastAsia="ja-JP"/>
        </w:rPr>
        <w:t>could just as happily have decided it by looking to Jardines</w:t>
      </w:r>
      <w:r w:rsidR="005B39C9">
        <w:rPr>
          <w:lang w:eastAsia="ja-JP"/>
        </w:rPr>
        <w:t>’</w:t>
      </w:r>
      <w:r w:rsidR="005B39C9" w:rsidRPr="005B39C9">
        <w:rPr>
          <w:lang w:eastAsia="ja-JP"/>
        </w:rPr>
        <w:t xml:space="preserve"> privacy interests.</w:t>
      </w:r>
      <w:r w:rsidR="005B39C9">
        <w:rPr>
          <w:lang w:eastAsia="ja-JP"/>
        </w:rPr>
        <w:t>”</w:t>
      </w:r>
      <w:r w:rsidR="005B39C9" w:rsidRPr="002A4234">
        <w:rPr>
          <w:rStyle w:val="FootnoteReference"/>
        </w:rPr>
        <w:footnoteReference w:id="212"/>
      </w:r>
      <w:r w:rsidR="006510C8">
        <w:rPr>
          <w:lang w:eastAsia="ja-JP"/>
        </w:rPr>
        <w:t xml:space="preserve"> </w:t>
      </w:r>
      <w:r w:rsidR="00772312">
        <w:rPr>
          <w:lang w:eastAsia="ja-JP"/>
        </w:rPr>
        <w:t xml:space="preserve">Property and privacy considerations often converge, </w:t>
      </w:r>
      <w:r w:rsidR="00FD7716">
        <w:rPr>
          <w:lang w:eastAsia="ja-JP"/>
        </w:rPr>
        <w:t xml:space="preserve">she noted, because </w:t>
      </w:r>
      <w:r w:rsidR="00D2785B">
        <w:rPr>
          <w:lang w:eastAsia="ja-JP"/>
        </w:rPr>
        <w:t>property</w:t>
      </w:r>
      <w:r w:rsidR="00410CB1">
        <w:rPr>
          <w:lang w:eastAsia="ja-JP"/>
        </w:rPr>
        <w:t>-</w:t>
      </w:r>
      <w:r w:rsidR="00D2785B">
        <w:rPr>
          <w:lang w:eastAsia="ja-JP"/>
        </w:rPr>
        <w:t xml:space="preserve">law entitlements can </w:t>
      </w:r>
      <w:r w:rsidR="00D2785B">
        <w:rPr>
          <w:i/>
          <w:iCs/>
          <w:lang w:eastAsia="ja-JP"/>
        </w:rPr>
        <w:t>influence</w:t>
      </w:r>
      <w:r w:rsidR="00D2785B">
        <w:rPr>
          <w:lang w:eastAsia="ja-JP"/>
        </w:rPr>
        <w:t xml:space="preserve"> the societal expectations t</w:t>
      </w:r>
      <w:r w:rsidR="00EF4AEB">
        <w:rPr>
          <w:lang w:eastAsia="ja-JP"/>
        </w:rPr>
        <w:t xml:space="preserve">o which </w:t>
      </w:r>
      <w:r w:rsidR="00EF4AEB">
        <w:rPr>
          <w:i/>
          <w:iCs/>
          <w:lang w:eastAsia="ja-JP"/>
        </w:rPr>
        <w:t>Katz</w:t>
      </w:r>
      <w:r w:rsidR="00EF4AEB">
        <w:rPr>
          <w:lang w:eastAsia="ja-JP"/>
        </w:rPr>
        <w:t xml:space="preserve"> looks.</w:t>
      </w:r>
      <w:r w:rsidR="00772312" w:rsidRPr="002A4234">
        <w:rPr>
          <w:rStyle w:val="FootnoteReference"/>
        </w:rPr>
        <w:footnoteReference w:id="213"/>
      </w:r>
      <w:r w:rsidR="00C926E9">
        <w:rPr>
          <w:lang w:eastAsia="ja-JP"/>
        </w:rPr>
        <w:t xml:space="preserve"> </w:t>
      </w:r>
      <w:r w:rsidR="00C43ADE">
        <w:rPr>
          <w:lang w:eastAsia="ja-JP"/>
        </w:rPr>
        <w:t>And</w:t>
      </w:r>
      <w:r w:rsidR="00E04055">
        <w:rPr>
          <w:lang w:eastAsia="ja-JP"/>
        </w:rPr>
        <w:t>,</w:t>
      </w:r>
      <w:r w:rsidR="00C43ADE">
        <w:rPr>
          <w:lang w:eastAsia="ja-JP"/>
        </w:rPr>
        <w:t xml:space="preserve"> as we shall discuss, there is a great deal of such convergence when </w:t>
      </w:r>
      <w:r w:rsidR="0035441A">
        <w:rPr>
          <w:lang w:eastAsia="ja-JP"/>
        </w:rPr>
        <w:t xml:space="preserve">one </w:t>
      </w:r>
      <w:r w:rsidR="00C43ADE">
        <w:rPr>
          <w:lang w:eastAsia="ja-JP"/>
        </w:rPr>
        <w:t>begins to apply the general-</w:t>
      </w:r>
      <w:r w:rsidR="00C43ADE">
        <w:rPr>
          <w:lang w:eastAsia="ja-JP"/>
        </w:rPr>
        <w:lastRenderedPageBreak/>
        <w:t>law approach to familiar fact patterns.</w:t>
      </w:r>
      <w:r w:rsidR="00C43ADE" w:rsidRPr="002A4234">
        <w:rPr>
          <w:rStyle w:val="FootnoteReference"/>
        </w:rPr>
        <w:footnoteReference w:id="214"/>
      </w:r>
      <w:r w:rsidR="00103DF1">
        <w:rPr>
          <w:lang w:eastAsia="ja-JP"/>
        </w:rPr>
        <w:t xml:space="preserve"> Orin Kerr has lambasted Justice Gorsuch’s gestures towards a positive-law approach as simply </w:t>
      </w:r>
      <w:r w:rsidR="00103DF1">
        <w:rPr>
          <w:i/>
          <w:iCs/>
          <w:lang w:eastAsia="ja-JP"/>
        </w:rPr>
        <w:t>Katz</w:t>
      </w:r>
      <w:r w:rsidR="00103DF1">
        <w:rPr>
          <w:lang w:eastAsia="ja-JP"/>
        </w:rPr>
        <w:t xml:space="preserve"> reborn because many of the answers that </w:t>
      </w:r>
      <w:r w:rsidR="007D0FFA">
        <w:rPr>
          <w:lang w:eastAsia="ja-JP"/>
        </w:rPr>
        <w:t>property law provide</w:t>
      </w:r>
      <w:r w:rsidR="00103DF1">
        <w:rPr>
          <w:lang w:eastAsia="ja-JP"/>
        </w:rPr>
        <w:t xml:space="preserve"> seem to line up with </w:t>
      </w:r>
      <w:r w:rsidR="00103DF1">
        <w:rPr>
          <w:i/>
          <w:iCs/>
          <w:lang w:eastAsia="ja-JP"/>
        </w:rPr>
        <w:t>Katz</w:t>
      </w:r>
      <w:r w:rsidR="00103DF1">
        <w:rPr>
          <w:lang w:eastAsia="ja-JP"/>
        </w:rPr>
        <w:t xml:space="preserve"> jurisprudence.</w:t>
      </w:r>
      <w:r w:rsidR="00103DF1" w:rsidRPr="002A4234">
        <w:rPr>
          <w:rStyle w:val="FootnoteReference"/>
        </w:rPr>
        <w:footnoteReference w:id="215"/>
      </w:r>
      <w:r w:rsidR="00103DF1">
        <w:rPr>
          <w:lang w:eastAsia="ja-JP"/>
        </w:rPr>
        <w:t xml:space="preserve"> But </w:t>
      </w:r>
      <w:r w:rsidR="007D0FFA">
        <w:rPr>
          <w:lang w:eastAsia="ja-JP"/>
        </w:rPr>
        <w:t>that the two approaches may reach similar results directly follows from the questions each approach asks</w:t>
      </w:r>
      <w:r w:rsidR="00091D25">
        <w:rPr>
          <w:lang w:eastAsia="ja-JP"/>
        </w:rPr>
        <w:t>. T</w:t>
      </w:r>
      <w:r w:rsidR="007D0FFA">
        <w:rPr>
          <w:lang w:eastAsia="ja-JP"/>
        </w:rPr>
        <w:t>hat consistency is a virtue, not a vice, of the general-law approach.</w:t>
      </w:r>
    </w:p>
    <w:p w14:paraId="5DB60B95" w14:textId="4EB13A97" w:rsidR="00A705B5" w:rsidRDefault="002C5F15" w:rsidP="00BD2108">
      <w:pPr>
        <w:pStyle w:val="BodyText"/>
        <w:rPr>
          <w:lang w:eastAsia="ja-JP"/>
        </w:rPr>
      </w:pPr>
      <w:r>
        <w:rPr>
          <w:lang w:eastAsia="ja-JP"/>
        </w:rPr>
        <w:t xml:space="preserve">The second reason that the general-law approach </w:t>
      </w:r>
      <w:r w:rsidR="00304AD9">
        <w:rPr>
          <w:lang w:eastAsia="ja-JP"/>
        </w:rPr>
        <w:t xml:space="preserve">can be reconciled with </w:t>
      </w:r>
      <w:r w:rsidR="0035441A">
        <w:rPr>
          <w:lang w:eastAsia="ja-JP"/>
        </w:rPr>
        <w:t xml:space="preserve">much </w:t>
      </w:r>
      <w:r w:rsidR="00304AD9">
        <w:rPr>
          <w:lang w:eastAsia="ja-JP"/>
        </w:rPr>
        <w:t xml:space="preserve">of </w:t>
      </w:r>
      <w:r w:rsidR="00304AD9">
        <w:rPr>
          <w:i/>
          <w:iCs/>
          <w:lang w:eastAsia="ja-JP"/>
        </w:rPr>
        <w:t>Katz</w:t>
      </w:r>
      <w:r w:rsidR="00304AD9">
        <w:rPr>
          <w:lang w:eastAsia="ja-JP"/>
        </w:rPr>
        <w:t xml:space="preserve"> jurisprudence is that the </w:t>
      </w:r>
      <w:r w:rsidR="002D7886">
        <w:rPr>
          <w:lang w:eastAsia="ja-JP"/>
        </w:rPr>
        <w:t xml:space="preserve">general law provides tools </w:t>
      </w:r>
      <w:r w:rsidR="006A228A">
        <w:rPr>
          <w:lang w:eastAsia="ja-JP"/>
        </w:rPr>
        <w:t>that</w:t>
      </w:r>
      <w:r w:rsidR="002D7886">
        <w:rPr>
          <w:lang w:eastAsia="ja-JP"/>
        </w:rPr>
        <w:t xml:space="preserve"> </w:t>
      </w:r>
      <w:r w:rsidR="006A228A">
        <w:rPr>
          <w:lang w:eastAsia="ja-JP"/>
        </w:rPr>
        <w:t xml:space="preserve">can </w:t>
      </w:r>
      <w:r w:rsidR="002D3A51">
        <w:rPr>
          <w:lang w:eastAsia="ja-JP"/>
        </w:rPr>
        <w:t>explicitly</w:t>
      </w:r>
      <w:r w:rsidR="006A228A">
        <w:rPr>
          <w:lang w:eastAsia="ja-JP"/>
        </w:rPr>
        <w:t xml:space="preserve"> </w:t>
      </w:r>
      <w:r w:rsidR="002D7886">
        <w:rPr>
          <w:lang w:eastAsia="ja-JP"/>
        </w:rPr>
        <w:t>ask questions about privacy</w:t>
      </w:r>
      <w:r w:rsidR="006A228A">
        <w:rPr>
          <w:lang w:eastAsia="ja-JP"/>
        </w:rPr>
        <w:t xml:space="preserve">. </w:t>
      </w:r>
      <w:r w:rsidR="002D3A51">
        <w:rPr>
          <w:lang w:eastAsia="ja-JP"/>
        </w:rPr>
        <w:t xml:space="preserve">As we discuss below, </w:t>
      </w:r>
      <w:r w:rsidR="001E0231">
        <w:rPr>
          <w:lang w:eastAsia="ja-JP"/>
        </w:rPr>
        <w:t>t</w:t>
      </w:r>
      <w:r w:rsidR="006A228A">
        <w:rPr>
          <w:lang w:eastAsia="ja-JP"/>
        </w:rPr>
        <w:t xml:space="preserve">he evolving common law recognized </w:t>
      </w:r>
      <w:r w:rsidR="00CE79DB">
        <w:rPr>
          <w:lang w:eastAsia="ja-JP"/>
        </w:rPr>
        <w:t xml:space="preserve">privacy protections </w:t>
      </w:r>
      <w:r w:rsidR="00FF3BB8">
        <w:rPr>
          <w:lang w:eastAsia="ja-JP"/>
        </w:rPr>
        <w:t>more than a century ago—and the general</w:t>
      </w:r>
      <w:r w:rsidR="00D1338F">
        <w:rPr>
          <w:lang w:eastAsia="ja-JP"/>
        </w:rPr>
        <w:t>-</w:t>
      </w:r>
      <w:r w:rsidR="00FF3BB8">
        <w:rPr>
          <w:lang w:eastAsia="ja-JP"/>
        </w:rPr>
        <w:t xml:space="preserve">law approach </w:t>
      </w:r>
      <w:r w:rsidR="00B3042E">
        <w:rPr>
          <w:lang w:eastAsia="ja-JP"/>
        </w:rPr>
        <w:t xml:space="preserve">is prepared to </w:t>
      </w:r>
      <w:r w:rsidR="009775D2">
        <w:rPr>
          <w:lang w:eastAsia="ja-JP"/>
        </w:rPr>
        <w:t xml:space="preserve">draw on that </w:t>
      </w:r>
      <w:r w:rsidR="00B6325D">
        <w:rPr>
          <w:lang w:eastAsia="ja-JP"/>
        </w:rPr>
        <w:t xml:space="preserve">rich source of protections in </w:t>
      </w:r>
      <w:r w:rsidR="00167717">
        <w:rPr>
          <w:lang w:eastAsia="ja-JP"/>
        </w:rPr>
        <w:t xml:space="preserve">applying the Fourth Amendment to fact patterns that the Founders could </w:t>
      </w:r>
      <w:r w:rsidR="003C0BE6">
        <w:rPr>
          <w:lang w:eastAsia="ja-JP"/>
        </w:rPr>
        <w:t xml:space="preserve">not </w:t>
      </w:r>
      <w:r w:rsidR="00167717">
        <w:rPr>
          <w:lang w:eastAsia="ja-JP"/>
        </w:rPr>
        <w:t>have envisioned.</w:t>
      </w:r>
      <w:r w:rsidR="00167717" w:rsidRPr="002A4234">
        <w:rPr>
          <w:rStyle w:val="FootnoteReference"/>
        </w:rPr>
        <w:footnoteReference w:id="216"/>
      </w:r>
      <w:r w:rsidR="00D001FC">
        <w:rPr>
          <w:lang w:eastAsia="ja-JP"/>
        </w:rPr>
        <w:t xml:space="preserve"> </w:t>
      </w:r>
      <w:r w:rsidR="00FA1F21">
        <w:rPr>
          <w:lang w:eastAsia="ja-JP"/>
        </w:rPr>
        <w:t xml:space="preserve">Indeed, the </w:t>
      </w:r>
      <w:r w:rsidR="00FA1F21">
        <w:rPr>
          <w:i/>
          <w:iCs/>
          <w:lang w:eastAsia="ja-JP"/>
        </w:rPr>
        <w:t>Katz</w:t>
      </w:r>
      <w:r w:rsidR="00FA1F21">
        <w:rPr>
          <w:lang w:eastAsia="ja-JP"/>
        </w:rPr>
        <w:t xml:space="preserve"> test</w:t>
      </w:r>
      <w:r w:rsidR="00E46B75">
        <w:rPr>
          <w:lang w:eastAsia="ja-JP"/>
        </w:rPr>
        <w:t xml:space="preserve"> has</w:t>
      </w:r>
      <w:r w:rsidR="00270988">
        <w:rPr>
          <w:lang w:eastAsia="ja-JP"/>
        </w:rPr>
        <w:t xml:space="preserve"> roots </w:t>
      </w:r>
      <w:r w:rsidR="00A65AF6">
        <w:rPr>
          <w:lang w:eastAsia="ja-JP"/>
        </w:rPr>
        <w:t>in</w:t>
      </w:r>
      <w:r w:rsidR="00FA1F21">
        <w:rPr>
          <w:lang w:eastAsia="ja-JP"/>
        </w:rPr>
        <w:t xml:space="preserve"> that common-law background. </w:t>
      </w:r>
      <w:r w:rsidR="00B53939">
        <w:rPr>
          <w:i/>
          <w:iCs/>
          <w:lang w:eastAsia="ja-JP"/>
        </w:rPr>
        <w:t xml:space="preserve">Katz </w:t>
      </w:r>
      <w:r w:rsidR="00B53939">
        <w:rPr>
          <w:lang w:eastAsia="ja-JP"/>
        </w:rPr>
        <w:t xml:space="preserve">eventually repudiated </w:t>
      </w:r>
      <w:r w:rsidR="00B53939">
        <w:rPr>
          <w:i/>
          <w:iCs/>
          <w:lang w:eastAsia="ja-JP"/>
        </w:rPr>
        <w:t>Olmstead</w:t>
      </w:r>
      <w:r w:rsidR="00B53939">
        <w:rPr>
          <w:lang w:eastAsia="ja-JP"/>
        </w:rPr>
        <w:t>; i</w:t>
      </w:r>
      <w:r w:rsidR="001F5EFE">
        <w:rPr>
          <w:lang w:eastAsia="ja-JP"/>
        </w:rPr>
        <w:t>n</w:t>
      </w:r>
      <w:r w:rsidR="00E417EE">
        <w:rPr>
          <w:lang w:eastAsia="ja-JP"/>
        </w:rPr>
        <w:t xml:space="preserve"> Justice Brandeis’s influential dissent in </w:t>
      </w:r>
      <w:r w:rsidR="00E417EE">
        <w:rPr>
          <w:i/>
          <w:iCs/>
          <w:lang w:eastAsia="ja-JP"/>
        </w:rPr>
        <w:t>Olmstead</w:t>
      </w:r>
      <w:r w:rsidR="00B53939">
        <w:rPr>
          <w:lang w:eastAsia="ja-JP"/>
        </w:rPr>
        <w:t>,</w:t>
      </w:r>
      <w:r w:rsidR="00742F40">
        <w:rPr>
          <w:lang w:eastAsia="ja-JP"/>
        </w:rPr>
        <w:t xml:space="preserve"> he argued that </w:t>
      </w:r>
      <w:r w:rsidR="00DF0AB5">
        <w:rPr>
          <w:lang w:eastAsia="ja-JP"/>
        </w:rPr>
        <w:t>“</w:t>
      </w:r>
      <w:r w:rsidR="00DF0AB5" w:rsidRPr="00DF0AB5">
        <w:rPr>
          <w:lang w:eastAsia="ja-JP"/>
        </w:rPr>
        <w:t>every unjustifiable intrusion by the Government upon the privacy of the individual, whatever the means employed, must be deemed a violation of the Fourth Amendment.</w:t>
      </w:r>
      <w:r w:rsidR="00DF0AB5">
        <w:rPr>
          <w:lang w:eastAsia="ja-JP"/>
        </w:rPr>
        <w:t>”</w:t>
      </w:r>
      <w:r w:rsidR="00DF0AB5" w:rsidRPr="002A4234">
        <w:rPr>
          <w:rStyle w:val="FootnoteReference"/>
        </w:rPr>
        <w:footnoteReference w:id="217"/>
      </w:r>
      <w:r w:rsidR="00557FC0">
        <w:rPr>
          <w:lang w:eastAsia="ja-JP"/>
        </w:rPr>
        <w:t xml:space="preserve"> Nearly four decades before penning that dissent, Brandeis </w:t>
      </w:r>
      <w:r w:rsidR="00764D6C">
        <w:rPr>
          <w:lang w:eastAsia="ja-JP"/>
        </w:rPr>
        <w:t xml:space="preserve">and Samuel </w:t>
      </w:r>
      <w:r w:rsidR="00936BA6">
        <w:rPr>
          <w:lang w:eastAsia="ja-JP"/>
        </w:rPr>
        <w:t xml:space="preserve">D. </w:t>
      </w:r>
      <w:r w:rsidR="00764D6C">
        <w:rPr>
          <w:lang w:eastAsia="ja-JP"/>
        </w:rPr>
        <w:t>Warren published</w:t>
      </w:r>
      <w:r w:rsidR="009E06F1">
        <w:rPr>
          <w:lang w:eastAsia="ja-JP"/>
        </w:rPr>
        <w:t xml:space="preserve"> their famous</w:t>
      </w:r>
      <w:r w:rsidR="00764D6C">
        <w:rPr>
          <w:lang w:eastAsia="ja-JP"/>
        </w:rPr>
        <w:t xml:space="preserve"> </w:t>
      </w:r>
      <w:r w:rsidR="00AB76F4">
        <w:rPr>
          <w:i/>
          <w:iCs/>
          <w:lang w:eastAsia="ja-JP"/>
        </w:rPr>
        <w:t>The Right to Privacy</w:t>
      </w:r>
      <w:r w:rsidR="00270988">
        <w:rPr>
          <w:lang w:eastAsia="ja-JP"/>
        </w:rPr>
        <w:t>,</w:t>
      </w:r>
      <w:r w:rsidR="009E06F1">
        <w:rPr>
          <w:lang w:eastAsia="ja-JP"/>
        </w:rPr>
        <w:t xml:space="preserve"> </w:t>
      </w:r>
      <w:r w:rsidR="00E04055">
        <w:rPr>
          <w:lang w:eastAsia="ja-JP"/>
        </w:rPr>
        <w:t xml:space="preserve">in which they </w:t>
      </w:r>
      <w:r w:rsidR="009E06F1">
        <w:rPr>
          <w:lang w:eastAsia="ja-JP"/>
        </w:rPr>
        <w:t>argu</w:t>
      </w:r>
      <w:r w:rsidR="00E04055">
        <w:rPr>
          <w:lang w:eastAsia="ja-JP"/>
        </w:rPr>
        <w:t>ed</w:t>
      </w:r>
      <w:r w:rsidR="009E06F1">
        <w:rPr>
          <w:lang w:eastAsia="ja-JP"/>
        </w:rPr>
        <w:t xml:space="preserve"> </w:t>
      </w:r>
      <w:r w:rsidR="00450019">
        <w:rPr>
          <w:lang w:eastAsia="ja-JP"/>
        </w:rPr>
        <w:t xml:space="preserve">that the common law </w:t>
      </w:r>
      <w:r w:rsidR="001D2490">
        <w:rPr>
          <w:lang w:eastAsia="ja-JP"/>
        </w:rPr>
        <w:t>protect</w:t>
      </w:r>
      <w:r w:rsidR="00E04055">
        <w:rPr>
          <w:lang w:eastAsia="ja-JP"/>
        </w:rPr>
        <w:t>s</w:t>
      </w:r>
      <w:r w:rsidR="001D2490">
        <w:rPr>
          <w:lang w:eastAsia="ja-JP"/>
        </w:rPr>
        <w:t xml:space="preserve"> privacy interests.</w:t>
      </w:r>
      <w:bookmarkStart w:id="54" w:name="_Ref114657602"/>
      <w:r w:rsidR="00E04055">
        <w:rPr>
          <w:rStyle w:val="FootnoteReference"/>
          <w:lang w:eastAsia="ja-JP"/>
        </w:rPr>
        <w:footnoteReference w:id="218"/>
      </w:r>
      <w:bookmarkEnd w:id="54"/>
      <w:r w:rsidR="001D2490">
        <w:rPr>
          <w:lang w:eastAsia="ja-JP"/>
        </w:rPr>
        <w:t xml:space="preserve"> Although </w:t>
      </w:r>
      <w:r w:rsidR="001D2490">
        <w:rPr>
          <w:i/>
          <w:iCs/>
          <w:lang w:eastAsia="ja-JP"/>
        </w:rPr>
        <w:t>Katz</w:t>
      </w:r>
      <w:r w:rsidR="001D2490">
        <w:rPr>
          <w:lang w:eastAsia="ja-JP"/>
        </w:rPr>
        <w:t xml:space="preserve"> denied that the Fourth Amendment </w:t>
      </w:r>
      <w:r w:rsidR="00212C11">
        <w:rPr>
          <w:lang w:eastAsia="ja-JP"/>
        </w:rPr>
        <w:t xml:space="preserve">created a </w:t>
      </w:r>
      <w:r w:rsidR="007C1079">
        <w:rPr>
          <w:lang w:eastAsia="ja-JP"/>
        </w:rPr>
        <w:t>“general constitutional ‘right to privacy,’”</w:t>
      </w:r>
      <w:bookmarkStart w:id="55" w:name="_Ref113024545"/>
      <w:r w:rsidR="007C1079" w:rsidRPr="002A4234">
        <w:rPr>
          <w:rStyle w:val="FootnoteReference"/>
        </w:rPr>
        <w:footnoteReference w:id="219"/>
      </w:r>
      <w:bookmarkEnd w:id="55"/>
      <w:r w:rsidR="007C1079">
        <w:rPr>
          <w:lang w:eastAsia="ja-JP"/>
        </w:rPr>
        <w:t xml:space="preserve"> </w:t>
      </w:r>
      <w:r w:rsidR="00634E85">
        <w:rPr>
          <w:lang w:eastAsia="ja-JP"/>
        </w:rPr>
        <w:t xml:space="preserve">one can nonetheless see </w:t>
      </w:r>
      <w:r w:rsidR="00634E85">
        <w:rPr>
          <w:i/>
          <w:iCs/>
          <w:lang w:eastAsia="ja-JP"/>
        </w:rPr>
        <w:t>Katz’</w:t>
      </w:r>
      <w:r w:rsidR="00634E85">
        <w:rPr>
          <w:lang w:eastAsia="ja-JP"/>
        </w:rPr>
        <w:t xml:space="preserve">s focus on privacy expectations as drawing </w:t>
      </w:r>
      <w:r w:rsidR="00B21CC3">
        <w:rPr>
          <w:lang w:eastAsia="ja-JP"/>
        </w:rPr>
        <w:t xml:space="preserve">on </w:t>
      </w:r>
      <w:r w:rsidR="00794919">
        <w:rPr>
          <w:lang w:eastAsia="ja-JP"/>
        </w:rPr>
        <w:t>Brandeis’s ideas.</w:t>
      </w:r>
      <w:r w:rsidR="00794919" w:rsidRPr="002A4234">
        <w:rPr>
          <w:rStyle w:val="FootnoteReference"/>
        </w:rPr>
        <w:footnoteReference w:id="220"/>
      </w:r>
    </w:p>
    <w:p w14:paraId="25FCFEA7" w14:textId="76CD0B80" w:rsidR="00132DFE" w:rsidRDefault="00132DFE" w:rsidP="00531F97">
      <w:pPr>
        <w:pStyle w:val="Heading3"/>
      </w:pPr>
      <w:bookmarkStart w:id="56" w:name="_Toc111723675"/>
      <w:bookmarkStart w:id="57" w:name="_Toc96093549"/>
      <w:r>
        <w:t>The Normative Case</w:t>
      </w:r>
      <w:bookmarkEnd w:id="56"/>
    </w:p>
    <w:p w14:paraId="159A2668" w14:textId="279D2993" w:rsidR="00852850" w:rsidRPr="00852850" w:rsidRDefault="00852850" w:rsidP="00852850">
      <w:pPr>
        <w:pStyle w:val="BodyText"/>
        <w:rPr>
          <w:lang w:eastAsia="ja-JP"/>
        </w:rPr>
      </w:pPr>
      <w:r>
        <w:rPr>
          <w:lang w:eastAsia="ja-JP"/>
        </w:rPr>
        <w:t>The general-law approach is also</w:t>
      </w:r>
      <w:r w:rsidR="00C81448">
        <w:rPr>
          <w:lang w:eastAsia="ja-JP"/>
        </w:rPr>
        <w:t xml:space="preserve"> preferable to other approaches on normative grounds. It better captures </w:t>
      </w:r>
      <w:r w:rsidR="00A42267">
        <w:rPr>
          <w:lang w:eastAsia="ja-JP"/>
        </w:rPr>
        <w:t>the values that the Fourth Amendment should protect</w:t>
      </w:r>
      <w:r w:rsidR="000F1461">
        <w:rPr>
          <w:lang w:eastAsia="ja-JP"/>
        </w:rPr>
        <w:t>.</w:t>
      </w:r>
      <w:r w:rsidR="00A42267">
        <w:rPr>
          <w:lang w:eastAsia="ja-JP"/>
        </w:rPr>
        <w:t xml:space="preserve"> </w:t>
      </w:r>
      <w:r w:rsidR="000F1461">
        <w:rPr>
          <w:lang w:eastAsia="ja-JP"/>
        </w:rPr>
        <w:t>A</w:t>
      </w:r>
      <w:r w:rsidR="00A42267">
        <w:rPr>
          <w:lang w:eastAsia="ja-JP"/>
        </w:rPr>
        <w:t xml:space="preserve">nd it </w:t>
      </w:r>
      <w:r w:rsidR="000F1461">
        <w:rPr>
          <w:lang w:eastAsia="ja-JP"/>
        </w:rPr>
        <w:t xml:space="preserve">is flexible enough to allow doctrine to account for unforeseen challenges without </w:t>
      </w:r>
      <w:r w:rsidR="004B40AA">
        <w:rPr>
          <w:lang w:eastAsia="ja-JP"/>
        </w:rPr>
        <w:t>asking</w:t>
      </w:r>
      <w:r w:rsidR="000F1461">
        <w:rPr>
          <w:lang w:eastAsia="ja-JP"/>
        </w:rPr>
        <w:t xml:space="preserve"> judges to make up the rules on the fly.</w:t>
      </w:r>
    </w:p>
    <w:p w14:paraId="1ADFF785" w14:textId="1631444D" w:rsidR="00132DFE" w:rsidRDefault="00852850" w:rsidP="00132DFE">
      <w:pPr>
        <w:pStyle w:val="Heading4"/>
      </w:pPr>
      <w:bookmarkStart w:id="58" w:name="_Toc111723676"/>
      <w:r>
        <w:t>Fourth Amendment Values</w:t>
      </w:r>
      <w:bookmarkEnd w:id="58"/>
    </w:p>
    <w:p w14:paraId="0CACD8EE" w14:textId="53000CBF" w:rsidR="00B16AC2" w:rsidRDefault="00191FD4" w:rsidP="00B71CA8">
      <w:pPr>
        <w:pStyle w:val="BodyText"/>
        <w:rPr>
          <w:lang w:eastAsia="ja-JP"/>
        </w:rPr>
      </w:pPr>
      <w:r>
        <w:rPr>
          <w:lang w:eastAsia="ja-JP"/>
        </w:rPr>
        <w:t xml:space="preserve">As Baude and Stern </w:t>
      </w:r>
      <w:r w:rsidR="00F64E3A">
        <w:rPr>
          <w:lang w:eastAsia="ja-JP"/>
        </w:rPr>
        <w:t>put it, “</w:t>
      </w:r>
      <w:r w:rsidR="00F64E3A" w:rsidRPr="00F64E3A">
        <w:rPr>
          <w:lang w:eastAsia="ja-JP"/>
        </w:rPr>
        <w:t>the purpose of a constitutional principle is to freeze something in time.”</w:t>
      </w:r>
      <w:r w:rsidR="00F64E3A" w:rsidRPr="002A4234">
        <w:rPr>
          <w:rStyle w:val="FootnoteReference"/>
        </w:rPr>
        <w:footnoteReference w:id="221"/>
      </w:r>
      <w:r w:rsidR="00D70DE4">
        <w:rPr>
          <w:lang w:eastAsia="ja-JP"/>
        </w:rPr>
        <w:t xml:space="preserve"> The hard question for Fourth Amendment theorists </w:t>
      </w:r>
      <w:r w:rsidR="00A73827">
        <w:rPr>
          <w:lang w:eastAsia="ja-JP"/>
        </w:rPr>
        <w:t xml:space="preserve">is what that </w:t>
      </w:r>
      <w:r w:rsidR="0069187C">
        <w:rPr>
          <w:lang w:eastAsia="ja-JP"/>
        </w:rPr>
        <w:t>“</w:t>
      </w:r>
      <w:r w:rsidR="00A73827" w:rsidRPr="0069187C">
        <w:rPr>
          <w:lang w:eastAsia="ja-JP"/>
        </w:rPr>
        <w:t>something</w:t>
      </w:r>
      <w:r w:rsidR="0069187C">
        <w:rPr>
          <w:lang w:eastAsia="ja-JP"/>
        </w:rPr>
        <w:t>”</w:t>
      </w:r>
      <w:r w:rsidR="00A73827">
        <w:rPr>
          <w:lang w:eastAsia="ja-JP"/>
        </w:rPr>
        <w:t xml:space="preserve"> is. </w:t>
      </w:r>
      <w:r w:rsidR="004E3D80">
        <w:rPr>
          <w:lang w:eastAsia="ja-JP"/>
        </w:rPr>
        <w:t xml:space="preserve">On </w:t>
      </w:r>
      <w:r w:rsidR="00B16AC2">
        <w:rPr>
          <w:lang w:eastAsia="ja-JP"/>
        </w:rPr>
        <w:t xml:space="preserve">our reading, </w:t>
      </w:r>
      <w:r w:rsidR="0069187C">
        <w:rPr>
          <w:lang w:eastAsia="ja-JP"/>
        </w:rPr>
        <w:t xml:space="preserve">the Fourth Amendment </w:t>
      </w:r>
      <w:r w:rsidR="0035164B">
        <w:rPr>
          <w:lang w:eastAsia="ja-JP"/>
        </w:rPr>
        <w:t>guarantee</w:t>
      </w:r>
      <w:r w:rsidR="006E2E98">
        <w:rPr>
          <w:lang w:eastAsia="ja-JP"/>
        </w:rPr>
        <w:t xml:space="preserve">s </w:t>
      </w:r>
      <w:r w:rsidR="0035164B">
        <w:rPr>
          <w:lang w:eastAsia="ja-JP"/>
        </w:rPr>
        <w:lastRenderedPageBreak/>
        <w:t xml:space="preserve">that the American people </w:t>
      </w:r>
      <w:r w:rsidR="004B135D">
        <w:rPr>
          <w:lang w:eastAsia="ja-JP"/>
        </w:rPr>
        <w:t>can rely on</w:t>
      </w:r>
      <w:r w:rsidR="00C609FB">
        <w:rPr>
          <w:lang w:eastAsia="ja-JP"/>
        </w:rPr>
        <w:t xml:space="preserve"> the</w:t>
      </w:r>
      <w:r w:rsidR="004B135D">
        <w:rPr>
          <w:lang w:eastAsia="ja-JP"/>
        </w:rPr>
        <w:t xml:space="preserve"> </w:t>
      </w:r>
      <w:r w:rsidR="009A15CD">
        <w:rPr>
          <w:lang w:eastAsia="ja-JP"/>
        </w:rPr>
        <w:t>security provided by the</w:t>
      </w:r>
      <w:r w:rsidR="004B135D">
        <w:rPr>
          <w:lang w:eastAsia="ja-JP"/>
        </w:rPr>
        <w:t xml:space="preserve"> evolving common law</w:t>
      </w:r>
      <w:r w:rsidR="00C609FB">
        <w:rPr>
          <w:lang w:eastAsia="ja-JP"/>
        </w:rPr>
        <w:t xml:space="preserve"> </w:t>
      </w:r>
      <w:r w:rsidR="009A15CD">
        <w:rPr>
          <w:lang w:eastAsia="ja-JP"/>
        </w:rPr>
        <w:t>in the face of</w:t>
      </w:r>
      <w:r w:rsidR="002D1567">
        <w:rPr>
          <w:lang w:eastAsia="ja-JP"/>
        </w:rPr>
        <w:t xml:space="preserve"> threats from government</w:t>
      </w:r>
      <w:r w:rsidR="009A15CD">
        <w:rPr>
          <w:lang w:eastAsia="ja-JP"/>
        </w:rPr>
        <w:t xml:space="preserve"> conduct</w:t>
      </w:r>
      <w:r w:rsidR="002D1567">
        <w:rPr>
          <w:lang w:eastAsia="ja-JP"/>
        </w:rPr>
        <w:t>.</w:t>
      </w:r>
    </w:p>
    <w:p w14:paraId="43505A77" w14:textId="2426F99D" w:rsidR="0010739F" w:rsidRDefault="00CB15B8" w:rsidP="000F3F94">
      <w:pPr>
        <w:pStyle w:val="BodyText"/>
        <w:rPr>
          <w:lang w:eastAsia="ja-JP"/>
        </w:rPr>
      </w:pPr>
      <w:r>
        <w:rPr>
          <w:lang w:eastAsia="ja-JP"/>
        </w:rPr>
        <w:t>This understanding is normatively superior to the alternatives on offer.</w:t>
      </w:r>
      <w:r w:rsidR="003D77BB">
        <w:rPr>
          <w:lang w:eastAsia="ja-JP"/>
        </w:rPr>
        <w:t xml:space="preserve"> </w:t>
      </w:r>
      <w:r w:rsidR="0010739F">
        <w:rPr>
          <w:lang w:eastAsia="ja-JP"/>
        </w:rPr>
        <w:t xml:space="preserve">First, whereas </w:t>
      </w:r>
      <w:r w:rsidR="0010739F">
        <w:rPr>
          <w:i/>
          <w:iCs/>
          <w:lang w:eastAsia="ja-JP"/>
        </w:rPr>
        <w:t>Katz</w:t>
      </w:r>
      <w:r w:rsidR="0010739F">
        <w:rPr>
          <w:lang w:eastAsia="ja-JP"/>
        </w:rPr>
        <w:t xml:space="preserve"> makes privacy the Fourth Amendment’s </w:t>
      </w:r>
      <w:r w:rsidR="0010739F" w:rsidRPr="00E85855">
        <w:rPr>
          <w:i/>
          <w:iCs/>
          <w:lang w:eastAsia="ja-JP"/>
        </w:rPr>
        <w:t>sine qua non</w:t>
      </w:r>
      <w:r w:rsidR="0010739F">
        <w:rPr>
          <w:lang w:eastAsia="ja-JP"/>
        </w:rPr>
        <w:t xml:space="preserve">, the general law protects a broader set of interests. </w:t>
      </w:r>
      <w:r w:rsidR="00F45234">
        <w:rPr>
          <w:lang w:eastAsia="ja-JP"/>
        </w:rPr>
        <w:t xml:space="preserve">Maintaining one’s privacy is </w:t>
      </w:r>
      <w:r w:rsidR="00F45234">
        <w:rPr>
          <w:i/>
          <w:iCs/>
          <w:lang w:eastAsia="ja-JP"/>
        </w:rPr>
        <w:t>a</w:t>
      </w:r>
      <w:r w:rsidR="00F45234">
        <w:rPr>
          <w:lang w:eastAsia="ja-JP"/>
        </w:rPr>
        <w:t xml:space="preserve"> reason </w:t>
      </w:r>
      <w:r w:rsidR="00416BC0">
        <w:rPr>
          <w:lang w:eastAsia="ja-JP"/>
        </w:rPr>
        <w:t xml:space="preserve">to fear government searches and seizures, but </w:t>
      </w:r>
      <w:r w:rsidR="00C05E01">
        <w:rPr>
          <w:lang w:eastAsia="ja-JP"/>
        </w:rPr>
        <w:t xml:space="preserve">it is </w:t>
      </w:r>
      <w:r w:rsidR="005E1639">
        <w:rPr>
          <w:lang w:eastAsia="ja-JP"/>
        </w:rPr>
        <w:t xml:space="preserve">not the only one. </w:t>
      </w:r>
      <w:r w:rsidR="00302578">
        <w:rPr>
          <w:lang w:eastAsia="ja-JP"/>
        </w:rPr>
        <w:t xml:space="preserve">Having one’s </w:t>
      </w:r>
      <w:r w:rsidR="00B05B5C">
        <w:rPr>
          <w:lang w:eastAsia="ja-JP"/>
        </w:rPr>
        <w:t>“effects”</w:t>
      </w:r>
      <w:r w:rsidR="00302578">
        <w:rPr>
          <w:lang w:eastAsia="ja-JP"/>
        </w:rPr>
        <w:t xml:space="preserve"> seized by government agents </w:t>
      </w:r>
      <w:r w:rsidR="00B05B5C">
        <w:rPr>
          <w:lang w:eastAsia="ja-JP"/>
        </w:rPr>
        <w:t xml:space="preserve">can undermine one’s sense of security </w:t>
      </w:r>
      <w:r w:rsidR="00457759">
        <w:rPr>
          <w:lang w:eastAsia="ja-JP"/>
        </w:rPr>
        <w:t>tremendously</w:t>
      </w:r>
      <w:r w:rsidR="00B05B5C">
        <w:rPr>
          <w:lang w:eastAsia="ja-JP"/>
        </w:rPr>
        <w:t xml:space="preserve"> even if there is nothing </w:t>
      </w:r>
      <w:r w:rsidR="00444BB9">
        <w:rPr>
          <w:i/>
          <w:iCs/>
          <w:lang w:eastAsia="ja-JP"/>
        </w:rPr>
        <w:t>private</w:t>
      </w:r>
      <w:r w:rsidR="00444BB9">
        <w:rPr>
          <w:lang w:eastAsia="ja-JP"/>
        </w:rPr>
        <w:t xml:space="preserve"> about those personal effects. </w:t>
      </w:r>
      <w:r w:rsidR="002E058C">
        <w:rPr>
          <w:lang w:eastAsia="ja-JP"/>
        </w:rPr>
        <w:t>The</w:t>
      </w:r>
      <w:r w:rsidR="005C5ECC">
        <w:rPr>
          <w:lang w:eastAsia="ja-JP"/>
        </w:rPr>
        <w:t xml:space="preserve"> Fourth Amendment’s g</w:t>
      </w:r>
      <w:r w:rsidR="00C07DA6">
        <w:rPr>
          <w:lang w:eastAsia="ja-JP"/>
        </w:rPr>
        <w:t>uarantee of the</w:t>
      </w:r>
      <w:r w:rsidR="002E058C">
        <w:rPr>
          <w:lang w:eastAsia="ja-JP"/>
        </w:rPr>
        <w:t xml:space="preserve"> “right to be secure” should properly protect against non-privacy-related harms, and t</w:t>
      </w:r>
      <w:r w:rsidR="00444BB9">
        <w:rPr>
          <w:lang w:eastAsia="ja-JP"/>
        </w:rPr>
        <w:t>he general law</w:t>
      </w:r>
      <w:r w:rsidR="003B763C">
        <w:rPr>
          <w:lang w:eastAsia="ja-JP"/>
        </w:rPr>
        <w:t>’s</w:t>
      </w:r>
      <w:r w:rsidR="0010739F">
        <w:rPr>
          <w:lang w:eastAsia="ja-JP"/>
        </w:rPr>
        <w:t xml:space="preserve"> concepts and </w:t>
      </w:r>
      <w:r w:rsidR="008B721E">
        <w:rPr>
          <w:lang w:eastAsia="ja-JP"/>
        </w:rPr>
        <w:t>rules</w:t>
      </w:r>
      <w:r w:rsidR="0010739F">
        <w:rPr>
          <w:lang w:eastAsia="ja-JP"/>
        </w:rPr>
        <w:t xml:space="preserve"> provide security for property</w:t>
      </w:r>
      <w:r w:rsidR="003B763C">
        <w:rPr>
          <w:lang w:eastAsia="ja-JP"/>
        </w:rPr>
        <w:t xml:space="preserve"> </w:t>
      </w:r>
      <w:r w:rsidR="00784CB7">
        <w:rPr>
          <w:lang w:eastAsia="ja-JP"/>
        </w:rPr>
        <w:t>rather than</w:t>
      </w:r>
      <w:r w:rsidR="0010739F">
        <w:rPr>
          <w:lang w:eastAsia="ja-JP"/>
        </w:rPr>
        <w:t xml:space="preserve"> privacy alone.</w:t>
      </w:r>
      <w:r w:rsidR="00972930">
        <w:rPr>
          <w:lang w:eastAsia="ja-JP"/>
        </w:rPr>
        <w:t xml:space="preserve"> Moreover,</w:t>
      </w:r>
      <w:r w:rsidR="00DE5C68">
        <w:rPr>
          <w:lang w:eastAsia="ja-JP"/>
        </w:rPr>
        <w:t xml:space="preserve"> as described below, </w:t>
      </w:r>
      <w:r w:rsidR="004F2191">
        <w:rPr>
          <w:lang w:eastAsia="ja-JP"/>
        </w:rPr>
        <w:t>the general law approach</w:t>
      </w:r>
      <w:r w:rsidR="00DE5C68">
        <w:rPr>
          <w:lang w:eastAsia="ja-JP"/>
        </w:rPr>
        <w:t xml:space="preserve"> gives courts the tools they need to provide protection</w:t>
      </w:r>
      <w:r w:rsidR="00594A54">
        <w:rPr>
          <w:lang w:eastAsia="ja-JP"/>
        </w:rPr>
        <w:t xml:space="preserve">s </w:t>
      </w:r>
      <w:r w:rsidR="00DE5C68">
        <w:rPr>
          <w:lang w:eastAsia="ja-JP"/>
        </w:rPr>
        <w:t xml:space="preserve">against </w:t>
      </w:r>
      <w:r w:rsidR="001E0EE2">
        <w:rPr>
          <w:lang w:eastAsia="ja-JP"/>
        </w:rPr>
        <w:t xml:space="preserve">new threats to </w:t>
      </w:r>
      <w:r w:rsidR="004408C7">
        <w:rPr>
          <w:lang w:eastAsia="ja-JP"/>
        </w:rPr>
        <w:t>privacy and personal security.</w:t>
      </w:r>
    </w:p>
    <w:p w14:paraId="1C954F13" w14:textId="6F3A4E91" w:rsidR="00655C7F" w:rsidRDefault="00F90F68" w:rsidP="00113B2F">
      <w:pPr>
        <w:pStyle w:val="BodyText"/>
        <w:rPr>
          <w:lang w:eastAsia="ja-JP"/>
        </w:rPr>
      </w:pPr>
      <w:r>
        <w:rPr>
          <w:lang w:eastAsia="ja-JP"/>
        </w:rPr>
        <w:t>T</w:t>
      </w:r>
      <w:r w:rsidR="004168E2">
        <w:rPr>
          <w:lang w:eastAsia="ja-JP"/>
        </w:rPr>
        <w:t xml:space="preserve">he </w:t>
      </w:r>
      <w:r w:rsidR="004168E2">
        <w:rPr>
          <w:i/>
          <w:iCs/>
          <w:lang w:eastAsia="ja-JP"/>
        </w:rPr>
        <w:t>Katz</w:t>
      </w:r>
      <w:r w:rsidR="004168E2">
        <w:rPr>
          <w:lang w:eastAsia="ja-JP"/>
        </w:rPr>
        <w:t xml:space="preserve"> test</w:t>
      </w:r>
      <w:r>
        <w:rPr>
          <w:lang w:eastAsia="ja-JP"/>
        </w:rPr>
        <w:t>, by contrast,</w:t>
      </w:r>
      <w:r w:rsidR="00677D3A">
        <w:rPr>
          <w:lang w:eastAsia="ja-JP"/>
        </w:rPr>
        <w:t xml:space="preserve"> ask</w:t>
      </w:r>
      <w:r w:rsidR="00972930">
        <w:rPr>
          <w:lang w:eastAsia="ja-JP"/>
        </w:rPr>
        <w:t>s</w:t>
      </w:r>
      <w:r w:rsidR="00677D3A">
        <w:rPr>
          <w:lang w:eastAsia="ja-JP"/>
        </w:rPr>
        <w:t xml:space="preserve"> the wrong question. It</w:t>
      </w:r>
      <w:r w:rsidR="00565CB4">
        <w:rPr>
          <w:lang w:eastAsia="ja-JP"/>
        </w:rPr>
        <w:t xml:space="preserve"> is framed as </w:t>
      </w:r>
      <w:r w:rsidR="0088030D">
        <w:rPr>
          <w:lang w:eastAsia="ja-JP"/>
        </w:rPr>
        <w:t>an inquiry into societal expectations</w:t>
      </w:r>
      <w:r w:rsidR="00BB526F">
        <w:rPr>
          <w:lang w:eastAsia="ja-JP"/>
        </w:rPr>
        <w:t>, b</w:t>
      </w:r>
      <w:r w:rsidR="006A54F2">
        <w:rPr>
          <w:lang w:eastAsia="ja-JP"/>
        </w:rPr>
        <w:t xml:space="preserve">ut it is not obvious why </w:t>
      </w:r>
      <w:r w:rsidR="006451F1">
        <w:rPr>
          <w:lang w:eastAsia="ja-JP"/>
        </w:rPr>
        <w:t>social expectations</w:t>
      </w:r>
      <w:r w:rsidR="00BB526F">
        <w:rPr>
          <w:lang w:eastAsia="ja-JP"/>
        </w:rPr>
        <w:t xml:space="preserve"> about privacy</w:t>
      </w:r>
      <w:r w:rsidR="006451F1">
        <w:rPr>
          <w:lang w:eastAsia="ja-JP"/>
        </w:rPr>
        <w:t xml:space="preserve"> alone </w:t>
      </w:r>
      <w:r w:rsidR="00632180">
        <w:rPr>
          <w:lang w:eastAsia="ja-JP"/>
        </w:rPr>
        <w:t>should control protections from government action</w:t>
      </w:r>
      <w:r w:rsidR="00BB526F">
        <w:rPr>
          <w:lang w:eastAsia="ja-JP"/>
        </w:rPr>
        <w:t>. H</w:t>
      </w:r>
      <w:r w:rsidR="00632180">
        <w:rPr>
          <w:lang w:eastAsia="ja-JP"/>
        </w:rPr>
        <w:t>ow government behaves itself shape</w:t>
      </w:r>
      <w:r w:rsidR="001152E2">
        <w:rPr>
          <w:lang w:eastAsia="ja-JP"/>
        </w:rPr>
        <w:t>s</w:t>
      </w:r>
      <w:r w:rsidR="00632180">
        <w:rPr>
          <w:lang w:eastAsia="ja-JP"/>
        </w:rPr>
        <w:t xml:space="preserve"> those expectations. </w:t>
      </w:r>
      <w:r w:rsidR="00BD56A6">
        <w:rPr>
          <w:lang w:eastAsia="ja-JP"/>
        </w:rPr>
        <w:t>The common law</w:t>
      </w:r>
      <w:r w:rsidR="004F4419">
        <w:rPr>
          <w:lang w:eastAsia="ja-JP"/>
        </w:rPr>
        <w:t xml:space="preserve"> </w:t>
      </w:r>
      <w:r w:rsidR="00E16E32">
        <w:rPr>
          <w:lang w:eastAsia="ja-JP"/>
        </w:rPr>
        <w:t>does not make</w:t>
      </w:r>
      <w:r w:rsidR="00212FE9">
        <w:rPr>
          <w:lang w:eastAsia="ja-JP"/>
        </w:rPr>
        <w:t xml:space="preserve"> </w:t>
      </w:r>
      <w:r w:rsidR="007A06CF">
        <w:rPr>
          <w:lang w:eastAsia="ja-JP"/>
        </w:rPr>
        <w:t xml:space="preserve">rights </w:t>
      </w:r>
      <w:r w:rsidR="00E16E32">
        <w:rPr>
          <w:lang w:eastAsia="ja-JP"/>
        </w:rPr>
        <w:t xml:space="preserve">depend entirely on social expectations. </w:t>
      </w:r>
      <w:r w:rsidR="00BE676D">
        <w:rPr>
          <w:lang w:eastAsia="ja-JP"/>
        </w:rPr>
        <w:t xml:space="preserve">This is not to say that </w:t>
      </w:r>
      <w:r w:rsidR="008D6872">
        <w:rPr>
          <w:lang w:eastAsia="ja-JP"/>
        </w:rPr>
        <w:t>such</w:t>
      </w:r>
      <w:r w:rsidR="00BE676D">
        <w:rPr>
          <w:lang w:eastAsia="ja-JP"/>
        </w:rPr>
        <w:t xml:space="preserve"> expectations are irrelevant; the common law </w:t>
      </w:r>
      <w:r w:rsidR="0043565E">
        <w:rPr>
          <w:lang w:eastAsia="ja-JP"/>
        </w:rPr>
        <w:t>draws on</w:t>
      </w:r>
      <w:r w:rsidR="00BE676D">
        <w:rPr>
          <w:lang w:eastAsia="ja-JP"/>
        </w:rPr>
        <w:t xml:space="preserve"> custom</w:t>
      </w:r>
      <w:r w:rsidR="00381AD2">
        <w:rPr>
          <w:lang w:eastAsia="ja-JP"/>
        </w:rPr>
        <w:t xml:space="preserve">, which is </w:t>
      </w:r>
      <w:r w:rsidR="00C1058C">
        <w:rPr>
          <w:lang w:eastAsia="ja-JP"/>
        </w:rPr>
        <w:t xml:space="preserve">the product of shared social expectations and practices. </w:t>
      </w:r>
      <w:r w:rsidR="00BC4E46">
        <w:rPr>
          <w:lang w:eastAsia="ja-JP"/>
        </w:rPr>
        <w:t xml:space="preserve">As </w:t>
      </w:r>
      <w:r w:rsidR="00C10EFA">
        <w:rPr>
          <w:lang w:eastAsia="ja-JP"/>
        </w:rPr>
        <w:t>one court put it</w:t>
      </w:r>
      <w:r w:rsidR="00BC4E46">
        <w:rPr>
          <w:lang w:eastAsia="ja-JP"/>
        </w:rPr>
        <w:t>, common</w:t>
      </w:r>
      <w:r w:rsidR="00AA2B2E">
        <w:rPr>
          <w:lang w:eastAsia="ja-JP"/>
        </w:rPr>
        <w:t>-</w:t>
      </w:r>
      <w:r w:rsidR="00BC4E46">
        <w:rPr>
          <w:lang w:eastAsia="ja-JP"/>
        </w:rPr>
        <w:t>law</w:t>
      </w:r>
      <w:r w:rsidR="0031361F">
        <w:rPr>
          <w:lang w:eastAsia="ja-JP"/>
        </w:rPr>
        <w:t xml:space="preserve"> </w:t>
      </w:r>
      <w:r w:rsidR="00BC4E46">
        <w:rPr>
          <w:lang w:eastAsia="ja-JP"/>
        </w:rPr>
        <w:t>“</w:t>
      </w:r>
      <w:r w:rsidR="00BC4E46" w:rsidRPr="00BC4E46">
        <w:rPr>
          <w:lang w:eastAsia="ja-JP"/>
        </w:rPr>
        <w:t>rules arise from the application of reason to the changing conditions of society</w:t>
      </w:r>
      <w:r w:rsidR="003809D2">
        <w:rPr>
          <w:lang w:eastAsia="ja-JP"/>
        </w:rPr>
        <w:t> . . . </w:t>
      </w:r>
      <w:r w:rsidR="00296FEF">
        <w:rPr>
          <w:lang w:eastAsia="ja-JP"/>
        </w:rPr>
        <w:t xml:space="preserve">and, </w:t>
      </w:r>
      <w:r w:rsidR="0098432C">
        <w:rPr>
          <w:lang w:eastAsia="ja-JP"/>
        </w:rPr>
        <w:t>while decisions are looked to as evidence of the rules, they are not to be construed as limitations upon the growth of the law but as landmarks evidencing its development.</w:t>
      </w:r>
      <w:r w:rsidR="00BC4E46">
        <w:rPr>
          <w:lang w:eastAsia="ja-JP"/>
        </w:rPr>
        <w:t>”</w:t>
      </w:r>
      <w:r w:rsidR="00007D38" w:rsidRPr="002A4234">
        <w:rPr>
          <w:rStyle w:val="FootnoteReference"/>
        </w:rPr>
        <w:footnoteReference w:id="222"/>
      </w:r>
      <w:r w:rsidR="00665A89">
        <w:rPr>
          <w:lang w:eastAsia="ja-JP"/>
        </w:rPr>
        <w:t xml:space="preserve"> </w:t>
      </w:r>
      <w:r w:rsidR="00FE5E35">
        <w:rPr>
          <w:lang w:eastAsia="ja-JP"/>
        </w:rPr>
        <w:t>The hallmark of the common law is its predictable incrementalism.</w:t>
      </w:r>
      <w:r w:rsidR="002A4E0F" w:rsidRPr="002A4234">
        <w:rPr>
          <w:rStyle w:val="FootnoteReference"/>
        </w:rPr>
        <w:footnoteReference w:id="223"/>
      </w:r>
      <w:r w:rsidR="00FE5E35">
        <w:rPr>
          <w:lang w:eastAsia="ja-JP"/>
        </w:rPr>
        <w:t xml:space="preserve"> It is responsive to changing society, but at a </w:t>
      </w:r>
      <w:r w:rsidR="00952DC2">
        <w:rPr>
          <w:lang w:eastAsia="ja-JP"/>
        </w:rPr>
        <w:t xml:space="preserve">level </w:t>
      </w:r>
      <w:r w:rsidR="004F4419">
        <w:rPr>
          <w:lang w:eastAsia="ja-JP"/>
        </w:rPr>
        <w:t xml:space="preserve">of generality </w:t>
      </w:r>
      <w:r w:rsidR="00952DC2">
        <w:rPr>
          <w:lang w:eastAsia="ja-JP"/>
        </w:rPr>
        <w:t xml:space="preserve">high enough to </w:t>
      </w:r>
      <w:r w:rsidR="00FE5E35">
        <w:rPr>
          <w:lang w:eastAsia="ja-JP"/>
        </w:rPr>
        <w:t xml:space="preserve">capture big, durable changes </w:t>
      </w:r>
      <w:r w:rsidR="002A4E0F">
        <w:rPr>
          <w:lang w:eastAsia="ja-JP"/>
        </w:rPr>
        <w:t xml:space="preserve">without </w:t>
      </w:r>
      <w:r w:rsidR="003C5329">
        <w:rPr>
          <w:lang w:eastAsia="ja-JP"/>
        </w:rPr>
        <w:t>being</w:t>
      </w:r>
      <w:r w:rsidR="004F51AC">
        <w:rPr>
          <w:lang w:eastAsia="ja-JP"/>
        </w:rPr>
        <w:t xml:space="preserve"> captured by</w:t>
      </w:r>
      <w:r w:rsidR="003C5329">
        <w:rPr>
          <w:lang w:eastAsia="ja-JP"/>
        </w:rPr>
        <w:t xml:space="preserve"> fleeting trends.</w:t>
      </w:r>
      <w:r w:rsidR="005E18FC">
        <w:rPr>
          <w:lang w:eastAsia="ja-JP"/>
        </w:rPr>
        <w:t xml:space="preserve"> </w:t>
      </w:r>
    </w:p>
    <w:p w14:paraId="2EE0A9C7" w14:textId="51F47FFF" w:rsidR="00E92574" w:rsidRDefault="00655C7F" w:rsidP="00113B2F">
      <w:pPr>
        <w:pStyle w:val="BodyText"/>
        <w:rPr>
          <w:lang w:eastAsia="ja-JP"/>
        </w:rPr>
      </w:pPr>
      <w:r>
        <w:rPr>
          <w:lang w:eastAsia="ja-JP"/>
        </w:rPr>
        <w:t>By</w:t>
      </w:r>
      <w:r w:rsidR="005E18FC">
        <w:rPr>
          <w:lang w:eastAsia="ja-JP"/>
        </w:rPr>
        <w:t xml:space="preserve"> </w:t>
      </w:r>
      <w:r w:rsidR="00E92574">
        <w:rPr>
          <w:lang w:eastAsia="ja-JP"/>
        </w:rPr>
        <w:t xml:space="preserve">enshrining </w:t>
      </w:r>
      <w:r w:rsidR="00D579DB">
        <w:rPr>
          <w:lang w:eastAsia="ja-JP"/>
        </w:rPr>
        <w:t>common</w:t>
      </w:r>
      <w:r w:rsidR="009942B2">
        <w:rPr>
          <w:lang w:eastAsia="ja-JP"/>
        </w:rPr>
        <w:t>-</w:t>
      </w:r>
      <w:r w:rsidR="00D579DB">
        <w:rPr>
          <w:lang w:eastAsia="ja-JP"/>
        </w:rPr>
        <w:t>law protections</w:t>
      </w:r>
      <w:r w:rsidR="00E92574">
        <w:rPr>
          <w:lang w:eastAsia="ja-JP"/>
        </w:rPr>
        <w:t>, the Fourth Amendment places faith in the basic</w:t>
      </w:r>
      <w:r w:rsidR="0066606F">
        <w:rPr>
          <w:lang w:eastAsia="ja-JP"/>
        </w:rPr>
        <w:t xml:space="preserve"> substantive</w:t>
      </w:r>
      <w:r w:rsidR="00E92574">
        <w:rPr>
          <w:lang w:eastAsia="ja-JP"/>
        </w:rPr>
        <w:t xml:space="preserve"> framework of rights recognized </w:t>
      </w:r>
      <w:r w:rsidR="009F381E">
        <w:rPr>
          <w:lang w:eastAsia="ja-JP"/>
        </w:rPr>
        <w:t xml:space="preserve">at and in </w:t>
      </w:r>
      <w:r w:rsidR="00E92574">
        <w:rPr>
          <w:lang w:eastAsia="ja-JP"/>
        </w:rPr>
        <w:t>common la</w:t>
      </w:r>
      <w:r>
        <w:rPr>
          <w:lang w:eastAsia="ja-JP"/>
        </w:rPr>
        <w:t>w.</w:t>
      </w:r>
      <w:r w:rsidR="00E92574">
        <w:rPr>
          <w:lang w:eastAsia="ja-JP"/>
        </w:rPr>
        <w:t xml:space="preserve"> </w:t>
      </w:r>
      <w:r>
        <w:rPr>
          <w:lang w:eastAsia="ja-JP"/>
        </w:rPr>
        <w:t>But it</w:t>
      </w:r>
      <w:r w:rsidR="00E92574">
        <w:rPr>
          <w:lang w:eastAsia="ja-JP"/>
        </w:rPr>
        <w:t xml:space="preserve"> also</w:t>
      </w:r>
      <w:r w:rsidR="00C10EFA">
        <w:rPr>
          <w:lang w:eastAsia="ja-JP"/>
        </w:rPr>
        <w:t xml:space="preserve"> places </w:t>
      </w:r>
      <w:r w:rsidR="00C10EFA" w:rsidRPr="003D2130">
        <w:rPr>
          <w:i/>
          <w:iCs/>
          <w:lang w:eastAsia="ja-JP"/>
        </w:rPr>
        <w:t>institutional</w:t>
      </w:r>
      <w:r w:rsidR="00C10EFA">
        <w:rPr>
          <w:lang w:eastAsia="ja-JP"/>
        </w:rPr>
        <w:t xml:space="preserve"> confidence</w:t>
      </w:r>
      <w:r w:rsidR="00E92574">
        <w:rPr>
          <w:lang w:eastAsia="ja-JP"/>
        </w:rPr>
        <w:t xml:space="preserve"> in the judiciary to adapt </w:t>
      </w:r>
      <w:r w:rsidR="00113B2F">
        <w:rPr>
          <w:lang w:eastAsia="ja-JP"/>
        </w:rPr>
        <w:t xml:space="preserve">and develop common-law rules </w:t>
      </w:r>
      <w:r w:rsidR="00241692">
        <w:rPr>
          <w:lang w:eastAsia="ja-JP"/>
        </w:rPr>
        <w:t>in response to</w:t>
      </w:r>
      <w:r w:rsidR="00113B2F">
        <w:rPr>
          <w:lang w:eastAsia="ja-JP"/>
        </w:rPr>
        <w:t xml:space="preserve"> modern conditions. </w:t>
      </w:r>
      <w:r w:rsidR="00BF001A">
        <w:rPr>
          <w:lang w:eastAsia="ja-JP"/>
        </w:rPr>
        <w:t>While we make no claim that common-law rules are ideal</w:t>
      </w:r>
      <w:r w:rsidR="00295386">
        <w:rPr>
          <w:lang w:eastAsia="ja-JP"/>
        </w:rPr>
        <w:t xml:space="preserve"> in all cases</w:t>
      </w:r>
      <w:r w:rsidR="00BF001A">
        <w:rPr>
          <w:lang w:eastAsia="ja-JP"/>
        </w:rPr>
        <w:t>,</w:t>
      </w:r>
      <w:r w:rsidR="004E5EDC">
        <w:rPr>
          <w:lang w:eastAsia="ja-JP"/>
        </w:rPr>
        <w:t xml:space="preserve"> </w:t>
      </w:r>
      <w:r w:rsidR="00D124BD">
        <w:rPr>
          <w:lang w:eastAsia="ja-JP"/>
        </w:rPr>
        <w:t xml:space="preserve">we think that, </w:t>
      </w:r>
      <w:r w:rsidR="004E5EDC">
        <w:rPr>
          <w:lang w:eastAsia="ja-JP"/>
        </w:rPr>
        <w:t>over the long run</w:t>
      </w:r>
      <w:r w:rsidR="00D124BD">
        <w:rPr>
          <w:lang w:eastAsia="ja-JP"/>
        </w:rPr>
        <w:t>,</w:t>
      </w:r>
      <w:r w:rsidR="004E5EDC">
        <w:rPr>
          <w:lang w:eastAsia="ja-JP"/>
        </w:rPr>
        <w:t xml:space="preserve"> common</w:t>
      </w:r>
      <w:r w:rsidR="008302F3">
        <w:rPr>
          <w:lang w:eastAsia="ja-JP"/>
        </w:rPr>
        <w:t>-l</w:t>
      </w:r>
      <w:r w:rsidR="004E5EDC">
        <w:rPr>
          <w:lang w:eastAsia="ja-JP"/>
        </w:rPr>
        <w:t xml:space="preserve">aw courts </w:t>
      </w:r>
      <w:r w:rsidR="00BA0D9C">
        <w:rPr>
          <w:lang w:eastAsia="ja-JP"/>
        </w:rPr>
        <w:t>have</w:t>
      </w:r>
      <w:r w:rsidR="004E5EDC">
        <w:rPr>
          <w:lang w:eastAsia="ja-JP"/>
        </w:rPr>
        <w:t xml:space="preserve"> done </w:t>
      </w:r>
      <w:r w:rsidR="00AA5D6F">
        <w:rPr>
          <w:lang w:eastAsia="ja-JP"/>
        </w:rPr>
        <w:t>well to</w:t>
      </w:r>
      <w:r w:rsidR="004E5EDC">
        <w:rPr>
          <w:lang w:eastAsia="ja-JP"/>
        </w:rPr>
        <w:t xml:space="preserve"> balanc</w:t>
      </w:r>
      <w:r w:rsidR="00AA5D6F">
        <w:rPr>
          <w:lang w:eastAsia="ja-JP"/>
        </w:rPr>
        <w:t>e</w:t>
      </w:r>
      <w:r w:rsidR="004E5EDC">
        <w:rPr>
          <w:lang w:eastAsia="ja-JP"/>
        </w:rPr>
        <w:t xml:space="preserve"> law’s need for</w:t>
      </w:r>
      <w:r w:rsidR="00CA21B2">
        <w:rPr>
          <w:lang w:eastAsia="ja-JP"/>
        </w:rPr>
        <w:t xml:space="preserve"> stability and</w:t>
      </w:r>
      <w:r w:rsidR="004E5EDC">
        <w:rPr>
          <w:lang w:eastAsia="ja-JP"/>
        </w:rPr>
        <w:t xml:space="preserve"> continuity with the need for evolution and change.</w:t>
      </w:r>
      <w:r w:rsidR="004216FC" w:rsidRPr="002A4234">
        <w:rPr>
          <w:rStyle w:val="FootnoteReference"/>
        </w:rPr>
        <w:footnoteReference w:id="224"/>
      </w:r>
    </w:p>
    <w:p w14:paraId="5B5DD7E2" w14:textId="2975E222" w:rsidR="005A6C17" w:rsidRDefault="004408C7" w:rsidP="000F3F94">
      <w:pPr>
        <w:pStyle w:val="BodyText"/>
        <w:rPr>
          <w:lang w:eastAsia="ja-JP"/>
        </w:rPr>
      </w:pPr>
      <w:r>
        <w:rPr>
          <w:lang w:eastAsia="ja-JP"/>
        </w:rPr>
        <w:t>The general-law approach is also more attractive than</w:t>
      </w:r>
      <w:r w:rsidR="00853882">
        <w:rPr>
          <w:lang w:eastAsia="ja-JP"/>
        </w:rPr>
        <w:t xml:space="preserve"> </w:t>
      </w:r>
      <w:r w:rsidR="007C3274">
        <w:rPr>
          <w:lang w:eastAsia="ja-JP"/>
        </w:rPr>
        <w:t xml:space="preserve">other theories. Consider </w:t>
      </w:r>
      <w:r w:rsidR="004E7D6C">
        <w:rPr>
          <w:lang w:eastAsia="ja-JP"/>
        </w:rPr>
        <w:t>reading</w:t>
      </w:r>
      <w:r w:rsidR="006C7042">
        <w:rPr>
          <w:lang w:eastAsia="ja-JP"/>
        </w:rPr>
        <w:t>s</w:t>
      </w:r>
      <w:r w:rsidR="004E7D6C">
        <w:rPr>
          <w:lang w:eastAsia="ja-JP"/>
        </w:rPr>
        <w:t xml:space="preserve"> that</w:t>
      </w:r>
      <w:r w:rsidR="007C3274">
        <w:rPr>
          <w:lang w:eastAsia="ja-JP"/>
        </w:rPr>
        <w:t xml:space="preserve"> </w:t>
      </w:r>
      <w:r w:rsidR="00596617">
        <w:rPr>
          <w:lang w:eastAsia="ja-JP"/>
        </w:rPr>
        <w:t xml:space="preserve">understand </w:t>
      </w:r>
      <w:r w:rsidR="004E7D6C">
        <w:rPr>
          <w:lang w:eastAsia="ja-JP"/>
        </w:rPr>
        <w:t xml:space="preserve">the Fourth Amendment </w:t>
      </w:r>
      <w:r w:rsidR="007C3274">
        <w:rPr>
          <w:lang w:eastAsia="ja-JP"/>
        </w:rPr>
        <w:t>as</w:t>
      </w:r>
      <w:r w:rsidR="004E7D6C">
        <w:rPr>
          <w:lang w:eastAsia="ja-JP"/>
        </w:rPr>
        <w:t xml:space="preserve"> freez</w:t>
      </w:r>
      <w:r w:rsidR="007C3274">
        <w:rPr>
          <w:lang w:eastAsia="ja-JP"/>
        </w:rPr>
        <w:t>ing</w:t>
      </w:r>
      <w:r w:rsidR="006C7042">
        <w:rPr>
          <w:lang w:eastAsia="ja-JP"/>
        </w:rPr>
        <w:t xml:space="preserve"> </w:t>
      </w:r>
      <w:r w:rsidR="00596617">
        <w:rPr>
          <w:lang w:eastAsia="ja-JP"/>
        </w:rPr>
        <w:t>in place the rules of 1791</w:t>
      </w:r>
      <w:r w:rsidR="00947BC7">
        <w:rPr>
          <w:lang w:eastAsia="ja-JP"/>
        </w:rPr>
        <w:t>.</w:t>
      </w:r>
      <w:r w:rsidR="00947BC7" w:rsidRPr="002A4234">
        <w:rPr>
          <w:rStyle w:val="FootnoteReference"/>
        </w:rPr>
        <w:footnoteReference w:id="225"/>
      </w:r>
      <w:r w:rsidR="00947BC7">
        <w:rPr>
          <w:lang w:eastAsia="ja-JP"/>
        </w:rPr>
        <w:t xml:space="preserve"> The problem with </w:t>
      </w:r>
      <w:r>
        <w:rPr>
          <w:lang w:eastAsia="ja-JP"/>
        </w:rPr>
        <w:t>these</w:t>
      </w:r>
      <w:r w:rsidR="00750614">
        <w:rPr>
          <w:lang w:eastAsia="ja-JP"/>
        </w:rPr>
        <w:t xml:space="preserve"> reading</w:t>
      </w:r>
      <w:r>
        <w:rPr>
          <w:lang w:eastAsia="ja-JP"/>
        </w:rPr>
        <w:t>s</w:t>
      </w:r>
      <w:r w:rsidR="00E041BA">
        <w:rPr>
          <w:lang w:eastAsia="ja-JP"/>
        </w:rPr>
        <w:t>, beyond those already discussed,</w:t>
      </w:r>
      <w:r w:rsidR="00750614">
        <w:rPr>
          <w:lang w:eastAsia="ja-JP"/>
        </w:rPr>
        <w:t xml:space="preserve"> is that </w:t>
      </w:r>
      <w:r w:rsidR="007C5BA7">
        <w:rPr>
          <w:lang w:eastAsia="ja-JP"/>
        </w:rPr>
        <w:t xml:space="preserve">there is </w:t>
      </w:r>
      <w:r w:rsidR="00E041BA">
        <w:rPr>
          <w:lang w:eastAsia="ja-JP"/>
        </w:rPr>
        <w:t>no</w:t>
      </w:r>
      <w:r w:rsidR="00766793">
        <w:rPr>
          <w:lang w:eastAsia="ja-JP"/>
        </w:rPr>
        <w:t xml:space="preserve"> </w:t>
      </w:r>
      <w:r w:rsidR="005A6C17">
        <w:rPr>
          <w:lang w:eastAsia="ja-JP"/>
        </w:rPr>
        <w:t>obvious</w:t>
      </w:r>
      <w:r w:rsidR="00E041BA">
        <w:rPr>
          <w:lang w:eastAsia="ja-JP"/>
        </w:rPr>
        <w:t xml:space="preserve"> reason </w:t>
      </w:r>
      <w:r w:rsidR="00E446EF" w:rsidRPr="004F4419">
        <w:rPr>
          <w:lang w:eastAsia="ja-JP"/>
        </w:rPr>
        <w:t>why</w:t>
      </w:r>
      <w:r w:rsidR="00E446EF">
        <w:rPr>
          <w:lang w:eastAsia="ja-JP"/>
        </w:rPr>
        <w:t xml:space="preserve"> </w:t>
      </w:r>
      <w:r w:rsidR="00766793">
        <w:rPr>
          <w:lang w:eastAsia="ja-JP"/>
        </w:rPr>
        <w:t>constitutionaliz</w:t>
      </w:r>
      <w:r w:rsidR="00596617">
        <w:rPr>
          <w:lang w:eastAsia="ja-JP"/>
        </w:rPr>
        <w:t>ing</w:t>
      </w:r>
      <w:r w:rsidR="00766793">
        <w:rPr>
          <w:lang w:eastAsia="ja-JP"/>
        </w:rPr>
        <w:t xml:space="preserve"> the specific rules prevailing </w:t>
      </w:r>
      <w:r w:rsidR="00766793">
        <w:rPr>
          <w:lang w:eastAsia="ja-JP"/>
        </w:rPr>
        <w:lastRenderedPageBreak/>
        <w:t>more than two centuries ago</w:t>
      </w:r>
      <w:r w:rsidR="00E45508">
        <w:rPr>
          <w:lang w:eastAsia="ja-JP"/>
        </w:rPr>
        <w:t xml:space="preserve"> is desirable</w:t>
      </w:r>
      <w:r w:rsidR="00766793">
        <w:rPr>
          <w:lang w:eastAsia="ja-JP"/>
        </w:rPr>
        <w:t xml:space="preserve">. </w:t>
      </w:r>
      <w:r w:rsidR="000C4F8E">
        <w:rPr>
          <w:lang w:eastAsia="ja-JP"/>
        </w:rPr>
        <w:t xml:space="preserve">Those rules </w:t>
      </w:r>
      <w:r w:rsidR="00AA542B">
        <w:rPr>
          <w:lang w:eastAsia="ja-JP"/>
        </w:rPr>
        <w:t xml:space="preserve">were </w:t>
      </w:r>
      <w:r w:rsidR="00B000CD">
        <w:rPr>
          <w:lang w:eastAsia="ja-JP"/>
        </w:rPr>
        <w:t xml:space="preserve">made </w:t>
      </w:r>
      <w:r w:rsidR="000F3F94">
        <w:rPr>
          <w:lang w:eastAsia="ja-JP"/>
        </w:rPr>
        <w:t xml:space="preserve">to govern a </w:t>
      </w:r>
      <w:r w:rsidR="00D92809">
        <w:rPr>
          <w:lang w:eastAsia="ja-JP"/>
        </w:rPr>
        <w:t xml:space="preserve">world much </w:t>
      </w:r>
      <w:r w:rsidR="00B000CD">
        <w:rPr>
          <w:lang w:eastAsia="ja-JP"/>
        </w:rPr>
        <w:t xml:space="preserve">different </w:t>
      </w:r>
      <w:r w:rsidR="000F3F94">
        <w:rPr>
          <w:lang w:eastAsia="ja-JP"/>
        </w:rPr>
        <w:t>than the one we live in today</w:t>
      </w:r>
      <w:r w:rsidR="004F2191">
        <w:rPr>
          <w:lang w:eastAsia="ja-JP"/>
        </w:rPr>
        <w:t xml:space="preserve"> and </w:t>
      </w:r>
      <w:r w:rsidR="00584D50">
        <w:rPr>
          <w:lang w:eastAsia="ja-JP"/>
        </w:rPr>
        <w:t>may be</w:t>
      </w:r>
      <w:r w:rsidR="00C04693">
        <w:rPr>
          <w:lang w:eastAsia="ja-JP"/>
        </w:rPr>
        <w:t xml:space="preserve"> </w:t>
      </w:r>
      <w:r w:rsidR="00CB5C5B">
        <w:rPr>
          <w:lang w:eastAsia="ja-JP"/>
        </w:rPr>
        <w:t xml:space="preserve">too </w:t>
      </w:r>
      <w:r w:rsidR="009A3BCF">
        <w:rPr>
          <w:lang w:eastAsia="ja-JP"/>
        </w:rPr>
        <w:t>strict</w:t>
      </w:r>
      <w:r w:rsidR="00CB5C5B">
        <w:rPr>
          <w:lang w:eastAsia="ja-JP"/>
        </w:rPr>
        <w:t xml:space="preserve"> or </w:t>
      </w:r>
      <w:r w:rsidR="00324C8B">
        <w:rPr>
          <w:lang w:eastAsia="ja-JP"/>
        </w:rPr>
        <w:t xml:space="preserve">insufficiently protective </w:t>
      </w:r>
      <w:r w:rsidR="00D92809">
        <w:rPr>
          <w:lang w:eastAsia="ja-JP"/>
        </w:rPr>
        <w:t>in our changed</w:t>
      </w:r>
      <w:r w:rsidR="00584D50">
        <w:rPr>
          <w:lang w:eastAsia="ja-JP"/>
        </w:rPr>
        <w:t xml:space="preserve"> society</w:t>
      </w:r>
      <w:r w:rsidR="0033761E">
        <w:rPr>
          <w:lang w:eastAsia="ja-JP"/>
        </w:rPr>
        <w:t xml:space="preserve">. </w:t>
      </w:r>
      <w:r w:rsidR="00A27606">
        <w:rPr>
          <w:lang w:eastAsia="ja-JP"/>
        </w:rPr>
        <w:t>Additionally,</w:t>
      </w:r>
      <w:r w:rsidR="0033761E">
        <w:rPr>
          <w:lang w:eastAsia="ja-JP"/>
        </w:rPr>
        <w:t xml:space="preserve"> </w:t>
      </w:r>
      <w:r w:rsidR="000F3F94">
        <w:rPr>
          <w:lang w:eastAsia="ja-JP"/>
        </w:rPr>
        <w:t>it is unlikely that</w:t>
      </w:r>
      <w:r w:rsidR="00A5033C">
        <w:rPr>
          <w:lang w:eastAsia="ja-JP"/>
        </w:rPr>
        <w:t xml:space="preserve"> </w:t>
      </w:r>
      <w:r w:rsidR="00891FD6">
        <w:rPr>
          <w:lang w:eastAsia="ja-JP"/>
        </w:rPr>
        <w:t>1791</w:t>
      </w:r>
      <w:r w:rsidR="00A5033C">
        <w:rPr>
          <w:lang w:eastAsia="ja-JP"/>
        </w:rPr>
        <w:t xml:space="preserve"> rules </w:t>
      </w:r>
      <w:r w:rsidR="000F3F94">
        <w:rPr>
          <w:lang w:eastAsia="ja-JP"/>
        </w:rPr>
        <w:t xml:space="preserve">provide ideal </w:t>
      </w:r>
      <w:r w:rsidR="00946EF8">
        <w:rPr>
          <w:lang w:eastAsia="ja-JP"/>
        </w:rPr>
        <w:t>solutions to</w:t>
      </w:r>
      <w:r w:rsidR="000F3F94">
        <w:rPr>
          <w:lang w:eastAsia="ja-JP"/>
        </w:rPr>
        <w:t xml:space="preserve"> the problems posed by modern technologies</w:t>
      </w:r>
      <w:r w:rsidR="00D14DEF">
        <w:rPr>
          <w:lang w:eastAsia="ja-JP"/>
        </w:rPr>
        <w:t xml:space="preserve"> and conditions</w:t>
      </w:r>
      <w:r w:rsidR="000F3F94">
        <w:rPr>
          <w:lang w:eastAsia="ja-JP"/>
        </w:rPr>
        <w:t xml:space="preserve">. </w:t>
      </w:r>
      <w:r>
        <w:rPr>
          <w:lang w:eastAsia="ja-JP"/>
        </w:rPr>
        <w:t>If they do, it would be entirely coincidental.</w:t>
      </w:r>
    </w:p>
    <w:p w14:paraId="0E61CE06" w14:textId="753BA4C2" w:rsidR="00853882" w:rsidRDefault="005A6C17" w:rsidP="00B71CA8">
      <w:pPr>
        <w:pStyle w:val="BodyText"/>
        <w:rPr>
          <w:lang w:eastAsia="ja-JP"/>
        </w:rPr>
      </w:pPr>
      <w:r>
        <w:rPr>
          <w:lang w:eastAsia="ja-JP"/>
        </w:rPr>
        <w:t xml:space="preserve">Other options fare no better. </w:t>
      </w:r>
      <w:r w:rsidR="006D221C">
        <w:rPr>
          <w:lang w:eastAsia="ja-JP"/>
        </w:rPr>
        <w:t xml:space="preserve">Under </w:t>
      </w:r>
      <w:r>
        <w:rPr>
          <w:lang w:eastAsia="ja-JP"/>
        </w:rPr>
        <w:t>Kerr</w:t>
      </w:r>
      <w:r w:rsidR="006D221C">
        <w:rPr>
          <w:lang w:eastAsia="ja-JP"/>
        </w:rPr>
        <w:t xml:space="preserve">’s “equilibrium adjustment” theory, </w:t>
      </w:r>
      <w:r w:rsidR="0071185F">
        <w:rPr>
          <w:lang w:eastAsia="ja-JP"/>
        </w:rPr>
        <w:t>the Fourth Amendment guarante</w:t>
      </w:r>
      <w:r w:rsidR="006D221C">
        <w:rPr>
          <w:lang w:eastAsia="ja-JP"/>
        </w:rPr>
        <w:t>es</w:t>
      </w:r>
      <w:r w:rsidR="0071185F">
        <w:rPr>
          <w:lang w:eastAsia="ja-JP"/>
        </w:rPr>
        <w:t xml:space="preserve"> a particular </w:t>
      </w:r>
      <w:r w:rsidR="00E353FE">
        <w:rPr>
          <w:lang w:eastAsia="ja-JP"/>
        </w:rPr>
        <w:t>“</w:t>
      </w:r>
      <w:r w:rsidR="00E353FE" w:rsidRPr="00E353FE">
        <w:rPr>
          <w:lang w:eastAsia="ja-JP"/>
        </w:rPr>
        <w:t>balance between security and privacy</w:t>
      </w:r>
      <w:r w:rsidR="00E353FE">
        <w:rPr>
          <w:lang w:eastAsia="ja-JP"/>
        </w:rPr>
        <w:t>.”</w:t>
      </w:r>
      <w:r w:rsidR="00E353FE" w:rsidRPr="002A4234">
        <w:rPr>
          <w:rStyle w:val="FootnoteReference"/>
        </w:rPr>
        <w:footnoteReference w:id="226"/>
      </w:r>
      <w:r w:rsidR="00E353FE">
        <w:rPr>
          <w:lang w:eastAsia="ja-JP"/>
        </w:rPr>
        <w:t xml:space="preserve"> </w:t>
      </w:r>
      <w:r w:rsidR="002A355C">
        <w:rPr>
          <w:lang w:eastAsia="ja-JP"/>
        </w:rPr>
        <w:t xml:space="preserve">Paul Ohm </w:t>
      </w:r>
      <w:r w:rsidR="006D221C">
        <w:rPr>
          <w:lang w:eastAsia="ja-JP"/>
        </w:rPr>
        <w:t>offers his own version of</w:t>
      </w:r>
      <w:r w:rsidR="003B3064">
        <w:rPr>
          <w:lang w:eastAsia="ja-JP"/>
        </w:rPr>
        <w:t xml:space="preserve"> equilibrium adjustment</w:t>
      </w:r>
      <w:r w:rsidR="006D221C">
        <w:rPr>
          <w:lang w:eastAsia="ja-JP"/>
        </w:rPr>
        <w:t xml:space="preserve"> </w:t>
      </w:r>
      <w:r w:rsidR="00992353">
        <w:rPr>
          <w:lang w:eastAsia="ja-JP"/>
        </w:rPr>
        <w:t>in which the Fourth Amendment preserves a “level playing field” between police and criminals.</w:t>
      </w:r>
      <w:r w:rsidR="00262994" w:rsidRPr="002A4234">
        <w:rPr>
          <w:rStyle w:val="FootnoteReference"/>
        </w:rPr>
        <w:footnoteReference w:id="227"/>
      </w:r>
      <w:r w:rsidR="00B959D3">
        <w:rPr>
          <w:lang w:eastAsia="ja-JP"/>
        </w:rPr>
        <w:t xml:space="preserve"> But a</w:t>
      </w:r>
      <w:r w:rsidR="00A72E1F">
        <w:rPr>
          <w:lang w:eastAsia="ja-JP"/>
        </w:rPr>
        <w:t>s Sklansky has observed, “</w:t>
      </w:r>
      <w:r w:rsidR="003E27C5">
        <w:rPr>
          <w:lang w:eastAsia="ja-JP"/>
        </w:rPr>
        <w:t>[t]</w:t>
      </w:r>
      <w:r w:rsidR="00A72E1F" w:rsidRPr="00D33DEA">
        <w:rPr>
          <w:lang w:eastAsia="ja-JP"/>
        </w:rPr>
        <w:t>here is scant reason to think that the Fourth Amendment was intended or originally understood to be a coded instruction to preserve eighteenth-century levels of privacy, or—even less plausibly—the eighteenth-century balance of power between criminals and the forces of the state.</w:t>
      </w:r>
      <w:r w:rsidR="00F16EC1">
        <w:rPr>
          <w:lang w:eastAsia="ja-JP"/>
        </w:rPr>
        <w:t>”</w:t>
      </w:r>
      <w:r w:rsidR="00B959D3" w:rsidRPr="002A4234">
        <w:rPr>
          <w:rStyle w:val="FootnoteReference"/>
        </w:rPr>
        <w:footnoteReference w:id="228"/>
      </w:r>
      <w:r w:rsidR="00BB5DE3">
        <w:rPr>
          <w:lang w:eastAsia="ja-JP"/>
        </w:rPr>
        <w:t xml:space="preserve"> Indeed, </w:t>
      </w:r>
      <w:r w:rsidR="00766DB8">
        <w:rPr>
          <w:lang w:eastAsia="ja-JP"/>
        </w:rPr>
        <w:t xml:space="preserve">why should we </w:t>
      </w:r>
      <w:r w:rsidR="00462219">
        <w:rPr>
          <w:lang w:eastAsia="ja-JP"/>
        </w:rPr>
        <w:t xml:space="preserve">believe that the 1791 </w:t>
      </w:r>
      <w:r w:rsidR="00F255A0">
        <w:rPr>
          <w:lang w:eastAsia="ja-JP"/>
        </w:rPr>
        <w:t>balance</w:t>
      </w:r>
      <w:r w:rsidR="00F62363">
        <w:rPr>
          <w:lang w:eastAsia="ja-JP"/>
        </w:rPr>
        <w:t xml:space="preserve"> of privacy</w:t>
      </w:r>
      <w:r w:rsidR="00F255A0">
        <w:rPr>
          <w:lang w:eastAsia="ja-JP"/>
        </w:rPr>
        <w:t xml:space="preserve"> and </w:t>
      </w:r>
      <w:r w:rsidR="004408C7">
        <w:rPr>
          <w:lang w:eastAsia="ja-JP"/>
        </w:rPr>
        <w:t>government power</w:t>
      </w:r>
      <w:r w:rsidR="00F62363">
        <w:rPr>
          <w:lang w:eastAsia="ja-JP"/>
        </w:rPr>
        <w:t xml:space="preserve">—or even the </w:t>
      </w:r>
      <w:r w:rsidR="00F255A0">
        <w:rPr>
          <w:lang w:eastAsia="ja-JP"/>
        </w:rPr>
        <w:t xml:space="preserve">balance of </w:t>
      </w:r>
      <w:r w:rsidR="00B60167">
        <w:rPr>
          <w:lang w:eastAsia="ja-JP"/>
        </w:rPr>
        <w:t>advantage</w:t>
      </w:r>
      <w:r w:rsidR="00F255A0">
        <w:rPr>
          <w:lang w:eastAsia="ja-JP"/>
        </w:rPr>
        <w:t xml:space="preserve"> between cops and robbers—was somehow ideal and in need of preservation? </w:t>
      </w:r>
      <w:r w:rsidR="0026748F">
        <w:rPr>
          <w:lang w:eastAsia="ja-JP"/>
        </w:rPr>
        <w:t>Moreover,</w:t>
      </w:r>
      <w:r w:rsidR="00A101C7">
        <w:rPr>
          <w:lang w:eastAsia="ja-JP"/>
        </w:rPr>
        <w:t xml:space="preserve"> th</w:t>
      </w:r>
      <w:r w:rsidR="00AC1D22">
        <w:rPr>
          <w:lang w:eastAsia="ja-JP"/>
        </w:rPr>
        <w:t>is theory</w:t>
      </w:r>
      <w:r w:rsidR="00A101C7">
        <w:rPr>
          <w:lang w:eastAsia="ja-JP"/>
        </w:rPr>
        <w:t xml:space="preserve"> assumes </w:t>
      </w:r>
      <w:r w:rsidR="00AC1D22">
        <w:rPr>
          <w:lang w:eastAsia="ja-JP"/>
        </w:rPr>
        <w:t>that</w:t>
      </w:r>
      <w:r w:rsidR="00A101C7">
        <w:rPr>
          <w:lang w:eastAsia="ja-JP"/>
        </w:rPr>
        <w:t xml:space="preserve"> </w:t>
      </w:r>
      <w:r w:rsidR="007038A3">
        <w:rPr>
          <w:lang w:eastAsia="ja-JP"/>
        </w:rPr>
        <w:t>the degree of privacy that existed at the Founding is</w:t>
      </w:r>
      <w:r w:rsidR="00A101C7">
        <w:rPr>
          <w:lang w:eastAsia="ja-JP"/>
        </w:rPr>
        <w:t xml:space="preserve"> fixed and ascertainable; in truth it is</w:t>
      </w:r>
      <w:r w:rsidR="007038A3">
        <w:rPr>
          <w:lang w:eastAsia="ja-JP"/>
        </w:rPr>
        <w:t xml:space="preserve"> “</w:t>
      </w:r>
      <w:r w:rsidR="007038A3" w:rsidRPr="007038A3">
        <w:rPr>
          <w:lang w:eastAsia="ja-JP"/>
        </w:rPr>
        <w:t>wildly indeterminate</w:t>
      </w:r>
      <w:r w:rsidR="007038A3">
        <w:rPr>
          <w:lang w:eastAsia="ja-JP"/>
        </w:rPr>
        <w:t>,” because “</w:t>
      </w:r>
      <w:r w:rsidR="007038A3" w:rsidRPr="007038A3">
        <w:rPr>
          <w:lang w:eastAsia="ja-JP"/>
        </w:rPr>
        <w:t>privacy is neither unidimensional nor evenly distributed</w:t>
      </w:r>
      <w:r w:rsidR="007038A3">
        <w:rPr>
          <w:lang w:eastAsia="ja-JP"/>
        </w:rPr>
        <w:t>.”</w:t>
      </w:r>
      <w:r w:rsidR="007038A3" w:rsidRPr="002A4234">
        <w:rPr>
          <w:rStyle w:val="FootnoteReference"/>
        </w:rPr>
        <w:footnoteReference w:id="229"/>
      </w:r>
    </w:p>
    <w:p w14:paraId="1AC59BEC" w14:textId="40E19561" w:rsidR="00CD2D35" w:rsidRDefault="005A6C17" w:rsidP="00B71CA8">
      <w:pPr>
        <w:pStyle w:val="BodyText"/>
        <w:rPr>
          <w:lang w:eastAsia="ja-JP"/>
        </w:rPr>
      </w:pPr>
      <w:r>
        <w:rPr>
          <w:lang w:eastAsia="ja-JP"/>
        </w:rPr>
        <w:t>What about</w:t>
      </w:r>
      <w:r w:rsidR="00B03431">
        <w:rPr>
          <w:lang w:eastAsia="ja-JP"/>
        </w:rPr>
        <w:t xml:space="preserve"> </w:t>
      </w:r>
      <w:r w:rsidR="00A76FBF">
        <w:rPr>
          <w:lang w:eastAsia="ja-JP"/>
        </w:rPr>
        <w:t xml:space="preserve">Baude and Stern’s “principle of </w:t>
      </w:r>
      <w:r w:rsidR="00C023DF">
        <w:rPr>
          <w:lang w:eastAsia="ja-JP"/>
        </w:rPr>
        <w:t>government nondiscrimination</w:t>
      </w:r>
      <w:r w:rsidR="00830B41">
        <w:rPr>
          <w:lang w:eastAsia="ja-JP"/>
        </w:rPr>
        <w:t>,</w:t>
      </w:r>
      <w:r w:rsidR="00C023DF">
        <w:rPr>
          <w:lang w:eastAsia="ja-JP"/>
        </w:rPr>
        <w:t>”</w:t>
      </w:r>
      <w:r w:rsidR="00830B41">
        <w:rPr>
          <w:lang w:eastAsia="ja-JP"/>
        </w:rPr>
        <w:t xml:space="preserve"> under which the Fourth Amendment guarantees that </w:t>
      </w:r>
      <w:r w:rsidR="0028679E">
        <w:rPr>
          <w:lang w:eastAsia="ja-JP"/>
        </w:rPr>
        <w:t>law enforcement cannot</w:t>
      </w:r>
      <w:r w:rsidR="000912B4">
        <w:rPr>
          <w:lang w:eastAsia="ja-JP"/>
        </w:rPr>
        <w:t>,</w:t>
      </w:r>
      <w:r w:rsidR="004038AE">
        <w:rPr>
          <w:lang w:eastAsia="ja-JP"/>
        </w:rPr>
        <w:t xml:space="preserve"> without a warrant</w:t>
      </w:r>
      <w:r w:rsidR="000912B4">
        <w:rPr>
          <w:lang w:eastAsia="ja-JP"/>
        </w:rPr>
        <w:t>,</w:t>
      </w:r>
      <w:r w:rsidR="0028679E">
        <w:rPr>
          <w:lang w:eastAsia="ja-JP"/>
        </w:rPr>
        <w:t xml:space="preserve"> violate rules </w:t>
      </w:r>
      <w:r w:rsidR="00312DD4">
        <w:rPr>
          <w:lang w:eastAsia="ja-JP"/>
        </w:rPr>
        <w:t xml:space="preserve">governing </w:t>
      </w:r>
      <w:r w:rsidR="00B547C9">
        <w:rPr>
          <w:lang w:eastAsia="ja-JP"/>
        </w:rPr>
        <w:t>private parties?</w:t>
      </w:r>
      <w:r w:rsidR="00CB15B8" w:rsidRPr="002A4234">
        <w:rPr>
          <w:rStyle w:val="FootnoteReference"/>
        </w:rPr>
        <w:footnoteReference w:id="230"/>
      </w:r>
      <w:r w:rsidR="00B547C9">
        <w:rPr>
          <w:lang w:eastAsia="ja-JP"/>
        </w:rPr>
        <w:t xml:space="preserve"> At a high level of generality, our approach has much in common </w:t>
      </w:r>
      <w:r w:rsidR="006E1BE6">
        <w:rPr>
          <w:lang w:eastAsia="ja-JP"/>
        </w:rPr>
        <w:t xml:space="preserve">with Baude and Stern’s. </w:t>
      </w:r>
      <w:r w:rsidR="00CD2D35">
        <w:rPr>
          <w:lang w:eastAsia="ja-JP"/>
        </w:rPr>
        <w:t xml:space="preserve">We agree that </w:t>
      </w:r>
      <w:r w:rsidR="00E74B19">
        <w:rPr>
          <w:lang w:eastAsia="ja-JP"/>
        </w:rPr>
        <w:t>the</w:t>
      </w:r>
      <w:r w:rsidR="008401B7">
        <w:rPr>
          <w:lang w:eastAsia="ja-JP"/>
        </w:rPr>
        <w:t xml:space="preserve"> special</w:t>
      </w:r>
      <w:r w:rsidR="00E74B19">
        <w:rPr>
          <w:lang w:eastAsia="ja-JP"/>
        </w:rPr>
        <w:t xml:space="preserve"> danger</w:t>
      </w:r>
      <w:r w:rsidR="0074664A">
        <w:rPr>
          <w:lang w:eastAsia="ja-JP"/>
        </w:rPr>
        <w:t xml:space="preserve"> posed by</w:t>
      </w:r>
      <w:r w:rsidR="00E74B19">
        <w:rPr>
          <w:lang w:eastAsia="ja-JP"/>
        </w:rPr>
        <w:t xml:space="preserve"> </w:t>
      </w:r>
      <w:r w:rsidR="002F056C">
        <w:rPr>
          <w:lang w:eastAsia="ja-JP"/>
        </w:rPr>
        <w:t xml:space="preserve">state </w:t>
      </w:r>
      <w:r w:rsidR="00E74B19">
        <w:rPr>
          <w:lang w:eastAsia="ja-JP"/>
        </w:rPr>
        <w:t xml:space="preserve">law enforcement is precisely its power to </w:t>
      </w:r>
      <w:r w:rsidR="00213169">
        <w:rPr>
          <w:lang w:eastAsia="ja-JP"/>
        </w:rPr>
        <w:t xml:space="preserve">act above the law—to use its authority as the state to </w:t>
      </w:r>
      <w:r w:rsidR="00C7794A">
        <w:rPr>
          <w:lang w:eastAsia="ja-JP"/>
        </w:rPr>
        <w:t>act in ways that ordinary people cannot</w:t>
      </w:r>
      <w:r w:rsidR="004C6FDE">
        <w:rPr>
          <w:lang w:eastAsia="ja-JP"/>
        </w:rPr>
        <w:t xml:space="preserve"> </w:t>
      </w:r>
      <w:r w:rsidR="00721F91">
        <w:rPr>
          <w:lang w:eastAsia="ja-JP"/>
        </w:rPr>
        <w:t xml:space="preserve">(e.g., </w:t>
      </w:r>
      <w:r w:rsidR="004C6FDE">
        <w:rPr>
          <w:lang w:eastAsia="ja-JP"/>
        </w:rPr>
        <w:t>using force</w:t>
      </w:r>
      <w:r w:rsidR="00BD443D">
        <w:rPr>
          <w:lang w:eastAsia="ja-JP"/>
        </w:rPr>
        <w:t xml:space="preserve"> and imprisoning people</w:t>
      </w:r>
      <w:r w:rsidR="00721F91">
        <w:rPr>
          <w:lang w:eastAsia="ja-JP"/>
        </w:rPr>
        <w:t>)</w:t>
      </w:r>
      <w:r w:rsidR="004C6FDE">
        <w:rPr>
          <w:lang w:eastAsia="ja-JP"/>
        </w:rPr>
        <w:t>.</w:t>
      </w:r>
      <w:r w:rsidR="008401B7" w:rsidRPr="002A4234">
        <w:rPr>
          <w:rStyle w:val="FootnoteReference"/>
        </w:rPr>
        <w:footnoteReference w:id="231"/>
      </w:r>
      <w:r w:rsidR="00810441">
        <w:rPr>
          <w:lang w:eastAsia="ja-JP"/>
        </w:rPr>
        <w:t xml:space="preserve"> </w:t>
      </w:r>
      <w:r w:rsidR="009B1938">
        <w:rPr>
          <w:lang w:eastAsia="ja-JP"/>
        </w:rPr>
        <w:t xml:space="preserve">And for this reason, we agree that the Fourth Amendment should be concerned with scrutinizing </w:t>
      </w:r>
      <w:r w:rsidR="00BD443D">
        <w:rPr>
          <w:lang w:eastAsia="ja-JP"/>
        </w:rPr>
        <w:t>and limiting the situations where the state claims the authority to act in ways not permitted to private citizens.</w:t>
      </w:r>
    </w:p>
    <w:p w14:paraId="4E9B7EC2" w14:textId="7D3B1C9A" w:rsidR="00794B93" w:rsidRDefault="00811160" w:rsidP="00B71CA8">
      <w:pPr>
        <w:pStyle w:val="BodyText"/>
        <w:rPr>
          <w:lang w:eastAsia="ja-JP"/>
        </w:rPr>
      </w:pPr>
      <w:r>
        <w:rPr>
          <w:lang w:eastAsia="ja-JP"/>
        </w:rPr>
        <w:t>But our disagreement concerns</w:t>
      </w:r>
      <w:r w:rsidR="00B33395">
        <w:rPr>
          <w:lang w:eastAsia="ja-JP"/>
        </w:rPr>
        <w:t xml:space="preserve"> where judges should look for </w:t>
      </w:r>
      <w:r w:rsidR="00CD2D35">
        <w:rPr>
          <w:lang w:eastAsia="ja-JP"/>
        </w:rPr>
        <w:t xml:space="preserve">the </w:t>
      </w:r>
      <w:r w:rsidR="00B33395">
        <w:rPr>
          <w:lang w:eastAsia="ja-JP"/>
        </w:rPr>
        <w:t>rules</w:t>
      </w:r>
      <w:r w:rsidR="00CD2D35">
        <w:rPr>
          <w:lang w:eastAsia="ja-JP"/>
        </w:rPr>
        <w:t xml:space="preserve"> governing private parties</w:t>
      </w:r>
      <w:r w:rsidR="00B33395">
        <w:rPr>
          <w:lang w:eastAsia="ja-JP"/>
        </w:rPr>
        <w:t xml:space="preserve">. </w:t>
      </w:r>
      <w:r w:rsidR="0009150F">
        <w:rPr>
          <w:lang w:eastAsia="ja-JP"/>
        </w:rPr>
        <w:t xml:space="preserve">By asking judges to look </w:t>
      </w:r>
      <w:r w:rsidR="00194387">
        <w:rPr>
          <w:lang w:eastAsia="ja-JP"/>
        </w:rPr>
        <w:t xml:space="preserve">only </w:t>
      </w:r>
      <w:r w:rsidR="0009150F">
        <w:rPr>
          <w:lang w:eastAsia="ja-JP"/>
        </w:rPr>
        <w:t>at positive law, Baude and Stern’s approach is both too broad and too narrow. Too broad, because it makes Fourth Amendment protections turn</w:t>
      </w:r>
      <w:r w:rsidR="00DF6586">
        <w:rPr>
          <w:lang w:eastAsia="ja-JP"/>
        </w:rPr>
        <w:t xml:space="preserve"> on legal rules </w:t>
      </w:r>
      <w:r w:rsidR="00C52C4F">
        <w:rPr>
          <w:lang w:eastAsia="ja-JP"/>
        </w:rPr>
        <w:t xml:space="preserve">that have little to do with the </w:t>
      </w:r>
      <w:r w:rsidR="00C52C4F">
        <w:rPr>
          <w:lang w:eastAsia="ja-JP"/>
        </w:rPr>
        <w:lastRenderedPageBreak/>
        <w:t xml:space="preserve">values </w:t>
      </w:r>
      <w:r w:rsidR="002D5105">
        <w:rPr>
          <w:lang w:eastAsia="ja-JP"/>
        </w:rPr>
        <w:t xml:space="preserve">that </w:t>
      </w:r>
      <w:r w:rsidR="00C52C4F">
        <w:rPr>
          <w:lang w:eastAsia="ja-JP"/>
        </w:rPr>
        <w:t xml:space="preserve">the Fourth Amendment seeks to protect. </w:t>
      </w:r>
      <w:r w:rsidR="00B77C77">
        <w:rPr>
          <w:lang w:eastAsia="ja-JP"/>
        </w:rPr>
        <w:t xml:space="preserve">For example, Baude and Stern would have </w:t>
      </w:r>
      <w:r w:rsidR="000040B3">
        <w:rPr>
          <w:lang w:eastAsia="ja-JP"/>
        </w:rPr>
        <w:t xml:space="preserve">Fourth Amendment protections in trash left </w:t>
      </w:r>
      <w:r w:rsidR="00E32DD2">
        <w:rPr>
          <w:lang w:eastAsia="ja-JP"/>
        </w:rPr>
        <w:t xml:space="preserve">curbside </w:t>
      </w:r>
      <w:r w:rsidR="000040B3">
        <w:rPr>
          <w:lang w:eastAsia="ja-JP"/>
        </w:rPr>
        <w:t xml:space="preserve">for pickup turn on </w:t>
      </w:r>
      <w:r w:rsidR="00CB201E">
        <w:rPr>
          <w:lang w:eastAsia="ja-JP"/>
        </w:rPr>
        <w:t xml:space="preserve">“irrelevant details” such as </w:t>
      </w:r>
      <w:r w:rsidR="000040B3">
        <w:rPr>
          <w:lang w:eastAsia="ja-JP"/>
        </w:rPr>
        <w:t xml:space="preserve">the existence of local regulations </w:t>
      </w:r>
      <w:r w:rsidR="00380B74">
        <w:rPr>
          <w:lang w:eastAsia="ja-JP"/>
        </w:rPr>
        <w:t xml:space="preserve">restricting </w:t>
      </w:r>
      <w:r w:rsidR="00656E39">
        <w:rPr>
          <w:lang w:eastAsia="ja-JP"/>
        </w:rPr>
        <w:t>garbage</w:t>
      </w:r>
      <w:r w:rsidR="00380B74">
        <w:rPr>
          <w:lang w:eastAsia="ja-JP"/>
        </w:rPr>
        <w:t xml:space="preserve"> </w:t>
      </w:r>
      <w:r w:rsidR="00656E39">
        <w:rPr>
          <w:lang w:eastAsia="ja-JP"/>
        </w:rPr>
        <w:t>collection</w:t>
      </w:r>
      <w:r w:rsidR="005A5962">
        <w:rPr>
          <w:lang w:eastAsia="ja-JP"/>
        </w:rPr>
        <w:t xml:space="preserve"> to </w:t>
      </w:r>
      <w:r w:rsidR="00DA0DBC">
        <w:rPr>
          <w:lang w:eastAsia="ja-JP"/>
        </w:rPr>
        <w:t xml:space="preserve">licensed </w:t>
      </w:r>
      <w:r w:rsidR="00823760">
        <w:rPr>
          <w:lang w:eastAsia="ja-JP"/>
        </w:rPr>
        <w:t>companies</w:t>
      </w:r>
      <w:r w:rsidR="00DF20D0">
        <w:rPr>
          <w:lang w:eastAsia="ja-JP"/>
        </w:rPr>
        <w:t xml:space="preserve">—rules which </w:t>
      </w:r>
      <w:r w:rsidR="00603244">
        <w:rPr>
          <w:lang w:eastAsia="ja-JP"/>
        </w:rPr>
        <w:t>m</w:t>
      </w:r>
      <w:r w:rsidR="007A194E">
        <w:rPr>
          <w:lang w:eastAsia="ja-JP"/>
        </w:rPr>
        <w:t>ight</w:t>
      </w:r>
      <w:r w:rsidR="00603244">
        <w:rPr>
          <w:lang w:eastAsia="ja-JP"/>
        </w:rPr>
        <w:t xml:space="preserve"> be</w:t>
      </w:r>
      <w:r w:rsidR="00DF20D0">
        <w:rPr>
          <w:lang w:eastAsia="ja-JP"/>
        </w:rPr>
        <w:t xml:space="preserve"> aimed at </w:t>
      </w:r>
      <w:r w:rsidR="00380B74">
        <w:rPr>
          <w:lang w:eastAsia="ja-JP"/>
        </w:rPr>
        <w:t>guaranteeing</w:t>
      </w:r>
      <w:r w:rsidR="00DA0DBC">
        <w:rPr>
          <w:lang w:eastAsia="ja-JP"/>
        </w:rPr>
        <w:t xml:space="preserve"> those with city contracts</w:t>
      </w:r>
      <w:r w:rsidR="00380B74">
        <w:rPr>
          <w:lang w:eastAsia="ja-JP"/>
        </w:rPr>
        <w:t xml:space="preserve"> a monopoly</w:t>
      </w:r>
      <w:r w:rsidR="000029D6">
        <w:rPr>
          <w:lang w:eastAsia="ja-JP"/>
        </w:rPr>
        <w:t xml:space="preserve"> and “</w:t>
      </w:r>
      <w:r w:rsidR="000029D6" w:rsidRPr="000029D6">
        <w:rPr>
          <w:lang w:eastAsia="ja-JP"/>
        </w:rPr>
        <w:t>that have nothing to do with citizens’ privacy, security, or freedom from government intrusion</w:t>
      </w:r>
      <w:r w:rsidR="008C1D6A">
        <w:rPr>
          <w:lang w:eastAsia="ja-JP"/>
        </w:rPr>
        <w:t>.</w:t>
      </w:r>
      <w:r w:rsidR="000029D6">
        <w:rPr>
          <w:lang w:eastAsia="ja-JP"/>
        </w:rPr>
        <w:t>”</w:t>
      </w:r>
      <w:r w:rsidR="00CB201E" w:rsidRPr="002A4234">
        <w:rPr>
          <w:rStyle w:val="FootnoteReference"/>
        </w:rPr>
        <w:footnoteReference w:id="232"/>
      </w:r>
    </w:p>
    <w:p w14:paraId="66A69547" w14:textId="2AE4F6E1" w:rsidR="00191FD4" w:rsidRDefault="008C1D6A" w:rsidP="00B71CA8">
      <w:pPr>
        <w:pStyle w:val="BodyText"/>
        <w:rPr>
          <w:lang w:eastAsia="ja-JP"/>
        </w:rPr>
      </w:pPr>
      <w:r>
        <w:rPr>
          <w:lang w:eastAsia="ja-JP"/>
        </w:rPr>
        <w:t xml:space="preserve">Their </w:t>
      </w:r>
      <w:r w:rsidR="00E92574">
        <w:rPr>
          <w:lang w:eastAsia="ja-JP"/>
        </w:rPr>
        <w:t>approach</w:t>
      </w:r>
      <w:r>
        <w:rPr>
          <w:lang w:eastAsia="ja-JP"/>
        </w:rPr>
        <w:t xml:space="preserve"> is </w:t>
      </w:r>
      <w:r w:rsidR="00E92574">
        <w:rPr>
          <w:lang w:eastAsia="ja-JP"/>
        </w:rPr>
        <w:t xml:space="preserve">also </w:t>
      </w:r>
      <w:r>
        <w:rPr>
          <w:lang w:eastAsia="ja-JP"/>
        </w:rPr>
        <w:t>too narrow</w:t>
      </w:r>
      <w:r w:rsidR="007A194E">
        <w:rPr>
          <w:lang w:eastAsia="ja-JP"/>
        </w:rPr>
        <w:t xml:space="preserve">: </w:t>
      </w:r>
      <w:r>
        <w:rPr>
          <w:lang w:eastAsia="ja-JP"/>
        </w:rPr>
        <w:t xml:space="preserve">it deprives judges of the tools they need </w:t>
      </w:r>
      <w:r w:rsidR="006C244A">
        <w:rPr>
          <w:lang w:eastAsia="ja-JP"/>
        </w:rPr>
        <w:t xml:space="preserve">to protect Fourth Amendment values in contexts where state legislatures and courts have not spoken. </w:t>
      </w:r>
      <w:r w:rsidR="00F665ED">
        <w:rPr>
          <w:lang w:eastAsia="ja-JP"/>
        </w:rPr>
        <w:t>Moreover,</w:t>
      </w:r>
      <w:r w:rsidR="003653FE">
        <w:rPr>
          <w:lang w:eastAsia="ja-JP"/>
        </w:rPr>
        <w:t xml:space="preserve"> under</w:t>
      </w:r>
      <w:r w:rsidR="00F665ED">
        <w:rPr>
          <w:lang w:eastAsia="ja-JP"/>
        </w:rPr>
        <w:t xml:space="preserve"> the pure</w:t>
      </w:r>
      <w:r w:rsidR="00BB2B45">
        <w:rPr>
          <w:lang w:eastAsia="ja-JP"/>
        </w:rPr>
        <w:t xml:space="preserve"> </w:t>
      </w:r>
      <w:r w:rsidR="00F665ED">
        <w:rPr>
          <w:lang w:eastAsia="ja-JP"/>
        </w:rPr>
        <w:t>positive-law approach</w:t>
      </w:r>
      <w:r w:rsidR="003653FE">
        <w:rPr>
          <w:lang w:eastAsia="ja-JP"/>
        </w:rPr>
        <w:t xml:space="preserve">, </w:t>
      </w:r>
      <w:r w:rsidR="0091213A">
        <w:rPr>
          <w:lang w:eastAsia="ja-JP"/>
        </w:rPr>
        <w:t xml:space="preserve">the Fourth Amendment’s </w:t>
      </w:r>
      <w:r w:rsidR="00497CF2">
        <w:rPr>
          <w:lang w:eastAsia="ja-JP"/>
        </w:rPr>
        <w:t xml:space="preserve">protections </w:t>
      </w:r>
      <w:r w:rsidR="00224ED0">
        <w:rPr>
          <w:lang w:eastAsia="ja-JP"/>
        </w:rPr>
        <w:t xml:space="preserve">would </w:t>
      </w:r>
      <w:r w:rsidR="00F613FA">
        <w:rPr>
          <w:lang w:eastAsia="ja-JP"/>
        </w:rPr>
        <w:t>vary, perhaps wildly,</w:t>
      </w:r>
      <w:r w:rsidR="00224ED0">
        <w:rPr>
          <w:lang w:eastAsia="ja-JP"/>
        </w:rPr>
        <w:t xml:space="preserve"> jurisdiction to jurisdiction. This would create a confusing morass for multi-jurisdictional law enforcement efforts</w:t>
      </w:r>
      <w:r w:rsidR="003B1490">
        <w:rPr>
          <w:lang w:eastAsia="ja-JP"/>
        </w:rPr>
        <w:t xml:space="preserve"> and for courts trying to </w:t>
      </w:r>
      <w:r w:rsidR="00483795">
        <w:rPr>
          <w:lang w:eastAsia="ja-JP"/>
        </w:rPr>
        <w:t xml:space="preserve">resolve </w:t>
      </w:r>
      <w:r w:rsidR="003B1490">
        <w:rPr>
          <w:lang w:eastAsia="ja-JP"/>
        </w:rPr>
        <w:t xml:space="preserve">Fourth Amendment </w:t>
      </w:r>
      <w:r w:rsidR="00483795">
        <w:rPr>
          <w:lang w:eastAsia="ja-JP"/>
        </w:rPr>
        <w:t>questions</w:t>
      </w:r>
      <w:r w:rsidR="003B1490">
        <w:rPr>
          <w:lang w:eastAsia="ja-JP"/>
        </w:rPr>
        <w:t xml:space="preserve">. The general-law approach, by contrast, generates </w:t>
      </w:r>
      <w:r w:rsidR="003B1490" w:rsidRPr="00D60AAC">
        <w:rPr>
          <w:i/>
          <w:iCs/>
          <w:lang w:eastAsia="ja-JP"/>
        </w:rPr>
        <w:t>national</w:t>
      </w:r>
      <w:r w:rsidR="003B1490">
        <w:rPr>
          <w:lang w:eastAsia="ja-JP"/>
        </w:rPr>
        <w:t xml:space="preserve"> rules that would bind law enforcement across the nation and the federal, state, and local level</w:t>
      </w:r>
      <w:r w:rsidR="00D60AAC">
        <w:rPr>
          <w:lang w:eastAsia="ja-JP"/>
        </w:rPr>
        <w:t>s</w:t>
      </w:r>
      <w:r w:rsidR="003B1490">
        <w:rPr>
          <w:lang w:eastAsia="ja-JP"/>
        </w:rPr>
        <w:t xml:space="preserve">. </w:t>
      </w:r>
    </w:p>
    <w:p w14:paraId="4865C140" w14:textId="7CE9E225" w:rsidR="00F26CF5" w:rsidRDefault="00963971" w:rsidP="00132DFE">
      <w:pPr>
        <w:pStyle w:val="Heading4"/>
      </w:pPr>
      <w:bookmarkStart w:id="60" w:name="_Toc111723677"/>
      <w:r>
        <w:t xml:space="preserve">Flexibility </w:t>
      </w:r>
      <w:r w:rsidR="006626D4">
        <w:t>and Constraint</w:t>
      </w:r>
      <w:bookmarkEnd w:id="57"/>
      <w:bookmarkEnd w:id="60"/>
    </w:p>
    <w:p w14:paraId="593065F3" w14:textId="654A4331" w:rsidR="00531F97" w:rsidRPr="00D074FD" w:rsidRDefault="000D4FE5" w:rsidP="00D074FD">
      <w:pPr>
        <w:pStyle w:val="BodyText"/>
        <w:rPr>
          <w:rFonts w:eastAsia="Calibri"/>
        </w:rPr>
      </w:pPr>
      <w:r>
        <w:rPr>
          <w:rFonts w:eastAsia="Calibri"/>
        </w:rPr>
        <w:t>M</w:t>
      </w:r>
      <w:r w:rsidR="00303781">
        <w:rPr>
          <w:rFonts w:eastAsia="Calibri"/>
        </w:rPr>
        <w:t xml:space="preserve">any see the </w:t>
      </w:r>
      <w:r w:rsidR="00303781">
        <w:rPr>
          <w:rFonts w:eastAsia="Calibri"/>
          <w:i/>
          <w:iCs/>
        </w:rPr>
        <w:t>Katz</w:t>
      </w:r>
      <w:r w:rsidR="00303781">
        <w:rPr>
          <w:rFonts w:eastAsia="Calibri"/>
        </w:rPr>
        <w:t xml:space="preserve"> test as problematic </w:t>
      </w:r>
      <w:r w:rsidR="009A6392">
        <w:rPr>
          <w:rFonts w:eastAsia="Calibri"/>
        </w:rPr>
        <w:t>because of how it</w:t>
      </w:r>
      <w:r w:rsidR="00303781">
        <w:rPr>
          <w:rFonts w:eastAsia="Calibri"/>
        </w:rPr>
        <w:t xml:space="preserve"> </w:t>
      </w:r>
      <w:r w:rsidR="00B77EC4">
        <w:rPr>
          <w:rFonts w:eastAsia="Calibri"/>
        </w:rPr>
        <w:t>give</w:t>
      </w:r>
      <w:r w:rsidR="00CB15B8">
        <w:rPr>
          <w:rFonts w:eastAsia="Calibri"/>
        </w:rPr>
        <w:t>s</w:t>
      </w:r>
      <w:r w:rsidR="00B77EC4">
        <w:rPr>
          <w:rFonts w:eastAsia="Calibri"/>
        </w:rPr>
        <w:t xml:space="preserve"> judges </w:t>
      </w:r>
      <w:r w:rsidR="00CB15B8">
        <w:rPr>
          <w:rFonts w:eastAsia="Calibri"/>
        </w:rPr>
        <w:t>a great</w:t>
      </w:r>
      <w:r w:rsidR="00B77EC4">
        <w:rPr>
          <w:rFonts w:eastAsia="Calibri"/>
        </w:rPr>
        <w:t xml:space="preserve"> </w:t>
      </w:r>
      <w:r w:rsidR="00CB15B8">
        <w:rPr>
          <w:rFonts w:eastAsia="Calibri"/>
        </w:rPr>
        <w:t>deal of</w:t>
      </w:r>
      <w:r w:rsidR="00B77EC4">
        <w:rPr>
          <w:rFonts w:eastAsia="Calibri"/>
        </w:rPr>
        <w:t xml:space="preserve"> discretion to shape Fourth Amendment protections based on their own </w:t>
      </w:r>
      <w:r w:rsidR="00CB15B8">
        <w:rPr>
          <w:rFonts w:eastAsia="Calibri"/>
        </w:rPr>
        <w:t xml:space="preserve">intuitions about reasonableness—and likely their own </w:t>
      </w:r>
      <w:r w:rsidR="00B77EC4">
        <w:rPr>
          <w:rFonts w:eastAsia="Calibri"/>
        </w:rPr>
        <w:t>preferences.</w:t>
      </w:r>
      <w:r w:rsidR="00067C5C" w:rsidRPr="002A4234">
        <w:rPr>
          <w:rStyle w:val="FootnoteReference"/>
          <w:rFonts w:eastAsia="Calibri"/>
        </w:rPr>
        <w:footnoteReference w:id="233"/>
      </w:r>
      <w:r w:rsidR="00B77EC4">
        <w:rPr>
          <w:rFonts w:eastAsia="Calibri"/>
        </w:rPr>
        <w:t xml:space="preserve"> At the same time, </w:t>
      </w:r>
      <w:r w:rsidR="00257C6B">
        <w:rPr>
          <w:rFonts w:eastAsia="Calibri"/>
        </w:rPr>
        <w:t xml:space="preserve">the alternatives </w:t>
      </w:r>
      <w:r w:rsidR="00194387">
        <w:rPr>
          <w:rFonts w:eastAsia="Calibri"/>
        </w:rPr>
        <w:t>tend to be too rigid</w:t>
      </w:r>
      <w:r w:rsidR="00257C6B">
        <w:rPr>
          <w:rFonts w:eastAsia="Calibri"/>
        </w:rPr>
        <w:t xml:space="preserve">. </w:t>
      </w:r>
      <w:r w:rsidR="00C5532F">
        <w:rPr>
          <w:rFonts w:eastAsia="Calibri"/>
        </w:rPr>
        <w:t>Rigid adherence to</w:t>
      </w:r>
      <w:r w:rsidR="008F7DA7">
        <w:rPr>
          <w:rFonts w:eastAsia="Calibri"/>
        </w:rPr>
        <w:t xml:space="preserve"> 1791 common law </w:t>
      </w:r>
      <w:r w:rsidR="00204FE0">
        <w:rPr>
          <w:rFonts w:eastAsia="Calibri"/>
        </w:rPr>
        <w:t xml:space="preserve">leaves judges ill equipped to resolve hard Fourth Amendment questions about fact patterns </w:t>
      </w:r>
      <w:r w:rsidR="00147CDB">
        <w:rPr>
          <w:rFonts w:eastAsia="Calibri"/>
        </w:rPr>
        <w:t xml:space="preserve">that bear little resemblance to those that </w:t>
      </w:r>
      <w:r w:rsidR="00E55CC4">
        <w:rPr>
          <w:rFonts w:eastAsia="Calibri"/>
        </w:rPr>
        <w:t>18th</w:t>
      </w:r>
      <w:r w:rsidR="00147CDB">
        <w:rPr>
          <w:rFonts w:eastAsia="Calibri"/>
        </w:rPr>
        <w:t xml:space="preserve">-century tort law had to confront. </w:t>
      </w:r>
      <w:r w:rsidR="005237D6">
        <w:rPr>
          <w:rFonts w:eastAsia="Calibri"/>
        </w:rPr>
        <w:t xml:space="preserve">The general-law approach </w:t>
      </w:r>
      <w:r w:rsidR="0030203C">
        <w:rPr>
          <w:rFonts w:eastAsia="Calibri"/>
        </w:rPr>
        <w:t>steers between</w:t>
      </w:r>
      <w:r w:rsidR="003B67CF">
        <w:rPr>
          <w:rFonts w:eastAsia="Calibri"/>
        </w:rPr>
        <w:t xml:space="preserve"> these t</w:t>
      </w:r>
      <w:r w:rsidR="00C37BCA">
        <w:rPr>
          <w:rFonts w:eastAsia="Calibri"/>
        </w:rPr>
        <w:t>w</w:t>
      </w:r>
      <w:r w:rsidR="003B67CF">
        <w:rPr>
          <w:rFonts w:eastAsia="Calibri"/>
        </w:rPr>
        <w:t xml:space="preserve">o extremes. It is flexible enough to </w:t>
      </w:r>
      <w:r w:rsidR="00822243">
        <w:rPr>
          <w:rFonts w:eastAsia="Calibri"/>
        </w:rPr>
        <w:t xml:space="preserve">allow courts to </w:t>
      </w:r>
      <w:r w:rsidR="00797542">
        <w:rPr>
          <w:rFonts w:eastAsia="Calibri"/>
        </w:rPr>
        <w:t xml:space="preserve">shape rules to protect </w:t>
      </w:r>
      <w:r w:rsidR="0030203C">
        <w:rPr>
          <w:rFonts w:eastAsia="Calibri"/>
        </w:rPr>
        <w:t>against</w:t>
      </w:r>
      <w:r w:rsidR="00797542">
        <w:rPr>
          <w:rFonts w:eastAsia="Calibri"/>
        </w:rPr>
        <w:t xml:space="preserve"> unforeseen </w:t>
      </w:r>
      <w:r w:rsidR="001F3FE3">
        <w:rPr>
          <w:rFonts w:eastAsia="Calibri"/>
        </w:rPr>
        <w:t xml:space="preserve">challenges to the </w:t>
      </w:r>
      <w:r w:rsidR="000402F5">
        <w:rPr>
          <w:rFonts w:eastAsia="Calibri"/>
        </w:rPr>
        <w:t>values the</w:t>
      </w:r>
      <w:r w:rsidR="00051A96">
        <w:rPr>
          <w:rFonts w:eastAsia="Calibri"/>
        </w:rPr>
        <w:t xml:space="preserve"> Fourth</w:t>
      </w:r>
      <w:r w:rsidR="000402F5">
        <w:rPr>
          <w:rFonts w:eastAsia="Calibri"/>
        </w:rPr>
        <w:t xml:space="preserve"> Amendment enshrines. But because </w:t>
      </w:r>
      <w:r w:rsidR="00181A8A">
        <w:rPr>
          <w:lang w:eastAsia="ja-JP"/>
        </w:rPr>
        <w:t xml:space="preserve">it seeks continuity with the past and looks to a large body of legal decisions as a source of guidance, it gives courts </w:t>
      </w:r>
      <w:r w:rsidR="00D24181">
        <w:rPr>
          <w:lang w:eastAsia="ja-JP"/>
        </w:rPr>
        <w:t xml:space="preserve">greater constraints </w:t>
      </w:r>
      <w:r w:rsidR="00760D17">
        <w:rPr>
          <w:lang w:eastAsia="ja-JP"/>
        </w:rPr>
        <w:t>and more wisdom to draw on</w:t>
      </w:r>
      <w:r w:rsidR="00D24181">
        <w:rPr>
          <w:lang w:eastAsia="ja-JP"/>
        </w:rPr>
        <w:t xml:space="preserve"> than</w:t>
      </w:r>
      <w:r w:rsidR="00DE7570">
        <w:rPr>
          <w:lang w:eastAsia="ja-JP"/>
        </w:rPr>
        <w:t xml:space="preserve"> does</w:t>
      </w:r>
      <w:r w:rsidR="00181A8A">
        <w:rPr>
          <w:lang w:eastAsia="ja-JP"/>
        </w:rPr>
        <w:t xml:space="preserve"> an open-ended invitation to opine on societal privacy expectations.</w:t>
      </w:r>
      <w:r w:rsidR="001E3088">
        <w:rPr>
          <w:rStyle w:val="FootnoteReference"/>
          <w:lang w:eastAsia="ja-JP"/>
        </w:rPr>
        <w:footnoteReference w:id="234"/>
      </w:r>
    </w:p>
    <w:p w14:paraId="026E1463" w14:textId="288DBF5A" w:rsidR="00D074FD" w:rsidRDefault="00D24181" w:rsidP="00D074FD">
      <w:pPr>
        <w:pStyle w:val="BodyText"/>
        <w:rPr>
          <w:rFonts w:eastAsia="Calibri"/>
          <w:lang w:eastAsia="ja-JP"/>
        </w:rPr>
      </w:pPr>
      <w:r>
        <w:rPr>
          <w:lang w:eastAsia="ja-JP"/>
        </w:rPr>
        <w:t>Under our</w:t>
      </w:r>
      <w:r w:rsidR="0006493D">
        <w:rPr>
          <w:lang w:eastAsia="ja-JP"/>
        </w:rPr>
        <w:t xml:space="preserve"> approach</w:t>
      </w:r>
      <w:r>
        <w:rPr>
          <w:lang w:eastAsia="ja-JP"/>
        </w:rPr>
        <w:t xml:space="preserve">, courts </w:t>
      </w:r>
      <w:r w:rsidR="0030203C">
        <w:rPr>
          <w:lang w:eastAsia="ja-JP"/>
        </w:rPr>
        <w:t>w</w:t>
      </w:r>
      <w:r>
        <w:rPr>
          <w:lang w:eastAsia="ja-JP"/>
        </w:rPr>
        <w:t>ould</w:t>
      </w:r>
      <w:r w:rsidR="00DE7570">
        <w:rPr>
          <w:lang w:eastAsia="ja-JP"/>
        </w:rPr>
        <w:t xml:space="preserve">, </w:t>
      </w:r>
      <w:r w:rsidR="0006493D">
        <w:rPr>
          <w:lang w:eastAsia="ja-JP"/>
        </w:rPr>
        <w:t>as</w:t>
      </w:r>
      <w:r w:rsidR="006B4A38">
        <w:rPr>
          <w:lang w:eastAsia="ja-JP"/>
        </w:rPr>
        <w:t xml:space="preserve"> </w:t>
      </w:r>
      <w:r w:rsidR="0006493D">
        <w:rPr>
          <w:lang w:eastAsia="ja-JP"/>
        </w:rPr>
        <w:t>Brady argues in the context of defining “effects</w:t>
      </w:r>
      <w:r w:rsidR="00DE7570">
        <w:rPr>
          <w:lang w:eastAsia="ja-JP"/>
        </w:rPr>
        <w:t>,</w:t>
      </w:r>
      <w:r>
        <w:rPr>
          <w:lang w:eastAsia="ja-JP"/>
        </w:rPr>
        <w:t>”</w:t>
      </w:r>
      <w:r w:rsidR="00DE7570">
        <w:rPr>
          <w:lang w:eastAsia="ja-JP"/>
        </w:rPr>
        <w:t xml:space="preserve"> </w:t>
      </w:r>
      <w:r w:rsidR="0006493D">
        <w:rPr>
          <w:lang w:eastAsia="ja-JP"/>
        </w:rPr>
        <w:t>“look[] to the Founding-era meaning and fill[] it with modern content.”</w:t>
      </w:r>
      <w:r w:rsidR="0006493D" w:rsidRPr="002A4234">
        <w:rPr>
          <w:rStyle w:val="FootnoteReference"/>
        </w:rPr>
        <w:footnoteReference w:id="235"/>
      </w:r>
      <w:r w:rsidR="0006493D">
        <w:rPr>
          <w:lang w:eastAsia="ja-JP"/>
        </w:rPr>
        <w:t xml:space="preserve"> One starts with the common-law concepts that would have been known in 1791. But that is only a starting point</w:t>
      </w:r>
      <w:r w:rsidR="00F613FA">
        <w:rPr>
          <w:lang w:eastAsia="ja-JP"/>
        </w:rPr>
        <w:t>.</w:t>
      </w:r>
      <w:r w:rsidR="0006493D">
        <w:rPr>
          <w:lang w:eastAsia="ja-JP"/>
        </w:rPr>
        <w:t xml:space="preserve"> </w:t>
      </w:r>
      <w:r w:rsidR="00F613FA">
        <w:rPr>
          <w:lang w:eastAsia="ja-JP"/>
        </w:rPr>
        <w:t xml:space="preserve">One </w:t>
      </w:r>
      <w:r w:rsidR="0006493D">
        <w:rPr>
          <w:lang w:eastAsia="ja-JP"/>
        </w:rPr>
        <w:t xml:space="preserve">would </w:t>
      </w:r>
      <w:r w:rsidR="00F613FA">
        <w:rPr>
          <w:lang w:eastAsia="ja-JP"/>
        </w:rPr>
        <w:t xml:space="preserve">also </w:t>
      </w:r>
      <w:r w:rsidR="0006493D">
        <w:rPr>
          <w:lang w:eastAsia="ja-JP"/>
        </w:rPr>
        <w:t>look to the development of the common law since 1791</w:t>
      </w:r>
      <w:r w:rsidR="00F613FA">
        <w:rPr>
          <w:lang w:eastAsia="ja-JP"/>
        </w:rPr>
        <w:t>. And one</w:t>
      </w:r>
      <w:r w:rsidR="0006493D">
        <w:rPr>
          <w:lang w:eastAsia="ja-JP"/>
        </w:rPr>
        <w:t xml:space="preserve"> would apply and adapt traditional common</w:t>
      </w:r>
      <w:r w:rsidR="00051A96">
        <w:rPr>
          <w:lang w:eastAsia="ja-JP"/>
        </w:rPr>
        <w:t>-</w:t>
      </w:r>
      <w:r w:rsidR="0006493D">
        <w:rPr>
          <w:lang w:eastAsia="ja-JP"/>
        </w:rPr>
        <w:t>law concepts to</w:t>
      </w:r>
      <w:r w:rsidR="00F613FA">
        <w:rPr>
          <w:lang w:eastAsia="ja-JP"/>
        </w:rPr>
        <w:t xml:space="preserve"> entirely</w:t>
      </w:r>
      <w:r w:rsidR="0006493D">
        <w:rPr>
          <w:lang w:eastAsia="ja-JP"/>
        </w:rPr>
        <w:t xml:space="preserve"> new contexts. Indeed, this is essentially what courts interpreting general law already do in areas such as federal contracting and mari</w:t>
      </w:r>
      <w:r w:rsidR="0006493D">
        <w:rPr>
          <w:lang w:eastAsia="ja-JP"/>
        </w:rPr>
        <w:lastRenderedPageBreak/>
        <w:t xml:space="preserve">time law. This approach provides sufficient flexibility to allow the Fourth Amendment to sensibly regulate new types of searches and new technologies. And it recognizes that identifying common-law rules is far from a scientific inquiry. </w:t>
      </w:r>
      <w:r w:rsidR="004F4088">
        <w:rPr>
          <w:lang w:eastAsia="ja-JP"/>
        </w:rPr>
        <w:t>But</w:t>
      </w:r>
      <w:r w:rsidR="009608CE">
        <w:rPr>
          <w:lang w:eastAsia="ja-JP"/>
        </w:rPr>
        <w:t xml:space="preserve"> it</w:t>
      </w:r>
      <w:r w:rsidR="004F4088">
        <w:rPr>
          <w:lang w:eastAsia="ja-JP"/>
        </w:rPr>
        <w:t xml:space="preserve"> </w:t>
      </w:r>
      <w:r w:rsidR="001F66F2">
        <w:rPr>
          <w:lang w:eastAsia="ja-JP"/>
        </w:rPr>
        <w:t xml:space="preserve">is a more </w:t>
      </w:r>
      <w:r w:rsidR="00EF12D4">
        <w:rPr>
          <w:lang w:eastAsia="ja-JP"/>
        </w:rPr>
        <w:t xml:space="preserve">structured </w:t>
      </w:r>
      <w:r w:rsidR="00435956">
        <w:rPr>
          <w:lang w:eastAsia="ja-JP"/>
        </w:rPr>
        <w:t>process</w:t>
      </w:r>
      <w:r w:rsidR="00EF12D4">
        <w:rPr>
          <w:lang w:eastAsia="ja-JP"/>
        </w:rPr>
        <w:t xml:space="preserve"> than the </w:t>
      </w:r>
      <w:r w:rsidR="00EF12D4">
        <w:rPr>
          <w:i/>
          <w:iCs/>
          <w:lang w:eastAsia="ja-JP"/>
        </w:rPr>
        <w:t xml:space="preserve">Katz </w:t>
      </w:r>
      <w:r w:rsidR="00EF12D4">
        <w:rPr>
          <w:lang w:eastAsia="ja-JP"/>
        </w:rPr>
        <w:t>test.</w:t>
      </w:r>
    </w:p>
    <w:p w14:paraId="041F3829" w14:textId="7D3D970C" w:rsidR="00D074FD" w:rsidRDefault="005C2959" w:rsidP="00D074FD">
      <w:pPr>
        <w:pStyle w:val="BodyText"/>
        <w:rPr>
          <w:rFonts w:eastAsia="Calibri"/>
        </w:rPr>
      </w:pPr>
      <w:r>
        <w:rPr>
          <w:rFonts w:eastAsia="Calibri"/>
        </w:rPr>
        <w:t>And</w:t>
      </w:r>
      <w:r w:rsidR="004A78DA">
        <w:rPr>
          <w:rFonts w:eastAsia="Calibri"/>
        </w:rPr>
        <w:t xml:space="preserve"> it</w:t>
      </w:r>
      <w:r w:rsidR="00C57675">
        <w:rPr>
          <w:rFonts w:eastAsia="Calibri"/>
        </w:rPr>
        <w:t xml:space="preserve"> can </w:t>
      </w:r>
      <w:r w:rsidR="00492113">
        <w:rPr>
          <w:rFonts w:eastAsia="Calibri"/>
        </w:rPr>
        <w:t>even</w:t>
      </w:r>
      <w:r w:rsidR="00C57675">
        <w:rPr>
          <w:rFonts w:eastAsia="Calibri"/>
        </w:rPr>
        <w:t xml:space="preserve"> answer the </w:t>
      </w:r>
      <w:r w:rsidR="00492113">
        <w:rPr>
          <w:rFonts w:eastAsia="Calibri"/>
        </w:rPr>
        <w:t>kinds of</w:t>
      </w:r>
      <w:r w:rsidR="00C57675">
        <w:rPr>
          <w:rFonts w:eastAsia="Calibri"/>
        </w:rPr>
        <w:t xml:space="preserve"> questions that </w:t>
      </w:r>
      <w:r w:rsidR="00C57675">
        <w:rPr>
          <w:rFonts w:eastAsia="Calibri"/>
          <w:i/>
          <w:iCs/>
        </w:rPr>
        <w:t>Katz</w:t>
      </w:r>
      <w:r w:rsidR="00C57675">
        <w:rPr>
          <w:rFonts w:eastAsia="Calibri"/>
        </w:rPr>
        <w:t xml:space="preserve"> asks better than the </w:t>
      </w:r>
      <w:r w:rsidR="00C57675">
        <w:rPr>
          <w:rFonts w:eastAsia="Calibri"/>
          <w:i/>
          <w:iCs/>
        </w:rPr>
        <w:t xml:space="preserve">Katz </w:t>
      </w:r>
      <w:r w:rsidR="00C57675">
        <w:rPr>
          <w:rFonts w:eastAsia="Calibri"/>
        </w:rPr>
        <w:t xml:space="preserve">test </w:t>
      </w:r>
      <w:r w:rsidR="004A78DA">
        <w:rPr>
          <w:rFonts w:eastAsia="Calibri"/>
        </w:rPr>
        <w:t>itself.</w:t>
      </w:r>
      <w:r w:rsidR="00C57675">
        <w:rPr>
          <w:rFonts w:eastAsia="Calibri"/>
        </w:rPr>
        <w:t xml:space="preserve"> </w:t>
      </w:r>
      <w:r w:rsidR="00D074FD">
        <w:rPr>
          <w:rFonts w:eastAsia="Calibri"/>
        </w:rPr>
        <w:t>As an early advocate of a positive-law approach argued</w:t>
      </w:r>
      <w:r w:rsidR="00120BEA">
        <w:rPr>
          <w:rFonts w:eastAsia="Calibri"/>
        </w:rPr>
        <w:t>,</w:t>
      </w:r>
    </w:p>
    <w:p w14:paraId="725FAF8E" w14:textId="77777777" w:rsidR="00DE7570" w:rsidRPr="003A4AA5" w:rsidRDefault="00DE7570" w:rsidP="00D074FD">
      <w:pPr>
        <w:pStyle w:val="BodyText"/>
        <w:rPr>
          <w:lang w:eastAsia="ja-JP"/>
        </w:rPr>
      </w:pPr>
    </w:p>
    <w:p w14:paraId="7FD75D32" w14:textId="45712161" w:rsidR="00963971" w:rsidRDefault="00061FCE" w:rsidP="00C57675">
      <w:pPr>
        <w:pStyle w:val="BlockQuote"/>
        <w:rPr>
          <w:rFonts w:eastAsia="Calibri"/>
        </w:rPr>
      </w:pPr>
      <w:r>
        <w:rPr>
          <w:rFonts w:eastAsia="Calibri"/>
        </w:rPr>
        <w:t>t</w:t>
      </w:r>
      <w:r w:rsidR="00D074FD" w:rsidRPr="00AA1765">
        <w:rPr>
          <w:rFonts w:eastAsia="Calibri"/>
        </w:rPr>
        <w:t xml:space="preserve">he common law system is rationalized in large part on its ability to afford judges the flexibility they need to adapt the law to new situations and changes in society. The role of the common law judge is to do just that—implement shifting social expectations. The common law method, which often includes careful examination (and even incorporation) of custom, is well-suited to meet that challenge. As a result, the common law ultimately reflects society’s expectations more accurately than any </w:t>
      </w:r>
      <w:r w:rsidR="00D074FD" w:rsidRPr="009F24D4">
        <w:rPr>
          <w:rFonts w:eastAsia="Calibri"/>
          <w:i/>
          <w:iCs/>
        </w:rPr>
        <w:t>Katz</w:t>
      </w:r>
      <w:r w:rsidR="00D074FD" w:rsidRPr="00AA1765">
        <w:rPr>
          <w:rFonts w:eastAsia="Calibri"/>
        </w:rPr>
        <w:t>-like test.</w:t>
      </w:r>
      <w:r w:rsidR="00D074FD" w:rsidRPr="002A4234">
        <w:rPr>
          <w:rStyle w:val="FootnoteReference"/>
          <w:rFonts w:eastAsia="Calibri"/>
        </w:rPr>
        <w:footnoteReference w:id="236"/>
      </w:r>
    </w:p>
    <w:p w14:paraId="07DD94B0" w14:textId="77777777" w:rsidR="00DE7570" w:rsidRPr="00DE7570" w:rsidRDefault="00DE7570" w:rsidP="00F15925">
      <w:pPr>
        <w:pStyle w:val="BodyText"/>
        <w:rPr>
          <w:rFonts w:eastAsia="Calibri"/>
        </w:rPr>
      </w:pPr>
    </w:p>
    <w:p w14:paraId="5F4FC259" w14:textId="2B964615" w:rsidR="00531F97" w:rsidRDefault="00C57675" w:rsidP="00963971">
      <w:pPr>
        <w:pStyle w:val="BodyText"/>
        <w:rPr>
          <w:rFonts w:eastAsia="Calibri"/>
        </w:rPr>
      </w:pPr>
      <w:r>
        <w:rPr>
          <w:rFonts w:eastAsia="Calibri"/>
        </w:rPr>
        <w:t>T</w:t>
      </w:r>
      <w:r w:rsidR="00963971">
        <w:rPr>
          <w:rFonts w:eastAsia="Calibri"/>
        </w:rPr>
        <w:t>he general</w:t>
      </w:r>
      <w:r w:rsidR="00492113">
        <w:rPr>
          <w:rFonts w:eastAsia="Calibri"/>
        </w:rPr>
        <w:t>-</w:t>
      </w:r>
      <w:r w:rsidR="00963971">
        <w:rPr>
          <w:rFonts w:eastAsia="Calibri"/>
        </w:rPr>
        <w:t xml:space="preserve">law </w:t>
      </w:r>
      <w:r w:rsidR="00492113">
        <w:rPr>
          <w:rFonts w:eastAsia="Calibri"/>
        </w:rPr>
        <w:t>approach</w:t>
      </w:r>
      <w:r w:rsidR="00963971">
        <w:rPr>
          <w:rFonts w:eastAsia="Calibri"/>
        </w:rPr>
        <w:t xml:space="preserve"> is </w:t>
      </w:r>
      <w:r w:rsidR="00A96426">
        <w:rPr>
          <w:rFonts w:eastAsia="Calibri"/>
        </w:rPr>
        <w:t xml:space="preserve">also better </w:t>
      </w:r>
      <w:r w:rsidR="00963971">
        <w:rPr>
          <w:rFonts w:eastAsia="Calibri"/>
        </w:rPr>
        <w:t xml:space="preserve">positioned to </w:t>
      </w:r>
      <w:r w:rsidR="00A96426">
        <w:rPr>
          <w:rFonts w:eastAsia="Calibri"/>
        </w:rPr>
        <w:t>address</w:t>
      </w:r>
      <w:r w:rsidR="00963971">
        <w:rPr>
          <w:rFonts w:eastAsia="Calibri"/>
        </w:rPr>
        <w:t xml:space="preserve"> technological innovations</w:t>
      </w:r>
      <w:r w:rsidR="00434A35">
        <w:rPr>
          <w:rFonts w:eastAsia="Calibri"/>
        </w:rPr>
        <w:t xml:space="preserve"> than </w:t>
      </w:r>
      <w:r w:rsidR="00DC2822">
        <w:rPr>
          <w:rFonts w:eastAsia="Calibri"/>
        </w:rPr>
        <w:t>the</w:t>
      </w:r>
      <w:r w:rsidR="00434A35">
        <w:rPr>
          <w:rFonts w:eastAsia="Calibri"/>
        </w:rPr>
        <w:t xml:space="preserve"> pure</w:t>
      </w:r>
      <w:r w:rsidR="0067714D">
        <w:rPr>
          <w:rFonts w:eastAsia="Calibri"/>
        </w:rPr>
        <w:t xml:space="preserve"> </w:t>
      </w:r>
      <w:r w:rsidR="00434A35">
        <w:rPr>
          <w:rFonts w:eastAsia="Calibri"/>
        </w:rPr>
        <w:t>positive-law model</w:t>
      </w:r>
      <w:r w:rsidR="00963971">
        <w:rPr>
          <w:rFonts w:eastAsia="Calibri"/>
        </w:rPr>
        <w:t>.</w:t>
      </w:r>
      <w:r w:rsidR="00A96426">
        <w:rPr>
          <w:rFonts w:eastAsia="Calibri"/>
        </w:rPr>
        <w:t xml:space="preserve"> S</w:t>
      </w:r>
      <w:r w:rsidR="00963971">
        <w:rPr>
          <w:rFonts w:eastAsia="Calibri"/>
        </w:rPr>
        <w:t>tate courts must delicately balance their common</w:t>
      </w:r>
      <w:r w:rsidR="00091888">
        <w:rPr>
          <w:rFonts w:eastAsia="Calibri"/>
        </w:rPr>
        <w:t>-</w:t>
      </w:r>
      <w:r w:rsidR="00963971">
        <w:rPr>
          <w:rFonts w:eastAsia="Calibri"/>
        </w:rPr>
        <w:t>law power against deference to legislatures and piecemeal codification</w:t>
      </w:r>
      <w:r w:rsidR="00D745AC">
        <w:rPr>
          <w:rFonts w:eastAsia="Calibri"/>
        </w:rPr>
        <w:t xml:space="preserve">. Because of this dynamic, </w:t>
      </w:r>
      <w:r w:rsidR="006053D2">
        <w:rPr>
          <w:rFonts w:eastAsia="Calibri"/>
        </w:rPr>
        <w:t xml:space="preserve">state </w:t>
      </w:r>
      <w:r w:rsidR="00C75F01">
        <w:rPr>
          <w:rFonts w:eastAsia="Calibri"/>
        </w:rPr>
        <w:t>caselaw</w:t>
      </w:r>
      <w:r w:rsidR="006053D2">
        <w:rPr>
          <w:rFonts w:eastAsia="Calibri"/>
        </w:rPr>
        <w:t xml:space="preserve"> will often </w:t>
      </w:r>
      <w:r w:rsidR="009D2E40">
        <w:rPr>
          <w:rFonts w:eastAsia="Calibri"/>
        </w:rPr>
        <w:t xml:space="preserve">offer no authoritative answers to hard questions about </w:t>
      </w:r>
      <w:r w:rsidR="003D3ACE">
        <w:rPr>
          <w:rFonts w:eastAsia="Calibri"/>
        </w:rPr>
        <w:t>the scope of protected rights. State legislation</w:t>
      </w:r>
      <w:r w:rsidR="00DE7570">
        <w:rPr>
          <w:rFonts w:eastAsia="Calibri"/>
        </w:rPr>
        <w:t xml:space="preserve"> </w:t>
      </w:r>
      <w:r w:rsidR="00265A73">
        <w:rPr>
          <w:rFonts w:eastAsia="Calibri"/>
        </w:rPr>
        <w:t>is often incomplete</w:t>
      </w:r>
      <w:r w:rsidR="00DE7570">
        <w:rPr>
          <w:rFonts w:eastAsia="Calibri"/>
        </w:rPr>
        <w:t>, too, if not</w:t>
      </w:r>
      <w:r w:rsidR="00265A73">
        <w:rPr>
          <w:rFonts w:eastAsia="Calibri"/>
        </w:rPr>
        <w:t xml:space="preserve"> silent on the </w:t>
      </w:r>
      <w:r w:rsidR="00F10686">
        <w:rPr>
          <w:rFonts w:eastAsia="Calibri"/>
        </w:rPr>
        <w:t xml:space="preserve">issues that </w:t>
      </w:r>
      <w:r w:rsidR="0056207E">
        <w:rPr>
          <w:rFonts w:eastAsia="Calibri"/>
        </w:rPr>
        <w:t xml:space="preserve">underlay hard Fourth Amendment questions. </w:t>
      </w:r>
      <w:r w:rsidR="009C73C4">
        <w:rPr>
          <w:rFonts w:eastAsia="Calibri"/>
        </w:rPr>
        <w:t>A court applying the pure</w:t>
      </w:r>
      <w:r w:rsidR="00F32194">
        <w:rPr>
          <w:rFonts w:eastAsia="Calibri"/>
        </w:rPr>
        <w:t xml:space="preserve"> </w:t>
      </w:r>
      <w:r w:rsidR="009C73C4">
        <w:rPr>
          <w:rFonts w:eastAsia="Calibri"/>
        </w:rPr>
        <w:t xml:space="preserve">positive-law model </w:t>
      </w:r>
      <w:r w:rsidR="00DE7570">
        <w:rPr>
          <w:rFonts w:eastAsia="Calibri"/>
        </w:rPr>
        <w:t xml:space="preserve">might </w:t>
      </w:r>
      <w:r w:rsidR="009C73C4">
        <w:rPr>
          <w:rFonts w:eastAsia="Calibri"/>
        </w:rPr>
        <w:t xml:space="preserve">find </w:t>
      </w:r>
      <w:r w:rsidR="00DE7570">
        <w:rPr>
          <w:rFonts w:eastAsia="Calibri"/>
        </w:rPr>
        <w:t xml:space="preserve">that </w:t>
      </w:r>
      <w:r w:rsidR="009C73C4">
        <w:rPr>
          <w:rFonts w:eastAsia="Calibri"/>
        </w:rPr>
        <w:t xml:space="preserve">no positive law that </w:t>
      </w:r>
      <w:r w:rsidR="00DE7570">
        <w:rPr>
          <w:rFonts w:eastAsia="Calibri"/>
        </w:rPr>
        <w:t xml:space="preserve">applies, </w:t>
      </w:r>
      <w:r w:rsidR="009C73C4">
        <w:rPr>
          <w:rFonts w:eastAsia="Calibri"/>
        </w:rPr>
        <w:t xml:space="preserve">which </w:t>
      </w:r>
      <w:r w:rsidR="00DE7570">
        <w:rPr>
          <w:rFonts w:eastAsia="Calibri"/>
        </w:rPr>
        <w:t xml:space="preserve">would </w:t>
      </w:r>
      <w:r w:rsidR="009C73C4">
        <w:rPr>
          <w:rFonts w:eastAsia="Calibri"/>
        </w:rPr>
        <w:t xml:space="preserve">mean that law enforcement </w:t>
      </w:r>
      <w:r w:rsidR="00DE7570">
        <w:rPr>
          <w:rFonts w:eastAsia="Calibri"/>
        </w:rPr>
        <w:t xml:space="preserve">can </w:t>
      </w:r>
      <w:r w:rsidR="009C73C4">
        <w:rPr>
          <w:rFonts w:eastAsia="Calibri"/>
        </w:rPr>
        <w:t xml:space="preserve">act without Fourth Amendment constraint. </w:t>
      </w:r>
      <w:r w:rsidR="00001D8E">
        <w:rPr>
          <w:rFonts w:eastAsia="Calibri"/>
        </w:rPr>
        <w:t>C</w:t>
      </w:r>
      <w:r w:rsidR="00963971">
        <w:rPr>
          <w:rFonts w:eastAsia="Calibri"/>
        </w:rPr>
        <w:t xml:space="preserve">ourts employing the general law </w:t>
      </w:r>
      <w:r w:rsidR="009C73C4">
        <w:rPr>
          <w:rFonts w:eastAsia="Calibri"/>
        </w:rPr>
        <w:t xml:space="preserve">would have the ability to recognize protections even when </w:t>
      </w:r>
      <w:r w:rsidR="00980C47">
        <w:rPr>
          <w:rFonts w:eastAsia="Calibri"/>
        </w:rPr>
        <w:t>state law has not spoken to the matter</w:t>
      </w:r>
      <w:r w:rsidR="00963971">
        <w:rPr>
          <w:rFonts w:eastAsia="Calibri"/>
        </w:rPr>
        <w:t xml:space="preserve">. </w:t>
      </w:r>
      <w:r w:rsidR="00980C47">
        <w:rPr>
          <w:rFonts w:eastAsia="Calibri"/>
        </w:rPr>
        <w:t xml:space="preserve">This is perfectly legitimate, because these courts </w:t>
      </w:r>
      <w:r w:rsidR="00963971">
        <w:rPr>
          <w:rFonts w:eastAsia="Calibri"/>
        </w:rPr>
        <w:t xml:space="preserve">would be engaged in the process of constitutional interpretation, </w:t>
      </w:r>
      <w:r w:rsidR="00980C47">
        <w:rPr>
          <w:rFonts w:eastAsia="Calibri"/>
        </w:rPr>
        <w:t xml:space="preserve">over which state </w:t>
      </w:r>
      <w:r w:rsidR="002623DA">
        <w:rPr>
          <w:rFonts w:eastAsia="Calibri"/>
        </w:rPr>
        <w:t xml:space="preserve">law </w:t>
      </w:r>
      <w:r w:rsidR="008B3639">
        <w:rPr>
          <w:rFonts w:eastAsia="Calibri"/>
        </w:rPr>
        <w:t>can</w:t>
      </w:r>
      <w:r w:rsidR="002623DA">
        <w:rPr>
          <w:rFonts w:eastAsia="Calibri"/>
        </w:rPr>
        <w:t>not take primacy.</w:t>
      </w:r>
    </w:p>
    <w:p w14:paraId="63386C3C" w14:textId="43A7CF9B" w:rsidR="00963971" w:rsidRDefault="002623DA" w:rsidP="00963971">
      <w:pPr>
        <w:pStyle w:val="BodyText"/>
        <w:rPr>
          <w:rFonts w:eastAsia="Calibri"/>
        </w:rPr>
      </w:pPr>
      <w:r>
        <w:rPr>
          <w:rFonts w:eastAsia="Calibri"/>
        </w:rPr>
        <w:t xml:space="preserve">The general-law approach </w:t>
      </w:r>
      <w:r w:rsidR="00103B7D">
        <w:rPr>
          <w:rFonts w:eastAsia="Calibri"/>
        </w:rPr>
        <w:t>could thus</w:t>
      </w:r>
      <w:r>
        <w:rPr>
          <w:rFonts w:eastAsia="Calibri"/>
        </w:rPr>
        <w:t xml:space="preserve"> address</w:t>
      </w:r>
      <w:r w:rsidR="00963971">
        <w:rPr>
          <w:rFonts w:eastAsia="Calibri"/>
        </w:rPr>
        <w:t xml:space="preserve"> Justice Alito’s concerns that </w:t>
      </w:r>
      <w:r w:rsidR="008142B0">
        <w:rPr>
          <w:rFonts w:eastAsia="Calibri"/>
        </w:rPr>
        <w:t xml:space="preserve">a </w:t>
      </w:r>
      <w:r w:rsidR="00963971">
        <w:rPr>
          <w:rFonts w:eastAsia="Calibri"/>
        </w:rPr>
        <w:t>Fourth Amendment rooted in trespass would be riddled with anomalies when confronted with high-tech surveillance.</w:t>
      </w:r>
      <w:r w:rsidR="00963971" w:rsidRPr="002A4234">
        <w:rPr>
          <w:rStyle w:val="FootnoteReference"/>
          <w:rFonts w:eastAsia="Calibri"/>
        </w:rPr>
        <w:footnoteReference w:id="237"/>
      </w:r>
      <w:r w:rsidR="00963971">
        <w:rPr>
          <w:rFonts w:eastAsia="Calibri"/>
        </w:rPr>
        <w:t xml:space="preserve"> While it is true that state trespass law has largely been codified to </w:t>
      </w:r>
      <w:r w:rsidR="001B305A">
        <w:rPr>
          <w:rFonts w:eastAsia="Calibri"/>
        </w:rPr>
        <w:t>“r</w:t>
      </w:r>
      <w:r w:rsidR="001B305A" w:rsidRPr="001B305A">
        <w:rPr>
          <w:rFonts w:eastAsia="Calibri"/>
        </w:rPr>
        <w:t>equire</w:t>
      </w:r>
      <w:r w:rsidR="001B305A">
        <w:rPr>
          <w:rFonts w:eastAsia="Calibri"/>
        </w:rPr>
        <w:t>[]</w:t>
      </w:r>
      <w:r w:rsidR="001B305A" w:rsidRPr="001B305A">
        <w:rPr>
          <w:rFonts w:eastAsia="Calibri"/>
        </w:rPr>
        <w:t xml:space="preserve"> a physical touching of the property</w:t>
      </w:r>
      <w:r w:rsidR="00963971">
        <w:rPr>
          <w:rFonts w:eastAsia="Calibri"/>
        </w:rPr>
        <w:t>,</w:t>
      </w:r>
      <w:r w:rsidR="001B305A">
        <w:rPr>
          <w:rFonts w:eastAsia="Calibri"/>
        </w:rPr>
        <w:t>”</w:t>
      </w:r>
      <w:r w:rsidR="001B305A" w:rsidRPr="002A4234">
        <w:rPr>
          <w:rStyle w:val="FootnoteReference"/>
          <w:rFonts w:eastAsia="Calibri"/>
        </w:rPr>
        <w:footnoteReference w:id="238"/>
      </w:r>
      <w:r w:rsidR="00963971">
        <w:rPr>
          <w:rFonts w:eastAsia="Calibri"/>
        </w:rPr>
        <w:t xml:space="preserve"> that is not the only doctrine that might apply. Consider that th</w:t>
      </w:r>
      <w:r w:rsidR="008D1521">
        <w:rPr>
          <w:rFonts w:eastAsia="Calibri"/>
        </w:rPr>
        <w:t>e upcoming</w:t>
      </w:r>
      <w:r w:rsidR="00963971">
        <w:rPr>
          <w:rFonts w:eastAsia="Calibri"/>
        </w:rPr>
        <w:t xml:space="preserve"> </w:t>
      </w:r>
      <w:r w:rsidR="008016D1" w:rsidRPr="008016D1">
        <w:rPr>
          <w:rFonts w:eastAsia="Calibri"/>
          <w:i/>
          <w:iCs/>
        </w:rPr>
        <w:t>Restatement (</w:t>
      </w:r>
      <w:r w:rsidR="00742F19">
        <w:rPr>
          <w:rFonts w:eastAsia="Calibri"/>
          <w:i/>
          <w:iCs/>
        </w:rPr>
        <w:t>Fourth</w:t>
      </w:r>
      <w:r w:rsidR="008016D1" w:rsidRPr="008016D1">
        <w:rPr>
          <w:rFonts w:eastAsia="Calibri"/>
          <w:i/>
          <w:iCs/>
        </w:rPr>
        <w:t>)</w:t>
      </w:r>
      <w:r w:rsidR="00963971" w:rsidRPr="008016D1">
        <w:rPr>
          <w:rFonts w:eastAsia="Calibri"/>
          <w:i/>
          <w:iCs/>
        </w:rPr>
        <w:t xml:space="preserve"> of Property</w:t>
      </w:r>
      <w:r w:rsidR="008D1521">
        <w:rPr>
          <w:rFonts w:eastAsia="Calibri"/>
        </w:rPr>
        <w:t xml:space="preserve"> will likely grapple</w:t>
      </w:r>
      <w:r w:rsidR="00963971">
        <w:rPr>
          <w:rFonts w:eastAsia="Calibri"/>
        </w:rPr>
        <w:t xml:space="preserve"> with the </w:t>
      </w:r>
      <w:r w:rsidR="004C4D85">
        <w:rPr>
          <w:rFonts w:eastAsia="Calibri"/>
        </w:rPr>
        <w:t>promise</w:t>
      </w:r>
      <w:r w:rsidR="00963971">
        <w:rPr>
          <w:rFonts w:eastAsia="Calibri"/>
        </w:rPr>
        <w:t xml:space="preserve"> and </w:t>
      </w:r>
      <w:r w:rsidR="004C4D85">
        <w:rPr>
          <w:rFonts w:eastAsia="Calibri"/>
        </w:rPr>
        <w:t>perils of</w:t>
      </w:r>
      <w:r w:rsidR="00963971">
        <w:rPr>
          <w:rFonts w:eastAsia="Calibri"/>
        </w:rPr>
        <w:t xml:space="preserve"> </w:t>
      </w:r>
      <w:r w:rsidR="004C4D85">
        <w:rPr>
          <w:rFonts w:eastAsia="Calibri"/>
        </w:rPr>
        <w:t>aerial</w:t>
      </w:r>
      <w:r w:rsidR="00963971">
        <w:rPr>
          <w:rFonts w:eastAsia="Calibri"/>
        </w:rPr>
        <w:t xml:space="preserve"> drones.</w:t>
      </w:r>
      <w:r w:rsidR="008D1521">
        <w:rPr>
          <w:rStyle w:val="FootnoteReference"/>
          <w:rFonts w:eastAsia="Calibri"/>
        </w:rPr>
        <w:footnoteReference w:id="239"/>
      </w:r>
      <w:r w:rsidR="00963971">
        <w:rPr>
          <w:rFonts w:eastAsia="Calibri"/>
        </w:rPr>
        <w:t xml:space="preserve"> Such innovations </w:t>
      </w:r>
      <w:r w:rsidR="00751A66">
        <w:rPr>
          <w:rFonts w:eastAsia="Calibri"/>
        </w:rPr>
        <w:t xml:space="preserve">might </w:t>
      </w:r>
      <w:r w:rsidR="00963971">
        <w:rPr>
          <w:rFonts w:eastAsia="Calibri"/>
        </w:rPr>
        <w:t xml:space="preserve">require more fluid notions of trespass or more </w:t>
      </w:r>
      <w:r w:rsidR="00963971">
        <w:rPr>
          <w:rFonts w:eastAsia="Calibri"/>
        </w:rPr>
        <w:lastRenderedPageBreak/>
        <w:t>robust common</w:t>
      </w:r>
      <w:r w:rsidR="004C4D85">
        <w:rPr>
          <w:rFonts w:eastAsia="Calibri"/>
        </w:rPr>
        <w:t>-</w:t>
      </w:r>
      <w:r w:rsidR="00963971">
        <w:rPr>
          <w:rFonts w:eastAsia="Calibri"/>
        </w:rPr>
        <w:t>law protection of privacy rights.</w:t>
      </w:r>
      <w:r w:rsidR="00FF45F3" w:rsidRPr="002A4234">
        <w:rPr>
          <w:rStyle w:val="FootnoteReference"/>
          <w:rFonts w:eastAsia="Calibri"/>
        </w:rPr>
        <w:footnoteReference w:id="240"/>
      </w:r>
      <w:r w:rsidR="00963971">
        <w:rPr>
          <w:rFonts w:eastAsia="Calibri"/>
        </w:rPr>
        <w:t xml:space="preserve"> </w:t>
      </w:r>
      <w:r w:rsidR="00F36389">
        <w:rPr>
          <w:rFonts w:eastAsia="Calibri"/>
        </w:rPr>
        <w:t xml:space="preserve">Courts are well positioned to </w:t>
      </w:r>
      <w:r w:rsidR="00097A28">
        <w:rPr>
          <w:rFonts w:eastAsia="Calibri"/>
        </w:rPr>
        <w:t>draw the right balance as they have done for centuries.</w:t>
      </w:r>
      <w:r w:rsidR="00963971">
        <w:rPr>
          <w:rFonts w:eastAsia="Calibri"/>
        </w:rPr>
        <w:t xml:space="preserve"> Indeed, but for codification, common</w:t>
      </w:r>
      <w:r w:rsidR="001E1E72">
        <w:rPr>
          <w:rFonts w:eastAsia="Calibri"/>
        </w:rPr>
        <w:t>-</w:t>
      </w:r>
      <w:r w:rsidR="00963971">
        <w:rPr>
          <w:rFonts w:eastAsia="Calibri"/>
        </w:rPr>
        <w:t xml:space="preserve">law courts might have already developed solutions to many difficult fact patterns posed by </w:t>
      </w:r>
      <w:r w:rsidR="005951C8">
        <w:rPr>
          <w:rFonts w:eastAsia="Calibri"/>
        </w:rPr>
        <w:t xml:space="preserve">new </w:t>
      </w:r>
      <w:r w:rsidR="00963971">
        <w:rPr>
          <w:rFonts w:eastAsia="Calibri"/>
        </w:rPr>
        <w:t>technology.</w:t>
      </w:r>
    </w:p>
    <w:p w14:paraId="346DB841" w14:textId="59052935" w:rsidR="003C1E9E" w:rsidRDefault="003C1E9E" w:rsidP="00963971">
      <w:pPr>
        <w:pStyle w:val="BodyText"/>
        <w:rPr>
          <w:rFonts w:eastAsia="Calibri"/>
        </w:rPr>
      </w:pPr>
      <w:r>
        <w:rPr>
          <w:rFonts w:eastAsia="Calibri"/>
        </w:rPr>
        <w:t xml:space="preserve">In short, the general law offers courts a </w:t>
      </w:r>
      <w:r w:rsidR="00B00F75">
        <w:rPr>
          <w:rFonts w:eastAsia="Calibri"/>
        </w:rPr>
        <w:t xml:space="preserve">deep and rich set of precedent on which courts can draw, as well as a </w:t>
      </w:r>
      <w:r w:rsidR="00E760C4">
        <w:rPr>
          <w:rFonts w:eastAsia="Calibri"/>
        </w:rPr>
        <w:t xml:space="preserve">set of powerful tools they can use to answer hard questions when precedent provides no </w:t>
      </w:r>
      <w:r w:rsidR="00CB4A04">
        <w:rPr>
          <w:rFonts w:eastAsia="Calibri"/>
        </w:rPr>
        <w:t>clear resolution</w:t>
      </w:r>
      <w:r w:rsidR="00E760C4">
        <w:rPr>
          <w:rFonts w:eastAsia="Calibri"/>
        </w:rPr>
        <w:t xml:space="preserve">. </w:t>
      </w:r>
      <w:r w:rsidR="008B092A">
        <w:rPr>
          <w:rFonts w:eastAsia="Calibri"/>
        </w:rPr>
        <w:t>And the general-law approach can produce answers that well protect important Fourth Amendment values</w:t>
      </w:r>
      <w:r w:rsidR="001640E8">
        <w:rPr>
          <w:rFonts w:eastAsia="Calibri"/>
        </w:rPr>
        <w:t xml:space="preserve">. </w:t>
      </w:r>
    </w:p>
    <w:p w14:paraId="033DEE42" w14:textId="35932807" w:rsidR="004869BD" w:rsidRDefault="00683780" w:rsidP="00DF05E9">
      <w:pPr>
        <w:pStyle w:val="Heading1"/>
      </w:pPr>
      <w:bookmarkStart w:id="61" w:name="_Toc96093550"/>
      <w:bookmarkStart w:id="62" w:name="_Toc111723678"/>
      <w:r>
        <w:t xml:space="preserve">applying the general-law </w:t>
      </w:r>
      <w:r w:rsidR="0004710C">
        <w:t>Approach</w:t>
      </w:r>
      <w:bookmarkEnd w:id="61"/>
      <w:bookmarkEnd w:id="62"/>
    </w:p>
    <w:p w14:paraId="037A7D95" w14:textId="396404A7" w:rsidR="00CD660D" w:rsidRDefault="0004710C" w:rsidP="0004710C">
      <w:pPr>
        <w:pStyle w:val="BodyText"/>
        <w:rPr>
          <w:lang w:eastAsia="ja-JP"/>
        </w:rPr>
      </w:pPr>
      <w:r>
        <w:rPr>
          <w:lang w:eastAsia="ja-JP"/>
        </w:rPr>
        <w:t xml:space="preserve">This Part applies the general-law approach to </w:t>
      </w:r>
      <w:r w:rsidR="00727AFD">
        <w:rPr>
          <w:lang w:eastAsia="ja-JP"/>
        </w:rPr>
        <w:t>some</w:t>
      </w:r>
      <w:r>
        <w:rPr>
          <w:lang w:eastAsia="ja-JP"/>
        </w:rPr>
        <w:t xml:space="preserve"> discrete Fourth Amendment fact patterns. </w:t>
      </w:r>
      <w:r w:rsidR="00F21B53">
        <w:rPr>
          <w:lang w:eastAsia="ja-JP"/>
        </w:rPr>
        <w:t xml:space="preserve">As it shows, </w:t>
      </w:r>
      <w:r w:rsidR="00E86973">
        <w:rPr>
          <w:lang w:eastAsia="ja-JP"/>
        </w:rPr>
        <w:t xml:space="preserve">the tools of the general law can provide useful guidance to recurring, sometimes difficult, questions of the Fourth Amendment’s applicability. In </w:t>
      </w:r>
      <w:r w:rsidR="002C484D">
        <w:rPr>
          <w:lang w:eastAsia="ja-JP"/>
        </w:rPr>
        <w:t>some</w:t>
      </w:r>
      <w:r w:rsidR="00E86973">
        <w:rPr>
          <w:lang w:eastAsia="ja-JP"/>
        </w:rPr>
        <w:t xml:space="preserve"> cases, the general</w:t>
      </w:r>
      <w:r w:rsidR="00605A5C">
        <w:rPr>
          <w:lang w:eastAsia="ja-JP"/>
        </w:rPr>
        <w:t>-</w:t>
      </w:r>
      <w:r w:rsidR="00E86973">
        <w:rPr>
          <w:lang w:eastAsia="ja-JP"/>
        </w:rPr>
        <w:t>law</w:t>
      </w:r>
      <w:r w:rsidR="00896A21">
        <w:rPr>
          <w:lang w:eastAsia="ja-JP"/>
        </w:rPr>
        <w:t xml:space="preserve"> approach</w:t>
      </w:r>
      <w:r w:rsidR="00E86973">
        <w:rPr>
          <w:lang w:eastAsia="ja-JP"/>
        </w:rPr>
        <w:t xml:space="preserve"> </w:t>
      </w:r>
      <w:r w:rsidR="00120D79">
        <w:rPr>
          <w:lang w:eastAsia="ja-JP"/>
        </w:rPr>
        <w:t>lead</w:t>
      </w:r>
      <w:r w:rsidR="00E86973">
        <w:rPr>
          <w:lang w:eastAsia="ja-JP"/>
        </w:rPr>
        <w:t>s</w:t>
      </w:r>
      <w:r w:rsidR="00120D79">
        <w:rPr>
          <w:lang w:eastAsia="ja-JP"/>
        </w:rPr>
        <w:t xml:space="preserve"> to</w:t>
      </w:r>
      <w:r w:rsidR="00E86973">
        <w:rPr>
          <w:lang w:eastAsia="ja-JP"/>
        </w:rPr>
        <w:t xml:space="preserve"> answers that accord with current doctrine. </w:t>
      </w:r>
      <w:r w:rsidR="00120D79">
        <w:rPr>
          <w:lang w:eastAsia="ja-JP"/>
        </w:rPr>
        <w:t>In others, the general</w:t>
      </w:r>
      <w:r w:rsidR="00896A21">
        <w:rPr>
          <w:lang w:eastAsia="ja-JP"/>
        </w:rPr>
        <w:t>-</w:t>
      </w:r>
      <w:r w:rsidR="00120D79">
        <w:rPr>
          <w:lang w:eastAsia="ja-JP"/>
        </w:rPr>
        <w:t>law</w:t>
      </w:r>
      <w:r w:rsidR="00896A21">
        <w:rPr>
          <w:lang w:eastAsia="ja-JP"/>
        </w:rPr>
        <w:t xml:space="preserve"> approach</w:t>
      </w:r>
      <w:r w:rsidR="00120D79">
        <w:rPr>
          <w:lang w:eastAsia="ja-JP"/>
        </w:rPr>
        <w:t xml:space="preserve"> suggests changes</w:t>
      </w:r>
      <w:r w:rsidR="0050371B">
        <w:rPr>
          <w:lang w:eastAsia="ja-JP"/>
        </w:rPr>
        <w:t xml:space="preserve"> to existing rules</w:t>
      </w:r>
      <w:r w:rsidR="00120D79">
        <w:rPr>
          <w:lang w:eastAsia="ja-JP"/>
        </w:rPr>
        <w:t xml:space="preserve">. </w:t>
      </w:r>
      <w:r w:rsidR="0050371B">
        <w:rPr>
          <w:lang w:eastAsia="ja-JP"/>
        </w:rPr>
        <w:t>O</w:t>
      </w:r>
      <w:r w:rsidR="00E94ABA">
        <w:rPr>
          <w:lang w:eastAsia="ja-JP"/>
        </w:rPr>
        <w:t xml:space="preserve">ur </w:t>
      </w:r>
      <w:r w:rsidR="00266B73">
        <w:rPr>
          <w:lang w:eastAsia="ja-JP"/>
        </w:rPr>
        <w:t>conclusions</w:t>
      </w:r>
      <w:r w:rsidR="00E94ABA">
        <w:rPr>
          <w:lang w:eastAsia="ja-JP"/>
        </w:rPr>
        <w:t xml:space="preserve"> are tentative</w:t>
      </w:r>
      <w:r w:rsidR="0050371B">
        <w:rPr>
          <w:lang w:eastAsia="ja-JP"/>
        </w:rPr>
        <w:t>; w</w:t>
      </w:r>
      <w:r w:rsidR="00E94ABA">
        <w:rPr>
          <w:lang w:eastAsia="ja-JP"/>
        </w:rPr>
        <w:t>e do not “</w:t>
      </w:r>
      <w:r w:rsidR="00E94ABA" w:rsidRPr="00E94ABA">
        <w:rPr>
          <w:lang w:eastAsia="ja-JP"/>
        </w:rPr>
        <w:t>claim all the answers today</w:t>
      </w:r>
      <w:r w:rsidR="0050371B">
        <w:rPr>
          <w:lang w:eastAsia="ja-JP"/>
        </w:rPr>
        <w:t>.</w:t>
      </w:r>
      <w:r w:rsidR="00E94ABA">
        <w:rPr>
          <w:lang w:eastAsia="ja-JP"/>
        </w:rPr>
        <w:t>”</w:t>
      </w:r>
      <w:r w:rsidR="0050371B" w:rsidRPr="002A4234">
        <w:rPr>
          <w:rStyle w:val="FootnoteReference"/>
        </w:rPr>
        <w:footnoteReference w:id="241"/>
      </w:r>
      <w:r w:rsidR="00E94ABA">
        <w:rPr>
          <w:lang w:eastAsia="ja-JP"/>
        </w:rPr>
        <w:t xml:space="preserve"> </w:t>
      </w:r>
      <w:r w:rsidR="0050371B">
        <w:rPr>
          <w:lang w:eastAsia="ja-JP"/>
        </w:rPr>
        <w:t>B</w:t>
      </w:r>
      <w:r w:rsidR="00E94ABA">
        <w:rPr>
          <w:lang w:eastAsia="ja-JP"/>
        </w:rPr>
        <w:t xml:space="preserve">ut we hope to show that the general-law approach </w:t>
      </w:r>
      <w:r w:rsidR="00266B73">
        <w:rPr>
          <w:lang w:eastAsia="ja-JP"/>
        </w:rPr>
        <w:t>provides</w:t>
      </w:r>
      <w:r w:rsidR="002123CF">
        <w:rPr>
          <w:lang w:eastAsia="ja-JP"/>
        </w:rPr>
        <w:t xml:space="preserve"> “</w:t>
      </w:r>
      <w:r w:rsidR="002123CF" w:rsidRPr="002123CF">
        <w:rPr>
          <w:lang w:eastAsia="ja-JP"/>
        </w:rPr>
        <w:t xml:space="preserve">a pretty good idea what the questions </w:t>
      </w:r>
      <w:r w:rsidR="002123CF" w:rsidRPr="002123CF">
        <w:rPr>
          <w:i/>
          <w:iCs/>
          <w:lang w:eastAsia="ja-JP"/>
        </w:rPr>
        <w:t>are</w:t>
      </w:r>
      <w:r w:rsidR="002123CF" w:rsidRPr="002123CF">
        <w:rPr>
          <w:lang w:eastAsia="ja-JP"/>
        </w:rPr>
        <w:t>.</w:t>
      </w:r>
      <w:r w:rsidR="002123CF">
        <w:rPr>
          <w:lang w:eastAsia="ja-JP"/>
        </w:rPr>
        <w:t>”</w:t>
      </w:r>
      <w:r w:rsidR="0050371B" w:rsidRPr="002A4234">
        <w:rPr>
          <w:rStyle w:val="FootnoteReference"/>
        </w:rPr>
        <w:footnoteReference w:id="242"/>
      </w:r>
    </w:p>
    <w:p w14:paraId="5982DA80" w14:textId="199DFA48" w:rsidR="0004710C" w:rsidRPr="0004710C" w:rsidRDefault="00C7643D" w:rsidP="0004710C">
      <w:pPr>
        <w:pStyle w:val="BodyText"/>
        <w:rPr>
          <w:lang w:eastAsia="ja-JP"/>
        </w:rPr>
      </w:pPr>
      <w:r>
        <w:rPr>
          <w:lang w:eastAsia="ja-JP"/>
        </w:rPr>
        <w:t xml:space="preserve">This Part </w:t>
      </w:r>
      <w:r w:rsidR="00D72FF9">
        <w:rPr>
          <w:lang w:eastAsia="ja-JP"/>
        </w:rPr>
        <w:t>considers</w:t>
      </w:r>
      <w:r w:rsidR="007C55F6">
        <w:rPr>
          <w:lang w:eastAsia="ja-JP"/>
        </w:rPr>
        <w:t xml:space="preserve"> fact patterns falling into four common-law categories</w:t>
      </w:r>
      <w:r w:rsidR="000765A0">
        <w:rPr>
          <w:lang w:eastAsia="ja-JP"/>
        </w:rPr>
        <w:t>.</w:t>
      </w:r>
      <w:r w:rsidR="007C55F6">
        <w:rPr>
          <w:lang w:eastAsia="ja-JP"/>
        </w:rPr>
        <w:t xml:space="preserve"> </w:t>
      </w:r>
      <w:r w:rsidR="000765A0">
        <w:rPr>
          <w:lang w:eastAsia="ja-JP"/>
        </w:rPr>
        <w:t>T</w:t>
      </w:r>
      <w:r w:rsidR="007C55F6">
        <w:rPr>
          <w:lang w:eastAsia="ja-JP"/>
        </w:rPr>
        <w:t xml:space="preserve">hese </w:t>
      </w:r>
      <w:r w:rsidR="003D28F9">
        <w:rPr>
          <w:lang w:eastAsia="ja-JP"/>
        </w:rPr>
        <w:t>categor</w:t>
      </w:r>
      <w:r w:rsidR="007A3109">
        <w:rPr>
          <w:lang w:eastAsia="ja-JP"/>
        </w:rPr>
        <w:t>ies</w:t>
      </w:r>
      <w:r w:rsidR="007C55F6">
        <w:rPr>
          <w:lang w:eastAsia="ja-JP"/>
        </w:rPr>
        <w:t xml:space="preserve"> are by no means the only</w:t>
      </w:r>
      <w:r w:rsidR="00633775">
        <w:rPr>
          <w:lang w:eastAsia="ja-JP"/>
        </w:rPr>
        <w:t xml:space="preserve"> common-law concepts that </w:t>
      </w:r>
      <w:r w:rsidR="00632E3B">
        <w:rPr>
          <w:lang w:eastAsia="ja-JP"/>
        </w:rPr>
        <w:t>can guide Fourth Amendment law, but they are particularly useful</w:t>
      </w:r>
      <w:r w:rsidR="005D14BC">
        <w:rPr>
          <w:lang w:eastAsia="ja-JP"/>
        </w:rPr>
        <w:t xml:space="preserve"> in explaining parts of the doctrine</w:t>
      </w:r>
      <w:r w:rsidR="003B7D99">
        <w:rPr>
          <w:lang w:eastAsia="ja-JP"/>
        </w:rPr>
        <w:t xml:space="preserve"> and showing how the general-law approach works</w:t>
      </w:r>
      <w:r w:rsidR="00632E3B">
        <w:rPr>
          <w:lang w:eastAsia="ja-JP"/>
        </w:rPr>
        <w:t xml:space="preserve">. Section </w:t>
      </w:r>
      <w:r w:rsidR="008F6760">
        <w:rPr>
          <w:lang w:eastAsia="ja-JP"/>
        </w:rPr>
        <w:t>III.</w:t>
      </w:r>
      <w:r w:rsidR="00632E3B">
        <w:rPr>
          <w:lang w:eastAsia="ja-JP"/>
        </w:rPr>
        <w:t xml:space="preserve">A considers trespass; Section </w:t>
      </w:r>
      <w:r w:rsidR="008F6760">
        <w:rPr>
          <w:lang w:eastAsia="ja-JP"/>
        </w:rPr>
        <w:t>III.</w:t>
      </w:r>
      <w:r w:rsidR="00632E3B">
        <w:rPr>
          <w:lang w:eastAsia="ja-JP"/>
        </w:rPr>
        <w:t xml:space="preserve">B </w:t>
      </w:r>
      <w:r w:rsidR="006E3379">
        <w:rPr>
          <w:lang w:eastAsia="ja-JP"/>
        </w:rPr>
        <w:t>examine</w:t>
      </w:r>
      <w:r w:rsidR="00632E3B">
        <w:rPr>
          <w:lang w:eastAsia="ja-JP"/>
        </w:rPr>
        <w:t xml:space="preserve">s abandonment; Section </w:t>
      </w:r>
      <w:r w:rsidR="008F6760">
        <w:rPr>
          <w:lang w:eastAsia="ja-JP"/>
        </w:rPr>
        <w:t>III.</w:t>
      </w:r>
      <w:r w:rsidR="00632E3B">
        <w:rPr>
          <w:lang w:eastAsia="ja-JP"/>
        </w:rPr>
        <w:t xml:space="preserve">C explores bailments; and Section </w:t>
      </w:r>
      <w:r w:rsidR="008F6760">
        <w:rPr>
          <w:lang w:eastAsia="ja-JP"/>
        </w:rPr>
        <w:t>III.</w:t>
      </w:r>
      <w:r w:rsidR="00632E3B">
        <w:rPr>
          <w:lang w:eastAsia="ja-JP"/>
        </w:rPr>
        <w:t xml:space="preserve">D looks to modern privacy torts. </w:t>
      </w:r>
      <w:r w:rsidR="006E3379">
        <w:rPr>
          <w:lang w:eastAsia="ja-JP"/>
        </w:rPr>
        <w:t xml:space="preserve">Finally, Section </w:t>
      </w:r>
      <w:r w:rsidR="008F6760">
        <w:rPr>
          <w:lang w:eastAsia="ja-JP"/>
        </w:rPr>
        <w:t>III.</w:t>
      </w:r>
      <w:r w:rsidR="006E3379">
        <w:rPr>
          <w:lang w:eastAsia="ja-JP"/>
        </w:rPr>
        <w:t>E</w:t>
      </w:r>
      <w:r w:rsidR="007F3462">
        <w:rPr>
          <w:lang w:eastAsia="ja-JP"/>
        </w:rPr>
        <w:t xml:space="preserve"> </w:t>
      </w:r>
      <w:r w:rsidR="00A6670D">
        <w:rPr>
          <w:lang w:eastAsia="ja-JP"/>
        </w:rPr>
        <w:t>briefly addresses</w:t>
      </w:r>
      <w:r w:rsidR="00327C0C">
        <w:rPr>
          <w:lang w:eastAsia="ja-JP"/>
        </w:rPr>
        <w:t xml:space="preserve"> how the general-law approach treats seizures of the person</w:t>
      </w:r>
      <w:r w:rsidR="00700119">
        <w:rPr>
          <w:lang w:eastAsia="ja-JP"/>
        </w:rPr>
        <w:t xml:space="preserve">, </w:t>
      </w:r>
      <w:r w:rsidR="00C31DBE">
        <w:rPr>
          <w:lang w:eastAsia="ja-JP"/>
        </w:rPr>
        <w:t>how it understands the role of warrants</w:t>
      </w:r>
      <w:r w:rsidR="00700119">
        <w:rPr>
          <w:lang w:eastAsia="ja-JP"/>
        </w:rPr>
        <w:t>, and how it might approach the issue of racialized policing</w:t>
      </w:r>
      <w:r w:rsidR="008A268D">
        <w:rPr>
          <w:lang w:eastAsia="ja-JP"/>
        </w:rPr>
        <w:t>.</w:t>
      </w:r>
    </w:p>
    <w:p w14:paraId="349870D5" w14:textId="24B93D41" w:rsidR="004869BD" w:rsidRDefault="004869BD" w:rsidP="004869BD">
      <w:pPr>
        <w:pStyle w:val="Heading2"/>
        <w:rPr>
          <w:i/>
          <w:iCs/>
        </w:rPr>
      </w:pPr>
      <w:bookmarkStart w:id="63" w:name="_Toc96093551"/>
      <w:bookmarkStart w:id="64" w:name="_Toc111723679"/>
      <w:r w:rsidRPr="00026F09">
        <w:rPr>
          <w:i/>
          <w:iCs/>
        </w:rPr>
        <w:t>Trespass</w:t>
      </w:r>
      <w:bookmarkEnd w:id="63"/>
      <w:bookmarkEnd w:id="64"/>
    </w:p>
    <w:p w14:paraId="135607BA" w14:textId="5B391E24" w:rsidR="00D450A6" w:rsidRDefault="00BA3F73" w:rsidP="00D11DB8">
      <w:pPr>
        <w:pStyle w:val="BodyText"/>
        <w:rPr>
          <w:lang w:eastAsia="ja-JP"/>
        </w:rPr>
      </w:pPr>
      <w:r>
        <w:rPr>
          <w:lang w:eastAsia="ja-JP"/>
        </w:rPr>
        <w:t>Trespass</w:t>
      </w:r>
      <w:r w:rsidR="00872E3E">
        <w:rPr>
          <w:lang w:eastAsia="ja-JP"/>
        </w:rPr>
        <w:t>—unlawful interference with another’s right to possession—</w:t>
      </w:r>
      <w:r>
        <w:rPr>
          <w:lang w:eastAsia="ja-JP"/>
        </w:rPr>
        <w:t>is the original common-law touchstone for the Fourth Amendment.</w:t>
      </w:r>
      <w:r w:rsidR="002B711A">
        <w:rPr>
          <w:lang w:eastAsia="ja-JP"/>
        </w:rPr>
        <w:t xml:space="preserve"> </w:t>
      </w:r>
      <w:r w:rsidR="003201D3">
        <w:rPr>
          <w:lang w:eastAsia="ja-JP"/>
        </w:rPr>
        <w:t xml:space="preserve">Trespass to real property </w:t>
      </w:r>
      <w:r w:rsidR="002B131D">
        <w:rPr>
          <w:lang w:eastAsia="ja-JP"/>
        </w:rPr>
        <w:t xml:space="preserve">elucidates when a search </w:t>
      </w:r>
      <w:r w:rsidR="0060491B">
        <w:rPr>
          <w:lang w:eastAsia="ja-JP"/>
        </w:rPr>
        <w:t>interferes with a house</w:t>
      </w:r>
      <w:r w:rsidR="00EA746D">
        <w:rPr>
          <w:lang w:eastAsia="ja-JP"/>
        </w:rPr>
        <w:t>,</w:t>
      </w:r>
      <w:r w:rsidR="0060491B">
        <w:rPr>
          <w:lang w:eastAsia="ja-JP"/>
        </w:rPr>
        <w:t xml:space="preserve"> while trespass to chattel</w:t>
      </w:r>
      <w:r w:rsidR="00240FD6">
        <w:rPr>
          <w:lang w:eastAsia="ja-JP"/>
        </w:rPr>
        <w:t>s</w:t>
      </w:r>
      <w:r w:rsidR="002B711A">
        <w:rPr>
          <w:lang w:eastAsia="ja-JP"/>
        </w:rPr>
        <w:t xml:space="preserve"> </w:t>
      </w:r>
      <w:r w:rsidR="0015733B">
        <w:rPr>
          <w:lang w:eastAsia="ja-JP"/>
        </w:rPr>
        <w:t>helps to explain when a search interferes with papers or effects.</w:t>
      </w:r>
      <w:r w:rsidR="00EF53A5">
        <w:rPr>
          <w:lang w:eastAsia="ja-JP"/>
        </w:rPr>
        <w:t xml:space="preserve"> Many searches implicate both forms of trespass.</w:t>
      </w:r>
      <w:r w:rsidR="002B711A">
        <w:rPr>
          <w:lang w:eastAsia="ja-JP"/>
        </w:rPr>
        <w:t xml:space="preserve"> The paradigmatic cases</w:t>
      </w:r>
      <w:r w:rsidR="00DA3B52">
        <w:rPr>
          <w:lang w:eastAsia="ja-JP"/>
        </w:rPr>
        <w:t xml:space="preserve"> that inspired </w:t>
      </w:r>
      <w:r w:rsidR="00DA3B52">
        <w:rPr>
          <w:lang w:eastAsia="ja-JP"/>
        </w:rPr>
        <w:lastRenderedPageBreak/>
        <w:t>the Fourth Amendment</w:t>
      </w:r>
      <w:r w:rsidR="00EE62DA">
        <w:rPr>
          <w:lang w:eastAsia="ja-JP"/>
        </w:rPr>
        <w:t xml:space="preserve">, </w:t>
      </w:r>
      <w:r w:rsidR="00EE62DA" w:rsidRPr="00246059">
        <w:rPr>
          <w:i/>
          <w:lang w:eastAsia="ja-JP"/>
        </w:rPr>
        <w:t xml:space="preserve">Entick v. </w:t>
      </w:r>
      <w:r w:rsidR="00191C9E" w:rsidRPr="00246059">
        <w:rPr>
          <w:i/>
          <w:lang w:eastAsia="ja-JP"/>
        </w:rPr>
        <w:t>Carrington</w:t>
      </w:r>
      <w:r w:rsidR="00191C9E" w:rsidRPr="002A4234">
        <w:rPr>
          <w:rStyle w:val="FootnoteReference"/>
        </w:rPr>
        <w:footnoteReference w:id="243"/>
      </w:r>
      <w:r w:rsidR="00DA3B52">
        <w:rPr>
          <w:lang w:eastAsia="ja-JP"/>
        </w:rPr>
        <w:t xml:space="preserve"> and </w:t>
      </w:r>
      <w:r w:rsidR="00DA3B52" w:rsidRPr="00246059">
        <w:rPr>
          <w:i/>
          <w:lang w:eastAsia="ja-JP"/>
        </w:rPr>
        <w:t>Wilkes v. Wood</w:t>
      </w:r>
      <w:r w:rsidR="007873E0" w:rsidRPr="004F7374">
        <w:rPr>
          <w:lang w:eastAsia="ja-JP"/>
        </w:rPr>
        <w:t>,</w:t>
      </w:r>
      <w:r w:rsidR="00191C9E" w:rsidRPr="002A4234">
        <w:rPr>
          <w:rStyle w:val="FootnoteReference"/>
        </w:rPr>
        <w:footnoteReference w:id="244"/>
      </w:r>
      <w:r w:rsidR="00DA3B52">
        <w:rPr>
          <w:lang w:eastAsia="ja-JP"/>
        </w:rPr>
        <w:t xml:space="preserve"> </w:t>
      </w:r>
      <w:r w:rsidR="00C003A1">
        <w:rPr>
          <w:lang w:eastAsia="ja-JP"/>
        </w:rPr>
        <w:t>were</w:t>
      </w:r>
      <w:r w:rsidR="00DA3B52">
        <w:rPr>
          <w:lang w:eastAsia="ja-JP"/>
        </w:rPr>
        <w:t xml:space="preserve"> actions in trespass brought by property owners against the officers who entere</w:t>
      </w:r>
      <w:r w:rsidR="00E636ED">
        <w:rPr>
          <w:lang w:eastAsia="ja-JP"/>
        </w:rPr>
        <w:t>d</w:t>
      </w:r>
      <w:r w:rsidR="00DA3B52">
        <w:rPr>
          <w:lang w:eastAsia="ja-JP"/>
        </w:rPr>
        <w:t xml:space="preserve"> their property to conduct a search. </w:t>
      </w:r>
      <w:r w:rsidR="00B23983">
        <w:rPr>
          <w:lang w:eastAsia="ja-JP"/>
        </w:rPr>
        <w:t xml:space="preserve">While </w:t>
      </w:r>
      <w:r w:rsidR="00B23983">
        <w:rPr>
          <w:i/>
          <w:iCs/>
          <w:lang w:eastAsia="ja-JP"/>
        </w:rPr>
        <w:t>Katz</w:t>
      </w:r>
      <w:r w:rsidR="00B23983">
        <w:rPr>
          <w:lang w:eastAsia="ja-JP"/>
        </w:rPr>
        <w:t xml:space="preserve"> </w:t>
      </w:r>
      <w:r w:rsidR="001173FA">
        <w:rPr>
          <w:lang w:eastAsia="ja-JP"/>
        </w:rPr>
        <w:t>push</w:t>
      </w:r>
      <w:r w:rsidR="00806442">
        <w:rPr>
          <w:lang w:eastAsia="ja-JP"/>
        </w:rPr>
        <w:t>ed</w:t>
      </w:r>
      <w:r w:rsidR="001173FA">
        <w:rPr>
          <w:lang w:eastAsia="ja-JP"/>
        </w:rPr>
        <w:t xml:space="preserve"> trespass to the wayside, </w:t>
      </w:r>
      <w:r w:rsidR="00EB3197">
        <w:rPr>
          <w:i/>
          <w:iCs/>
          <w:lang w:eastAsia="ja-JP"/>
        </w:rPr>
        <w:t xml:space="preserve">Jones </w:t>
      </w:r>
      <w:r w:rsidR="00EB3197">
        <w:rPr>
          <w:lang w:eastAsia="ja-JP"/>
        </w:rPr>
        <w:t xml:space="preserve">and </w:t>
      </w:r>
      <w:r w:rsidR="00EB3197">
        <w:rPr>
          <w:i/>
          <w:iCs/>
          <w:lang w:eastAsia="ja-JP"/>
        </w:rPr>
        <w:t xml:space="preserve">Jardines </w:t>
      </w:r>
      <w:r w:rsidR="00D578B8">
        <w:rPr>
          <w:lang w:eastAsia="ja-JP"/>
        </w:rPr>
        <w:t>returned to trespass as an analytical starting point</w:t>
      </w:r>
      <w:r w:rsidR="00A0619A">
        <w:rPr>
          <w:lang w:eastAsia="ja-JP"/>
        </w:rPr>
        <w:t>.</w:t>
      </w:r>
      <w:r w:rsidR="00A0619A" w:rsidRPr="002A4234">
        <w:rPr>
          <w:rStyle w:val="FootnoteReference"/>
        </w:rPr>
        <w:footnoteReference w:id="245"/>
      </w:r>
    </w:p>
    <w:p w14:paraId="16AC6090" w14:textId="19639865" w:rsidR="00326943" w:rsidRDefault="00201C4F" w:rsidP="00D11DB8">
      <w:pPr>
        <w:pStyle w:val="BodyText"/>
        <w:rPr>
          <w:lang w:eastAsia="ja-JP"/>
        </w:rPr>
      </w:pPr>
      <w:r>
        <w:rPr>
          <w:lang w:eastAsia="ja-JP"/>
        </w:rPr>
        <w:t>But t</w:t>
      </w:r>
      <w:r w:rsidR="006A678D">
        <w:rPr>
          <w:lang w:eastAsia="ja-JP"/>
        </w:rPr>
        <w:t xml:space="preserve">he </w:t>
      </w:r>
      <w:r w:rsidR="00401A08">
        <w:rPr>
          <w:lang w:eastAsia="ja-JP"/>
        </w:rPr>
        <w:t>C</w:t>
      </w:r>
      <w:r w:rsidR="006A678D">
        <w:rPr>
          <w:lang w:eastAsia="ja-JP"/>
        </w:rPr>
        <w:t>ourt</w:t>
      </w:r>
      <w:r>
        <w:rPr>
          <w:lang w:eastAsia="ja-JP"/>
        </w:rPr>
        <w:t>’s dabbling in</w:t>
      </w:r>
      <w:r w:rsidR="005F7DB8">
        <w:rPr>
          <w:lang w:eastAsia="ja-JP"/>
        </w:rPr>
        <w:t xml:space="preserve"> </w:t>
      </w:r>
      <w:r>
        <w:rPr>
          <w:lang w:eastAsia="ja-JP"/>
        </w:rPr>
        <w:t xml:space="preserve">property concepts </w:t>
      </w:r>
      <w:r w:rsidR="005F7DB8">
        <w:rPr>
          <w:lang w:eastAsia="ja-JP"/>
        </w:rPr>
        <w:t>has mad</w:t>
      </w:r>
      <w:r w:rsidR="008A0DEC">
        <w:rPr>
          <w:lang w:eastAsia="ja-JP"/>
        </w:rPr>
        <w:t xml:space="preserve">e doctrine more complicated than it needs to be. </w:t>
      </w:r>
      <w:r w:rsidR="00812C99">
        <w:rPr>
          <w:lang w:eastAsia="ja-JP"/>
        </w:rPr>
        <w:t xml:space="preserve">Current </w:t>
      </w:r>
      <w:r w:rsidR="008A0DEC">
        <w:rPr>
          <w:lang w:eastAsia="ja-JP"/>
        </w:rPr>
        <w:t>Fourth Amendment</w:t>
      </w:r>
      <w:r w:rsidR="00812C99">
        <w:rPr>
          <w:lang w:eastAsia="ja-JP"/>
        </w:rPr>
        <w:t xml:space="preserve"> doctrine</w:t>
      </w:r>
      <w:r w:rsidR="008A0DEC">
        <w:rPr>
          <w:lang w:eastAsia="ja-JP"/>
        </w:rPr>
        <w:t xml:space="preserve"> divides physical spaces into </w:t>
      </w:r>
      <w:r w:rsidR="00812C99">
        <w:rPr>
          <w:lang w:eastAsia="ja-JP"/>
        </w:rPr>
        <w:t>two</w:t>
      </w:r>
      <w:r w:rsidR="008A0DEC">
        <w:rPr>
          <w:lang w:eastAsia="ja-JP"/>
        </w:rPr>
        <w:t xml:space="preserve"> categories: indoors</w:t>
      </w:r>
      <w:r w:rsidR="0066432D">
        <w:rPr>
          <w:lang w:eastAsia="ja-JP"/>
        </w:rPr>
        <w:t xml:space="preserve"> and </w:t>
      </w:r>
      <w:r w:rsidR="00812C99">
        <w:rPr>
          <w:lang w:eastAsia="ja-JP"/>
        </w:rPr>
        <w:t>curtilage</w:t>
      </w:r>
      <w:r w:rsidR="008A0DEC">
        <w:rPr>
          <w:lang w:eastAsia="ja-JP"/>
        </w:rPr>
        <w:t xml:space="preserve">, which receive the most protection, </w:t>
      </w:r>
      <w:r w:rsidR="00E7615E">
        <w:rPr>
          <w:lang w:eastAsia="ja-JP"/>
        </w:rPr>
        <w:t xml:space="preserve">and </w:t>
      </w:r>
      <w:r w:rsidR="008A0DEC">
        <w:rPr>
          <w:lang w:eastAsia="ja-JP"/>
        </w:rPr>
        <w:t>outdoors, which receives less protection.</w:t>
      </w:r>
      <w:r w:rsidR="008A0DEC" w:rsidRPr="002A4234">
        <w:rPr>
          <w:rStyle w:val="FootnoteReference"/>
        </w:rPr>
        <w:footnoteReference w:id="246"/>
      </w:r>
      <w:r w:rsidR="00EE0FF5">
        <w:rPr>
          <w:lang w:eastAsia="ja-JP"/>
        </w:rPr>
        <w:t xml:space="preserve"> It then layers privacy expectations onto these categories. While</w:t>
      </w:r>
      <w:r w:rsidR="00E97AC9">
        <w:rPr>
          <w:lang w:eastAsia="ja-JP"/>
        </w:rPr>
        <w:t xml:space="preserve"> this</w:t>
      </w:r>
      <w:r w:rsidR="00EE0FF5">
        <w:rPr>
          <w:lang w:eastAsia="ja-JP"/>
        </w:rPr>
        <w:t xml:space="preserve"> analysis works with traditional dwellings, it is ill</w:t>
      </w:r>
      <w:r w:rsidR="00315D92">
        <w:rPr>
          <w:lang w:eastAsia="ja-JP"/>
        </w:rPr>
        <w:t xml:space="preserve"> </w:t>
      </w:r>
      <w:r w:rsidR="00EE0FF5">
        <w:rPr>
          <w:lang w:eastAsia="ja-JP"/>
        </w:rPr>
        <w:t xml:space="preserve">suited for </w:t>
      </w:r>
      <w:r w:rsidR="00427F5A">
        <w:rPr>
          <w:lang w:eastAsia="ja-JP"/>
        </w:rPr>
        <w:t xml:space="preserve">the complex living arrangements in which many </w:t>
      </w:r>
      <w:r w:rsidR="002370DF">
        <w:rPr>
          <w:lang w:eastAsia="ja-JP"/>
        </w:rPr>
        <w:t>Americans find themselves</w:t>
      </w:r>
      <w:r w:rsidR="00C45A5B">
        <w:rPr>
          <w:lang w:eastAsia="ja-JP"/>
        </w:rPr>
        <w:t xml:space="preserve">. </w:t>
      </w:r>
      <w:r w:rsidR="002E445E">
        <w:rPr>
          <w:lang w:eastAsia="ja-JP"/>
        </w:rPr>
        <w:t>I</w:t>
      </w:r>
      <w:r w:rsidR="00F44F3A">
        <w:rPr>
          <w:lang w:eastAsia="ja-JP"/>
        </w:rPr>
        <w:t xml:space="preserve">t works even less well </w:t>
      </w:r>
      <w:r w:rsidR="00D11DB8">
        <w:rPr>
          <w:lang w:eastAsia="ja-JP"/>
        </w:rPr>
        <w:t xml:space="preserve">in the context of </w:t>
      </w:r>
      <w:r w:rsidR="002E445E">
        <w:rPr>
          <w:lang w:eastAsia="ja-JP"/>
        </w:rPr>
        <w:t>technol</w:t>
      </w:r>
      <w:r w:rsidR="006803F2">
        <w:rPr>
          <w:lang w:eastAsia="ja-JP"/>
        </w:rPr>
        <w:t>ogical intrusions</w:t>
      </w:r>
      <w:r w:rsidR="00D11DB8">
        <w:rPr>
          <w:lang w:eastAsia="ja-JP"/>
        </w:rPr>
        <w:t xml:space="preserve">. </w:t>
      </w:r>
      <w:r w:rsidR="00DB07F8">
        <w:rPr>
          <w:lang w:eastAsia="ja-JP"/>
        </w:rPr>
        <w:t xml:space="preserve">This </w:t>
      </w:r>
      <w:r w:rsidR="00646921">
        <w:rPr>
          <w:lang w:eastAsia="ja-JP"/>
        </w:rPr>
        <w:t>Sec</w:t>
      </w:r>
      <w:r w:rsidR="00D85FF9">
        <w:rPr>
          <w:lang w:eastAsia="ja-JP"/>
        </w:rPr>
        <w:t>tion</w:t>
      </w:r>
      <w:r w:rsidR="00DB07F8">
        <w:rPr>
          <w:lang w:eastAsia="ja-JP"/>
        </w:rPr>
        <w:t xml:space="preserve"> builds on </w:t>
      </w:r>
      <w:r w:rsidR="00DB07F8">
        <w:rPr>
          <w:i/>
          <w:iCs/>
          <w:lang w:eastAsia="ja-JP"/>
        </w:rPr>
        <w:t xml:space="preserve">Jones </w:t>
      </w:r>
      <w:r w:rsidR="00DB07F8">
        <w:rPr>
          <w:lang w:eastAsia="ja-JP"/>
        </w:rPr>
        <w:t xml:space="preserve">and </w:t>
      </w:r>
      <w:r w:rsidR="00DB07F8">
        <w:rPr>
          <w:i/>
          <w:iCs/>
          <w:lang w:eastAsia="ja-JP"/>
        </w:rPr>
        <w:t>Jardines</w:t>
      </w:r>
      <w:r w:rsidR="008E7B6F">
        <w:rPr>
          <w:lang w:eastAsia="ja-JP"/>
        </w:rPr>
        <w:t xml:space="preserve"> to flesh out how the general law of trespass would work in Fourth Amendment analysis.</w:t>
      </w:r>
    </w:p>
    <w:p w14:paraId="29350003" w14:textId="57D9A765" w:rsidR="00EF643E" w:rsidRDefault="00FD1A52" w:rsidP="0017489B">
      <w:pPr>
        <w:pStyle w:val="BodyText"/>
        <w:rPr>
          <w:lang w:eastAsia="ja-JP"/>
        </w:rPr>
      </w:pPr>
      <w:r>
        <w:rPr>
          <w:lang w:eastAsia="ja-JP"/>
        </w:rPr>
        <w:t>Trespass is the tort that protects the right to exclude</w:t>
      </w:r>
      <w:r w:rsidR="0032206F">
        <w:rPr>
          <w:lang w:eastAsia="ja-JP"/>
        </w:rPr>
        <w:t xml:space="preserve">—that is, </w:t>
      </w:r>
      <w:r w:rsidR="00C75EBB" w:rsidRPr="00C75EBB">
        <w:rPr>
          <w:lang w:eastAsia="ja-JP"/>
        </w:rPr>
        <w:t xml:space="preserve">the </w:t>
      </w:r>
      <w:r w:rsidR="00990B0E">
        <w:rPr>
          <w:lang w:eastAsia="ja-JP"/>
        </w:rPr>
        <w:t>power to choose whether</w:t>
      </w:r>
      <w:r w:rsidR="00530354">
        <w:rPr>
          <w:lang w:eastAsia="ja-JP"/>
        </w:rPr>
        <w:t>,</w:t>
      </w:r>
      <w:r w:rsidR="00C75EBB" w:rsidRPr="00C75EBB">
        <w:rPr>
          <w:lang w:eastAsia="ja-JP"/>
        </w:rPr>
        <w:t xml:space="preserve"> and </w:t>
      </w:r>
      <w:r w:rsidR="00990B0E">
        <w:rPr>
          <w:lang w:eastAsia="ja-JP"/>
        </w:rPr>
        <w:t>under what conditions</w:t>
      </w:r>
      <w:r w:rsidR="00530354">
        <w:rPr>
          <w:lang w:eastAsia="ja-JP"/>
        </w:rPr>
        <w:t>,</w:t>
      </w:r>
      <w:r w:rsidR="00990B0E">
        <w:rPr>
          <w:lang w:eastAsia="ja-JP"/>
        </w:rPr>
        <w:t xml:space="preserve"> to allow others to have access to property.</w:t>
      </w:r>
      <w:r w:rsidR="00046020">
        <w:rPr>
          <w:lang w:eastAsia="ja-JP"/>
        </w:rPr>
        <w:t xml:space="preserve"> Both the Court and commentators have described the right to exclude as </w:t>
      </w:r>
      <w:r w:rsidR="00D70B69">
        <w:rPr>
          <w:lang w:eastAsia="ja-JP"/>
        </w:rPr>
        <w:t>a “fundamental element”</w:t>
      </w:r>
      <w:r w:rsidR="00184EF7" w:rsidRPr="002A4234">
        <w:rPr>
          <w:rStyle w:val="FootnoteReference"/>
        </w:rPr>
        <w:footnoteReference w:id="247"/>
      </w:r>
      <w:r w:rsidR="00D70B69">
        <w:rPr>
          <w:lang w:eastAsia="ja-JP"/>
        </w:rPr>
        <w:t xml:space="preserve"> of property or even its “sine qua non.”</w:t>
      </w:r>
      <w:r w:rsidR="00D70B69" w:rsidRPr="002A4234">
        <w:rPr>
          <w:rStyle w:val="FootnoteReference"/>
        </w:rPr>
        <w:footnoteReference w:id="248"/>
      </w:r>
      <w:r w:rsidR="0007313C">
        <w:rPr>
          <w:lang w:eastAsia="ja-JP"/>
        </w:rPr>
        <w:t xml:space="preserve"> Indeed</w:t>
      </w:r>
      <w:r w:rsidR="00414DD0">
        <w:rPr>
          <w:lang w:eastAsia="ja-JP"/>
        </w:rPr>
        <w:t>,</w:t>
      </w:r>
      <w:r w:rsidR="0007313C">
        <w:rPr>
          <w:lang w:eastAsia="ja-JP"/>
        </w:rPr>
        <w:t xml:space="preserve"> the right to exclude may be the right that protects other rights. </w:t>
      </w:r>
      <w:r w:rsidR="00B00457">
        <w:rPr>
          <w:lang w:eastAsia="ja-JP"/>
        </w:rPr>
        <w:t>Thus</w:t>
      </w:r>
      <w:r w:rsidR="00414DD0">
        <w:rPr>
          <w:lang w:eastAsia="ja-JP"/>
        </w:rPr>
        <w:t>,</w:t>
      </w:r>
      <w:r w:rsidR="00F47EF5">
        <w:rPr>
          <w:lang w:eastAsia="ja-JP"/>
        </w:rPr>
        <w:t xml:space="preserve"> early English cases repeat the maxim that every man’s house is his castle</w:t>
      </w:r>
      <w:r w:rsidR="00F5777F">
        <w:rPr>
          <w:lang w:eastAsia="ja-JP"/>
        </w:rPr>
        <w:t>.</w:t>
      </w:r>
      <w:r w:rsidR="00D401EE" w:rsidRPr="002A4234">
        <w:rPr>
          <w:rStyle w:val="FootnoteReference"/>
        </w:rPr>
        <w:footnoteReference w:id="249"/>
      </w:r>
      <w:r w:rsidR="00177431">
        <w:rPr>
          <w:lang w:eastAsia="ja-JP"/>
        </w:rPr>
        <w:t xml:space="preserve"> William Pitt declared</w:t>
      </w:r>
      <w:r w:rsidR="00851875">
        <w:rPr>
          <w:lang w:eastAsia="ja-JP"/>
        </w:rPr>
        <w:t>:</w:t>
      </w:r>
    </w:p>
    <w:p w14:paraId="130A48EB" w14:textId="77777777" w:rsidR="00FB364E" w:rsidRDefault="00FB364E" w:rsidP="0017489B">
      <w:pPr>
        <w:pStyle w:val="BodyText"/>
        <w:rPr>
          <w:lang w:eastAsia="ja-JP"/>
        </w:rPr>
      </w:pPr>
    </w:p>
    <w:p w14:paraId="61C230F6" w14:textId="041DEBB8" w:rsidR="00EF643E" w:rsidRDefault="00177431">
      <w:pPr>
        <w:pStyle w:val="BodyText"/>
        <w:ind w:left="360" w:firstLine="0"/>
        <w:rPr>
          <w:lang w:eastAsia="ja-JP"/>
        </w:rPr>
      </w:pPr>
      <w:r w:rsidRPr="00177431">
        <w:rPr>
          <w:lang w:eastAsia="ja-JP"/>
        </w:rPr>
        <w:t xml:space="preserve">The poorest man may in his cottage bid defiance to all the force of the </w:t>
      </w:r>
      <w:r w:rsidR="001E6643">
        <w:rPr>
          <w:lang w:eastAsia="ja-JP"/>
        </w:rPr>
        <w:t>C</w:t>
      </w:r>
      <w:r w:rsidRPr="00177431">
        <w:rPr>
          <w:lang w:eastAsia="ja-JP"/>
        </w:rPr>
        <w:t>rown. It may be frail</w:t>
      </w:r>
      <w:r w:rsidR="001E6643">
        <w:rPr>
          <w:lang w:eastAsia="ja-JP"/>
        </w:rPr>
        <w:t xml:space="preserve">; </w:t>
      </w:r>
      <w:r w:rsidRPr="00177431">
        <w:rPr>
          <w:lang w:eastAsia="ja-JP"/>
        </w:rPr>
        <w:t>its roof may shake</w:t>
      </w:r>
      <w:r w:rsidR="001E6643">
        <w:rPr>
          <w:lang w:eastAsia="ja-JP"/>
        </w:rPr>
        <w:t xml:space="preserve">; </w:t>
      </w:r>
      <w:r w:rsidRPr="00177431">
        <w:rPr>
          <w:lang w:eastAsia="ja-JP"/>
        </w:rPr>
        <w:t>the wind may blow through it</w:t>
      </w:r>
      <w:r w:rsidR="00880B5B">
        <w:rPr>
          <w:lang w:eastAsia="ja-JP"/>
        </w:rPr>
        <w:t xml:space="preserve">; </w:t>
      </w:r>
      <w:r w:rsidRPr="00177431">
        <w:rPr>
          <w:lang w:eastAsia="ja-JP"/>
        </w:rPr>
        <w:t>the storm may enter, the rain may enter</w:t>
      </w:r>
      <w:r w:rsidR="00880B5B">
        <w:rPr>
          <w:lang w:eastAsia="ja-JP"/>
        </w:rPr>
        <w:t xml:space="preserve">; </w:t>
      </w:r>
      <w:r w:rsidRPr="00177431">
        <w:rPr>
          <w:lang w:eastAsia="ja-JP"/>
        </w:rPr>
        <w:t>but the King of England cannot enter—all his force dares not cross the threshold of the ruined tenement</w:t>
      </w:r>
      <w:r w:rsidR="00964884">
        <w:rPr>
          <w:lang w:eastAsia="ja-JP"/>
        </w:rPr>
        <w:t>!</w:t>
      </w:r>
      <w:r w:rsidRPr="002A4234">
        <w:rPr>
          <w:rStyle w:val="FootnoteReference"/>
        </w:rPr>
        <w:footnoteReference w:id="250"/>
      </w:r>
    </w:p>
    <w:p w14:paraId="5D04440D" w14:textId="77777777" w:rsidR="00FB364E" w:rsidRDefault="00FB364E" w:rsidP="00851875">
      <w:pPr>
        <w:pStyle w:val="BodyText"/>
        <w:ind w:firstLine="0"/>
        <w:rPr>
          <w:lang w:eastAsia="ja-JP"/>
        </w:rPr>
      </w:pPr>
    </w:p>
    <w:p w14:paraId="3F45B564" w14:textId="0536B6BB" w:rsidR="0017489B" w:rsidRDefault="00977AD7" w:rsidP="000E4D28">
      <w:pPr>
        <w:pStyle w:val="BodyText"/>
        <w:ind w:firstLine="0"/>
        <w:rPr>
          <w:lang w:eastAsia="ja-JP"/>
        </w:rPr>
      </w:pPr>
      <w:r>
        <w:rPr>
          <w:lang w:eastAsia="ja-JP"/>
        </w:rPr>
        <w:lastRenderedPageBreak/>
        <w:t xml:space="preserve">In this framing, the right to exclude is freedom from governmental overreach, at least within the confines of one’s home. </w:t>
      </w:r>
      <w:r w:rsidR="00E04072">
        <w:rPr>
          <w:lang w:eastAsia="ja-JP"/>
        </w:rPr>
        <w:t>It creates a sphere of greater autonomy and self</w:t>
      </w:r>
      <w:r w:rsidR="004A60AE">
        <w:rPr>
          <w:lang w:eastAsia="ja-JP"/>
        </w:rPr>
        <w:t>-</w:t>
      </w:r>
      <w:r w:rsidR="00E04072">
        <w:rPr>
          <w:lang w:eastAsia="ja-JP"/>
        </w:rPr>
        <w:t>determination</w:t>
      </w:r>
      <w:r w:rsidR="004A60AE">
        <w:rPr>
          <w:lang w:eastAsia="ja-JP"/>
        </w:rPr>
        <w:t>—a refuge from the watchful eye and heavy hand of the state.</w:t>
      </w:r>
      <w:r w:rsidR="008A4792">
        <w:rPr>
          <w:lang w:eastAsia="ja-JP"/>
        </w:rPr>
        <w:t xml:space="preserve"> </w:t>
      </w:r>
      <w:r w:rsidR="00EF45E5">
        <w:rPr>
          <w:lang w:eastAsia="ja-JP"/>
        </w:rPr>
        <w:t>Although governmental searches may serve important public</w:t>
      </w:r>
      <w:r w:rsidR="00110EFD">
        <w:rPr>
          <w:lang w:eastAsia="ja-JP"/>
        </w:rPr>
        <w:t>-</w:t>
      </w:r>
      <w:r w:rsidR="00EF45E5">
        <w:rPr>
          <w:lang w:eastAsia="ja-JP"/>
        </w:rPr>
        <w:t>safety functions, t</w:t>
      </w:r>
      <w:r w:rsidR="008A4792">
        <w:rPr>
          <w:lang w:eastAsia="ja-JP"/>
        </w:rPr>
        <w:t xml:space="preserve">he right to exclude is only meaningful if it protects against </w:t>
      </w:r>
      <w:r w:rsidR="0032206F">
        <w:rPr>
          <w:lang w:eastAsia="ja-JP"/>
        </w:rPr>
        <w:t xml:space="preserve">both </w:t>
      </w:r>
      <w:r w:rsidR="00EF7420">
        <w:rPr>
          <w:lang w:eastAsia="ja-JP"/>
        </w:rPr>
        <w:t xml:space="preserve">searches </w:t>
      </w:r>
      <w:r w:rsidR="00CB1A7A">
        <w:rPr>
          <w:lang w:eastAsia="ja-JP"/>
        </w:rPr>
        <w:t>and</w:t>
      </w:r>
      <w:r w:rsidR="00EF7420">
        <w:rPr>
          <w:lang w:eastAsia="ja-JP"/>
        </w:rPr>
        <w:t xml:space="preserve"> o</w:t>
      </w:r>
      <w:r w:rsidR="00EF45E5">
        <w:rPr>
          <w:lang w:eastAsia="ja-JP"/>
        </w:rPr>
        <w:t>ther interferences by the state.</w:t>
      </w:r>
      <w:r w:rsidR="002E4234" w:rsidRPr="002E4234">
        <w:rPr>
          <w:lang w:eastAsia="ja-JP"/>
        </w:rPr>
        <w:t xml:space="preserve"> </w:t>
      </w:r>
      <w:r w:rsidR="002E4234">
        <w:rPr>
          <w:lang w:eastAsia="ja-JP"/>
        </w:rPr>
        <w:t>Illegal searches of private property are trespasses upon that property.</w:t>
      </w:r>
    </w:p>
    <w:p w14:paraId="56AE32D8" w14:textId="360AC932" w:rsidR="00C25C71" w:rsidRDefault="001044E5" w:rsidP="0017489B">
      <w:pPr>
        <w:pStyle w:val="BodyText"/>
        <w:rPr>
          <w:lang w:eastAsia="ja-JP"/>
        </w:rPr>
      </w:pPr>
      <w:r>
        <w:rPr>
          <w:lang w:eastAsia="ja-JP"/>
        </w:rPr>
        <w:t>Even in the context of searches, trespass is</w:t>
      </w:r>
      <w:r w:rsidR="006D2CF6">
        <w:rPr>
          <w:lang w:eastAsia="ja-JP"/>
        </w:rPr>
        <w:t xml:space="preserve"> a</w:t>
      </w:r>
      <w:r>
        <w:rPr>
          <w:lang w:eastAsia="ja-JP"/>
        </w:rPr>
        <w:t xml:space="preserve"> straightforward concept</w:t>
      </w:r>
      <w:r w:rsidR="00564F21">
        <w:rPr>
          <w:lang w:eastAsia="ja-JP"/>
        </w:rPr>
        <w:t>.</w:t>
      </w:r>
      <w:r>
        <w:rPr>
          <w:lang w:eastAsia="ja-JP"/>
        </w:rPr>
        <w:t xml:space="preserve"> </w:t>
      </w:r>
      <w:r w:rsidR="00564F21">
        <w:rPr>
          <w:lang w:eastAsia="ja-JP"/>
        </w:rPr>
        <w:t>A</w:t>
      </w:r>
      <w:r w:rsidR="004861F1">
        <w:rPr>
          <w:lang w:eastAsia="ja-JP"/>
        </w:rPr>
        <w:t xml:space="preserve"> trespass is </w:t>
      </w:r>
      <w:r w:rsidR="00982FA2">
        <w:rPr>
          <w:lang w:eastAsia="ja-JP"/>
        </w:rPr>
        <w:t>entry onto land “</w:t>
      </w:r>
      <w:r w:rsidR="00982FA2" w:rsidRPr="00982FA2">
        <w:rPr>
          <w:lang w:eastAsia="ja-JP"/>
        </w:rPr>
        <w:t>without a privilege to do so created by the possessor</w:t>
      </w:r>
      <w:r w:rsidR="006D2CF6">
        <w:rPr>
          <w:lang w:eastAsia="ja-JP"/>
        </w:rPr>
        <w:t>’</w:t>
      </w:r>
      <w:r w:rsidR="00982FA2" w:rsidRPr="00982FA2">
        <w:rPr>
          <w:lang w:eastAsia="ja-JP"/>
        </w:rPr>
        <w:t>s consent or otherwise</w:t>
      </w:r>
      <w:r w:rsidR="00982FA2">
        <w:rPr>
          <w:lang w:eastAsia="ja-JP"/>
        </w:rPr>
        <w:t>.”</w:t>
      </w:r>
      <w:r w:rsidR="00982FA2" w:rsidRPr="002A4234">
        <w:rPr>
          <w:rStyle w:val="FootnoteReference"/>
        </w:rPr>
        <w:footnoteReference w:id="251"/>
      </w:r>
      <w:r w:rsidR="00793339" w:rsidRPr="00793339">
        <w:rPr>
          <w:lang w:eastAsia="ja-JP"/>
        </w:rPr>
        <w:t xml:space="preserve"> </w:t>
      </w:r>
      <w:r w:rsidR="00DA699B">
        <w:rPr>
          <w:lang w:eastAsia="ja-JP"/>
        </w:rPr>
        <w:t>Courts applying tresp</w:t>
      </w:r>
      <w:r w:rsidR="006A6908">
        <w:rPr>
          <w:lang w:eastAsia="ja-JP"/>
        </w:rPr>
        <w:t>ass would ask</w:t>
      </w:r>
      <w:r w:rsidR="00096742">
        <w:rPr>
          <w:lang w:eastAsia="ja-JP"/>
        </w:rPr>
        <w:t xml:space="preserve"> whether </w:t>
      </w:r>
      <w:r w:rsidR="006D59FD">
        <w:rPr>
          <w:lang w:eastAsia="ja-JP"/>
        </w:rPr>
        <w:t xml:space="preserve">the subject had the </w:t>
      </w:r>
      <w:r w:rsidR="00931A06">
        <w:rPr>
          <w:lang w:eastAsia="ja-JP"/>
        </w:rPr>
        <w:t>right to exclu</w:t>
      </w:r>
      <w:r w:rsidR="00AE5648">
        <w:rPr>
          <w:lang w:eastAsia="ja-JP"/>
        </w:rPr>
        <w:t>de</w:t>
      </w:r>
      <w:r w:rsidR="001A21E0">
        <w:rPr>
          <w:lang w:eastAsia="ja-JP"/>
        </w:rPr>
        <w:t xml:space="preserve"> and whether that right had be</w:t>
      </w:r>
      <w:r w:rsidR="00FE0A44">
        <w:rPr>
          <w:lang w:eastAsia="ja-JP"/>
        </w:rPr>
        <w:t xml:space="preserve">en violated by an </w:t>
      </w:r>
      <w:r w:rsidR="005169CB">
        <w:rPr>
          <w:lang w:eastAsia="ja-JP"/>
        </w:rPr>
        <w:t>alleged intrusion.</w:t>
      </w:r>
    </w:p>
    <w:p w14:paraId="63500451" w14:textId="64A7AECE" w:rsidR="00697EA8" w:rsidRPr="00CF7648" w:rsidRDefault="003C666D" w:rsidP="00CF7648">
      <w:pPr>
        <w:pStyle w:val="Heading3"/>
      </w:pPr>
      <w:bookmarkStart w:id="65" w:name="_Toc96093552"/>
      <w:bookmarkStart w:id="66" w:name="_Toc111723680"/>
      <w:r>
        <w:t xml:space="preserve">The </w:t>
      </w:r>
      <w:r w:rsidR="00CF7648" w:rsidRPr="00CF7648">
        <w:t>Scope of the Right to Ex</w:t>
      </w:r>
      <w:r w:rsidR="000017BC">
        <w:t>c</w:t>
      </w:r>
      <w:r w:rsidR="00CF7648" w:rsidRPr="00CF7648">
        <w:t>lude</w:t>
      </w:r>
      <w:bookmarkEnd w:id="65"/>
      <w:bookmarkEnd w:id="66"/>
    </w:p>
    <w:p w14:paraId="5C0F731B" w14:textId="0C1299EE" w:rsidR="001442D8" w:rsidRDefault="00E24505" w:rsidP="006377B0">
      <w:pPr>
        <w:pStyle w:val="BodyText"/>
        <w:rPr>
          <w:lang w:eastAsia="ja-JP"/>
        </w:rPr>
      </w:pPr>
      <w:r>
        <w:rPr>
          <w:lang w:eastAsia="ja-JP"/>
        </w:rPr>
        <w:t>To apply the concept of trespass, courts would first</w:t>
      </w:r>
      <w:r w:rsidR="00F822CE">
        <w:rPr>
          <w:lang w:eastAsia="ja-JP"/>
        </w:rPr>
        <w:t xml:space="preserve"> determine the scope of </w:t>
      </w:r>
      <w:r>
        <w:rPr>
          <w:lang w:eastAsia="ja-JP"/>
        </w:rPr>
        <w:t>a subject’s</w:t>
      </w:r>
      <w:r w:rsidR="00F822CE">
        <w:rPr>
          <w:lang w:eastAsia="ja-JP"/>
        </w:rPr>
        <w:t xml:space="preserve"> right to exclude</w:t>
      </w:r>
      <w:r w:rsidR="0014616D">
        <w:rPr>
          <w:lang w:eastAsia="ja-JP"/>
        </w:rPr>
        <w:t xml:space="preserve"> others from </w:t>
      </w:r>
      <w:r w:rsidR="00B73ADF">
        <w:rPr>
          <w:lang w:eastAsia="ja-JP"/>
        </w:rPr>
        <w:t xml:space="preserve">a </w:t>
      </w:r>
      <w:r w:rsidR="0014616D">
        <w:rPr>
          <w:lang w:eastAsia="ja-JP"/>
        </w:rPr>
        <w:t>property.</w:t>
      </w:r>
      <w:r w:rsidR="002D7D61" w:rsidRPr="002A4234">
        <w:rPr>
          <w:rStyle w:val="FootnoteReference"/>
        </w:rPr>
        <w:footnoteReference w:id="252"/>
      </w:r>
      <w:r w:rsidR="0014616D">
        <w:rPr>
          <w:lang w:eastAsia="ja-JP"/>
        </w:rPr>
        <w:t xml:space="preserve"> </w:t>
      </w:r>
      <w:r w:rsidR="005E6AC2">
        <w:rPr>
          <w:lang w:eastAsia="ja-JP"/>
        </w:rPr>
        <w:t xml:space="preserve">Familiar property concepts like “ownership” will do </w:t>
      </w:r>
      <w:r w:rsidR="00615FF6">
        <w:rPr>
          <w:lang w:eastAsia="ja-JP"/>
        </w:rPr>
        <w:t>much of</w:t>
      </w:r>
      <w:r w:rsidR="005E6AC2">
        <w:rPr>
          <w:lang w:eastAsia="ja-JP"/>
        </w:rPr>
        <w:t xml:space="preserve"> the work in this inquiry, but courts must still analyze the facts of the case. </w:t>
      </w:r>
      <w:r w:rsidR="005855C8">
        <w:rPr>
          <w:lang w:eastAsia="ja-JP"/>
        </w:rPr>
        <w:t xml:space="preserve">Consider overnight </w:t>
      </w:r>
      <w:r w:rsidR="00E423CB">
        <w:rPr>
          <w:lang w:eastAsia="ja-JP"/>
        </w:rPr>
        <w:t>guests</w:t>
      </w:r>
      <w:r w:rsidR="001D450D">
        <w:rPr>
          <w:lang w:eastAsia="ja-JP"/>
        </w:rPr>
        <w:t>. As licensees,</w:t>
      </w:r>
      <w:r w:rsidR="00101004" w:rsidRPr="002A4234">
        <w:rPr>
          <w:rStyle w:val="FootnoteReference"/>
        </w:rPr>
        <w:footnoteReference w:id="253"/>
      </w:r>
      <w:r w:rsidR="001D450D">
        <w:rPr>
          <w:lang w:eastAsia="ja-JP"/>
        </w:rPr>
        <w:t xml:space="preserve"> </w:t>
      </w:r>
      <w:r w:rsidR="00FA2C5D">
        <w:rPr>
          <w:lang w:eastAsia="ja-JP"/>
        </w:rPr>
        <w:t>the</w:t>
      </w:r>
      <w:r w:rsidR="00401FF7">
        <w:rPr>
          <w:lang w:eastAsia="ja-JP"/>
        </w:rPr>
        <w:t xml:space="preserve"> guests</w:t>
      </w:r>
      <w:r w:rsidR="00FA2C5D">
        <w:rPr>
          <w:lang w:eastAsia="ja-JP"/>
        </w:rPr>
        <w:t xml:space="preserve"> have permission to occupy the homeowners’ property because the homeowners have waive</w:t>
      </w:r>
      <w:r w:rsidR="00401FF7">
        <w:rPr>
          <w:lang w:eastAsia="ja-JP"/>
        </w:rPr>
        <w:t>d</w:t>
      </w:r>
      <w:r w:rsidR="00FA2C5D">
        <w:rPr>
          <w:lang w:eastAsia="ja-JP"/>
        </w:rPr>
        <w:t xml:space="preserve"> their right to exclude them. </w:t>
      </w:r>
      <w:r w:rsidR="00401FF7">
        <w:rPr>
          <w:lang w:eastAsia="ja-JP"/>
        </w:rPr>
        <w:t xml:space="preserve">Although they are not on their own property, the guests still have </w:t>
      </w:r>
      <w:r w:rsidR="00E30AAE">
        <w:rPr>
          <w:lang w:eastAsia="ja-JP"/>
        </w:rPr>
        <w:t xml:space="preserve">various </w:t>
      </w:r>
      <w:r w:rsidR="00401FF7">
        <w:rPr>
          <w:lang w:eastAsia="ja-JP"/>
        </w:rPr>
        <w:t>property rights</w:t>
      </w:r>
      <w:r w:rsidR="00E30AAE">
        <w:rPr>
          <w:lang w:eastAsia="ja-JP"/>
        </w:rPr>
        <w:t>. They retain ownership over any chattels they may have brought with them</w:t>
      </w:r>
      <w:r w:rsidR="00B811D5">
        <w:rPr>
          <w:lang w:eastAsia="ja-JP"/>
        </w:rPr>
        <w:t>. They m</w:t>
      </w:r>
      <w:r w:rsidR="00156621">
        <w:rPr>
          <w:lang w:eastAsia="ja-JP"/>
        </w:rPr>
        <w:t>ight</w:t>
      </w:r>
      <w:r w:rsidR="00B811D5">
        <w:rPr>
          <w:lang w:eastAsia="ja-JP"/>
        </w:rPr>
        <w:t xml:space="preserve"> even have the right to exclude other</w:t>
      </w:r>
      <w:r w:rsidR="005D262C">
        <w:rPr>
          <w:lang w:eastAsia="ja-JP"/>
        </w:rPr>
        <w:t xml:space="preserve">s from their licensed space. For example, </w:t>
      </w:r>
      <w:r w:rsidR="00BB4CAE">
        <w:rPr>
          <w:lang w:eastAsia="ja-JP"/>
        </w:rPr>
        <w:t>overnight guest</w:t>
      </w:r>
      <w:r w:rsidR="00F93414">
        <w:rPr>
          <w:lang w:eastAsia="ja-JP"/>
        </w:rPr>
        <w:t xml:space="preserve">s would be within their rights to block </w:t>
      </w:r>
      <w:r w:rsidR="00733E49">
        <w:rPr>
          <w:lang w:eastAsia="ja-JP"/>
        </w:rPr>
        <w:t>trespassing stranger</w:t>
      </w:r>
      <w:r w:rsidR="001235FE">
        <w:rPr>
          <w:lang w:eastAsia="ja-JP"/>
        </w:rPr>
        <w:t>s</w:t>
      </w:r>
      <w:r w:rsidR="00733E49">
        <w:rPr>
          <w:lang w:eastAsia="ja-JP"/>
        </w:rPr>
        <w:t xml:space="preserve"> </w:t>
      </w:r>
      <w:r w:rsidR="00F93414">
        <w:rPr>
          <w:lang w:eastAsia="ja-JP"/>
        </w:rPr>
        <w:t>from entering their guest room</w:t>
      </w:r>
      <w:r w:rsidR="00741F67">
        <w:rPr>
          <w:lang w:eastAsia="ja-JP"/>
        </w:rPr>
        <w:t xml:space="preserve"> even if they </w:t>
      </w:r>
      <w:r w:rsidR="00A47983">
        <w:rPr>
          <w:lang w:eastAsia="ja-JP"/>
        </w:rPr>
        <w:t xml:space="preserve">would have no property-based right to </w:t>
      </w:r>
      <w:r w:rsidR="001C560B">
        <w:rPr>
          <w:lang w:eastAsia="ja-JP"/>
        </w:rPr>
        <w:t xml:space="preserve">block the </w:t>
      </w:r>
      <w:r w:rsidR="001C560B" w:rsidRPr="000B504C">
        <w:rPr>
          <w:i/>
          <w:iCs/>
          <w:lang w:eastAsia="ja-JP"/>
        </w:rPr>
        <w:t>homeowner</w:t>
      </w:r>
      <w:r w:rsidR="001C560B">
        <w:rPr>
          <w:lang w:eastAsia="ja-JP"/>
        </w:rPr>
        <w:t xml:space="preserve"> from checking on the room.</w:t>
      </w:r>
      <w:r w:rsidR="0089214A">
        <w:rPr>
          <w:lang w:eastAsia="ja-JP"/>
        </w:rPr>
        <w:t xml:space="preserve"> </w:t>
      </w:r>
      <w:r w:rsidR="0089214A">
        <w:t>Social norms might prevent the hosts from poking around their guests’ space</w:t>
      </w:r>
      <w:r w:rsidR="00A73D97">
        <w:t xml:space="preserve"> or allowing others to do so</w:t>
      </w:r>
      <w:r w:rsidR="0089214A">
        <w:t>, but property law would allow them to do so.</w:t>
      </w:r>
      <w:r w:rsidR="00E84782" w:rsidRPr="002A4234">
        <w:rPr>
          <w:rStyle w:val="FootnoteReference"/>
        </w:rPr>
        <w:footnoteReference w:id="254"/>
      </w:r>
      <w:r w:rsidR="00AE2898">
        <w:t xml:space="preserve"> Under a </w:t>
      </w:r>
      <w:r w:rsidR="00AE2898" w:rsidDel="000B5988">
        <w:t>general</w:t>
      </w:r>
      <w:r w:rsidR="000B5988">
        <w:t>-</w:t>
      </w:r>
      <w:r w:rsidR="00AE2898">
        <w:t xml:space="preserve">law approach, the </w:t>
      </w:r>
      <w:r w:rsidR="00B5419B">
        <w:t xml:space="preserve">guests would </w:t>
      </w:r>
      <w:r w:rsidR="009A7515">
        <w:t>be protected against</w:t>
      </w:r>
      <w:r w:rsidR="00B5419B">
        <w:t xml:space="preserve"> warrantless search</w:t>
      </w:r>
      <w:r w:rsidR="0066732B">
        <w:t>es</w:t>
      </w:r>
      <w:r w:rsidR="00B5419B">
        <w:t xml:space="preserve"> of their space, </w:t>
      </w:r>
      <w:r w:rsidR="0066732B">
        <w:t xml:space="preserve">though </w:t>
      </w:r>
      <w:r w:rsidR="00B5419B">
        <w:t>the h</w:t>
      </w:r>
      <w:r w:rsidR="00A73D97">
        <w:t xml:space="preserve">osts </w:t>
      </w:r>
      <w:r w:rsidR="0066732B">
        <w:t>could</w:t>
      </w:r>
      <w:r w:rsidR="00A73D97">
        <w:t xml:space="preserve"> consent to </w:t>
      </w:r>
      <w:r w:rsidR="0066732B">
        <w:t>law enforcement entry</w:t>
      </w:r>
      <w:r w:rsidR="00A73D97">
        <w:t>.</w:t>
      </w:r>
    </w:p>
    <w:p w14:paraId="6C75AEAC" w14:textId="64459E0B" w:rsidR="00F35D54" w:rsidRDefault="00CD53EE" w:rsidP="006377B0">
      <w:pPr>
        <w:pStyle w:val="BodyText"/>
        <w:rPr>
          <w:lang w:eastAsia="ja-JP"/>
        </w:rPr>
      </w:pPr>
      <w:r>
        <w:rPr>
          <w:lang w:eastAsia="ja-JP"/>
        </w:rPr>
        <w:t>Although mostly stable over time, there are some situations in which</w:t>
      </w:r>
      <w:r w:rsidR="00F35D54">
        <w:rPr>
          <w:lang w:eastAsia="ja-JP"/>
        </w:rPr>
        <w:t xml:space="preserve"> the right to exclude has </w:t>
      </w:r>
      <w:r>
        <w:rPr>
          <w:lang w:eastAsia="ja-JP"/>
        </w:rPr>
        <w:t>evolved</w:t>
      </w:r>
      <w:r w:rsidR="00F35D54">
        <w:rPr>
          <w:lang w:eastAsia="ja-JP"/>
        </w:rPr>
        <w:t xml:space="preserve">. </w:t>
      </w:r>
      <w:r w:rsidR="00DF6895">
        <w:rPr>
          <w:lang w:eastAsia="ja-JP"/>
        </w:rPr>
        <w:t>E</w:t>
      </w:r>
      <w:r w:rsidR="00F35D54">
        <w:rPr>
          <w:lang w:eastAsia="ja-JP"/>
        </w:rPr>
        <w:t xml:space="preserve">arly commentators </w:t>
      </w:r>
      <w:r w:rsidR="002F42B3">
        <w:rPr>
          <w:lang w:eastAsia="ja-JP"/>
        </w:rPr>
        <w:t>talked</w:t>
      </w:r>
      <w:r w:rsidR="0065370B">
        <w:rPr>
          <w:lang w:eastAsia="ja-JP"/>
        </w:rPr>
        <w:t xml:space="preserve"> </w:t>
      </w:r>
      <w:r w:rsidR="002F42B3">
        <w:rPr>
          <w:lang w:eastAsia="ja-JP"/>
        </w:rPr>
        <w:t xml:space="preserve">about </w:t>
      </w:r>
      <w:r w:rsidR="00451554" w:rsidRPr="00451554">
        <w:rPr>
          <w:i/>
          <w:iCs/>
          <w:lang w:eastAsia="ja-JP"/>
        </w:rPr>
        <w:t>cuius est solum, eius est usque ad coelum et ad inferos</w:t>
      </w:r>
      <w:r w:rsidR="00D35FCE">
        <w:rPr>
          <w:lang w:eastAsia="ja-JP"/>
        </w:rPr>
        <w:t>—</w:t>
      </w:r>
      <w:r w:rsidR="00B86E9E">
        <w:rPr>
          <w:lang w:eastAsia="ja-JP"/>
        </w:rPr>
        <w:t xml:space="preserve">whoever owns the earth owns up to </w:t>
      </w:r>
      <w:r w:rsidR="00D35FCE">
        <w:rPr>
          <w:lang w:eastAsia="ja-JP"/>
        </w:rPr>
        <w:t xml:space="preserve">Heaven and </w:t>
      </w:r>
      <w:r w:rsidR="00D35FCE">
        <w:rPr>
          <w:lang w:eastAsia="ja-JP"/>
        </w:rPr>
        <w:lastRenderedPageBreak/>
        <w:t>down to Hell.</w:t>
      </w:r>
      <w:r w:rsidR="00D35FCE" w:rsidRPr="002A4234">
        <w:rPr>
          <w:rStyle w:val="FootnoteReference"/>
        </w:rPr>
        <w:footnoteReference w:id="255"/>
      </w:r>
      <w:r w:rsidR="0065370B">
        <w:rPr>
          <w:lang w:eastAsia="ja-JP"/>
        </w:rPr>
        <w:t xml:space="preserve"> However useful the idea of </w:t>
      </w:r>
      <w:r w:rsidR="0065370B">
        <w:rPr>
          <w:i/>
          <w:iCs/>
          <w:lang w:eastAsia="ja-JP"/>
        </w:rPr>
        <w:t>ad coelum</w:t>
      </w:r>
      <w:r w:rsidR="0065370B">
        <w:rPr>
          <w:lang w:eastAsia="ja-JP"/>
        </w:rPr>
        <w:t xml:space="preserve"> might have been in the development of early American property law, </w:t>
      </w:r>
      <w:r w:rsidR="000869DC">
        <w:rPr>
          <w:lang w:eastAsia="ja-JP"/>
        </w:rPr>
        <w:t>the advent of air travel quickly revealed its flaws</w:t>
      </w:r>
      <w:r w:rsidR="00401FCD">
        <w:rPr>
          <w:lang w:eastAsia="ja-JP"/>
        </w:rPr>
        <w:t xml:space="preserve">, leading </w:t>
      </w:r>
      <w:r w:rsidR="00B43D56">
        <w:rPr>
          <w:lang w:eastAsia="ja-JP"/>
        </w:rPr>
        <w:t xml:space="preserve">courts </w:t>
      </w:r>
      <w:r w:rsidR="002B7242">
        <w:rPr>
          <w:lang w:eastAsia="ja-JP"/>
        </w:rPr>
        <w:t xml:space="preserve">to </w:t>
      </w:r>
      <w:r w:rsidR="00A66DB0">
        <w:rPr>
          <w:lang w:eastAsia="ja-JP"/>
        </w:rPr>
        <w:t>reject</w:t>
      </w:r>
      <w:r w:rsidR="00B43D56">
        <w:rPr>
          <w:lang w:eastAsia="ja-JP"/>
        </w:rPr>
        <w:t xml:space="preserve"> it</w:t>
      </w:r>
      <w:r w:rsidR="00A66DB0">
        <w:rPr>
          <w:lang w:eastAsia="ja-JP"/>
        </w:rPr>
        <w:t xml:space="preserve"> as applied to </w:t>
      </w:r>
      <w:r w:rsidR="00555F3F">
        <w:rPr>
          <w:lang w:eastAsia="ja-JP"/>
        </w:rPr>
        <w:t>aviation</w:t>
      </w:r>
      <w:r w:rsidR="000869DC">
        <w:rPr>
          <w:lang w:eastAsia="ja-JP"/>
        </w:rPr>
        <w:t>.</w:t>
      </w:r>
      <w:r w:rsidR="000869DC" w:rsidRPr="002A4234">
        <w:rPr>
          <w:rStyle w:val="FootnoteReference"/>
        </w:rPr>
        <w:footnoteReference w:id="256"/>
      </w:r>
      <w:r w:rsidR="000869DC">
        <w:rPr>
          <w:lang w:eastAsia="ja-JP"/>
        </w:rPr>
        <w:t xml:space="preserve"> </w:t>
      </w:r>
      <w:r w:rsidR="00722AAF">
        <w:rPr>
          <w:lang w:eastAsia="ja-JP"/>
        </w:rPr>
        <w:t>By 1947</w:t>
      </w:r>
      <w:r w:rsidR="00766C87">
        <w:rPr>
          <w:lang w:eastAsia="ja-JP"/>
        </w:rPr>
        <w:t xml:space="preserve">, the Supreme Court declared that </w:t>
      </w:r>
      <w:r w:rsidR="00766C87">
        <w:rPr>
          <w:i/>
          <w:iCs/>
          <w:lang w:eastAsia="ja-JP"/>
        </w:rPr>
        <w:t xml:space="preserve">ad coelum </w:t>
      </w:r>
      <w:r w:rsidR="00766C87">
        <w:rPr>
          <w:lang w:eastAsia="ja-JP"/>
        </w:rPr>
        <w:t>“</w:t>
      </w:r>
      <w:r w:rsidR="00766C87" w:rsidRPr="00766C87">
        <w:rPr>
          <w:lang w:eastAsia="ja-JP"/>
        </w:rPr>
        <w:t>has no place in the modern world.</w:t>
      </w:r>
      <w:r w:rsidR="00766C87">
        <w:rPr>
          <w:lang w:eastAsia="ja-JP"/>
        </w:rPr>
        <w:t>”</w:t>
      </w:r>
      <w:r w:rsidR="00766C87" w:rsidRPr="002A4234">
        <w:rPr>
          <w:rStyle w:val="FootnoteReference"/>
        </w:rPr>
        <w:footnoteReference w:id="257"/>
      </w:r>
      <w:r w:rsidR="00573E58">
        <w:rPr>
          <w:lang w:eastAsia="ja-JP"/>
        </w:rPr>
        <w:t xml:space="preserve"> </w:t>
      </w:r>
      <w:r w:rsidR="00DA383A">
        <w:rPr>
          <w:lang w:eastAsia="ja-JP"/>
        </w:rPr>
        <w:t xml:space="preserve">That might be true in the absolute, but </w:t>
      </w:r>
      <w:r w:rsidR="003206AB">
        <w:rPr>
          <w:lang w:eastAsia="ja-JP"/>
        </w:rPr>
        <w:t xml:space="preserve">the intuition behind </w:t>
      </w:r>
      <w:r w:rsidR="003206AB">
        <w:rPr>
          <w:i/>
          <w:iCs/>
          <w:lang w:eastAsia="ja-JP"/>
        </w:rPr>
        <w:t xml:space="preserve">ad coelum </w:t>
      </w:r>
      <w:r w:rsidR="003206AB" w:rsidRPr="003206AB">
        <w:rPr>
          <w:lang w:eastAsia="ja-JP"/>
        </w:rPr>
        <w:t>remains intact.</w:t>
      </w:r>
      <w:r w:rsidR="003206AB">
        <w:rPr>
          <w:i/>
          <w:iCs/>
          <w:lang w:eastAsia="ja-JP"/>
        </w:rPr>
        <w:t xml:space="preserve"> </w:t>
      </w:r>
      <w:r w:rsidR="003206AB">
        <w:rPr>
          <w:lang w:eastAsia="ja-JP"/>
        </w:rPr>
        <w:t xml:space="preserve">An intrusion </w:t>
      </w:r>
      <w:r w:rsidR="008205DA">
        <w:rPr>
          <w:lang w:eastAsia="ja-JP"/>
        </w:rPr>
        <w:t>c</w:t>
      </w:r>
      <w:r w:rsidR="00D929DE">
        <w:rPr>
          <w:lang w:eastAsia="ja-JP"/>
        </w:rPr>
        <w:t>a</w:t>
      </w:r>
      <w:r w:rsidR="003D1918">
        <w:rPr>
          <w:lang w:eastAsia="ja-JP"/>
        </w:rPr>
        <w:t>n still be a</w:t>
      </w:r>
      <w:r w:rsidR="00DA383A">
        <w:rPr>
          <w:lang w:eastAsia="ja-JP"/>
        </w:rPr>
        <w:t xml:space="preserve"> trespass </w:t>
      </w:r>
      <w:r w:rsidR="003D1918">
        <w:rPr>
          <w:lang w:eastAsia="ja-JP"/>
        </w:rPr>
        <w:t xml:space="preserve">even if </w:t>
      </w:r>
      <w:r w:rsidR="00156C5F">
        <w:rPr>
          <w:lang w:eastAsia="ja-JP"/>
        </w:rPr>
        <w:t>it</w:t>
      </w:r>
      <w:r w:rsidR="004A1904">
        <w:rPr>
          <w:lang w:eastAsia="ja-JP"/>
        </w:rPr>
        <w:t xml:space="preserve"> does</w:t>
      </w:r>
      <w:r w:rsidR="00DA383A">
        <w:rPr>
          <w:lang w:eastAsia="ja-JP"/>
        </w:rPr>
        <w:t xml:space="preserve"> not touch the surface of the property. </w:t>
      </w:r>
      <w:r w:rsidR="00573E58">
        <w:rPr>
          <w:lang w:eastAsia="ja-JP"/>
        </w:rPr>
        <w:t>The scope of the right to exclude may well bend to newer technologies such as dr</w:t>
      </w:r>
      <w:r w:rsidR="00432979">
        <w:rPr>
          <w:lang w:eastAsia="ja-JP"/>
        </w:rPr>
        <w:t xml:space="preserve">ones or it may become an essential barricade against further technological intrusion into private spaces. </w:t>
      </w:r>
      <w:r w:rsidR="00C95AEF">
        <w:rPr>
          <w:lang w:eastAsia="ja-JP"/>
        </w:rPr>
        <w:t>Which way it goes will depend on the decisions of common</w:t>
      </w:r>
      <w:r w:rsidR="00182649">
        <w:rPr>
          <w:lang w:eastAsia="ja-JP"/>
        </w:rPr>
        <w:t>-</w:t>
      </w:r>
      <w:r w:rsidR="00C95AEF">
        <w:rPr>
          <w:lang w:eastAsia="ja-JP"/>
        </w:rPr>
        <w:t>law judges</w:t>
      </w:r>
      <w:r w:rsidR="008956F0">
        <w:rPr>
          <w:lang w:eastAsia="ja-JP"/>
        </w:rPr>
        <w:t>, legislators, and perhaps federal agencies.</w:t>
      </w:r>
      <w:r w:rsidR="00C3109D">
        <w:rPr>
          <w:lang w:eastAsia="ja-JP"/>
        </w:rPr>
        <w:t xml:space="preserve"> Unlike the </w:t>
      </w:r>
      <w:r w:rsidR="00182649">
        <w:rPr>
          <w:lang w:eastAsia="ja-JP"/>
        </w:rPr>
        <w:t>pure</w:t>
      </w:r>
      <w:r w:rsidR="00BE2A54">
        <w:rPr>
          <w:lang w:eastAsia="ja-JP"/>
        </w:rPr>
        <w:t xml:space="preserve"> </w:t>
      </w:r>
      <w:r w:rsidR="00C3109D">
        <w:rPr>
          <w:lang w:eastAsia="ja-JP"/>
        </w:rPr>
        <w:t>positive</w:t>
      </w:r>
      <w:r w:rsidR="00182649">
        <w:rPr>
          <w:lang w:eastAsia="ja-JP"/>
        </w:rPr>
        <w:t>-</w:t>
      </w:r>
      <w:r w:rsidR="00C3109D">
        <w:rPr>
          <w:lang w:eastAsia="ja-JP"/>
        </w:rPr>
        <w:t xml:space="preserve">law model, the </w:t>
      </w:r>
      <w:r w:rsidR="00CF4740">
        <w:rPr>
          <w:lang w:eastAsia="ja-JP"/>
        </w:rPr>
        <w:t>general-law approach</w:t>
      </w:r>
      <w:r w:rsidR="00C3109D">
        <w:rPr>
          <w:lang w:eastAsia="ja-JP"/>
        </w:rPr>
        <w:t xml:space="preserve"> would </w:t>
      </w:r>
      <w:r w:rsidR="00DD50C5">
        <w:rPr>
          <w:lang w:eastAsia="ja-JP"/>
        </w:rPr>
        <w:t xml:space="preserve">empower federal courts to engage in the kind of analysis more commonly associated with state </w:t>
      </w:r>
      <w:r w:rsidR="00DD50C5" w:rsidDel="00334565">
        <w:rPr>
          <w:lang w:eastAsia="ja-JP"/>
        </w:rPr>
        <w:t>common</w:t>
      </w:r>
      <w:r w:rsidR="00334565">
        <w:rPr>
          <w:lang w:eastAsia="ja-JP"/>
        </w:rPr>
        <w:t>-</w:t>
      </w:r>
      <w:r w:rsidR="00DD50C5">
        <w:rPr>
          <w:lang w:eastAsia="ja-JP"/>
        </w:rPr>
        <w:t xml:space="preserve">law courts. They would </w:t>
      </w:r>
      <w:r w:rsidR="00933CDB">
        <w:rPr>
          <w:lang w:eastAsia="ja-JP"/>
        </w:rPr>
        <w:t>begin with longstanding common</w:t>
      </w:r>
      <w:r w:rsidR="00182649">
        <w:rPr>
          <w:lang w:eastAsia="ja-JP"/>
        </w:rPr>
        <w:t>-</w:t>
      </w:r>
      <w:r w:rsidR="00933CDB">
        <w:rPr>
          <w:lang w:eastAsia="ja-JP"/>
        </w:rPr>
        <w:t xml:space="preserve">law doctrine but </w:t>
      </w:r>
      <w:r w:rsidR="00182649">
        <w:rPr>
          <w:lang w:eastAsia="ja-JP"/>
        </w:rPr>
        <w:t>would</w:t>
      </w:r>
      <w:r w:rsidR="00933CDB">
        <w:rPr>
          <w:lang w:eastAsia="ja-JP"/>
        </w:rPr>
        <w:t xml:space="preserve"> be free to mold it to the needs of modern society, just as courts did when </w:t>
      </w:r>
      <w:r w:rsidR="000B292F">
        <w:rPr>
          <w:lang w:eastAsia="ja-JP"/>
        </w:rPr>
        <w:t xml:space="preserve">air travel caused them to abandon </w:t>
      </w:r>
      <w:r w:rsidR="000B292F">
        <w:rPr>
          <w:i/>
          <w:iCs/>
          <w:lang w:eastAsia="ja-JP"/>
        </w:rPr>
        <w:t>ad coelum</w:t>
      </w:r>
      <w:r w:rsidR="000B292F">
        <w:rPr>
          <w:lang w:eastAsia="ja-JP"/>
        </w:rPr>
        <w:t>.</w:t>
      </w:r>
    </w:p>
    <w:p w14:paraId="521B0F06" w14:textId="40A7E8BF" w:rsidR="00182649" w:rsidRDefault="00A260B1" w:rsidP="0060624C">
      <w:pPr>
        <w:pStyle w:val="BodyText"/>
        <w:rPr>
          <w:lang w:eastAsia="ja-JP"/>
        </w:rPr>
      </w:pPr>
      <w:r>
        <w:rPr>
          <w:lang w:eastAsia="ja-JP"/>
        </w:rPr>
        <w:t>Giving courts the freedom t</w:t>
      </w:r>
      <w:r w:rsidR="000B0D86">
        <w:rPr>
          <w:lang w:eastAsia="ja-JP"/>
        </w:rPr>
        <w:t xml:space="preserve">o analyze the right to exclude with respect to new technologies like drones distinguishes the </w:t>
      </w:r>
      <w:r w:rsidR="00CF4740">
        <w:rPr>
          <w:lang w:eastAsia="ja-JP"/>
        </w:rPr>
        <w:t>general-law approach</w:t>
      </w:r>
      <w:r w:rsidR="000B0D86">
        <w:rPr>
          <w:lang w:eastAsia="ja-JP"/>
        </w:rPr>
        <w:t xml:space="preserve"> from the </w:t>
      </w:r>
      <w:r w:rsidR="00FA32C7">
        <w:rPr>
          <w:lang w:eastAsia="ja-JP"/>
        </w:rPr>
        <w:t>pure</w:t>
      </w:r>
      <w:r w:rsidR="00B050BF">
        <w:rPr>
          <w:lang w:eastAsia="ja-JP"/>
        </w:rPr>
        <w:t xml:space="preserve"> </w:t>
      </w:r>
      <w:r w:rsidR="000B0D86" w:rsidDel="00FA32C7">
        <w:rPr>
          <w:lang w:eastAsia="ja-JP"/>
        </w:rPr>
        <w:t>positive</w:t>
      </w:r>
      <w:r w:rsidR="00FA32C7">
        <w:rPr>
          <w:lang w:eastAsia="ja-JP"/>
        </w:rPr>
        <w:t>-</w:t>
      </w:r>
      <w:r w:rsidR="000B0D86">
        <w:rPr>
          <w:lang w:eastAsia="ja-JP"/>
        </w:rPr>
        <w:t xml:space="preserve">law </w:t>
      </w:r>
      <w:r w:rsidR="00FA32C7">
        <w:rPr>
          <w:lang w:eastAsia="ja-JP"/>
        </w:rPr>
        <w:t>model</w:t>
      </w:r>
      <w:r w:rsidR="000B0D86">
        <w:rPr>
          <w:lang w:eastAsia="ja-JP"/>
        </w:rPr>
        <w:t xml:space="preserve">. </w:t>
      </w:r>
      <w:r w:rsidR="00E02024">
        <w:rPr>
          <w:lang w:eastAsia="ja-JP"/>
        </w:rPr>
        <w:t>As Baude and Stern note, drones are increasingly important to law</w:t>
      </w:r>
      <w:r w:rsidR="00593B56">
        <w:rPr>
          <w:lang w:eastAsia="ja-JP"/>
        </w:rPr>
        <w:t>-</w:t>
      </w:r>
      <w:r w:rsidR="00E02024">
        <w:rPr>
          <w:lang w:eastAsia="ja-JP"/>
        </w:rPr>
        <w:t xml:space="preserve">enforcement operations, </w:t>
      </w:r>
      <w:r w:rsidR="009D1F23">
        <w:rPr>
          <w:lang w:eastAsia="ja-JP"/>
        </w:rPr>
        <w:t>“</w:t>
      </w:r>
      <w:r w:rsidR="009D1F23" w:rsidRPr="009D1F23">
        <w:rPr>
          <w:lang w:eastAsia="ja-JP"/>
        </w:rPr>
        <w:t>but current Fourth Amendment doctrine focused on reasonable expectations of privacy will be slow to catch up</w:t>
      </w:r>
      <w:r w:rsidR="00477BF1">
        <w:rPr>
          <w:lang w:eastAsia="ja-JP"/>
        </w:rPr>
        <w:t>.”</w:t>
      </w:r>
      <w:r w:rsidR="00477BF1" w:rsidRPr="002A4234">
        <w:rPr>
          <w:rStyle w:val="FootnoteReference"/>
        </w:rPr>
        <w:footnoteReference w:id="258"/>
      </w:r>
      <w:r w:rsidR="00554DF0">
        <w:rPr>
          <w:lang w:eastAsia="ja-JP"/>
        </w:rPr>
        <w:t xml:space="preserve"> They argue that </w:t>
      </w:r>
      <w:r w:rsidR="00C26953">
        <w:rPr>
          <w:lang w:eastAsia="ja-JP"/>
        </w:rPr>
        <w:t>“[</w:t>
      </w:r>
      <w:r w:rsidR="00554DF0">
        <w:rPr>
          <w:lang w:eastAsia="ja-JP"/>
        </w:rPr>
        <w:t>t</w:t>
      </w:r>
      <w:r w:rsidR="00C26953">
        <w:rPr>
          <w:lang w:eastAsia="ja-JP"/>
        </w:rPr>
        <w:t>]</w:t>
      </w:r>
      <w:r w:rsidR="00554DF0">
        <w:rPr>
          <w:lang w:eastAsia="ja-JP"/>
        </w:rPr>
        <w:t>he positive law has answers” to the problem posed by drones</w:t>
      </w:r>
      <w:r w:rsidR="00A45A0C">
        <w:rPr>
          <w:lang w:eastAsia="ja-JP"/>
        </w:rPr>
        <w:t>,</w:t>
      </w:r>
      <w:r w:rsidR="00554DF0">
        <w:rPr>
          <w:lang w:eastAsia="ja-JP"/>
        </w:rPr>
        <w:t xml:space="preserve"> but then cite the </w:t>
      </w:r>
      <w:r w:rsidR="00CF1903" w:rsidRPr="00DE0D1C">
        <w:rPr>
          <w:i/>
          <w:lang w:eastAsia="ja-JP"/>
        </w:rPr>
        <w:t>Restatement (Second) of Torts</w:t>
      </w:r>
      <w:r w:rsidR="00504B67">
        <w:rPr>
          <w:lang w:eastAsia="ja-JP"/>
        </w:rPr>
        <w:t xml:space="preserve"> as evidence of the common law</w:t>
      </w:r>
      <w:r w:rsidR="00CF1903">
        <w:rPr>
          <w:lang w:eastAsia="ja-JP"/>
        </w:rPr>
        <w:t xml:space="preserve"> and the patchwork of state statutory law governing drones.</w:t>
      </w:r>
      <w:r w:rsidR="004104F2" w:rsidRPr="002A4234">
        <w:rPr>
          <w:rStyle w:val="FootnoteReference"/>
        </w:rPr>
        <w:footnoteReference w:id="259"/>
      </w:r>
      <w:r w:rsidR="00CF1903">
        <w:rPr>
          <w:lang w:eastAsia="ja-JP"/>
        </w:rPr>
        <w:t xml:space="preserve"> </w:t>
      </w:r>
      <w:r w:rsidR="00504B67">
        <w:rPr>
          <w:lang w:eastAsia="ja-JP"/>
        </w:rPr>
        <w:t xml:space="preserve">In their framework, law </w:t>
      </w:r>
      <w:r w:rsidR="007F07A0">
        <w:rPr>
          <w:lang w:eastAsia="ja-JP"/>
        </w:rPr>
        <w:t>enforcement</w:t>
      </w:r>
      <w:r w:rsidR="00504B67">
        <w:rPr>
          <w:lang w:eastAsia="ja-JP"/>
        </w:rPr>
        <w:t xml:space="preserve"> could use drones wherever the </w:t>
      </w:r>
      <w:r w:rsidR="007F07A0">
        <w:rPr>
          <w:lang w:eastAsia="ja-JP"/>
        </w:rPr>
        <w:t>public was not barred from using drones under the common law or state statutory law.</w:t>
      </w:r>
    </w:p>
    <w:p w14:paraId="007A9278" w14:textId="714079CA" w:rsidR="005E3CF4" w:rsidRDefault="007F07A0" w:rsidP="0060624C">
      <w:pPr>
        <w:pStyle w:val="BodyText"/>
        <w:rPr>
          <w:lang w:eastAsia="ja-JP"/>
        </w:rPr>
      </w:pPr>
      <w:r>
        <w:rPr>
          <w:lang w:eastAsia="ja-JP"/>
        </w:rPr>
        <w:t xml:space="preserve">The problem with this approach is that the </w:t>
      </w:r>
      <w:r w:rsidR="00182649">
        <w:rPr>
          <w:lang w:eastAsia="ja-JP"/>
        </w:rPr>
        <w:t>positive</w:t>
      </w:r>
      <w:r>
        <w:rPr>
          <w:lang w:eastAsia="ja-JP"/>
        </w:rPr>
        <w:t xml:space="preserve"> law in this space is </w:t>
      </w:r>
      <w:r w:rsidR="005D1A3A">
        <w:rPr>
          <w:lang w:eastAsia="ja-JP"/>
        </w:rPr>
        <w:t>limited and still nascent</w:t>
      </w:r>
      <w:r w:rsidR="002E11CB">
        <w:rPr>
          <w:lang w:eastAsia="ja-JP"/>
        </w:rPr>
        <w:t>.</w:t>
      </w:r>
      <w:r w:rsidR="00741437" w:rsidRPr="002A4234">
        <w:rPr>
          <w:rStyle w:val="FootnoteReference"/>
        </w:rPr>
        <w:footnoteReference w:id="260"/>
      </w:r>
      <w:r w:rsidR="002E11CB">
        <w:rPr>
          <w:lang w:eastAsia="ja-JP"/>
        </w:rPr>
        <w:t xml:space="preserve"> </w:t>
      </w:r>
      <w:r w:rsidR="005D1A3A">
        <w:rPr>
          <w:lang w:eastAsia="ja-JP"/>
        </w:rPr>
        <w:t>In fact, g</w:t>
      </w:r>
      <w:r w:rsidR="0049760D">
        <w:rPr>
          <w:lang w:eastAsia="ja-JP"/>
        </w:rPr>
        <w:t>iven the difficulty of determin</w:t>
      </w:r>
      <w:r w:rsidR="0049760D" w:rsidRPr="00712A48">
        <w:rPr>
          <w:lang w:eastAsia="ja-JP"/>
        </w:rPr>
        <w:t>ing ownership over a trespassing drone as it whizzes overhead</w:t>
      </w:r>
      <w:r w:rsidR="0049760D">
        <w:rPr>
          <w:lang w:eastAsia="ja-JP"/>
        </w:rPr>
        <w:t>,</w:t>
      </w:r>
      <w:r w:rsidR="002E11CB">
        <w:rPr>
          <w:lang w:eastAsia="ja-JP"/>
        </w:rPr>
        <w:t xml:space="preserve"> questions about where drones are allowed </w:t>
      </w:r>
      <w:r w:rsidR="001620A8">
        <w:rPr>
          <w:lang w:eastAsia="ja-JP"/>
        </w:rPr>
        <w:t>to fly</w:t>
      </w:r>
      <w:r w:rsidR="002E11CB">
        <w:rPr>
          <w:lang w:eastAsia="ja-JP"/>
        </w:rPr>
        <w:t xml:space="preserve"> m</w:t>
      </w:r>
      <w:r w:rsidR="006C3AEF">
        <w:rPr>
          <w:lang w:eastAsia="ja-JP"/>
        </w:rPr>
        <w:t>ight</w:t>
      </w:r>
      <w:r w:rsidR="002E11CB">
        <w:rPr>
          <w:lang w:eastAsia="ja-JP"/>
        </w:rPr>
        <w:t xml:space="preserve"> arise in the search</w:t>
      </w:r>
      <w:r w:rsidR="00513D06">
        <w:rPr>
          <w:lang w:eastAsia="ja-JP"/>
        </w:rPr>
        <w:t>-</w:t>
      </w:r>
      <w:r w:rsidR="002E11CB">
        <w:rPr>
          <w:lang w:eastAsia="ja-JP"/>
        </w:rPr>
        <w:t>and</w:t>
      </w:r>
      <w:r w:rsidR="00513D06">
        <w:rPr>
          <w:lang w:eastAsia="ja-JP"/>
        </w:rPr>
        <w:t>-</w:t>
      </w:r>
      <w:r w:rsidR="002E11CB">
        <w:rPr>
          <w:lang w:eastAsia="ja-JP"/>
        </w:rPr>
        <w:t>seizure context more often than</w:t>
      </w:r>
      <w:r w:rsidR="00466ABA">
        <w:rPr>
          <w:lang w:eastAsia="ja-JP"/>
        </w:rPr>
        <w:t xml:space="preserve"> in private litigation</w:t>
      </w:r>
      <w:r w:rsidR="00466ABA" w:rsidRPr="00712A48">
        <w:rPr>
          <w:lang w:eastAsia="ja-JP"/>
        </w:rPr>
        <w:t xml:space="preserve">. </w:t>
      </w:r>
      <w:r w:rsidR="004C3D37" w:rsidRPr="00712A48">
        <w:rPr>
          <w:lang w:eastAsia="ja-JP"/>
        </w:rPr>
        <w:t xml:space="preserve">More than evidence of the positive law, the </w:t>
      </w:r>
      <w:r w:rsidR="004C3D37" w:rsidRPr="00182649">
        <w:rPr>
          <w:i/>
          <w:lang w:eastAsia="ja-JP"/>
        </w:rPr>
        <w:t xml:space="preserve">Restatements </w:t>
      </w:r>
      <w:r w:rsidR="004C3D37" w:rsidRPr="00712A48">
        <w:rPr>
          <w:lang w:eastAsia="ja-JP"/>
        </w:rPr>
        <w:t>are evidence of</w:t>
      </w:r>
      <w:r w:rsidR="00451825">
        <w:rPr>
          <w:lang w:eastAsia="ja-JP"/>
        </w:rPr>
        <w:t xml:space="preserve"> (though certainly not the definitive word on</w:t>
      </w:r>
      <w:r w:rsidR="00451825" w:rsidRPr="002A4234">
        <w:rPr>
          <w:rStyle w:val="FootnoteReference"/>
        </w:rPr>
        <w:footnoteReference w:id="261"/>
      </w:r>
      <w:r w:rsidR="00451825">
        <w:rPr>
          <w:lang w:eastAsia="ja-JP"/>
        </w:rPr>
        <w:t>)</w:t>
      </w:r>
      <w:r w:rsidR="004C3D37" w:rsidRPr="00712A48">
        <w:rPr>
          <w:lang w:eastAsia="ja-JP"/>
        </w:rPr>
        <w:t xml:space="preserve"> the general law</w:t>
      </w:r>
      <w:r w:rsidR="004D68C8">
        <w:rPr>
          <w:lang w:eastAsia="ja-JP"/>
        </w:rPr>
        <w:t>. T</w:t>
      </w:r>
      <w:r w:rsidR="00A65F00" w:rsidRPr="00712A48">
        <w:rPr>
          <w:lang w:eastAsia="ja-JP"/>
        </w:rPr>
        <w:t xml:space="preserve">hey </w:t>
      </w:r>
      <w:r w:rsidR="00A65F00" w:rsidRPr="00712A48">
        <w:rPr>
          <w:lang w:eastAsia="ja-JP"/>
        </w:rPr>
        <w:lastRenderedPageBreak/>
        <w:t>are</w:t>
      </w:r>
      <w:r w:rsidR="007B049C">
        <w:rPr>
          <w:lang w:eastAsia="ja-JP"/>
        </w:rPr>
        <w:t>, in other words,</w:t>
      </w:r>
      <w:r w:rsidR="00A65F00" w:rsidRPr="00712A48">
        <w:rPr>
          <w:lang w:eastAsia="ja-JP"/>
        </w:rPr>
        <w:t xml:space="preserve"> a gloss on </w:t>
      </w:r>
      <w:r w:rsidR="00B348BC" w:rsidRPr="00712A48">
        <w:rPr>
          <w:lang w:eastAsia="ja-JP"/>
        </w:rPr>
        <w:t>existing sources of law that ostensibly seek internal consistency</w:t>
      </w:r>
      <w:r w:rsidR="00C47606" w:rsidRPr="00712A48">
        <w:rPr>
          <w:lang w:eastAsia="ja-JP"/>
        </w:rPr>
        <w:t xml:space="preserve"> while maintaining relevance to modern problems. This is </w:t>
      </w:r>
      <w:r w:rsidR="004C3D37" w:rsidRPr="00712A48">
        <w:rPr>
          <w:lang w:eastAsia="ja-JP"/>
        </w:rPr>
        <w:t xml:space="preserve">especially </w:t>
      </w:r>
      <w:r w:rsidR="004E3D6F">
        <w:rPr>
          <w:lang w:eastAsia="ja-JP"/>
        </w:rPr>
        <w:t>true</w:t>
      </w:r>
      <w:r w:rsidR="004C3D37" w:rsidRPr="00712A48">
        <w:rPr>
          <w:lang w:eastAsia="ja-JP"/>
        </w:rPr>
        <w:t xml:space="preserve"> where the</w:t>
      </w:r>
      <w:r w:rsidR="00C47606" w:rsidRPr="00712A48">
        <w:rPr>
          <w:lang w:eastAsia="ja-JP"/>
        </w:rPr>
        <w:t xml:space="preserve"> </w:t>
      </w:r>
      <w:r w:rsidR="00C47606" w:rsidRPr="00182649">
        <w:rPr>
          <w:i/>
          <w:lang w:eastAsia="ja-JP"/>
        </w:rPr>
        <w:t>Restatements</w:t>
      </w:r>
      <w:r w:rsidR="00C47606" w:rsidRPr="00712A48">
        <w:rPr>
          <w:lang w:eastAsia="ja-JP"/>
        </w:rPr>
        <w:t xml:space="preserve"> </w:t>
      </w:r>
      <w:r w:rsidR="004C3D37" w:rsidRPr="00712A48">
        <w:rPr>
          <w:lang w:eastAsia="ja-JP"/>
        </w:rPr>
        <w:t xml:space="preserve">opine about doctrine that courts have </w:t>
      </w:r>
      <w:r w:rsidR="00233072">
        <w:rPr>
          <w:lang w:eastAsia="ja-JP"/>
        </w:rPr>
        <w:t>yet to fully</w:t>
      </w:r>
      <w:r w:rsidR="004C3D37" w:rsidRPr="00712A48">
        <w:rPr>
          <w:lang w:eastAsia="ja-JP"/>
        </w:rPr>
        <w:t xml:space="preserve"> consider.</w:t>
      </w:r>
    </w:p>
    <w:p w14:paraId="3E1124E3" w14:textId="17E248EC" w:rsidR="0060624C" w:rsidRDefault="0060624C" w:rsidP="0060624C">
      <w:pPr>
        <w:pStyle w:val="BodyText"/>
        <w:rPr>
          <w:lang w:eastAsia="ja-JP"/>
        </w:rPr>
      </w:pPr>
      <w:r>
        <w:rPr>
          <w:lang w:eastAsia="ja-JP"/>
        </w:rPr>
        <w:t xml:space="preserve">Drones highlight many of the </w:t>
      </w:r>
      <w:r w:rsidR="002F6135">
        <w:rPr>
          <w:lang w:eastAsia="ja-JP"/>
        </w:rPr>
        <w:t>benefits</w:t>
      </w:r>
      <w:r>
        <w:rPr>
          <w:lang w:eastAsia="ja-JP"/>
        </w:rPr>
        <w:t xml:space="preserve"> of a </w:t>
      </w:r>
      <w:r w:rsidR="00CF4740">
        <w:rPr>
          <w:lang w:eastAsia="ja-JP"/>
        </w:rPr>
        <w:t>general-law approach</w:t>
      </w:r>
      <w:r>
        <w:rPr>
          <w:lang w:eastAsia="ja-JP"/>
        </w:rPr>
        <w:t xml:space="preserve">. First and foremost, </w:t>
      </w:r>
      <w:r w:rsidR="002F6135">
        <w:rPr>
          <w:lang w:eastAsia="ja-JP"/>
        </w:rPr>
        <w:t>th</w:t>
      </w:r>
      <w:r w:rsidR="00266F92">
        <w:rPr>
          <w:lang w:eastAsia="ja-JP"/>
        </w:rPr>
        <w:t>e</w:t>
      </w:r>
      <w:r w:rsidR="002F6135">
        <w:rPr>
          <w:lang w:eastAsia="ja-JP"/>
        </w:rPr>
        <w:t xml:space="preserve"> approach</w:t>
      </w:r>
      <w:r>
        <w:rPr>
          <w:lang w:eastAsia="ja-JP"/>
        </w:rPr>
        <w:t xml:space="preserve"> </w:t>
      </w:r>
      <w:r w:rsidR="002D53CD">
        <w:rPr>
          <w:lang w:eastAsia="ja-JP"/>
        </w:rPr>
        <w:t xml:space="preserve">gives </w:t>
      </w:r>
      <w:r>
        <w:rPr>
          <w:lang w:eastAsia="ja-JP"/>
        </w:rPr>
        <w:t>the power to promulgate drone trespass doctrine</w:t>
      </w:r>
      <w:r w:rsidR="000216DC">
        <w:rPr>
          <w:lang w:eastAsia="ja-JP"/>
        </w:rPr>
        <w:t xml:space="preserve"> for searches</w:t>
      </w:r>
      <w:r>
        <w:rPr>
          <w:lang w:eastAsia="ja-JP"/>
        </w:rPr>
        <w:t xml:space="preserve"> </w:t>
      </w:r>
      <w:r w:rsidR="002D53CD">
        <w:rPr>
          <w:lang w:eastAsia="ja-JP"/>
        </w:rPr>
        <w:t>to</w:t>
      </w:r>
      <w:r>
        <w:rPr>
          <w:lang w:eastAsia="ja-JP"/>
        </w:rPr>
        <w:t xml:space="preserve"> the courts most likely to hear </w:t>
      </w:r>
      <w:r w:rsidR="00CB1B5C">
        <w:rPr>
          <w:lang w:eastAsia="ja-JP"/>
        </w:rPr>
        <w:t>well-litigated disputes on the topic.</w:t>
      </w:r>
      <w:r w:rsidR="00A1397B">
        <w:rPr>
          <w:lang w:eastAsia="ja-JP"/>
        </w:rPr>
        <w:t xml:space="preserve"> </w:t>
      </w:r>
      <w:r w:rsidR="00544587">
        <w:rPr>
          <w:lang w:eastAsia="ja-JP"/>
        </w:rPr>
        <w:t xml:space="preserve">Second, it </w:t>
      </w:r>
      <w:r w:rsidR="00C229FC">
        <w:rPr>
          <w:lang w:eastAsia="ja-JP"/>
        </w:rPr>
        <w:t xml:space="preserve">eliminates the extreme inconsistencies that </w:t>
      </w:r>
      <w:r w:rsidR="005D7586">
        <w:rPr>
          <w:lang w:eastAsia="ja-JP"/>
        </w:rPr>
        <w:t>would</w:t>
      </w:r>
      <w:r w:rsidR="00C229FC">
        <w:rPr>
          <w:lang w:eastAsia="ja-JP"/>
        </w:rPr>
        <w:t xml:space="preserve"> occur under a positive</w:t>
      </w:r>
      <w:r w:rsidR="00386029">
        <w:rPr>
          <w:lang w:eastAsia="ja-JP"/>
        </w:rPr>
        <w:t>-</w:t>
      </w:r>
      <w:r w:rsidR="00C229FC">
        <w:rPr>
          <w:lang w:eastAsia="ja-JP"/>
        </w:rPr>
        <w:t xml:space="preserve">law model. A single drone </w:t>
      </w:r>
      <w:r w:rsidR="005523D7">
        <w:rPr>
          <w:lang w:eastAsia="ja-JP"/>
        </w:rPr>
        <w:t xml:space="preserve">can simultaneously surveil property </w:t>
      </w:r>
      <w:r w:rsidR="004A4840">
        <w:rPr>
          <w:lang w:eastAsia="ja-JP"/>
        </w:rPr>
        <w:t xml:space="preserve">in several jurisdictions. Whether the drone acted </w:t>
      </w:r>
      <w:r w:rsidR="00C105B4">
        <w:rPr>
          <w:lang w:eastAsia="ja-JP"/>
        </w:rPr>
        <w:t>permissibly as a matter of state tort law m</w:t>
      </w:r>
      <w:r w:rsidR="00266F92">
        <w:rPr>
          <w:lang w:eastAsia="ja-JP"/>
        </w:rPr>
        <w:t>ight</w:t>
      </w:r>
      <w:r w:rsidR="00C105B4">
        <w:rPr>
          <w:lang w:eastAsia="ja-JP"/>
        </w:rPr>
        <w:t xml:space="preserve"> </w:t>
      </w:r>
      <w:r w:rsidR="00740175">
        <w:rPr>
          <w:lang w:eastAsia="ja-JP"/>
        </w:rPr>
        <w:t>vary</w:t>
      </w:r>
      <w:r w:rsidR="00C105B4">
        <w:rPr>
          <w:lang w:eastAsia="ja-JP"/>
        </w:rPr>
        <w:t xml:space="preserve"> by jurisdiction</w:t>
      </w:r>
      <w:r w:rsidR="00B9621F">
        <w:rPr>
          <w:lang w:eastAsia="ja-JP"/>
        </w:rPr>
        <w:t>,</w:t>
      </w:r>
      <w:r w:rsidR="00C105B4">
        <w:rPr>
          <w:lang w:eastAsia="ja-JP"/>
        </w:rPr>
        <w:t xml:space="preserve"> causing a single photograph or other data capture to be subject to different rules </w:t>
      </w:r>
      <w:r w:rsidR="001B6FAB">
        <w:rPr>
          <w:lang w:eastAsia="ja-JP"/>
        </w:rPr>
        <w:t>if the landowners sue in tort. But it makes little sense to say that</w:t>
      </w:r>
      <w:r w:rsidR="00663E20">
        <w:rPr>
          <w:lang w:eastAsia="ja-JP"/>
        </w:rPr>
        <w:t xml:space="preserve"> federal constitutional rights are subject to the same level of variation. </w:t>
      </w:r>
      <w:r w:rsidR="00353298">
        <w:rPr>
          <w:lang w:eastAsia="ja-JP"/>
        </w:rPr>
        <w:t xml:space="preserve">Finally, the </w:t>
      </w:r>
      <w:r w:rsidR="00CF4740">
        <w:rPr>
          <w:lang w:eastAsia="ja-JP"/>
        </w:rPr>
        <w:t>general-law approach</w:t>
      </w:r>
      <w:r w:rsidR="00353298">
        <w:rPr>
          <w:lang w:eastAsia="ja-JP"/>
        </w:rPr>
        <w:t xml:space="preserve"> would be more consistent and </w:t>
      </w:r>
      <w:r w:rsidR="00551BCA">
        <w:rPr>
          <w:lang w:eastAsia="ja-JP"/>
        </w:rPr>
        <w:t>less speculative</w:t>
      </w:r>
      <w:r w:rsidR="00353298">
        <w:rPr>
          <w:lang w:eastAsia="ja-JP"/>
        </w:rPr>
        <w:t xml:space="preserve"> than a test predicated upon </w:t>
      </w:r>
      <w:r w:rsidR="00551BCA">
        <w:rPr>
          <w:lang w:eastAsia="ja-JP"/>
        </w:rPr>
        <w:t xml:space="preserve">defendants’ reasonable expectations of privacy. In a world of pervasive aerial surveillance from law enforcement and private companies alike, </w:t>
      </w:r>
      <w:r w:rsidR="00F42E50">
        <w:rPr>
          <w:lang w:eastAsia="ja-JP"/>
        </w:rPr>
        <w:t xml:space="preserve">a reasonable expectation of privacy is a shifting fiction at best. </w:t>
      </w:r>
      <w:r w:rsidR="00596625">
        <w:rPr>
          <w:lang w:eastAsia="ja-JP"/>
        </w:rPr>
        <w:t xml:space="preserve">A </w:t>
      </w:r>
      <w:r w:rsidR="00CF4740">
        <w:rPr>
          <w:lang w:eastAsia="ja-JP"/>
        </w:rPr>
        <w:t>general-law approach</w:t>
      </w:r>
      <w:r w:rsidR="00596625">
        <w:rPr>
          <w:lang w:eastAsia="ja-JP"/>
        </w:rPr>
        <w:t xml:space="preserve"> would have courts ask whether the drone trespassed</w:t>
      </w:r>
      <w:r w:rsidR="00BF69D3">
        <w:rPr>
          <w:lang w:eastAsia="ja-JP"/>
        </w:rPr>
        <w:t>, violating the defend</w:t>
      </w:r>
      <w:r w:rsidR="0017182E">
        <w:rPr>
          <w:lang w:eastAsia="ja-JP"/>
        </w:rPr>
        <w:t>a</w:t>
      </w:r>
      <w:r w:rsidR="00BF69D3">
        <w:rPr>
          <w:lang w:eastAsia="ja-JP"/>
        </w:rPr>
        <w:t>nt</w:t>
      </w:r>
      <w:r w:rsidR="00697587">
        <w:rPr>
          <w:lang w:eastAsia="ja-JP"/>
        </w:rPr>
        <w:t>’</w:t>
      </w:r>
      <w:r w:rsidR="00BF69D3">
        <w:rPr>
          <w:lang w:eastAsia="ja-JP"/>
        </w:rPr>
        <w:t xml:space="preserve">s right to exclude. </w:t>
      </w:r>
      <w:r w:rsidR="00E11FBB">
        <w:rPr>
          <w:lang w:eastAsia="ja-JP"/>
        </w:rPr>
        <w:t>The answer m</w:t>
      </w:r>
      <w:r w:rsidR="00266F92">
        <w:rPr>
          <w:lang w:eastAsia="ja-JP"/>
        </w:rPr>
        <w:t>ight</w:t>
      </w:r>
      <w:r w:rsidR="00E11FBB">
        <w:rPr>
          <w:lang w:eastAsia="ja-JP"/>
        </w:rPr>
        <w:t xml:space="preserve"> depend on the altitude of the drone or other factors. </w:t>
      </w:r>
      <w:r w:rsidR="00FE64B2">
        <w:rPr>
          <w:lang w:eastAsia="ja-JP"/>
        </w:rPr>
        <w:t xml:space="preserve">And even if </w:t>
      </w:r>
      <w:r w:rsidR="006D381A">
        <w:rPr>
          <w:lang w:eastAsia="ja-JP"/>
        </w:rPr>
        <w:t>courts find</w:t>
      </w:r>
      <w:r w:rsidR="00FE64B2">
        <w:rPr>
          <w:lang w:eastAsia="ja-JP"/>
        </w:rPr>
        <w:t xml:space="preserve"> no</w:t>
      </w:r>
      <w:r w:rsidR="00E11FBB">
        <w:rPr>
          <w:lang w:eastAsia="ja-JP"/>
        </w:rPr>
        <w:t xml:space="preserve"> </w:t>
      </w:r>
      <w:r w:rsidR="006D381A">
        <w:rPr>
          <w:lang w:eastAsia="ja-JP"/>
        </w:rPr>
        <w:t xml:space="preserve">trespass, the general law approach </w:t>
      </w:r>
      <w:r w:rsidR="007B1204">
        <w:rPr>
          <w:lang w:eastAsia="ja-JP"/>
        </w:rPr>
        <w:t xml:space="preserve">would provide other protections for </w:t>
      </w:r>
      <w:r w:rsidR="007C10B0">
        <w:rPr>
          <w:lang w:eastAsia="ja-JP"/>
        </w:rPr>
        <w:t xml:space="preserve">defendants’ seclusion on their own property. In some cases, </w:t>
      </w:r>
      <w:r w:rsidR="007B1204">
        <w:rPr>
          <w:lang w:eastAsia="ja-JP"/>
        </w:rPr>
        <w:t xml:space="preserve">for example, </w:t>
      </w:r>
      <w:r w:rsidR="007C10B0">
        <w:rPr>
          <w:lang w:eastAsia="ja-JP"/>
        </w:rPr>
        <w:t>defendants will need to look to privacy torts for sources of Fourth Amendment protection from surveillance.</w:t>
      </w:r>
      <w:r w:rsidR="007C10B0" w:rsidRPr="002A4234">
        <w:rPr>
          <w:rStyle w:val="FootnoteReference"/>
        </w:rPr>
        <w:footnoteReference w:id="262"/>
      </w:r>
      <w:r w:rsidR="007C10B0">
        <w:rPr>
          <w:lang w:eastAsia="ja-JP"/>
        </w:rPr>
        <w:t xml:space="preserve"> </w:t>
      </w:r>
    </w:p>
    <w:p w14:paraId="75C2C3A1" w14:textId="518D23A8" w:rsidR="005A314D" w:rsidRDefault="00F534E0" w:rsidP="00F534E0">
      <w:pPr>
        <w:pStyle w:val="BodyText"/>
        <w:rPr>
          <w:lang w:eastAsia="ja-JP"/>
        </w:rPr>
      </w:pPr>
      <w:r>
        <w:rPr>
          <w:lang w:eastAsia="ja-JP"/>
        </w:rPr>
        <w:t xml:space="preserve">Similar benefits abound in a </w:t>
      </w:r>
      <w:r w:rsidR="00CF4740">
        <w:rPr>
          <w:lang w:eastAsia="ja-JP"/>
        </w:rPr>
        <w:t>general-law approach</w:t>
      </w:r>
      <w:r>
        <w:rPr>
          <w:lang w:eastAsia="ja-JP"/>
        </w:rPr>
        <w:t xml:space="preserve"> to curtilage and open fields. Current Fourth Amendment doctrine roughly tracks historical immunity </w:t>
      </w:r>
      <w:r w:rsidR="005A314D">
        <w:rPr>
          <w:lang w:eastAsia="ja-JP"/>
        </w:rPr>
        <w:t>to</w:t>
      </w:r>
      <w:r>
        <w:rPr>
          <w:lang w:eastAsia="ja-JP"/>
        </w:rPr>
        <w:t xml:space="preserve"> trespass</w:t>
      </w:r>
      <w:r w:rsidR="006765E7">
        <w:rPr>
          <w:lang w:eastAsia="ja-JP"/>
        </w:rPr>
        <w:t>: there is</w:t>
      </w:r>
      <w:r>
        <w:rPr>
          <w:lang w:eastAsia="ja-JP"/>
        </w:rPr>
        <w:t xml:space="preserve"> little</w:t>
      </w:r>
      <w:r w:rsidR="006765E7">
        <w:rPr>
          <w:lang w:eastAsia="ja-JP"/>
        </w:rPr>
        <w:t>,</w:t>
      </w:r>
      <w:r>
        <w:rPr>
          <w:lang w:eastAsia="ja-JP"/>
        </w:rPr>
        <w:t xml:space="preserve"> if any</w:t>
      </w:r>
      <w:r w:rsidR="006765E7">
        <w:rPr>
          <w:lang w:eastAsia="ja-JP"/>
        </w:rPr>
        <w:t>,</w:t>
      </w:r>
      <w:r>
        <w:rPr>
          <w:lang w:eastAsia="ja-JP"/>
        </w:rPr>
        <w:t xml:space="preserve"> protection for open fields</w:t>
      </w:r>
      <w:r w:rsidR="00BB11DA" w:rsidRPr="002A4234">
        <w:rPr>
          <w:rStyle w:val="FootnoteReference"/>
        </w:rPr>
        <w:footnoteReference w:id="263"/>
      </w:r>
      <w:r>
        <w:rPr>
          <w:lang w:eastAsia="ja-JP"/>
        </w:rPr>
        <w:t xml:space="preserve"> and significant protections for the curtilage. </w:t>
      </w:r>
      <w:r w:rsidR="009E1C76">
        <w:rPr>
          <w:lang w:eastAsia="ja-JP"/>
        </w:rPr>
        <w:t>I</w:t>
      </w:r>
      <w:r>
        <w:rPr>
          <w:lang w:eastAsia="ja-JP"/>
        </w:rPr>
        <w:t xml:space="preserve">n many states, there </w:t>
      </w:r>
      <w:r w:rsidR="006070F5">
        <w:rPr>
          <w:lang w:eastAsia="ja-JP"/>
        </w:rPr>
        <w:t>was</w:t>
      </w:r>
      <w:r>
        <w:rPr>
          <w:lang w:eastAsia="ja-JP"/>
        </w:rPr>
        <w:t xml:space="preserve"> </w:t>
      </w:r>
      <w:r w:rsidR="009E1C76">
        <w:rPr>
          <w:lang w:eastAsia="ja-JP"/>
        </w:rPr>
        <w:t xml:space="preserve">historically </w:t>
      </w:r>
      <w:r>
        <w:rPr>
          <w:lang w:eastAsia="ja-JP"/>
        </w:rPr>
        <w:t xml:space="preserve">a customary right to hunt or cross open fields </w:t>
      </w:r>
      <w:r w:rsidR="00F54AD2">
        <w:rPr>
          <w:lang w:eastAsia="ja-JP"/>
        </w:rPr>
        <w:t>so long as</w:t>
      </w:r>
      <w:r w:rsidR="00EB6EF7">
        <w:rPr>
          <w:lang w:eastAsia="ja-JP"/>
        </w:rPr>
        <w:t xml:space="preserve"> one kept clear of</w:t>
      </w:r>
      <w:r w:rsidDel="00F54AD2">
        <w:rPr>
          <w:lang w:eastAsia="ja-JP"/>
        </w:rPr>
        <w:t xml:space="preserve"> </w:t>
      </w:r>
      <w:r>
        <w:rPr>
          <w:lang w:eastAsia="ja-JP"/>
        </w:rPr>
        <w:t>dwellings.</w:t>
      </w:r>
      <w:r w:rsidRPr="002A4234">
        <w:rPr>
          <w:rStyle w:val="FootnoteReference"/>
        </w:rPr>
        <w:footnoteReference w:id="264"/>
      </w:r>
      <w:r>
        <w:rPr>
          <w:lang w:eastAsia="ja-JP"/>
        </w:rPr>
        <w:t xml:space="preserve"> Today, many </w:t>
      </w:r>
      <w:r>
        <w:rPr>
          <w:lang w:eastAsia="ja-JP"/>
        </w:rPr>
        <w:lastRenderedPageBreak/>
        <w:t xml:space="preserve">states have statutorily ended that right or amended their enclosure laws to facilitate </w:t>
      </w:r>
      <w:r w:rsidR="006C0963">
        <w:rPr>
          <w:lang w:eastAsia="ja-JP"/>
        </w:rPr>
        <w:t xml:space="preserve">the </w:t>
      </w:r>
      <w:r>
        <w:rPr>
          <w:lang w:eastAsia="ja-JP"/>
        </w:rPr>
        <w:t>enclos</w:t>
      </w:r>
      <w:r w:rsidR="006C0963">
        <w:rPr>
          <w:lang w:eastAsia="ja-JP"/>
        </w:rPr>
        <w:t>ure of</w:t>
      </w:r>
      <w:r>
        <w:rPr>
          <w:lang w:eastAsia="ja-JP"/>
        </w:rPr>
        <w:t xml:space="preserve"> ever-larger areas of land.</w:t>
      </w:r>
    </w:p>
    <w:p w14:paraId="3D1744D0" w14:textId="6BFFA215" w:rsidR="00FB526A" w:rsidRDefault="00F534E0" w:rsidP="00E210DE">
      <w:pPr>
        <w:pStyle w:val="BodyText"/>
        <w:rPr>
          <w:lang w:eastAsia="ja-JP"/>
        </w:rPr>
      </w:pPr>
      <w:r>
        <w:rPr>
          <w:lang w:eastAsia="ja-JP"/>
        </w:rPr>
        <w:t>For example, North Dakota law generally immunizes</w:t>
      </w:r>
      <w:r w:rsidR="006C0963" w:rsidRPr="006C0963">
        <w:rPr>
          <w:lang w:eastAsia="ja-JP"/>
        </w:rPr>
        <w:t xml:space="preserve"> </w:t>
      </w:r>
      <w:r w:rsidR="006C0963">
        <w:rPr>
          <w:lang w:eastAsia="ja-JP"/>
        </w:rPr>
        <w:t>from trespass</w:t>
      </w:r>
      <w:r>
        <w:rPr>
          <w:lang w:eastAsia="ja-JP"/>
        </w:rPr>
        <w:t xml:space="preserve"> hunting on unenclosed </w:t>
      </w:r>
      <w:r w:rsidR="006C0963">
        <w:rPr>
          <w:lang w:eastAsia="ja-JP"/>
        </w:rPr>
        <w:t xml:space="preserve">private </w:t>
      </w:r>
      <w:r>
        <w:rPr>
          <w:lang w:eastAsia="ja-JP"/>
        </w:rPr>
        <w:t>land, but a recent law facilitates enclosure by allowing landowners to post digital no-trespassing signs on a state website.</w:t>
      </w:r>
      <w:r w:rsidRPr="002A4234">
        <w:rPr>
          <w:rStyle w:val="FootnoteReference"/>
        </w:rPr>
        <w:footnoteReference w:id="265"/>
      </w:r>
      <w:r>
        <w:rPr>
          <w:lang w:eastAsia="ja-JP"/>
        </w:rPr>
        <w:t xml:space="preserve"> </w:t>
      </w:r>
      <w:r w:rsidR="006E4685" w:rsidRPr="006E4685">
        <w:rPr>
          <w:lang w:eastAsia="ja-JP"/>
        </w:rPr>
        <w:t xml:space="preserve">In other words, North Dakota now recognizes digital enclosures of real property. This is but one example of the significant variation across jurisdictions in the rules governing whether the public has a right to access unenclosed private lands. </w:t>
      </w:r>
      <w:r w:rsidR="00374B18" w:rsidRPr="00374B18">
        <w:rPr>
          <w:lang w:eastAsia="ja-JP"/>
        </w:rPr>
        <w:t xml:space="preserve">There is also variation in which natural features on private property are potentially open to the public: </w:t>
      </w:r>
      <w:r w:rsidR="00AB6B9F">
        <w:rPr>
          <w:lang w:eastAsia="ja-JP"/>
        </w:rPr>
        <w:t>State law provides for immunity from trespass</w:t>
      </w:r>
      <w:r>
        <w:rPr>
          <w:lang w:eastAsia="ja-JP"/>
        </w:rPr>
        <w:t xml:space="preserve"> for natural features such as “great ponds” in Massachusetts</w:t>
      </w:r>
      <w:r w:rsidRPr="002A4234">
        <w:rPr>
          <w:rStyle w:val="FootnoteReference"/>
        </w:rPr>
        <w:footnoteReference w:id="266"/>
      </w:r>
      <w:r>
        <w:rPr>
          <w:lang w:eastAsia="ja-JP"/>
        </w:rPr>
        <w:t xml:space="preserve"> and beaches in Oregon.</w:t>
      </w:r>
      <w:r w:rsidRPr="002A4234">
        <w:rPr>
          <w:rStyle w:val="FootnoteReference"/>
        </w:rPr>
        <w:footnoteReference w:id="267"/>
      </w:r>
      <w:r>
        <w:rPr>
          <w:lang w:eastAsia="ja-JP"/>
        </w:rPr>
        <w:t xml:space="preserve"> </w:t>
      </w:r>
      <w:r w:rsidR="001914EF">
        <w:rPr>
          <w:lang w:eastAsia="ja-JP"/>
        </w:rPr>
        <w:t>T</w:t>
      </w:r>
      <w:r w:rsidR="00BC6FCA">
        <w:rPr>
          <w:lang w:eastAsia="ja-JP"/>
        </w:rPr>
        <w:t>h</w:t>
      </w:r>
      <w:r w:rsidR="00AD3A5D">
        <w:rPr>
          <w:lang w:eastAsia="ja-JP"/>
        </w:rPr>
        <w:t>is level of specificity and variation is</w:t>
      </w:r>
      <w:r w:rsidR="00AB6B9F">
        <w:rPr>
          <w:lang w:eastAsia="ja-JP"/>
        </w:rPr>
        <w:t xml:space="preserve"> perfectly</w:t>
      </w:r>
      <w:r w:rsidR="00AD3A5D">
        <w:rPr>
          <w:lang w:eastAsia="ja-JP"/>
        </w:rPr>
        <w:t xml:space="preserve"> appropriate for the positive law of trespass</w:t>
      </w:r>
      <w:r w:rsidR="001914EF">
        <w:rPr>
          <w:lang w:eastAsia="ja-JP"/>
        </w:rPr>
        <w:t xml:space="preserve"> and, as has historically been true, deserves deference on</w:t>
      </w:r>
      <w:r w:rsidR="00CC68BA">
        <w:rPr>
          <w:lang w:eastAsia="ja-JP"/>
        </w:rPr>
        <w:t xml:space="preserve"> questions about rights and interests in real property</w:t>
      </w:r>
      <w:r w:rsidR="002524FD">
        <w:rPr>
          <w:lang w:eastAsia="ja-JP"/>
        </w:rPr>
        <w:t>.</w:t>
      </w:r>
      <w:r w:rsidR="00B26B89" w:rsidRPr="002A4234">
        <w:rPr>
          <w:rStyle w:val="FootnoteReference"/>
        </w:rPr>
        <w:footnoteReference w:id="268"/>
      </w:r>
      <w:r w:rsidR="002524FD">
        <w:rPr>
          <w:lang w:eastAsia="ja-JP"/>
        </w:rPr>
        <w:t xml:space="preserve"> </w:t>
      </w:r>
      <w:r w:rsidR="000739D0">
        <w:rPr>
          <w:lang w:eastAsia="ja-JP"/>
        </w:rPr>
        <w:t>Nevertheless</w:t>
      </w:r>
      <w:r w:rsidR="00B430AF">
        <w:rPr>
          <w:lang w:eastAsia="ja-JP"/>
        </w:rPr>
        <w:t>, this level of variation</w:t>
      </w:r>
      <w:r w:rsidR="00560AAF">
        <w:rPr>
          <w:lang w:eastAsia="ja-JP"/>
        </w:rPr>
        <w:t xml:space="preserve"> makes little sense for the scope of federal constitutional rights.</w:t>
      </w:r>
      <w:r w:rsidR="001C3BEB" w:rsidRPr="002A4234">
        <w:rPr>
          <w:rStyle w:val="FootnoteReference"/>
        </w:rPr>
        <w:footnoteReference w:id="269"/>
      </w:r>
      <w:r w:rsidR="00560AAF">
        <w:rPr>
          <w:lang w:eastAsia="ja-JP"/>
        </w:rPr>
        <w:t xml:space="preserve"> </w:t>
      </w:r>
      <w:r w:rsidR="00263BAD">
        <w:rPr>
          <w:lang w:eastAsia="ja-JP"/>
        </w:rPr>
        <w:t>Under the general</w:t>
      </w:r>
      <w:r w:rsidR="005A314D">
        <w:rPr>
          <w:lang w:eastAsia="ja-JP"/>
        </w:rPr>
        <w:t>-</w:t>
      </w:r>
      <w:r w:rsidR="00263BAD">
        <w:rPr>
          <w:lang w:eastAsia="ja-JP"/>
        </w:rPr>
        <w:t xml:space="preserve">law framework, courts would </w:t>
      </w:r>
      <w:r w:rsidR="00562CEF">
        <w:rPr>
          <w:lang w:eastAsia="ja-JP"/>
        </w:rPr>
        <w:t xml:space="preserve">first determine whether </w:t>
      </w:r>
      <w:r w:rsidR="00CC22E6">
        <w:rPr>
          <w:lang w:eastAsia="ja-JP"/>
        </w:rPr>
        <w:t xml:space="preserve">the searched property </w:t>
      </w:r>
      <w:r w:rsidR="00D25275">
        <w:rPr>
          <w:lang w:eastAsia="ja-JP"/>
        </w:rPr>
        <w:t>can be understood as</w:t>
      </w:r>
      <w:r w:rsidR="00CC22E6">
        <w:rPr>
          <w:lang w:eastAsia="ja-JP"/>
        </w:rPr>
        <w:t xml:space="preserve"> </w:t>
      </w:r>
      <w:r w:rsidR="00DC7691">
        <w:rPr>
          <w:lang w:eastAsia="ja-JP"/>
        </w:rPr>
        <w:t>a</w:t>
      </w:r>
      <w:r w:rsidR="00CC22E6">
        <w:rPr>
          <w:lang w:eastAsia="ja-JP"/>
        </w:rPr>
        <w:t xml:space="preserve"> </w:t>
      </w:r>
      <w:r w:rsidR="00D25275">
        <w:rPr>
          <w:lang w:eastAsia="ja-JP"/>
        </w:rPr>
        <w:t>“</w:t>
      </w:r>
      <w:r w:rsidR="00CC22E6">
        <w:rPr>
          <w:lang w:eastAsia="ja-JP"/>
        </w:rPr>
        <w:t>house</w:t>
      </w:r>
      <w:r w:rsidR="00D25275">
        <w:rPr>
          <w:lang w:eastAsia="ja-JP"/>
        </w:rPr>
        <w:t>” (or, perhaps, if police somehow intruded on a person’s “effects”</w:t>
      </w:r>
      <w:r w:rsidR="00CE5B69" w:rsidRPr="002A4234">
        <w:rPr>
          <w:rStyle w:val="FootnoteReference"/>
        </w:rPr>
        <w:footnoteReference w:id="270"/>
      </w:r>
      <w:r w:rsidR="00D25275">
        <w:rPr>
          <w:lang w:eastAsia="ja-JP"/>
        </w:rPr>
        <w:t>)</w:t>
      </w:r>
      <w:r w:rsidR="00D74673">
        <w:rPr>
          <w:lang w:eastAsia="ja-JP"/>
        </w:rPr>
        <w:t xml:space="preserve">. </w:t>
      </w:r>
      <w:r w:rsidR="00A5460D">
        <w:rPr>
          <w:lang w:eastAsia="ja-JP"/>
        </w:rPr>
        <w:t>Then, to determine the scope of the owner’s right to exclude, they</w:t>
      </w:r>
      <w:r w:rsidR="00D74673">
        <w:rPr>
          <w:lang w:eastAsia="ja-JP"/>
        </w:rPr>
        <w:t xml:space="preserve"> would</w:t>
      </w:r>
      <w:r w:rsidR="00CC22E6" w:rsidDel="00A5460D">
        <w:rPr>
          <w:lang w:eastAsia="ja-JP"/>
        </w:rPr>
        <w:t xml:space="preserve"> </w:t>
      </w:r>
      <w:r w:rsidR="00263BAD">
        <w:rPr>
          <w:lang w:eastAsia="ja-JP"/>
        </w:rPr>
        <w:t>look broadly at categories</w:t>
      </w:r>
      <w:r w:rsidR="00A1725C">
        <w:rPr>
          <w:lang w:eastAsia="ja-JP"/>
        </w:rPr>
        <w:t xml:space="preserve"> of land</w:t>
      </w:r>
      <w:r w:rsidR="00263BAD">
        <w:rPr>
          <w:lang w:eastAsia="ja-JP"/>
        </w:rPr>
        <w:t xml:space="preserve"> </w:t>
      </w:r>
      <w:r w:rsidR="00A5460D">
        <w:rPr>
          <w:lang w:eastAsia="ja-JP"/>
        </w:rPr>
        <w:t>(for example, e</w:t>
      </w:r>
      <w:r w:rsidR="00263BAD">
        <w:rPr>
          <w:lang w:eastAsia="ja-JP"/>
        </w:rPr>
        <w:t xml:space="preserve">nclosed/unenclosed </w:t>
      </w:r>
      <w:r w:rsidR="00A5460D">
        <w:rPr>
          <w:lang w:eastAsia="ja-JP"/>
        </w:rPr>
        <w:t>and</w:t>
      </w:r>
      <w:r w:rsidR="00263BAD">
        <w:rPr>
          <w:lang w:eastAsia="ja-JP"/>
        </w:rPr>
        <w:t xml:space="preserve"> improve</w:t>
      </w:r>
      <w:r w:rsidR="005A314D">
        <w:rPr>
          <w:lang w:eastAsia="ja-JP"/>
        </w:rPr>
        <w:t>d</w:t>
      </w:r>
      <w:r w:rsidR="00263BAD">
        <w:rPr>
          <w:lang w:eastAsia="ja-JP"/>
        </w:rPr>
        <w:t>/unimproved</w:t>
      </w:r>
      <w:r w:rsidR="00A5460D">
        <w:rPr>
          <w:lang w:eastAsia="ja-JP"/>
        </w:rPr>
        <w:t>)</w:t>
      </w:r>
      <w:r w:rsidR="000E286D">
        <w:rPr>
          <w:lang w:eastAsia="ja-JP"/>
        </w:rPr>
        <w:t xml:space="preserve"> and, critically, curtilage</w:t>
      </w:r>
      <w:r w:rsidR="00A5460D">
        <w:rPr>
          <w:lang w:eastAsia="ja-JP"/>
        </w:rPr>
        <w:t>. In determining the owner’s right to exclude</w:t>
      </w:r>
      <w:r w:rsidR="00C52A0D">
        <w:rPr>
          <w:lang w:eastAsia="ja-JP"/>
        </w:rPr>
        <w:t xml:space="preserve"> under the general law</w:t>
      </w:r>
      <w:r w:rsidR="00A5460D">
        <w:rPr>
          <w:lang w:eastAsia="ja-JP"/>
        </w:rPr>
        <w:t xml:space="preserve">, courts would also set </w:t>
      </w:r>
      <w:r w:rsidR="007B2557">
        <w:rPr>
          <w:lang w:eastAsia="ja-JP"/>
        </w:rPr>
        <w:t xml:space="preserve">the scope of </w:t>
      </w:r>
      <w:r w:rsidR="004E0EC6">
        <w:rPr>
          <w:lang w:eastAsia="ja-JP"/>
        </w:rPr>
        <w:t>her</w:t>
      </w:r>
      <w:r w:rsidR="000D3169">
        <w:rPr>
          <w:lang w:eastAsia="ja-JP"/>
        </w:rPr>
        <w:t xml:space="preserve"> Fourth Amendment protection</w:t>
      </w:r>
      <w:r w:rsidR="00FA1E99">
        <w:rPr>
          <w:lang w:eastAsia="ja-JP"/>
        </w:rPr>
        <w:t>s</w:t>
      </w:r>
      <w:r w:rsidR="000D3169">
        <w:rPr>
          <w:lang w:eastAsia="ja-JP"/>
        </w:rPr>
        <w:t>.</w:t>
      </w:r>
    </w:p>
    <w:p w14:paraId="6DDC0EF0" w14:textId="5B1E7160" w:rsidR="003027E6" w:rsidRDefault="00124C1D" w:rsidP="009A0F12">
      <w:pPr>
        <w:pStyle w:val="BodyText"/>
      </w:pPr>
      <w:r w:rsidRPr="009A0F12">
        <w:t xml:space="preserve">These property-based categories </w:t>
      </w:r>
      <w:r w:rsidR="00FB526A" w:rsidRPr="009A0F12">
        <w:t>are more coherent tha</w:t>
      </w:r>
      <w:r w:rsidR="00617706" w:rsidRPr="009A0F12">
        <w:t>n</w:t>
      </w:r>
      <w:r w:rsidR="00AE799E" w:rsidRPr="009A0F12">
        <w:t xml:space="preserve"> current doctrinal attempts to justify warrantless searches of open fields.</w:t>
      </w:r>
      <w:r w:rsidR="00617706" w:rsidRPr="009A0F12">
        <w:t xml:space="preserve"> </w:t>
      </w:r>
      <w:r w:rsidR="00772AEF" w:rsidRPr="009A0F12">
        <w:t xml:space="preserve">In </w:t>
      </w:r>
      <w:r w:rsidR="007965C2" w:rsidRPr="00A438D8">
        <w:rPr>
          <w:i/>
          <w:iCs/>
        </w:rPr>
        <w:t>Oliver v. United States</w:t>
      </w:r>
      <w:r w:rsidR="00C93461" w:rsidRPr="00086F9A">
        <w:t>,</w:t>
      </w:r>
      <w:r w:rsidR="008A3C28" w:rsidRPr="00A438D8">
        <w:rPr>
          <w:i/>
        </w:rPr>
        <w:t xml:space="preserve"> </w:t>
      </w:r>
      <w:r w:rsidR="008A3C28" w:rsidRPr="009A0F12">
        <w:t xml:space="preserve">the </w:t>
      </w:r>
      <w:r w:rsidR="00C93461">
        <w:t>C</w:t>
      </w:r>
      <w:r w:rsidR="008A3C28" w:rsidRPr="009A0F12">
        <w:t xml:space="preserve">ourt </w:t>
      </w:r>
      <w:r w:rsidR="007965C2" w:rsidRPr="009A0F12">
        <w:t xml:space="preserve">held that </w:t>
      </w:r>
      <w:r w:rsidR="00C93461">
        <w:t>police entry onto a</w:t>
      </w:r>
      <w:r w:rsidR="007965C2" w:rsidRPr="009A0F12">
        <w:t xml:space="preserve"> </w:t>
      </w:r>
      <w:r w:rsidR="003C5470" w:rsidRPr="009A0F12">
        <w:t xml:space="preserve">field </w:t>
      </w:r>
      <w:r w:rsidR="00B22E3E" w:rsidRPr="009A0F12">
        <w:t xml:space="preserve">located a mile from the defendant’s home was not </w:t>
      </w:r>
      <w:r w:rsidR="009A0D92" w:rsidRPr="009A0F12">
        <w:t xml:space="preserve">an impermissible </w:t>
      </w:r>
      <w:r w:rsidR="00C93461">
        <w:t>“</w:t>
      </w:r>
      <w:r w:rsidR="009A0D92" w:rsidRPr="009A0F12">
        <w:t>search</w:t>
      </w:r>
      <w:r w:rsidR="00C93461">
        <w:t>”</w:t>
      </w:r>
      <w:r w:rsidR="009A0D92" w:rsidRPr="009A0F12">
        <w:t xml:space="preserve"> </w:t>
      </w:r>
      <w:r w:rsidR="00C93461">
        <w:t>because</w:t>
      </w:r>
      <w:r w:rsidR="009A0D92" w:rsidRPr="009A0F12">
        <w:t xml:space="preserve"> “an individual may not legitimately demand privacy for activities conducted out of doors in fields, except in </w:t>
      </w:r>
      <w:r w:rsidR="009A0D92" w:rsidRPr="009A0F12">
        <w:lastRenderedPageBreak/>
        <w:t>the area immediately surrounding the home</w:t>
      </w:r>
      <w:r w:rsidR="00DB1FFC" w:rsidRPr="009A0F12">
        <w:t>.”</w:t>
      </w:r>
      <w:r w:rsidR="00DB1FFC" w:rsidRPr="002A4234">
        <w:rPr>
          <w:rStyle w:val="FootnoteReference"/>
        </w:rPr>
        <w:footnoteReference w:id="271"/>
      </w:r>
      <w:r w:rsidR="00772AEF" w:rsidRPr="009A0F12">
        <w:t xml:space="preserve"> </w:t>
      </w:r>
      <w:r w:rsidR="00287FD2" w:rsidRPr="009A0F12">
        <w:t xml:space="preserve">The </w:t>
      </w:r>
      <w:r w:rsidR="00C162AF">
        <w:t>C</w:t>
      </w:r>
      <w:r w:rsidR="00287FD2" w:rsidRPr="009A0F12">
        <w:t>ourt further reasoned that “open fields do not provide the setting for those intimate activities that the Amendment is intended to shelter</w:t>
      </w:r>
      <w:r w:rsidR="00E95AC0" w:rsidRPr="009A0F12">
        <w:t>.”</w:t>
      </w:r>
      <w:r w:rsidR="00E95AC0" w:rsidRPr="002A4234">
        <w:rPr>
          <w:rStyle w:val="FootnoteReference"/>
        </w:rPr>
        <w:footnoteReference w:id="272"/>
      </w:r>
      <w:r w:rsidR="00287FD2" w:rsidRPr="009A0F12">
        <w:t xml:space="preserve"> </w:t>
      </w:r>
      <w:r w:rsidR="00772AEF" w:rsidRPr="009A0F12">
        <w:t xml:space="preserve">It did not matter that </w:t>
      </w:r>
      <w:r w:rsidR="007C70B2" w:rsidRPr="009A0F12">
        <w:t xml:space="preserve">the defendant had posted “no trespassing” signs because </w:t>
      </w:r>
      <w:r w:rsidR="00AB25CB" w:rsidRPr="009A0F12">
        <w:t xml:space="preserve">“[i]t is not generally true that fences or </w:t>
      </w:r>
      <w:r w:rsidR="00C475F8">
        <w:t>‘</w:t>
      </w:r>
      <w:r w:rsidR="00AB25CB" w:rsidRPr="009A0F12">
        <w:t>No Trespassing</w:t>
      </w:r>
      <w:r w:rsidR="00C475F8">
        <w:t>’</w:t>
      </w:r>
      <w:r w:rsidR="00AB25CB" w:rsidRPr="009A0F12">
        <w:t xml:space="preserve"> signs effectively bar the public from viewing open fields in rural areas.”</w:t>
      </w:r>
      <w:r w:rsidR="00AB25CB" w:rsidRPr="002A4234">
        <w:rPr>
          <w:rStyle w:val="FootnoteReference"/>
        </w:rPr>
        <w:footnoteReference w:id="273"/>
      </w:r>
      <w:r w:rsidR="00660E9A" w:rsidRPr="00DE02EF">
        <w:rPr>
          <w:rStyle w:val="FootnoteReference"/>
        </w:rPr>
        <w:t xml:space="preserve"> </w:t>
      </w:r>
      <w:r w:rsidR="00B21F59" w:rsidRPr="009A0F12">
        <w:t xml:space="preserve">Under this reasoning, </w:t>
      </w:r>
      <w:r w:rsidR="00685979">
        <w:t>a property owner’s</w:t>
      </w:r>
      <w:r w:rsidR="00B21F59" w:rsidRPr="009A0F12">
        <w:t xml:space="preserve"> expectations of privacy turn not only on whether </w:t>
      </w:r>
      <w:r w:rsidR="00685979">
        <w:t>he</w:t>
      </w:r>
      <w:r w:rsidR="00B21F59" w:rsidRPr="009A0F12">
        <w:t xml:space="preserve"> attempted to</w:t>
      </w:r>
      <w:r w:rsidR="0082076E" w:rsidRPr="009A0F12">
        <w:t xml:space="preserve"> avoid prying eyes, but </w:t>
      </w:r>
      <w:r w:rsidR="00A5460D">
        <w:t xml:space="preserve">on </w:t>
      </w:r>
      <w:r w:rsidR="0082076E" w:rsidRPr="009A0F12">
        <w:t xml:space="preserve">whether </w:t>
      </w:r>
      <w:r w:rsidR="00685979">
        <w:t>he</w:t>
      </w:r>
      <w:r w:rsidR="0082076E" w:rsidRPr="009A0F12">
        <w:t xml:space="preserve"> succeed</w:t>
      </w:r>
      <w:r w:rsidR="00685979">
        <w:t>ed</w:t>
      </w:r>
      <w:r w:rsidR="0082076E" w:rsidRPr="009A0F12">
        <w:t xml:space="preserve">. </w:t>
      </w:r>
      <w:r w:rsidR="00842196" w:rsidRPr="009A0F12">
        <w:t>If taken to its logical end, this line of reasoning would all but end Forth Amendment protections i</w:t>
      </w:r>
      <w:r w:rsidR="00CF5B00" w:rsidRPr="009A0F12">
        <w:t xml:space="preserve">n a world of pervasive </w:t>
      </w:r>
      <w:r w:rsidR="00EC54A3">
        <w:t>high-tech</w:t>
      </w:r>
      <w:r w:rsidR="00CF5B00" w:rsidRPr="009A0F12">
        <w:t xml:space="preserve"> surveillance</w:t>
      </w:r>
      <w:r w:rsidR="0050167E" w:rsidRPr="009A0F12">
        <w:t xml:space="preserve"> against which individuals are </w:t>
      </w:r>
      <w:r w:rsidR="004A3A39">
        <w:t>virtua</w:t>
      </w:r>
      <w:r w:rsidR="00A13D9B">
        <w:t xml:space="preserve">lly </w:t>
      </w:r>
      <w:r w:rsidR="0050167E" w:rsidRPr="009A0F12">
        <w:t>defenseless</w:t>
      </w:r>
      <w:r w:rsidR="00666F56" w:rsidRPr="009A0F12">
        <w:t>.</w:t>
      </w:r>
    </w:p>
    <w:p w14:paraId="044B4493" w14:textId="1FE3AB63" w:rsidR="001A0275" w:rsidRDefault="00325162" w:rsidP="00F73B04">
      <w:pPr>
        <w:pStyle w:val="BodyText"/>
      </w:pPr>
      <w:r w:rsidRPr="009A0F12">
        <w:t xml:space="preserve">In </w:t>
      </w:r>
      <w:r w:rsidRPr="00A438D8">
        <w:rPr>
          <w:i/>
          <w:iCs/>
        </w:rPr>
        <w:t>Jones</w:t>
      </w:r>
      <w:r w:rsidRPr="009A0F12">
        <w:t xml:space="preserve">, the Supreme Court </w:t>
      </w:r>
      <w:r w:rsidR="00C02AB1">
        <w:t>put</w:t>
      </w:r>
      <w:r w:rsidRPr="009A0F12">
        <w:t xml:space="preserve"> </w:t>
      </w:r>
      <w:r w:rsidRPr="00A438D8">
        <w:rPr>
          <w:i/>
          <w:iCs/>
        </w:rPr>
        <w:t>Oliver</w:t>
      </w:r>
      <w:r w:rsidR="00C02AB1">
        <w:rPr>
          <w:i/>
          <w:iCs/>
        </w:rPr>
        <w:t xml:space="preserve"> </w:t>
      </w:r>
      <w:r w:rsidR="00C02AB1">
        <w:t xml:space="preserve">on </w:t>
      </w:r>
      <w:r w:rsidRPr="009A0F12">
        <w:t xml:space="preserve">slightly </w:t>
      </w:r>
      <w:r w:rsidR="00C02AB1">
        <w:t>sounder footing</w:t>
      </w:r>
      <w:r w:rsidR="000F25FF" w:rsidRPr="009A0F12">
        <w:t xml:space="preserve">, explaining that the search in </w:t>
      </w:r>
      <w:r w:rsidR="000F25FF" w:rsidRPr="00A438D8">
        <w:rPr>
          <w:i/>
          <w:iCs/>
        </w:rPr>
        <w:t>Oliver</w:t>
      </w:r>
      <w:r w:rsidR="000F25FF" w:rsidRPr="009A0F12">
        <w:t xml:space="preserve"> was not a violation of the Fourth Amendment because</w:t>
      </w:r>
      <w:r w:rsidR="00D84D06" w:rsidRPr="009A0F12">
        <w:t xml:space="preserve"> “an open field, unlike the curtilage of a home, is not one of those protected areas enumerated in the Fourth Amendment.</w:t>
      </w:r>
      <w:r w:rsidR="00C77210">
        <w:t>”</w:t>
      </w:r>
      <w:r w:rsidR="00C77210" w:rsidRPr="002A4234">
        <w:rPr>
          <w:rStyle w:val="FootnoteReference"/>
        </w:rPr>
        <w:footnoteReference w:id="274"/>
      </w:r>
      <w:r w:rsidR="003027E6">
        <w:t xml:space="preserve"> </w:t>
      </w:r>
      <w:r w:rsidR="005D6F98">
        <w:t>Th</w:t>
      </w:r>
      <w:r w:rsidR="007773E7">
        <w:t>is reasoning</w:t>
      </w:r>
      <w:r w:rsidR="005D6F98">
        <w:t xml:space="preserve"> makes sense as far as it goes</w:t>
      </w:r>
      <w:r w:rsidR="00511195">
        <w:t xml:space="preserve">, </w:t>
      </w:r>
      <w:r w:rsidR="005D6F98" w:rsidDel="00B45CE2">
        <w:t>b</w:t>
      </w:r>
      <w:r w:rsidR="005D6F98">
        <w:t xml:space="preserve">ut </w:t>
      </w:r>
      <w:r w:rsidR="005C2357">
        <w:t xml:space="preserve">what counts as a “house” for Fourth Amendment purposes is not always obvious. </w:t>
      </w:r>
      <w:r w:rsidR="00A31DA0">
        <w:t>Courts m</w:t>
      </w:r>
      <w:r w:rsidR="004D15C5">
        <w:t>ight</w:t>
      </w:r>
      <w:r w:rsidR="00A31DA0">
        <w:t xml:space="preserve"> need to interpret that phrase broadly to give effect to Fourth Amendment protections </w:t>
      </w:r>
      <w:r w:rsidR="00B56820">
        <w:t>in the context</w:t>
      </w:r>
      <w:r w:rsidR="002942AC">
        <w:t xml:space="preserve"> of extreme abundance</w:t>
      </w:r>
      <w:r w:rsidR="000B257D">
        <w:t xml:space="preserve"> and deprivation.</w:t>
      </w:r>
      <w:r w:rsidR="00CC0545">
        <w:t xml:space="preserve"> </w:t>
      </w:r>
      <w:r w:rsidR="00D94229">
        <w:t>If they fail to do so</w:t>
      </w:r>
      <w:r w:rsidR="00A31DA0">
        <w:t xml:space="preserve">, </w:t>
      </w:r>
      <w:r w:rsidR="00D94229">
        <w:t>courts risk linking</w:t>
      </w:r>
      <w:r w:rsidR="00D1720C">
        <w:t xml:space="preserve"> Fourth Amendment protection</w:t>
      </w:r>
      <w:r w:rsidR="007E1CC0">
        <w:t>s</w:t>
      </w:r>
      <w:r w:rsidR="00D1720C">
        <w:t xml:space="preserve"> to social class and the ability to afford a home that look</w:t>
      </w:r>
      <w:r w:rsidR="007E1CC0">
        <w:t>s</w:t>
      </w:r>
      <w:r w:rsidR="00D1720C">
        <w:t xml:space="preserve"> like a </w:t>
      </w:r>
      <w:r w:rsidR="006D1C6B">
        <w:t>bourgeois house.</w:t>
      </w:r>
      <w:bookmarkStart w:id="67" w:name="_Ref113028242"/>
      <w:r w:rsidR="00056128" w:rsidRPr="002A4234">
        <w:rPr>
          <w:rStyle w:val="FootnoteReference"/>
        </w:rPr>
        <w:footnoteReference w:id="275"/>
      </w:r>
      <w:bookmarkEnd w:id="67"/>
      <w:r w:rsidR="006D1C6B">
        <w:t xml:space="preserve"> </w:t>
      </w:r>
    </w:p>
    <w:p w14:paraId="7B92A0DE" w14:textId="0AFCF818" w:rsidR="000827F3" w:rsidRDefault="00473168" w:rsidP="00E83817">
      <w:pPr>
        <w:pStyle w:val="BodyText"/>
      </w:pPr>
      <w:r>
        <w:t xml:space="preserve">A </w:t>
      </w:r>
      <w:r w:rsidR="00CF4740">
        <w:t>general-law approach</w:t>
      </w:r>
      <w:r>
        <w:t xml:space="preserve"> </w:t>
      </w:r>
      <w:r w:rsidR="00FD1BFF">
        <w:t xml:space="preserve">would ask whether </w:t>
      </w:r>
      <w:r w:rsidR="006324F8">
        <w:t>the defendant would have the right to exclude a member of the public from the searched place or thing and</w:t>
      </w:r>
      <w:r w:rsidR="0043322B">
        <w:t>,</w:t>
      </w:r>
      <w:r w:rsidR="006324F8">
        <w:t xml:space="preserve"> if so, require law enforcement to get a warrant before conducting the search.</w:t>
      </w:r>
      <w:r w:rsidR="00792BF2">
        <w:t xml:space="preserve"> This  a</w:t>
      </w:r>
      <w:r w:rsidR="005B08EA">
        <w:t xml:space="preserve">pproach mirrors what Brady calls </w:t>
      </w:r>
      <w:r w:rsidR="00826FD8">
        <w:t xml:space="preserve">a </w:t>
      </w:r>
      <w:r w:rsidR="005B08EA">
        <w:t>“contextual</w:t>
      </w:r>
      <w:r w:rsidR="00826FD8">
        <w:t>-</w:t>
      </w:r>
      <w:r w:rsidR="005B08EA">
        <w:t>privacy</w:t>
      </w:r>
      <w:r w:rsidR="00826FD8">
        <w:t xml:space="preserve"> approach,</w:t>
      </w:r>
      <w:r w:rsidR="005B08EA">
        <w:t>”</w:t>
      </w:r>
      <w:r w:rsidR="00826FD8">
        <w:t xml:space="preserve"> under which courts look at the social cues surrounding property </w:t>
      </w:r>
      <w:r w:rsidR="00A37A74">
        <w:t xml:space="preserve">to determine whether </w:t>
      </w:r>
      <w:r w:rsidR="008F0863">
        <w:t>someone is attempting to assert ownership over the property</w:t>
      </w:r>
      <w:r w:rsidR="00B50979">
        <w:t>.</w:t>
      </w:r>
      <w:r w:rsidR="00B50979" w:rsidRPr="002A4234">
        <w:rPr>
          <w:rStyle w:val="FootnoteReference"/>
        </w:rPr>
        <w:footnoteReference w:id="276"/>
      </w:r>
    </w:p>
    <w:p w14:paraId="6772482A" w14:textId="2EB0600F" w:rsidR="00E83817" w:rsidRPr="00F52234" w:rsidRDefault="00B50979" w:rsidP="00E83817">
      <w:pPr>
        <w:pStyle w:val="BodyText"/>
      </w:pPr>
      <w:r>
        <w:t xml:space="preserve">For example, in </w:t>
      </w:r>
      <w:r w:rsidR="00E83817" w:rsidRPr="003D498B">
        <w:rPr>
          <w:i/>
          <w:iCs/>
        </w:rPr>
        <w:t xml:space="preserve">Pottinger v. </w:t>
      </w:r>
      <w:r w:rsidR="00113D7B">
        <w:rPr>
          <w:i/>
          <w:iCs/>
        </w:rPr>
        <w:t>City of</w:t>
      </w:r>
      <w:r w:rsidR="00E83817" w:rsidRPr="003D498B">
        <w:rPr>
          <w:i/>
          <w:iCs/>
        </w:rPr>
        <w:t xml:space="preserve"> Miami</w:t>
      </w:r>
      <w:r w:rsidR="00E83817">
        <w:t xml:space="preserve">, </w:t>
      </w:r>
      <w:r w:rsidR="00281882">
        <w:t>the city of Miami was sued for</w:t>
      </w:r>
      <w:r w:rsidR="00FA7F1F">
        <w:t>, among other things, a policy of</w:t>
      </w:r>
      <w:r w:rsidR="00281882">
        <w:t xml:space="preserve"> clearing and destroying </w:t>
      </w:r>
      <w:r w:rsidR="00FA7F1F">
        <w:t>homeless encampments</w:t>
      </w:r>
      <w:r w:rsidR="000D65EC">
        <w:t>.</w:t>
      </w:r>
      <w:r w:rsidR="00281882">
        <w:t xml:space="preserve"> </w:t>
      </w:r>
      <w:r w:rsidR="000D65EC">
        <w:t>The</w:t>
      </w:r>
      <w:r w:rsidR="00E83817">
        <w:t xml:space="preserve"> court found that “by its appearance, the property belonging to homeless persons is reasonably distinguishable from truly abandoned property”</w:t>
      </w:r>
      <w:r w:rsidR="00D54BEF">
        <w:t xml:space="preserve"> and “</w:t>
      </w:r>
      <w:r w:rsidR="00D54BEF" w:rsidRPr="00D54BEF">
        <w:t xml:space="preserve">a homeless </w:t>
      </w:r>
      <w:r w:rsidR="006E4246" w:rsidRPr="00D54BEF">
        <w:t>person</w:t>
      </w:r>
      <w:r w:rsidR="006E4246">
        <w:t>’</w:t>
      </w:r>
      <w:r w:rsidR="006E4246" w:rsidRPr="00D54BEF">
        <w:t xml:space="preserve">s </w:t>
      </w:r>
      <w:r w:rsidR="00D54BEF" w:rsidRPr="00D54BEF">
        <w:t xml:space="preserve">personal property is generally all he owns; therefore, while it may look like </w:t>
      </w:r>
      <w:r w:rsidR="00D54BEF">
        <w:t>‘</w:t>
      </w:r>
      <w:r w:rsidR="00D54BEF" w:rsidRPr="00D54BEF">
        <w:t>junk</w:t>
      </w:r>
      <w:r w:rsidR="00D54BEF">
        <w:t>’</w:t>
      </w:r>
      <w:r w:rsidR="00D54BEF" w:rsidRPr="00D54BEF">
        <w:t xml:space="preserve"> to some people, its value should not be discounted.</w:t>
      </w:r>
      <w:r w:rsidR="00D54BEF">
        <w:t>”</w:t>
      </w:r>
      <w:r w:rsidR="00B939BD" w:rsidRPr="002A4234">
        <w:rPr>
          <w:rStyle w:val="FootnoteReference"/>
        </w:rPr>
        <w:footnoteReference w:id="277"/>
      </w:r>
      <w:r w:rsidR="003D498B">
        <w:t xml:space="preserve"> </w:t>
      </w:r>
      <w:r w:rsidR="000D65EC">
        <w:t xml:space="preserve">While the court found the city’s policy to </w:t>
      </w:r>
      <w:r w:rsidR="00F52234">
        <w:t>be a “</w:t>
      </w:r>
      <w:r w:rsidR="00F52234" w:rsidRPr="00F52234">
        <w:t xml:space="preserve">meaningful interference with </w:t>
      </w:r>
      <w:r w:rsidR="00510320">
        <w:t>[</w:t>
      </w:r>
      <w:r w:rsidR="00F52234" w:rsidRPr="00F52234">
        <w:t>an individual</w:t>
      </w:r>
      <w:r w:rsidR="000B5E83">
        <w:t>’</w:t>
      </w:r>
      <w:r w:rsidR="00F52234" w:rsidRPr="00F52234">
        <w:t>s</w:t>
      </w:r>
      <w:r w:rsidR="00510320">
        <w:t>]</w:t>
      </w:r>
      <w:r w:rsidR="00F52234" w:rsidRPr="00F52234">
        <w:t xml:space="preserve"> possessory interests in that property</w:t>
      </w:r>
      <w:r w:rsidR="00F52234">
        <w:t xml:space="preserve">”—and therefore subject to the Fourth </w:t>
      </w:r>
      <w:r w:rsidR="00F52234">
        <w:lastRenderedPageBreak/>
        <w:t xml:space="preserve">Amendment according to </w:t>
      </w:r>
      <w:r w:rsidR="00763AEB">
        <w:t xml:space="preserve">the Supreme Court’s decision in </w:t>
      </w:r>
      <w:r w:rsidR="00F52234">
        <w:rPr>
          <w:i/>
          <w:iCs/>
        </w:rPr>
        <w:t>Jacobsen</w:t>
      </w:r>
      <w:r w:rsidR="00F56292">
        <w:t xml:space="preserve">—the court </w:t>
      </w:r>
      <w:r w:rsidR="00926927">
        <w:t>s</w:t>
      </w:r>
      <w:r w:rsidR="00AA7A7F">
        <w:t>aw</w:t>
      </w:r>
      <w:r w:rsidR="00F56292">
        <w:t xml:space="preserve"> “</w:t>
      </w:r>
      <w:r w:rsidR="00B63745">
        <w:t>[</w:t>
      </w:r>
      <w:r w:rsidR="00F56292">
        <w:t>t</w:t>
      </w:r>
      <w:r w:rsidR="00B63745">
        <w:t>]</w:t>
      </w:r>
      <w:r w:rsidR="00F56292">
        <w:t xml:space="preserve">he </w:t>
      </w:r>
      <w:r w:rsidR="00F56292" w:rsidRPr="00F56292">
        <w:t>more difficult question</w:t>
      </w:r>
      <w:r w:rsidR="00AA7A7F">
        <w:t>”</w:t>
      </w:r>
      <w:r w:rsidR="00F56292" w:rsidRPr="00F56292">
        <w:t xml:space="preserve"> </w:t>
      </w:r>
      <w:r w:rsidR="00AA7A7F">
        <w:t>a</w:t>
      </w:r>
      <w:r w:rsidR="00C46BE5">
        <w:t>s</w:t>
      </w:r>
      <w:r w:rsidR="00F56292" w:rsidRPr="00F56292">
        <w:t xml:space="preserve"> </w:t>
      </w:r>
      <w:r w:rsidR="00C46BE5">
        <w:t>“</w:t>
      </w:r>
      <w:r w:rsidR="00F56292" w:rsidRPr="00F56292">
        <w:t>whether an individual has a legitimate privacy interest in property that is seized in a public area</w:t>
      </w:r>
      <w:r w:rsidR="00F56292">
        <w:t>.”</w:t>
      </w:r>
      <w:r w:rsidR="00F56292" w:rsidRPr="002A4234">
        <w:rPr>
          <w:rStyle w:val="FootnoteReference"/>
        </w:rPr>
        <w:footnoteReference w:id="278"/>
      </w:r>
      <w:r w:rsidR="00731A31">
        <w:t xml:space="preserve"> </w:t>
      </w:r>
      <w:r w:rsidR="00E569B2">
        <w:t xml:space="preserve">The court ultimately found that the unhoused had a reasonable expectation of privacy in </w:t>
      </w:r>
      <w:r w:rsidR="0069027B">
        <w:t xml:space="preserve">items like bedrolls and </w:t>
      </w:r>
      <w:r w:rsidR="005A2605">
        <w:t>bags</w:t>
      </w:r>
      <w:r w:rsidR="00E569B2">
        <w:t xml:space="preserve"> based in part on </w:t>
      </w:r>
      <w:r w:rsidR="00082F71">
        <w:t>“</w:t>
      </w:r>
      <w:r w:rsidR="00082F71" w:rsidRPr="00082F71">
        <w:t>society</w:t>
      </w:r>
      <w:r w:rsidR="00082F71">
        <w:t>’</w:t>
      </w:r>
      <w:r w:rsidR="00082F71" w:rsidRPr="00082F71">
        <w:t>s high degree of deference to expectations of privacy in closed containers</w:t>
      </w:r>
      <w:r w:rsidR="001243D1">
        <w:t>,</w:t>
      </w:r>
      <w:r w:rsidR="00082F71">
        <w:t>”</w:t>
      </w:r>
      <w:r w:rsidR="00FA497A">
        <w:t xml:space="preserve"> noting</w:t>
      </w:r>
      <w:r w:rsidR="001243D1">
        <w:t xml:space="preserve"> </w:t>
      </w:r>
      <w:r w:rsidR="005F0CD1">
        <w:t xml:space="preserve">that </w:t>
      </w:r>
      <w:r w:rsidR="001243D1">
        <w:t>“[o]</w:t>
      </w:r>
      <w:r w:rsidR="001243D1" w:rsidRPr="001243D1">
        <w:t>ur notions of custom and civility, and our code of values, would include some measure of respect for that shred of privacy, and would recognize it as reasonable under the circumstances of this case.</w:t>
      </w:r>
      <w:r w:rsidR="00B841D5">
        <w:t>”</w:t>
      </w:r>
      <w:r w:rsidR="00B841D5" w:rsidRPr="002A4234">
        <w:rPr>
          <w:rStyle w:val="FootnoteReference"/>
        </w:rPr>
        <w:footnoteReference w:id="279"/>
      </w:r>
      <w:r w:rsidR="000612D7">
        <w:t xml:space="preserve"> The </w:t>
      </w:r>
      <w:r w:rsidR="00CF4740">
        <w:t>general-law approach</w:t>
      </w:r>
      <w:r w:rsidR="000612D7">
        <w:t xml:space="preserve"> would alleviate the need to </w:t>
      </w:r>
      <w:r w:rsidR="00F44319">
        <w:t>ask</w:t>
      </w:r>
      <w:r w:rsidR="000612D7">
        <w:t xml:space="preserve"> whether </w:t>
      </w:r>
      <w:r w:rsidR="00F048BE">
        <w:t xml:space="preserve">someone </w:t>
      </w:r>
      <w:r w:rsidR="00F44319">
        <w:t>sought</w:t>
      </w:r>
      <w:r w:rsidR="00F048BE">
        <w:t xml:space="preserve"> privacy in unconventional</w:t>
      </w:r>
      <w:r w:rsidR="009679CC">
        <w:t xml:space="preserve"> circumstances and instead ask whether they had a right to exclude. </w:t>
      </w:r>
      <w:r w:rsidR="00EA2779">
        <w:t xml:space="preserve">This analysis </w:t>
      </w:r>
      <w:r w:rsidR="00086F9A">
        <w:t xml:space="preserve">would often be </w:t>
      </w:r>
      <w:r w:rsidR="00EA2779">
        <w:t xml:space="preserve">as simple as </w:t>
      </w:r>
      <w:r w:rsidR="00216A1B">
        <w:t>asking whether the property has been abandoned.</w:t>
      </w:r>
      <w:r w:rsidR="00216A1B" w:rsidRPr="002A4234">
        <w:rPr>
          <w:rStyle w:val="FootnoteReference"/>
        </w:rPr>
        <w:footnoteReference w:id="280"/>
      </w:r>
    </w:p>
    <w:p w14:paraId="015597C7" w14:textId="5FB66D24" w:rsidR="009A0D92" w:rsidRDefault="00F32406" w:rsidP="00351103">
      <w:pPr>
        <w:pStyle w:val="BodyText"/>
      </w:pPr>
      <w:r>
        <w:t>In the context of the unhoused and trespass to chattel against their belongings</w:t>
      </w:r>
      <w:r w:rsidR="008F4A63">
        <w:t xml:space="preserve">, the </w:t>
      </w:r>
      <w:r w:rsidR="00CF4740">
        <w:t>general-law approach</w:t>
      </w:r>
      <w:r w:rsidR="008F4A63">
        <w:t xml:space="preserve"> may yield very different results than a </w:t>
      </w:r>
      <w:r w:rsidR="008C33FB">
        <w:t>pure</w:t>
      </w:r>
      <w:r w:rsidR="00A96887">
        <w:t xml:space="preserve"> </w:t>
      </w:r>
      <w:r w:rsidR="008F4A63">
        <w:t>positive</w:t>
      </w:r>
      <w:r w:rsidR="008C33FB">
        <w:t>-</w:t>
      </w:r>
      <w:r w:rsidR="008F4A63">
        <w:t xml:space="preserve">law approach. </w:t>
      </w:r>
      <w:r w:rsidR="000F18B8">
        <w:t xml:space="preserve">In municipalities that </w:t>
      </w:r>
      <w:r w:rsidR="002C7B02">
        <w:t>have laws attempting to outlaw vagrancy and authorizing aggressive clearance of encampments</w:t>
      </w:r>
      <w:r w:rsidR="006670A0">
        <w:t xml:space="preserve">, the positive law might authorize </w:t>
      </w:r>
      <w:r w:rsidR="001E254D">
        <w:t xml:space="preserve">warrantless seizures of unhoused people’s belongings. </w:t>
      </w:r>
      <w:r w:rsidR="008C33FB">
        <w:t>But</w:t>
      </w:r>
      <w:r w:rsidR="00BB24C8">
        <w:t xml:space="preserve"> the general</w:t>
      </w:r>
      <w:r w:rsidR="008C33FB">
        <w:t>-</w:t>
      </w:r>
      <w:r w:rsidR="00BB24C8">
        <w:t>law</w:t>
      </w:r>
      <w:r w:rsidR="008C33FB">
        <w:t xml:space="preserve"> approach</w:t>
      </w:r>
      <w:r w:rsidR="00BB24C8">
        <w:t xml:space="preserve"> would </w:t>
      </w:r>
      <w:r w:rsidR="008E3C05">
        <w:t>still</w:t>
      </w:r>
      <w:r w:rsidR="00BB24C8">
        <w:t xml:space="preserve"> recognize </w:t>
      </w:r>
      <w:r w:rsidR="008C33FB">
        <w:t>and protect</w:t>
      </w:r>
      <w:r w:rsidR="00BB24C8">
        <w:t xml:space="preserve"> the property interests that people have despite </w:t>
      </w:r>
      <w:r w:rsidR="00C83909">
        <w:t>being unhoused.</w:t>
      </w:r>
    </w:p>
    <w:p w14:paraId="1AF42762" w14:textId="5F88763C" w:rsidR="00CF7648" w:rsidRPr="000B292F" w:rsidRDefault="002D26B8" w:rsidP="00CF7648">
      <w:pPr>
        <w:pStyle w:val="Heading3"/>
      </w:pPr>
      <w:bookmarkStart w:id="68" w:name="_Toc96093553"/>
      <w:bookmarkStart w:id="69" w:name="_Toc111723681"/>
      <w:r>
        <w:t>Delegating the Right to Exclude</w:t>
      </w:r>
      <w:bookmarkEnd w:id="68"/>
      <w:bookmarkEnd w:id="69"/>
    </w:p>
    <w:p w14:paraId="56B89F40" w14:textId="3EC24C52" w:rsidR="00922DFB" w:rsidRDefault="003D76A4" w:rsidP="008F59D3">
      <w:pPr>
        <w:pStyle w:val="BodyText"/>
        <w:rPr>
          <w:lang w:eastAsia="ja-JP"/>
        </w:rPr>
      </w:pPr>
      <w:r w:rsidRPr="00EE34EC">
        <w:rPr>
          <w:lang w:eastAsia="ja-JP"/>
        </w:rPr>
        <w:t>As foreshadowed by the problem of informal dwellings on others’ real property</w:t>
      </w:r>
      <w:r w:rsidR="003E61AF" w:rsidRPr="00EE34EC">
        <w:rPr>
          <w:lang w:eastAsia="ja-JP"/>
        </w:rPr>
        <w:t xml:space="preserve">, tough questions arise when </w:t>
      </w:r>
      <w:r w:rsidR="00EE34EC" w:rsidRPr="00EE34EC">
        <w:rPr>
          <w:lang w:eastAsia="ja-JP"/>
        </w:rPr>
        <w:t>property that target</w:t>
      </w:r>
      <w:r w:rsidR="00A8559D">
        <w:rPr>
          <w:lang w:eastAsia="ja-JP"/>
        </w:rPr>
        <w:t>ed for</w:t>
      </w:r>
      <w:r w:rsidR="00EE34EC" w:rsidRPr="00EE34EC" w:rsidDel="00A8559D">
        <w:rPr>
          <w:lang w:eastAsia="ja-JP"/>
        </w:rPr>
        <w:t xml:space="preserve"> </w:t>
      </w:r>
      <w:r w:rsidR="00EE34EC" w:rsidRPr="00EE34EC">
        <w:rPr>
          <w:lang w:eastAsia="ja-JP"/>
        </w:rPr>
        <w:t>a search is on or within the property of another.</w:t>
      </w:r>
      <w:r w:rsidRPr="00EE34EC">
        <w:rPr>
          <w:lang w:eastAsia="ja-JP"/>
        </w:rPr>
        <w:t xml:space="preserve"> </w:t>
      </w:r>
      <w:r w:rsidR="00EE34EC" w:rsidRPr="00EE34EC">
        <w:rPr>
          <w:lang w:eastAsia="ja-JP"/>
        </w:rPr>
        <w:t xml:space="preserve">In </w:t>
      </w:r>
      <w:r w:rsidR="00A8559D">
        <w:rPr>
          <w:lang w:eastAsia="ja-JP"/>
        </w:rPr>
        <w:t>such cases</w:t>
      </w:r>
      <w:r w:rsidR="00DD6F9F" w:rsidRPr="00EE34EC">
        <w:rPr>
          <w:lang w:eastAsia="ja-JP"/>
        </w:rPr>
        <w:t xml:space="preserve">, courts </w:t>
      </w:r>
      <w:r w:rsidR="00EE34EC" w:rsidRPr="00EE34EC">
        <w:rPr>
          <w:lang w:eastAsia="ja-JP"/>
        </w:rPr>
        <w:t>must</w:t>
      </w:r>
      <w:r w:rsidR="00DD6F9F" w:rsidRPr="00EE34EC">
        <w:rPr>
          <w:lang w:eastAsia="ja-JP"/>
        </w:rPr>
        <w:t xml:space="preserve"> analyze who holds </w:t>
      </w:r>
      <w:r w:rsidR="00EE34EC" w:rsidRPr="00EE34EC">
        <w:rPr>
          <w:lang w:eastAsia="ja-JP"/>
        </w:rPr>
        <w:t>the right to exclude</w:t>
      </w:r>
      <w:r w:rsidR="00DD6F9F" w:rsidRPr="00EE34EC">
        <w:rPr>
          <w:lang w:eastAsia="ja-JP"/>
        </w:rPr>
        <w:t xml:space="preserve"> and who can wield it against whom. </w:t>
      </w:r>
      <w:r w:rsidR="005C4C63" w:rsidRPr="00EE34EC">
        <w:rPr>
          <w:lang w:eastAsia="ja-JP"/>
        </w:rPr>
        <w:t>While the right to exclude is most often associated with</w:t>
      </w:r>
      <w:r w:rsidR="005C4C63">
        <w:rPr>
          <w:lang w:eastAsia="ja-JP"/>
        </w:rPr>
        <w:t xml:space="preserve"> ownership, it can be delegated to lesser interests in the property as well. For example, </w:t>
      </w:r>
      <w:r w:rsidR="0043236B">
        <w:rPr>
          <w:lang w:eastAsia="ja-JP"/>
        </w:rPr>
        <w:t>residential</w:t>
      </w:r>
      <w:r w:rsidR="005C4C63">
        <w:rPr>
          <w:lang w:eastAsia="ja-JP"/>
        </w:rPr>
        <w:t xml:space="preserve"> tenant</w:t>
      </w:r>
      <w:r w:rsidR="0043236B">
        <w:rPr>
          <w:lang w:eastAsia="ja-JP"/>
        </w:rPr>
        <w:t>s</w:t>
      </w:r>
      <w:r w:rsidR="005C4C63">
        <w:rPr>
          <w:lang w:eastAsia="ja-JP"/>
        </w:rPr>
        <w:t xml:space="preserve"> ha</w:t>
      </w:r>
      <w:r w:rsidR="0043236B">
        <w:rPr>
          <w:lang w:eastAsia="ja-JP"/>
        </w:rPr>
        <w:t>ve</w:t>
      </w:r>
      <w:r w:rsidR="005C4C63">
        <w:rPr>
          <w:lang w:eastAsia="ja-JP"/>
        </w:rPr>
        <w:t xml:space="preserve"> the right to exclude </w:t>
      </w:r>
      <w:r w:rsidR="0043236B">
        <w:rPr>
          <w:lang w:eastAsia="ja-JP"/>
        </w:rPr>
        <w:t>everyone, including the owner</w:t>
      </w:r>
      <w:r w:rsidR="0016093F">
        <w:rPr>
          <w:lang w:eastAsia="ja-JP"/>
        </w:rPr>
        <w:t xml:space="preserve"> (</w:t>
      </w:r>
      <w:r w:rsidR="0043236B">
        <w:rPr>
          <w:lang w:eastAsia="ja-JP"/>
        </w:rPr>
        <w:t xml:space="preserve">their </w:t>
      </w:r>
      <w:r w:rsidR="0016093F">
        <w:rPr>
          <w:lang w:eastAsia="ja-JP"/>
        </w:rPr>
        <w:t>landlord)</w:t>
      </w:r>
      <w:r w:rsidR="0043236B">
        <w:rPr>
          <w:lang w:eastAsia="ja-JP"/>
        </w:rPr>
        <w:t>, from their apartment.</w:t>
      </w:r>
      <w:r w:rsidR="00553EA9">
        <w:rPr>
          <w:lang w:eastAsia="ja-JP"/>
        </w:rPr>
        <w:t xml:space="preserve"> </w:t>
      </w:r>
      <w:r w:rsidR="00E32F3E">
        <w:rPr>
          <w:lang w:eastAsia="ja-JP"/>
        </w:rPr>
        <w:t>Similarly, parties may share the right to exclude or allocate it to meet their needs. So</w:t>
      </w:r>
      <w:r w:rsidR="00A24073">
        <w:rPr>
          <w:lang w:eastAsia="ja-JP"/>
        </w:rPr>
        <w:t>,</w:t>
      </w:r>
      <w:r w:rsidR="00E32F3E">
        <w:rPr>
          <w:lang w:eastAsia="ja-JP"/>
        </w:rPr>
        <w:t xml:space="preserve"> a lease may </w:t>
      </w:r>
      <w:r w:rsidR="00BD1B0D">
        <w:rPr>
          <w:lang w:eastAsia="ja-JP"/>
        </w:rPr>
        <w:t xml:space="preserve">generally allow tenants to exclude a landlord but specify circumstances under which the tenant cannot exclude the landlord or even under which the landlord can exclude the tenant. </w:t>
      </w:r>
      <w:r w:rsidR="00860A28">
        <w:rPr>
          <w:lang w:eastAsia="ja-JP"/>
        </w:rPr>
        <w:t>The ability to customize the right to exclude applies to real proper</w:t>
      </w:r>
      <w:r w:rsidR="0016093F">
        <w:rPr>
          <w:lang w:eastAsia="ja-JP"/>
        </w:rPr>
        <w:t>ty</w:t>
      </w:r>
      <w:r w:rsidR="007775DB">
        <w:rPr>
          <w:lang w:eastAsia="ja-JP"/>
        </w:rPr>
        <w:t xml:space="preserve"> and chattels alike. </w:t>
      </w:r>
      <w:r w:rsidR="00C60AE8">
        <w:rPr>
          <w:lang w:eastAsia="ja-JP"/>
        </w:rPr>
        <w:t>The owner</w:t>
      </w:r>
      <w:r w:rsidR="0003124E">
        <w:rPr>
          <w:lang w:eastAsia="ja-JP"/>
        </w:rPr>
        <w:t>s</w:t>
      </w:r>
      <w:r w:rsidR="00C60AE8">
        <w:rPr>
          <w:lang w:eastAsia="ja-JP"/>
        </w:rPr>
        <w:t xml:space="preserve"> of a piano </w:t>
      </w:r>
      <w:r w:rsidR="00772302">
        <w:rPr>
          <w:lang w:eastAsia="ja-JP"/>
        </w:rPr>
        <w:t xml:space="preserve">may bar </w:t>
      </w:r>
      <w:r w:rsidR="0003124E">
        <w:rPr>
          <w:lang w:eastAsia="ja-JP"/>
        </w:rPr>
        <w:t>every</w:t>
      </w:r>
      <w:r w:rsidR="00772302">
        <w:rPr>
          <w:lang w:eastAsia="ja-JP"/>
        </w:rPr>
        <w:t>one from mashing its keys, may selectively dole out permission to do so</w:t>
      </w:r>
      <w:r w:rsidR="004F65E4">
        <w:rPr>
          <w:lang w:eastAsia="ja-JP"/>
        </w:rPr>
        <w:t>, or may delegate the power to choose who uses the piano to another party.</w:t>
      </w:r>
      <w:r w:rsidR="00741E60">
        <w:rPr>
          <w:lang w:eastAsia="ja-JP"/>
        </w:rPr>
        <w:t xml:space="preserve"> In other words, a party can waive</w:t>
      </w:r>
      <w:r w:rsidR="007B5419">
        <w:rPr>
          <w:lang w:eastAsia="ja-JP"/>
        </w:rPr>
        <w:t xml:space="preserve"> and delegate</w:t>
      </w:r>
      <w:r w:rsidR="00741E60">
        <w:rPr>
          <w:lang w:eastAsia="ja-JP"/>
        </w:rPr>
        <w:t xml:space="preserve"> </w:t>
      </w:r>
      <w:r w:rsidR="00D42319">
        <w:rPr>
          <w:lang w:eastAsia="ja-JP"/>
        </w:rPr>
        <w:t>her</w:t>
      </w:r>
      <w:r w:rsidR="00741E60">
        <w:rPr>
          <w:lang w:eastAsia="ja-JP"/>
        </w:rPr>
        <w:t xml:space="preserve"> right to exclude in some contexts but not </w:t>
      </w:r>
      <w:r w:rsidR="007A7EF0">
        <w:rPr>
          <w:lang w:eastAsia="ja-JP"/>
        </w:rPr>
        <w:t xml:space="preserve">in </w:t>
      </w:r>
      <w:r w:rsidR="00741E60">
        <w:rPr>
          <w:lang w:eastAsia="ja-JP"/>
        </w:rPr>
        <w:t>others.</w:t>
      </w:r>
    </w:p>
    <w:p w14:paraId="6D36AEAB" w14:textId="0CE3ED41" w:rsidR="005C6097" w:rsidRDefault="003264F2" w:rsidP="007F09BF">
      <w:pPr>
        <w:pStyle w:val="BodyText"/>
        <w:rPr>
          <w:lang w:eastAsia="ja-JP"/>
        </w:rPr>
      </w:pPr>
      <w:r>
        <w:rPr>
          <w:lang w:eastAsia="ja-JP"/>
        </w:rPr>
        <w:t xml:space="preserve">The ability to waive and delegate the right to exclude means that establishing who owns </w:t>
      </w:r>
      <w:r w:rsidR="005D59BE">
        <w:rPr>
          <w:lang w:eastAsia="ja-JP"/>
        </w:rPr>
        <w:t xml:space="preserve">property is not sufficient for determining who </w:t>
      </w:r>
      <w:r w:rsidR="00A43818">
        <w:rPr>
          <w:lang w:eastAsia="ja-JP"/>
        </w:rPr>
        <w:t xml:space="preserve">has the right to object to a search and who has </w:t>
      </w:r>
      <w:r w:rsidR="00731EE3">
        <w:rPr>
          <w:lang w:eastAsia="ja-JP"/>
        </w:rPr>
        <w:t xml:space="preserve">the </w:t>
      </w:r>
      <w:r w:rsidR="00A43818">
        <w:rPr>
          <w:lang w:eastAsia="ja-JP"/>
        </w:rPr>
        <w:t xml:space="preserve">right to </w:t>
      </w:r>
      <w:r w:rsidR="005D59BE">
        <w:rPr>
          <w:lang w:eastAsia="ja-JP"/>
        </w:rPr>
        <w:t xml:space="preserve">consent to </w:t>
      </w:r>
      <w:r w:rsidR="003104A5">
        <w:rPr>
          <w:lang w:eastAsia="ja-JP"/>
        </w:rPr>
        <w:t>one</w:t>
      </w:r>
      <w:r w:rsidR="005D59BE">
        <w:rPr>
          <w:lang w:eastAsia="ja-JP"/>
        </w:rPr>
        <w:t xml:space="preserve">. Justice Scalia </w:t>
      </w:r>
      <w:r w:rsidR="001A1CFE">
        <w:rPr>
          <w:lang w:eastAsia="ja-JP"/>
        </w:rPr>
        <w:t xml:space="preserve">explained as much </w:t>
      </w:r>
      <w:r w:rsidR="001A1CFE">
        <w:rPr>
          <w:lang w:eastAsia="ja-JP"/>
        </w:rPr>
        <w:lastRenderedPageBreak/>
        <w:t>in</w:t>
      </w:r>
      <w:r w:rsidR="009B1112">
        <w:rPr>
          <w:lang w:eastAsia="ja-JP"/>
        </w:rPr>
        <w:t xml:space="preserve"> his concurrence in</w:t>
      </w:r>
      <w:r w:rsidR="001A1CFE">
        <w:rPr>
          <w:lang w:eastAsia="ja-JP"/>
        </w:rPr>
        <w:t xml:space="preserve"> </w:t>
      </w:r>
      <w:r w:rsidR="00ED26FF" w:rsidRPr="00ED26FF">
        <w:rPr>
          <w:i/>
          <w:iCs/>
          <w:lang w:eastAsia="ja-JP"/>
        </w:rPr>
        <w:t xml:space="preserve">Minnesota v. </w:t>
      </w:r>
      <w:r w:rsidR="001A1CFE">
        <w:rPr>
          <w:i/>
          <w:iCs/>
          <w:lang w:eastAsia="ja-JP"/>
        </w:rPr>
        <w:t>Carter</w:t>
      </w:r>
      <w:r w:rsidR="001A1CFE">
        <w:rPr>
          <w:lang w:eastAsia="ja-JP"/>
        </w:rPr>
        <w:t>: “</w:t>
      </w:r>
      <w:r w:rsidR="001A1CFE" w:rsidRPr="00C75EBB">
        <w:rPr>
          <w:lang w:eastAsia="ja-JP"/>
        </w:rPr>
        <w:t xml:space="preserve">Of course this is not to say that the Fourth Amendment protects only the Lord of the Manor who holds his estate in fee simple. People call a house </w:t>
      </w:r>
      <w:r w:rsidR="001A1CFE">
        <w:rPr>
          <w:lang w:eastAsia="ja-JP"/>
        </w:rPr>
        <w:t>‘</w:t>
      </w:r>
      <w:r w:rsidR="001A1CFE" w:rsidRPr="00C75EBB">
        <w:rPr>
          <w:lang w:eastAsia="ja-JP"/>
        </w:rPr>
        <w:t>their</w:t>
      </w:r>
      <w:r w:rsidR="001A1CFE">
        <w:rPr>
          <w:lang w:eastAsia="ja-JP"/>
        </w:rPr>
        <w:t>’</w:t>
      </w:r>
      <w:r w:rsidR="001A1CFE" w:rsidRPr="00C75EBB">
        <w:rPr>
          <w:lang w:eastAsia="ja-JP"/>
        </w:rPr>
        <w:t xml:space="preserve"> home when legal title is in the bank, when they rent it, and even when they merely occupy it rent free—</w:t>
      </w:r>
      <w:r w:rsidR="001A1CFE" w:rsidRPr="00C75EBB">
        <w:rPr>
          <w:i/>
          <w:iCs/>
          <w:lang w:eastAsia="ja-JP"/>
        </w:rPr>
        <w:t>so long as they actually live there</w:t>
      </w:r>
      <w:r w:rsidR="001A1CFE" w:rsidRPr="00C75EBB">
        <w:rPr>
          <w:lang w:eastAsia="ja-JP"/>
        </w:rPr>
        <w:t>.</w:t>
      </w:r>
      <w:r w:rsidR="001A1CFE">
        <w:rPr>
          <w:lang w:eastAsia="ja-JP"/>
        </w:rPr>
        <w:t>”</w:t>
      </w:r>
      <w:r w:rsidR="005735B6" w:rsidRPr="002A4234">
        <w:rPr>
          <w:rStyle w:val="FootnoteReference"/>
        </w:rPr>
        <w:footnoteReference w:id="281"/>
      </w:r>
    </w:p>
    <w:p w14:paraId="15F6E89F" w14:textId="7DD36CE1" w:rsidR="00F132E2" w:rsidRDefault="00F132E2" w:rsidP="007F09BF">
      <w:pPr>
        <w:pStyle w:val="BodyText"/>
        <w:rPr>
          <w:lang w:eastAsia="ja-JP"/>
        </w:rPr>
      </w:pPr>
      <w:r>
        <w:rPr>
          <w:lang w:eastAsia="ja-JP"/>
        </w:rPr>
        <w:t xml:space="preserve">At common law, </w:t>
      </w:r>
      <w:r w:rsidR="00DB4D8B">
        <w:rPr>
          <w:lang w:eastAsia="ja-JP"/>
        </w:rPr>
        <w:t xml:space="preserve">owners and those with possessory interests in property have always been able to </w:t>
      </w:r>
      <w:r w:rsidR="003C7093">
        <w:rPr>
          <w:lang w:eastAsia="ja-JP"/>
        </w:rPr>
        <w:t xml:space="preserve">waive their right to exclude with respect to some people but not others: this is the doctrine of invitees and licensees. </w:t>
      </w:r>
      <w:r w:rsidR="005D6EBA">
        <w:rPr>
          <w:lang w:eastAsia="ja-JP"/>
        </w:rPr>
        <w:t xml:space="preserve">At their core, invitations and </w:t>
      </w:r>
      <w:r w:rsidR="00EF6766">
        <w:rPr>
          <w:lang w:eastAsia="ja-JP"/>
        </w:rPr>
        <w:t xml:space="preserve">licenses are immunities from liability for trespass. </w:t>
      </w:r>
      <w:r w:rsidR="00EE38C8">
        <w:rPr>
          <w:lang w:eastAsia="ja-JP"/>
        </w:rPr>
        <w:t>Absent special circumstances, t</w:t>
      </w:r>
      <w:r w:rsidR="00094F54">
        <w:rPr>
          <w:lang w:eastAsia="ja-JP"/>
        </w:rPr>
        <w:t>his immunity is temporary and revocabl</w:t>
      </w:r>
      <w:r w:rsidR="00EE38C8">
        <w:rPr>
          <w:lang w:eastAsia="ja-JP"/>
        </w:rPr>
        <w:t>e.</w:t>
      </w:r>
      <w:r w:rsidR="00EE38C8" w:rsidRPr="002A4234">
        <w:rPr>
          <w:rStyle w:val="FootnoteReference"/>
        </w:rPr>
        <w:footnoteReference w:id="282"/>
      </w:r>
      <w:r w:rsidR="00B86315">
        <w:rPr>
          <w:lang w:eastAsia="ja-JP"/>
        </w:rPr>
        <w:t xml:space="preserve"> While the Supreme Court has maligned </w:t>
      </w:r>
      <w:r w:rsidR="006E36A4">
        <w:rPr>
          <w:lang w:eastAsia="ja-JP"/>
        </w:rPr>
        <w:t>these details</w:t>
      </w:r>
      <w:r w:rsidR="00B86315">
        <w:rPr>
          <w:lang w:eastAsia="ja-JP"/>
        </w:rPr>
        <w:t xml:space="preserve">, </w:t>
      </w:r>
      <w:r w:rsidR="00F74499">
        <w:rPr>
          <w:lang w:eastAsia="ja-JP"/>
        </w:rPr>
        <w:t>the core</w:t>
      </w:r>
      <w:r w:rsidR="00B86315">
        <w:rPr>
          <w:lang w:eastAsia="ja-JP"/>
        </w:rPr>
        <w:t xml:space="preserve"> doctrine</w:t>
      </w:r>
      <w:r w:rsidR="00F74499">
        <w:rPr>
          <w:lang w:eastAsia="ja-JP"/>
        </w:rPr>
        <w:t xml:space="preserve"> is</w:t>
      </w:r>
      <w:r w:rsidR="00D62B62">
        <w:rPr>
          <w:lang w:eastAsia="ja-JP"/>
        </w:rPr>
        <w:t xml:space="preserve"> </w:t>
      </w:r>
      <w:r w:rsidR="00AD1209">
        <w:rPr>
          <w:lang w:eastAsia="ja-JP"/>
        </w:rPr>
        <w:t>at least coherent and predictable</w:t>
      </w:r>
      <w:r w:rsidR="00902CB1">
        <w:rPr>
          <w:lang w:eastAsia="ja-JP"/>
        </w:rPr>
        <w:t xml:space="preserve">, </w:t>
      </w:r>
      <w:r w:rsidR="00AD1209">
        <w:rPr>
          <w:lang w:eastAsia="ja-JP"/>
        </w:rPr>
        <w:t>which</w:t>
      </w:r>
      <w:r w:rsidR="00AB611A">
        <w:rPr>
          <w:lang w:eastAsia="ja-JP"/>
        </w:rPr>
        <w:t xml:space="preserve"> is more than can be said for the Court’s efforts to find a replacement for </w:t>
      </w:r>
      <w:r w:rsidR="005968C0">
        <w:rPr>
          <w:lang w:eastAsia="ja-JP"/>
        </w:rPr>
        <w:t>property analysis in Fourth Amendment doctrine</w:t>
      </w:r>
      <w:r w:rsidR="00AB611A">
        <w:rPr>
          <w:lang w:eastAsia="ja-JP"/>
        </w:rPr>
        <w:t>.</w:t>
      </w:r>
      <w:r w:rsidR="004B2BDA">
        <w:rPr>
          <w:lang w:eastAsia="ja-JP"/>
        </w:rPr>
        <w:t xml:space="preserve"> In </w:t>
      </w:r>
      <w:r w:rsidR="004B2BDA" w:rsidRPr="00F958E4">
        <w:rPr>
          <w:i/>
          <w:iCs/>
          <w:lang w:eastAsia="ja-JP"/>
        </w:rPr>
        <w:t>Rakas</w:t>
      </w:r>
      <w:r w:rsidR="00125BB4">
        <w:rPr>
          <w:i/>
          <w:iCs/>
          <w:lang w:eastAsia="ja-JP"/>
        </w:rPr>
        <w:t xml:space="preserve"> v. </w:t>
      </w:r>
      <w:r w:rsidR="00B4231C">
        <w:rPr>
          <w:i/>
          <w:iCs/>
          <w:lang w:eastAsia="ja-JP"/>
        </w:rPr>
        <w:t>Illinois</w:t>
      </w:r>
      <w:r w:rsidR="004B2BDA">
        <w:rPr>
          <w:lang w:eastAsia="ja-JP"/>
        </w:rPr>
        <w:t xml:space="preserve">, when the Court </w:t>
      </w:r>
      <w:r w:rsidR="001765AF">
        <w:rPr>
          <w:lang w:eastAsia="ja-JP"/>
        </w:rPr>
        <w:t>asserted</w:t>
      </w:r>
      <w:r w:rsidR="00DC0A77">
        <w:rPr>
          <w:lang w:eastAsia="ja-JP"/>
        </w:rPr>
        <w:t xml:space="preserve"> that “</w:t>
      </w:r>
      <w:r w:rsidR="00F958E4">
        <w:rPr>
          <w:lang w:eastAsia="ja-JP"/>
        </w:rPr>
        <w:t>arcane distinctions developed in property and tort law between guests, licensees, invitees, and the like, ought not to control</w:t>
      </w:r>
      <w:r w:rsidR="004A10C6">
        <w:rPr>
          <w:lang w:eastAsia="ja-JP"/>
        </w:rPr>
        <w:t>”</w:t>
      </w:r>
      <w:r w:rsidR="001765AF">
        <w:rPr>
          <w:lang w:eastAsia="ja-JP"/>
        </w:rPr>
        <w:t xml:space="preserve"> Fourth Amendment analysis,</w:t>
      </w:r>
      <w:r w:rsidR="00C61267" w:rsidRPr="002A4234">
        <w:rPr>
          <w:rStyle w:val="FootnoteReference"/>
        </w:rPr>
        <w:footnoteReference w:id="283"/>
      </w:r>
      <w:r w:rsidR="002B2338">
        <w:rPr>
          <w:lang w:eastAsia="ja-JP"/>
        </w:rPr>
        <w:t xml:space="preserve"> the </w:t>
      </w:r>
      <w:r w:rsidR="00554274">
        <w:rPr>
          <w:lang w:eastAsia="ja-JP"/>
        </w:rPr>
        <w:t>Court</w:t>
      </w:r>
      <w:r w:rsidR="002B2338">
        <w:rPr>
          <w:lang w:eastAsia="ja-JP"/>
        </w:rPr>
        <w:t xml:space="preserve"> seemed to misunderstand </w:t>
      </w:r>
      <w:r w:rsidR="00FF4FDF">
        <w:rPr>
          <w:lang w:eastAsia="ja-JP"/>
        </w:rPr>
        <w:t>how</w:t>
      </w:r>
      <w:r w:rsidR="00CF0D3D">
        <w:rPr>
          <w:lang w:eastAsia="ja-JP"/>
        </w:rPr>
        <w:t xml:space="preserve"> </w:t>
      </w:r>
      <w:r w:rsidR="002F7F4F">
        <w:rPr>
          <w:lang w:eastAsia="ja-JP"/>
        </w:rPr>
        <w:t>the distinction</w:t>
      </w:r>
      <w:r w:rsidR="00D74415">
        <w:rPr>
          <w:lang w:eastAsia="ja-JP"/>
        </w:rPr>
        <w:t>s</w:t>
      </w:r>
      <w:r w:rsidR="002F7F4F">
        <w:rPr>
          <w:lang w:eastAsia="ja-JP"/>
        </w:rPr>
        <w:t xml:space="preserve"> between licen</w:t>
      </w:r>
      <w:r w:rsidR="009B2646">
        <w:rPr>
          <w:lang w:eastAsia="ja-JP"/>
        </w:rPr>
        <w:t>sees</w:t>
      </w:r>
      <w:r w:rsidR="00121618">
        <w:rPr>
          <w:lang w:eastAsia="ja-JP"/>
        </w:rPr>
        <w:t xml:space="preserve"> (which includes guests)</w:t>
      </w:r>
      <w:r w:rsidR="009B2646">
        <w:rPr>
          <w:lang w:eastAsia="ja-JP"/>
        </w:rPr>
        <w:t>,</w:t>
      </w:r>
      <w:r w:rsidR="00274027" w:rsidRPr="002A4234">
        <w:rPr>
          <w:rStyle w:val="FootnoteReference"/>
        </w:rPr>
        <w:footnoteReference w:id="284"/>
      </w:r>
      <w:r w:rsidR="009B2646">
        <w:rPr>
          <w:lang w:eastAsia="ja-JP"/>
        </w:rPr>
        <w:t xml:space="preserve"> invitees</w:t>
      </w:r>
      <w:r w:rsidR="00ED615D">
        <w:rPr>
          <w:lang w:eastAsia="ja-JP"/>
        </w:rPr>
        <w:t xml:space="preserve">, and trespassers </w:t>
      </w:r>
      <w:r w:rsidR="00FF4FDF">
        <w:rPr>
          <w:lang w:eastAsia="ja-JP"/>
        </w:rPr>
        <w:t>worked</w:t>
      </w:r>
      <w:r w:rsidR="00311B73">
        <w:rPr>
          <w:lang w:eastAsia="ja-JP"/>
        </w:rPr>
        <w:t xml:space="preserve"> before most state courts abolished </w:t>
      </w:r>
      <w:r w:rsidR="00D74415">
        <w:rPr>
          <w:lang w:eastAsia="ja-JP"/>
        </w:rPr>
        <w:t>them</w:t>
      </w:r>
      <w:r w:rsidR="00CE40C7">
        <w:rPr>
          <w:lang w:eastAsia="ja-JP"/>
        </w:rPr>
        <w:t xml:space="preserve">: </w:t>
      </w:r>
      <w:r w:rsidR="00D31E47">
        <w:rPr>
          <w:lang w:eastAsia="ja-JP"/>
        </w:rPr>
        <w:t>the distinction</w:t>
      </w:r>
      <w:r w:rsidR="00D74415">
        <w:rPr>
          <w:lang w:eastAsia="ja-JP"/>
        </w:rPr>
        <w:t>s</w:t>
      </w:r>
      <w:r w:rsidR="00D31E47">
        <w:rPr>
          <w:lang w:eastAsia="ja-JP"/>
        </w:rPr>
        <w:t xml:space="preserve"> </w:t>
      </w:r>
      <w:r w:rsidR="00BB5346">
        <w:rPr>
          <w:lang w:eastAsia="ja-JP"/>
        </w:rPr>
        <w:t xml:space="preserve">determined the duty of care land </w:t>
      </w:r>
      <w:r w:rsidR="00DA1C50">
        <w:rPr>
          <w:lang w:eastAsia="ja-JP"/>
        </w:rPr>
        <w:t xml:space="preserve">owners owed to </w:t>
      </w:r>
      <w:r w:rsidR="00154E71">
        <w:rPr>
          <w:lang w:eastAsia="ja-JP"/>
        </w:rPr>
        <w:t>others on their property.</w:t>
      </w:r>
      <w:r w:rsidR="00E736CF">
        <w:rPr>
          <w:lang w:eastAsia="ja-JP"/>
        </w:rPr>
        <w:t xml:space="preserve"> The </w:t>
      </w:r>
      <w:r w:rsidR="006D69C3">
        <w:rPr>
          <w:lang w:eastAsia="ja-JP"/>
        </w:rPr>
        <w:t xml:space="preserve">scope of permission for </w:t>
      </w:r>
      <w:r w:rsidR="007C354E">
        <w:rPr>
          <w:lang w:eastAsia="ja-JP"/>
        </w:rPr>
        <w:t>licensees and in</w:t>
      </w:r>
      <w:r w:rsidR="005C1F54">
        <w:rPr>
          <w:lang w:eastAsia="ja-JP"/>
        </w:rPr>
        <w:t>vitees is the same</w:t>
      </w:r>
      <w:r w:rsidR="001C0C7E">
        <w:rPr>
          <w:lang w:eastAsia="ja-JP"/>
        </w:rPr>
        <w:t>, meaning that the distinction would not matter for Fourth Amendment purposes.</w:t>
      </w:r>
    </w:p>
    <w:p w14:paraId="14D687E1" w14:textId="360FABC9" w:rsidR="0046731A" w:rsidRDefault="00DE45FB" w:rsidP="00154D58">
      <w:pPr>
        <w:pStyle w:val="BodyText"/>
        <w:rPr>
          <w:lang w:eastAsia="ja-JP"/>
        </w:rPr>
      </w:pPr>
      <w:r>
        <w:rPr>
          <w:lang w:eastAsia="ja-JP"/>
        </w:rPr>
        <w:t xml:space="preserve">A </w:t>
      </w:r>
      <w:r w:rsidR="00CF4740">
        <w:rPr>
          <w:lang w:eastAsia="ja-JP"/>
        </w:rPr>
        <w:t>general-law approach</w:t>
      </w:r>
      <w:r>
        <w:rPr>
          <w:lang w:eastAsia="ja-JP"/>
        </w:rPr>
        <w:t xml:space="preserve"> would look at the scope of the license or invitation to determine wh</w:t>
      </w:r>
      <w:r w:rsidR="001A7D4C">
        <w:rPr>
          <w:lang w:eastAsia="ja-JP"/>
        </w:rPr>
        <w:t xml:space="preserve">ether </w:t>
      </w:r>
      <w:r w:rsidR="00233742">
        <w:rPr>
          <w:lang w:eastAsia="ja-JP"/>
        </w:rPr>
        <w:t>an outsider</w:t>
      </w:r>
      <w:r w:rsidR="001A7D4C">
        <w:rPr>
          <w:lang w:eastAsia="ja-JP"/>
        </w:rPr>
        <w:t xml:space="preserve"> is </w:t>
      </w:r>
      <w:r w:rsidR="00251AE5">
        <w:rPr>
          <w:lang w:eastAsia="ja-JP"/>
        </w:rPr>
        <w:t>excluded from a space</w:t>
      </w:r>
      <w:r w:rsidR="00352229">
        <w:rPr>
          <w:lang w:eastAsia="ja-JP"/>
        </w:rPr>
        <w:t xml:space="preserve"> and, if so, to what extent</w:t>
      </w:r>
      <w:r w:rsidR="00251AE5">
        <w:rPr>
          <w:lang w:eastAsia="ja-JP"/>
        </w:rPr>
        <w:t xml:space="preserve">. </w:t>
      </w:r>
      <w:r w:rsidR="005138C6">
        <w:rPr>
          <w:lang w:eastAsia="ja-JP"/>
        </w:rPr>
        <w:t>The license extended to an overnight guest may, for example, give the guest the right to exclude others from her room</w:t>
      </w:r>
      <w:r w:rsidR="00A47C5B">
        <w:rPr>
          <w:lang w:eastAsia="ja-JP"/>
        </w:rPr>
        <w:t xml:space="preserve">—thus letting her assert </w:t>
      </w:r>
      <w:r w:rsidR="00154D58">
        <w:rPr>
          <w:lang w:eastAsia="ja-JP"/>
        </w:rPr>
        <w:t xml:space="preserve">Fourth Amendment rights with respect to </w:t>
      </w:r>
      <w:r w:rsidR="001640E8">
        <w:rPr>
          <w:lang w:eastAsia="ja-JP"/>
        </w:rPr>
        <w:t xml:space="preserve">what constitutes her </w:t>
      </w:r>
      <w:r w:rsidR="00154D58">
        <w:rPr>
          <w:lang w:eastAsia="ja-JP"/>
        </w:rPr>
        <w:t>“house”</w:t>
      </w:r>
      <w:r w:rsidR="001640E8">
        <w:rPr>
          <w:lang w:eastAsia="ja-JP"/>
        </w:rPr>
        <w:t xml:space="preserve"> (the room).</w:t>
      </w:r>
      <w:r w:rsidR="00154D58">
        <w:rPr>
          <w:lang w:eastAsia="ja-JP"/>
        </w:rPr>
        <w:t xml:space="preserve"> </w:t>
      </w:r>
      <w:r w:rsidR="0046731A">
        <w:rPr>
          <w:lang w:eastAsia="ja-JP"/>
        </w:rPr>
        <w:t xml:space="preserve">Licensee status </w:t>
      </w:r>
      <w:r w:rsidR="002261A8">
        <w:rPr>
          <w:lang w:eastAsia="ja-JP"/>
        </w:rPr>
        <w:t>would</w:t>
      </w:r>
      <w:r w:rsidR="0046731A">
        <w:rPr>
          <w:lang w:eastAsia="ja-JP"/>
        </w:rPr>
        <w:t xml:space="preserve"> </w:t>
      </w:r>
      <w:r w:rsidR="006D41CC">
        <w:rPr>
          <w:lang w:eastAsia="ja-JP"/>
        </w:rPr>
        <w:t xml:space="preserve">also </w:t>
      </w:r>
      <w:r w:rsidR="0046731A">
        <w:rPr>
          <w:lang w:eastAsia="ja-JP"/>
        </w:rPr>
        <w:t xml:space="preserve">not preclude individuals from asserting their right to exclude with respect to their </w:t>
      </w:r>
      <w:r w:rsidR="0046731A" w:rsidRPr="00154D58">
        <w:rPr>
          <w:i/>
          <w:iCs/>
          <w:lang w:eastAsia="ja-JP"/>
        </w:rPr>
        <w:t>own</w:t>
      </w:r>
      <w:r w:rsidR="0046731A">
        <w:rPr>
          <w:lang w:eastAsia="ja-JP"/>
        </w:rPr>
        <w:t xml:space="preserve"> property. For example, in many situations, a host </w:t>
      </w:r>
      <w:r w:rsidR="00154D58">
        <w:rPr>
          <w:lang w:eastAsia="ja-JP"/>
        </w:rPr>
        <w:t>would</w:t>
      </w:r>
      <w:r w:rsidR="0046731A">
        <w:rPr>
          <w:lang w:eastAsia="ja-JP"/>
        </w:rPr>
        <w:t xml:space="preserve"> trespass against an overnight house guest’s suitcase by picking </w:t>
      </w:r>
      <w:r w:rsidR="00154D58">
        <w:rPr>
          <w:lang w:eastAsia="ja-JP"/>
        </w:rPr>
        <w:t>its</w:t>
      </w:r>
      <w:r w:rsidR="0046731A">
        <w:rPr>
          <w:lang w:eastAsia="ja-JP"/>
        </w:rPr>
        <w:t xml:space="preserve"> lock. Likewise, one dinner guest has no right to rummage through the purse of another. This approach is consistent with </w:t>
      </w:r>
      <w:r w:rsidR="0046731A" w:rsidRPr="0079538A">
        <w:rPr>
          <w:i/>
          <w:iCs/>
          <w:lang w:eastAsia="ja-JP"/>
        </w:rPr>
        <w:t>Minnesota v. Olson</w:t>
      </w:r>
      <w:r w:rsidR="0046731A">
        <w:rPr>
          <w:lang w:eastAsia="ja-JP"/>
        </w:rPr>
        <w:t xml:space="preserve">, where the Court found that search of an overnight guest’s property violated that guest’s Fourth Amendment rights, but it avoids the mushier expectation of privacy </w:t>
      </w:r>
      <w:r w:rsidR="002C06AC">
        <w:rPr>
          <w:lang w:eastAsia="ja-JP"/>
        </w:rPr>
        <w:t>analysis</w:t>
      </w:r>
      <w:r w:rsidR="0046731A">
        <w:rPr>
          <w:lang w:eastAsia="ja-JP"/>
        </w:rPr>
        <w:t xml:space="preserve"> on which the </w:t>
      </w:r>
      <w:r w:rsidR="002C06AC">
        <w:rPr>
          <w:lang w:eastAsia="ja-JP"/>
        </w:rPr>
        <w:t>C</w:t>
      </w:r>
      <w:r w:rsidR="0046731A">
        <w:rPr>
          <w:lang w:eastAsia="ja-JP"/>
        </w:rPr>
        <w:t>ourt rested its opinion.</w:t>
      </w:r>
      <w:r w:rsidR="0046731A" w:rsidRPr="002A4234">
        <w:rPr>
          <w:rStyle w:val="FootnoteReference"/>
        </w:rPr>
        <w:footnoteReference w:id="285"/>
      </w:r>
    </w:p>
    <w:p w14:paraId="7C90EF62" w14:textId="009997AF" w:rsidR="00711CAC" w:rsidRDefault="006C0ECF" w:rsidP="0017489B">
      <w:pPr>
        <w:pStyle w:val="BodyText"/>
        <w:rPr>
          <w:lang w:eastAsia="ja-JP"/>
        </w:rPr>
      </w:pPr>
      <w:r>
        <w:rPr>
          <w:lang w:eastAsia="ja-JP"/>
        </w:rPr>
        <w:t>The scope of any license or invitation would also determine wh</w:t>
      </w:r>
      <w:r w:rsidR="00734D99">
        <w:rPr>
          <w:lang w:eastAsia="ja-JP"/>
        </w:rPr>
        <w:t xml:space="preserve">o has the power to consent to a search. </w:t>
      </w:r>
      <w:r w:rsidR="00CD184B">
        <w:rPr>
          <w:lang w:eastAsia="ja-JP"/>
        </w:rPr>
        <w:t xml:space="preserve">For example, </w:t>
      </w:r>
      <w:r w:rsidR="00F7634B">
        <w:rPr>
          <w:lang w:eastAsia="ja-JP"/>
        </w:rPr>
        <w:t xml:space="preserve">a tenant’s dinner guests might be </w:t>
      </w:r>
      <w:r w:rsidR="00F507F5">
        <w:rPr>
          <w:lang w:eastAsia="ja-JP"/>
        </w:rPr>
        <w:t>licensees</w:t>
      </w:r>
      <w:r w:rsidR="00F7634B">
        <w:rPr>
          <w:lang w:eastAsia="ja-JP"/>
        </w:rPr>
        <w:t xml:space="preserve"> </w:t>
      </w:r>
      <w:r w:rsidR="00675934">
        <w:rPr>
          <w:lang w:eastAsia="ja-JP"/>
        </w:rPr>
        <w:t xml:space="preserve">to a particular apartment, but </w:t>
      </w:r>
      <w:r w:rsidR="00AE33C6">
        <w:rPr>
          <w:lang w:eastAsia="ja-JP"/>
        </w:rPr>
        <w:t>whether</w:t>
      </w:r>
      <w:r w:rsidR="008D01B5">
        <w:rPr>
          <w:lang w:eastAsia="ja-JP"/>
        </w:rPr>
        <w:t xml:space="preserve"> the guests could consent to a </w:t>
      </w:r>
      <w:r w:rsidR="00350503">
        <w:rPr>
          <w:lang w:eastAsia="ja-JP"/>
        </w:rPr>
        <w:t xml:space="preserve">search </w:t>
      </w:r>
      <w:r w:rsidR="00350503">
        <w:rPr>
          <w:lang w:eastAsia="ja-JP"/>
        </w:rPr>
        <w:lastRenderedPageBreak/>
        <w:t xml:space="preserve">of the apartment would depend on the scope of the </w:t>
      </w:r>
      <w:r w:rsidR="00AE33C6">
        <w:rPr>
          <w:lang w:eastAsia="ja-JP"/>
        </w:rPr>
        <w:t xml:space="preserve">license. They also could become trespassers </w:t>
      </w:r>
      <w:r w:rsidR="00675934">
        <w:rPr>
          <w:lang w:eastAsia="ja-JP"/>
        </w:rPr>
        <w:t>elsewhere in an apartment complex</w:t>
      </w:r>
      <w:r w:rsidR="00AE33C6">
        <w:rPr>
          <w:lang w:eastAsia="ja-JP"/>
        </w:rPr>
        <w:t xml:space="preserve">, </w:t>
      </w:r>
      <w:r w:rsidR="00DC6154">
        <w:rPr>
          <w:lang w:eastAsia="ja-JP"/>
        </w:rPr>
        <w:t>another issue which would</w:t>
      </w:r>
      <w:r w:rsidR="00AE33C6">
        <w:rPr>
          <w:lang w:eastAsia="ja-JP"/>
        </w:rPr>
        <w:t xml:space="preserve"> requir</w:t>
      </w:r>
      <w:r w:rsidR="00DC6154">
        <w:rPr>
          <w:lang w:eastAsia="ja-JP"/>
        </w:rPr>
        <w:t>e</w:t>
      </w:r>
      <w:r w:rsidR="00AE33C6">
        <w:rPr>
          <w:lang w:eastAsia="ja-JP"/>
        </w:rPr>
        <w:t xml:space="preserve"> careful attention to </w:t>
      </w:r>
      <w:r w:rsidR="000E49EE">
        <w:rPr>
          <w:lang w:eastAsia="ja-JP"/>
        </w:rPr>
        <w:t>the license’s scope</w:t>
      </w:r>
      <w:r w:rsidR="00675934">
        <w:rPr>
          <w:lang w:eastAsia="ja-JP"/>
        </w:rPr>
        <w:t>.</w:t>
      </w:r>
      <w:r w:rsidR="00801FD3" w:rsidRPr="002A4234">
        <w:rPr>
          <w:rStyle w:val="FootnoteReference"/>
        </w:rPr>
        <w:footnoteReference w:id="286"/>
      </w:r>
      <w:r w:rsidR="00AE33C6">
        <w:rPr>
          <w:lang w:eastAsia="ja-JP"/>
        </w:rPr>
        <w:t xml:space="preserve"> </w:t>
      </w:r>
      <w:r w:rsidR="00675934">
        <w:rPr>
          <w:lang w:eastAsia="ja-JP"/>
        </w:rPr>
        <w:t xml:space="preserve"> </w:t>
      </w:r>
      <w:r w:rsidR="00542644">
        <w:rPr>
          <w:lang w:eastAsia="ja-JP"/>
        </w:rPr>
        <w:t xml:space="preserve">To be sure, this analysis is layered, but it also </w:t>
      </w:r>
      <w:r w:rsidR="002003EC">
        <w:rPr>
          <w:lang w:eastAsia="ja-JP"/>
        </w:rPr>
        <w:t>reflects</w:t>
      </w:r>
      <w:r w:rsidR="00542644">
        <w:rPr>
          <w:lang w:eastAsia="ja-JP"/>
        </w:rPr>
        <w:t xml:space="preserve"> common sense. The average dinner guest has no authority to invite strangers to dinner</w:t>
      </w:r>
      <w:r w:rsidR="00055998">
        <w:rPr>
          <w:lang w:eastAsia="ja-JP"/>
        </w:rPr>
        <w:t xml:space="preserve"> without first </w:t>
      </w:r>
      <w:r w:rsidR="00D319D3">
        <w:rPr>
          <w:lang w:eastAsia="ja-JP"/>
        </w:rPr>
        <w:t>obtaining</w:t>
      </w:r>
      <w:r w:rsidR="00055998">
        <w:rPr>
          <w:lang w:eastAsia="ja-JP"/>
        </w:rPr>
        <w:t xml:space="preserve"> the consent of the host.</w:t>
      </w:r>
      <w:r w:rsidR="00BB0B9C">
        <w:rPr>
          <w:lang w:eastAsia="ja-JP"/>
        </w:rPr>
        <w:t xml:space="preserve"> It follows that </w:t>
      </w:r>
      <w:r w:rsidR="004A127D">
        <w:rPr>
          <w:lang w:eastAsia="ja-JP"/>
        </w:rPr>
        <w:t xml:space="preserve">such a licensee cannot </w:t>
      </w:r>
      <w:r w:rsidR="00412973">
        <w:rPr>
          <w:lang w:eastAsia="ja-JP"/>
        </w:rPr>
        <w:t>invite in law enforcement by consenting to a search.</w:t>
      </w:r>
      <w:r w:rsidR="00C939D7">
        <w:rPr>
          <w:lang w:eastAsia="ja-JP"/>
        </w:rPr>
        <w:t xml:space="preserve"> Overnight guests, especially those </w:t>
      </w:r>
      <w:r w:rsidR="005127BA">
        <w:rPr>
          <w:lang w:eastAsia="ja-JP"/>
        </w:rPr>
        <w:t>staying for longer periods</w:t>
      </w:r>
      <w:r w:rsidR="007B06FE">
        <w:rPr>
          <w:lang w:eastAsia="ja-JP"/>
        </w:rPr>
        <w:t>,</w:t>
      </w:r>
      <w:r w:rsidR="005127BA">
        <w:rPr>
          <w:lang w:eastAsia="ja-JP"/>
        </w:rPr>
        <w:t xml:space="preserve"> may</w:t>
      </w:r>
      <w:r w:rsidR="00BD1452">
        <w:rPr>
          <w:lang w:eastAsia="ja-JP"/>
        </w:rPr>
        <w:t xml:space="preserve"> have slightly different rights</w:t>
      </w:r>
      <w:r w:rsidR="001F1153">
        <w:rPr>
          <w:lang w:eastAsia="ja-JP"/>
        </w:rPr>
        <w:t xml:space="preserve">, but the question remains the same: is this licensee allowed to </w:t>
      </w:r>
      <w:r w:rsidR="000B6004">
        <w:rPr>
          <w:lang w:eastAsia="ja-JP"/>
        </w:rPr>
        <w:t>invite in others</w:t>
      </w:r>
      <w:r w:rsidR="00902F98">
        <w:rPr>
          <w:lang w:eastAsia="ja-JP"/>
        </w:rPr>
        <w:t>?</w:t>
      </w:r>
    </w:p>
    <w:p w14:paraId="7F31803F" w14:textId="6E71E760" w:rsidR="00C66A27" w:rsidRDefault="00C66A27" w:rsidP="004869BD">
      <w:pPr>
        <w:pStyle w:val="Heading2"/>
        <w:rPr>
          <w:i/>
          <w:iCs/>
        </w:rPr>
      </w:pPr>
      <w:bookmarkStart w:id="70" w:name="_Toc96093554"/>
      <w:bookmarkStart w:id="71" w:name="_Toc111723682"/>
      <w:r w:rsidRPr="00026F09">
        <w:rPr>
          <w:i/>
          <w:iCs/>
        </w:rPr>
        <w:t>Abandonment</w:t>
      </w:r>
      <w:bookmarkEnd w:id="70"/>
      <w:bookmarkEnd w:id="71"/>
    </w:p>
    <w:p w14:paraId="2CE21E41" w14:textId="337FC3E4" w:rsidR="00427B43" w:rsidRDefault="00026112" w:rsidP="00C30068">
      <w:pPr>
        <w:pStyle w:val="BodyText"/>
        <w:rPr>
          <w:lang w:eastAsia="ja-JP"/>
        </w:rPr>
      </w:pPr>
      <w:r>
        <w:rPr>
          <w:lang w:eastAsia="ja-JP"/>
        </w:rPr>
        <w:t>This Section considers how the common-law</w:t>
      </w:r>
      <w:r w:rsidR="00513E21">
        <w:rPr>
          <w:lang w:eastAsia="ja-JP"/>
        </w:rPr>
        <w:t xml:space="preserve"> property</w:t>
      </w:r>
      <w:r>
        <w:rPr>
          <w:lang w:eastAsia="ja-JP"/>
        </w:rPr>
        <w:t xml:space="preserve"> concept of abandonment</w:t>
      </w:r>
      <w:r w:rsidR="00513E21">
        <w:rPr>
          <w:lang w:eastAsia="ja-JP"/>
        </w:rPr>
        <w:t xml:space="preserve"> can inform Fourth Amendment </w:t>
      </w:r>
      <w:r w:rsidR="00094820">
        <w:rPr>
          <w:lang w:eastAsia="ja-JP"/>
        </w:rPr>
        <w:t xml:space="preserve">law. Abandoned property </w:t>
      </w:r>
      <w:r w:rsidR="00427B43">
        <w:rPr>
          <w:lang w:eastAsia="ja-JP"/>
        </w:rPr>
        <w:t>“is that to which the owner has voluntarily and intentionally relinquished his or her interests without vesting ownership in any other person and with the intention of not reclaiming it or reassuming its ownership or enjoyment.”</w:t>
      </w:r>
      <w:r w:rsidR="00427B43" w:rsidRPr="002A4234">
        <w:rPr>
          <w:rStyle w:val="FootnoteReference"/>
        </w:rPr>
        <w:footnoteReference w:id="287"/>
      </w:r>
      <w:r w:rsidR="00373697">
        <w:rPr>
          <w:lang w:eastAsia="ja-JP"/>
        </w:rPr>
        <w:t xml:space="preserve"> This concept can illuminate whe</w:t>
      </w:r>
      <w:r w:rsidR="00E4650D">
        <w:rPr>
          <w:lang w:eastAsia="ja-JP"/>
        </w:rPr>
        <w:t>ther</w:t>
      </w:r>
      <w:r w:rsidR="00373697">
        <w:rPr>
          <w:lang w:eastAsia="ja-JP"/>
        </w:rPr>
        <w:t xml:space="preserve"> individuals have an interest in a particular piece of property such that </w:t>
      </w:r>
      <w:r w:rsidR="00E4650D">
        <w:rPr>
          <w:lang w:eastAsia="ja-JP"/>
        </w:rPr>
        <w:t xml:space="preserve">government intrusion on or interference with that </w:t>
      </w:r>
      <w:r w:rsidR="00690259">
        <w:rPr>
          <w:lang w:eastAsia="ja-JP"/>
        </w:rPr>
        <w:t>property constitutes an unreasonable search or seizure.</w:t>
      </w:r>
    </w:p>
    <w:p w14:paraId="674A5755" w14:textId="19263C99" w:rsidR="00FC7450" w:rsidRDefault="00DE1B7F" w:rsidP="00FC7450">
      <w:pPr>
        <w:pStyle w:val="Heading3"/>
      </w:pPr>
      <w:bookmarkStart w:id="72" w:name="_Toc111723683"/>
      <w:r>
        <w:t>Chattels</w:t>
      </w:r>
      <w:bookmarkEnd w:id="72"/>
    </w:p>
    <w:p w14:paraId="78AE7F94" w14:textId="2B128AFB" w:rsidR="00D63C91" w:rsidRDefault="00057BDE" w:rsidP="00D63C91">
      <w:pPr>
        <w:pStyle w:val="BodyText"/>
      </w:pPr>
      <w:r>
        <w:t xml:space="preserve">Courts </w:t>
      </w:r>
      <w:r w:rsidR="001131DF">
        <w:t xml:space="preserve">applying the </w:t>
      </w:r>
      <w:r w:rsidR="001131DF">
        <w:rPr>
          <w:i/>
          <w:iCs/>
        </w:rPr>
        <w:t>Katz</w:t>
      </w:r>
      <w:r w:rsidR="001131DF">
        <w:t xml:space="preserve"> framework </w:t>
      </w:r>
      <w:r>
        <w:t>have</w:t>
      </w:r>
      <w:r w:rsidR="00D63C91">
        <w:t xml:space="preserve"> held that individuals can have no reasonable expectation of privacy in property that they abandon.</w:t>
      </w:r>
      <w:r w:rsidR="00D63C91" w:rsidRPr="002A4234">
        <w:rPr>
          <w:rStyle w:val="FootnoteReference"/>
        </w:rPr>
        <w:footnoteReference w:id="288"/>
      </w:r>
      <w:r w:rsidR="00D63C91">
        <w:t xml:space="preserve"> This abandonment framework “</w:t>
      </w:r>
      <w:r w:rsidR="00D63C91" w:rsidRPr="008F29E3">
        <w:t>is not abandonment in the strict property-right sense</w:t>
      </w:r>
      <w:r w:rsidR="00D63C91">
        <w:t xml:space="preserve">” but rather a question of whether the person complaining about the search </w:t>
      </w:r>
      <w:r w:rsidR="00FE21A7">
        <w:t>h</w:t>
      </w:r>
      <w:r w:rsidR="00D63C91">
        <w:t>as “</w:t>
      </w:r>
      <w:r w:rsidR="00D63C91" w:rsidRPr="00654B83">
        <w:t>voluntarily abandoned his privacy interest</w:t>
      </w:r>
      <w:r w:rsidR="00D63C91">
        <w:t>” in the property.</w:t>
      </w:r>
      <w:r w:rsidR="00D63C91" w:rsidRPr="002A4234">
        <w:rPr>
          <w:rStyle w:val="FootnoteReference"/>
        </w:rPr>
        <w:footnoteReference w:id="289"/>
      </w:r>
      <w:r w:rsidR="00D63C91">
        <w:t xml:space="preserve"> The test for abandonment of </w:t>
      </w:r>
      <w:r w:rsidR="00A85D3B">
        <w:lastRenderedPageBreak/>
        <w:t xml:space="preserve">one’s </w:t>
      </w:r>
      <w:r w:rsidR="00D63C91">
        <w:t xml:space="preserve">privacy interest is supposed to be objective, looking at </w:t>
      </w:r>
      <w:r w:rsidR="0084754D">
        <w:t>“</w:t>
      </w:r>
      <w:r w:rsidR="00D63C91">
        <w:t xml:space="preserve">words spoken, acts done, and other </w:t>
      </w:r>
      <w:r w:rsidR="00410C65">
        <w:t xml:space="preserve">objective </w:t>
      </w:r>
      <w:r w:rsidR="00D63C91">
        <w:t>facts.</w:t>
      </w:r>
      <w:r w:rsidR="00410C65">
        <w:t>”</w:t>
      </w:r>
      <w:r w:rsidR="00D63C91" w:rsidRPr="002A4234">
        <w:rPr>
          <w:rStyle w:val="FootnoteReference"/>
        </w:rPr>
        <w:footnoteReference w:id="290"/>
      </w:r>
      <w:r w:rsidR="00706A97" w:rsidRPr="00706A97">
        <w:t xml:space="preserve"> </w:t>
      </w:r>
      <w:r w:rsidR="00706A97">
        <w:t>The paradigmatic case here is trash deposited at the curb for pickup</w:t>
      </w:r>
      <w:r w:rsidR="00302CC4">
        <w:t xml:space="preserve">, which the Court </w:t>
      </w:r>
      <w:r w:rsidR="005C6F85">
        <w:t>has held police may inspect with</w:t>
      </w:r>
      <w:r w:rsidR="00AC4547">
        <w:t>out</w:t>
      </w:r>
      <w:r w:rsidR="005C6F85">
        <w:t xml:space="preserve"> a warrant or probable cause</w:t>
      </w:r>
      <w:r w:rsidR="00706A97">
        <w:t>.</w:t>
      </w:r>
      <w:r w:rsidR="00706A97" w:rsidRPr="002A4234">
        <w:rPr>
          <w:rStyle w:val="FootnoteReference"/>
        </w:rPr>
        <w:footnoteReference w:id="291"/>
      </w:r>
      <w:r w:rsidR="00A73D32">
        <w:t xml:space="preserve"> Purses and satchels </w:t>
      </w:r>
      <w:r w:rsidR="00343E45">
        <w:t>that suspects stash</w:t>
      </w:r>
      <w:r w:rsidR="00334EF0">
        <w:t>ed to recover later</w:t>
      </w:r>
      <w:r w:rsidR="00343E45">
        <w:t xml:space="preserve"> pose more difficult cases. E</w:t>
      </w:r>
      <w:r w:rsidR="00C40B35">
        <w:t>ven whe</w:t>
      </w:r>
      <w:r w:rsidR="00D6552D">
        <w:t xml:space="preserve">n </w:t>
      </w:r>
      <w:r w:rsidR="00561DE4">
        <w:t>a</w:t>
      </w:r>
      <w:r w:rsidR="00D6552D">
        <w:t xml:space="preserve"> suspect manifests an intent to return to </w:t>
      </w:r>
      <w:r w:rsidR="00966613">
        <w:t>his</w:t>
      </w:r>
      <w:r w:rsidR="003256C8">
        <w:t xml:space="preserve"> property</w:t>
      </w:r>
      <w:r w:rsidR="00D6552D">
        <w:t>, if th</w:t>
      </w:r>
      <w:r w:rsidR="00697B14">
        <w:t>e “</w:t>
      </w:r>
      <w:r w:rsidR="00697B14" w:rsidRPr="00697B14">
        <w:t>ability to recover the satchel depended entirely upon fate and the absence of inquisitive (and acquisitive) passers-by</w:t>
      </w:r>
      <w:r w:rsidR="00534EF8">
        <w:t>,</w:t>
      </w:r>
      <w:r w:rsidR="00697B14">
        <w:t>”</w:t>
      </w:r>
      <w:r w:rsidR="005B76C8" w:rsidRPr="002A4234">
        <w:rPr>
          <w:rStyle w:val="FootnoteReference"/>
        </w:rPr>
        <w:footnoteReference w:id="292"/>
      </w:r>
      <w:r w:rsidR="009B2AEF">
        <w:t xml:space="preserve"> courts will find that the suspect has abandoned their expectation of privacy.</w:t>
      </w:r>
    </w:p>
    <w:p w14:paraId="730F6415" w14:textId="06849BA9" w:rsidR="00D04BEE" w:rsidRDefault="00752399" w:rsidP="00510E0A">
      <w:pPr>
        <w:pStyle w:val="BodyText"/>
        <w:rPr>
          <w:lang w:eastAsia="ja-JP"/>
        </w:rPr>
      </w:pPr>
      <w:r>
        <w:rPr>
          <w:lang w:eastAsia="ja-JP"/>
        </w:rPr>
        <w:t xml:space="preserve">Although abandonment is a useful concept, courts using </w:t>
      </w:r>
      <w:r>
        <w:rPr>
          <w:i/>
          <w:iCs/>
          <w:lang w:eastAsia="ja-JP"/>
        </w:rPr>
        <w:t>Katz</w:t>
      </w:r>
      <w:r>
        <w:rPr>
          <w:lang w:eastAsia="ja-JP"/>
        </w:rPr>
        <w:t xml:space="preserve"> have understood it too simply. The common law provides a more nuanced understanding of the concept that would better comport with Fourth Amendment values and societal understandings. </w:t>
      </w:r>
      <w:r w:rsidR="009A0E74">
        <w:rPr>
          <w:lang w:eastAsia="ja-JP"/>
        </w:rPr>
        <w:t xml:space="preserve">A </w:t>
      </w:r>
      <w:r w:rsidR="00CF4740">
        <w:rPr>
          <w:lang w:eastAsia="ja-JP"/>
        </w:rPr>
        <w:t>general-law approach</w:t>
      </w:r>
      <w:r w:rsidR="009A0E74">
        <w:rPr>
          <w:lang w:eastAsia="ja-JP"/>
        </w:rPr>
        <w:t xml:space="preserve"> to the Fourth Amendment would eschew the question of whether </w:t>
      </w:r>
      <w:r w:rsidR="009457FF">
        <w:rPr>
          <w:lang w:eastAsia="ja-JP"/>
        </w:rPr>
        <w:t xml:space="preserve">defendants had abandoned their </w:t>
      </w:r>
      <w:r w:rsidR="009457FF" w:rsidRPr="00C958F3">
        <w:rPr>
          <w:i/>
          <w:lang w:eastAsia="ja-JP"/>
        </w:rPr>
        <w:t>privacy interest</w:t>
      </w:r>
      <w:r w:rsidR="009457FF">
        <w:rPr>
          <w:lang w:eastAsia="ja-JP"/>
        </w:rPr>
        <w:t xml:space="preserve"> in property</w:t>
      </w:r>
      <w:r w:rsidR="00784CD2">
        <w:rPr>
          <w:lang w:eastAsia="ja-JP"/>
        </w:rPr>
        <w:t>. Instead, it would</w:t>
      </w:r>
      <w:r w:rsidR="009457FF">
        <w:rPr>
          <w:lang w:eastAsia="ja-JP"/>
        </w:rPr>
        <w:t xml:space="preserve"> ask whether they had abandoned the property</w:t>
      </w:r>
      <w:r w:rsidR="00302CC4">
        <w:rPr>
          <w:lang w:eastAsia="ja-JP"/>
        </w:rPr>
        <w:t xml:space="preserve"> under traditional </w:t>
      </w:r>
      <w:r w:rsidR="00302CC4" w:rsidRPr="00784CD2">
        <w:rPr>
          <w:i/>
          <w:iCs/>
          <w:lang w:eastAsia="ja-JP"/>
        </w:rPr>
        <w:t>property</w:t>
      </w:r>
      <w:r w:rsidR="00302CC4">
        <w:rPr>
          <w:lang w:eastAsia="ja-JP"/>
        </w:rPr>
        <w:t xml:space="preserve"> principles</w:t>
      </w:r>
      <w:r w:rsidR="00392F88">
        <w:rPr>
          <w:lang w:eastAsia="ja-JP"/>
        </w:rPr>
        <w:t xml:space="preserve">. </w:t>
      </w:r>
      <w:r w:rsidR="00D248D3">
        <w:rPr>
          <w:lang w:eastAsia="ja-JP"/>
        </w:rPr>
        <w:t>As noted, a</w:t>
      </w:r>
      <w:r w:rsidR="00392F88">
        <w:rPr>
          <w:lang w:eastAsia="ja-JP"/>
        </w:rPr>
        <w:t xml:space="preserve">t common law, owners abandon property when they </w:t>
      </w:r>
      <w:r w:rsidR="008F5DC5">
        <w:rPr>
          <w:lang w:eastAsia="ja-JP"/>
        </w:rPr>
        <w:t>“</w:t>
      </w:r>
      <w:r w:rsidR="00E96844">
        <w:rPr>
          <w:lang w:eastAsia="ja-JP"/>
        </w:rPr>
        <w:t xml:space="preserve">voluntarily </w:t>
      </w:r>
      <w:r w:rsidR="008F5DC5" w:rsidRPr="008F5DC5">
        <w:rPr>
          <w:lang w:eastAsia="ja-JP"/>
        </w:rPr>
        <w:t>relinquish</w:t>
      </w:r>
      <w:r w:rsidR="008F5DC5">
        <w:rPr>
          <w:lang w:eastAsia="ja-JP"/>
        </w:rPr>
        <w:t>[]</w:t>
      </w:r>
      <w:r w:rsidR="006F207A">
        <w:rPr>
          <w:lang w:eastAsia="ja-JP"/>
        </w:rPr>
        <w:t xml:space="preserve"> </w:t>
      </w:r>
      <w:r w:rsidR="008F5DC5" w:rsidRPr="008F5DC5">
        <w:rPr>
          <w:lang w:eastAsia="ja-JP"/>
        </w:rPr>
        <w:t>all right, title, claim and possession with the intention of terminating his ownership, but without vesting it in any other person and with the intention of not reclaiming further possession or resuming ownership, possession or enjoyment.</w:t>
      </w:r>
      <w:r w:rsidR="00E96844">
        <w:rPr>
          <w:lang w:eastAsia="ja-JP"/>
        </w:rPr>
        <w:t>”</w:t>
      </w:r>
      <w:r w:rsidR="00E96844" w:rsidRPr="002A4234">
        <w:rPr>
          <w:rStyle w:val="FootnoteReference"/>
        </w:rPr>
        <w:footnoteReference w:id="293"/>
      </w:r>
      <w:r w:rsidR="008F13A2">
        <w:rPr>
          <w:lang w:eastAsia="ja-JP"/>
        </w:rPr>
        <w:t xml:space="preserve"> </w:t>
      </w:r>
      <w:r w:rsidR="004A6E42">
        <w:rPr>
          <w:lang w:eastAsia="ja-JP"/>
        </w:rPr>
        <w:t>Dumpster</w:t>
      </w:r>
      <w:r w:rsidR="00EC71BC">
        <w:rPr>
          <w:lang w:eastAsia="ja-JP"/>
        </w:rPr>
        <w:t>-</w:t>
      </w:r>
      <w:r w:rsidR="004A6E42">
        <w:rPr>
          <w:lang w:eastAsia="ja-JP"/>
        </w:rPr>
        <w:t>diving might violate municipal codes, but it is not stealing from people who</w:t>
      </w:r>
      <w:r w:rsidR="005E7725">
        <w:rPr>
          <w:lang w:eastAsia="ja-JP"/>
        </w:rPr>
        <w:t>, in</w:t>
      </w:r>
      <w:r w:rsidR="004A6E42">
        <w:rPr>
          <w:lang w:eastAsia="ja-JP"/>
        </w:rPr>
        <w:t xml:space="preserve"> thr</w:t>
      </w:r>
      <w:r w:rsidR="005E7725">
        <w:rPr>
          <w:lang w:eastAsia="ja-JP"/>
        </w:rPr>
        <w:t>owing</w:t>
      </w:r>
      <w:r w:rsidR="004A6E42">
        <w:rPr>
          <w:lang w:eastAsia="ja-JP"/>
        </w:rPr>
        <w:t xml:space="preserve"> their property in the dumpster</w:t>
      </w:r>
      <w:r w:rsidR="005E7725">
        <w:rPr>
          <w:lang w:eastAsia="ja-JP"/>
        </w:rPr>
        <w:t xml:space="preserve">, </w:t>
      </w:r>
      <w:r w:rsidR="00036384">
        <w:rPr>
          <w:lang w:eastAsia="ja-JP"/>
        </w:rPr>
        <w:t>voluntarily manifested an intent to relinquish title.</w:t>
      </w:r>
      <w:r w:rsidR="002E6FFB">
        <w:rPr>
          <w:lang w:eastAsia="ja-JP"/>
        </w:rPr>
        <w:t xml:space="preserve"> Similarly, warrantless searches of </w:t>
      </w:r>
      <w:r w:rsidR="00C70E89">
        <w:rPr>
          <w:lang w:eastAsia="ja-JP"/>
        </w:rPr>
        <w:t>garbage</w:t>
      </w:r>
      <w:r w:rsidR="002E6FFB">
        <w:rPr>
          <w:lang w:eastAsia="ja-JP"/>
        </w:rPr>
        <w:t xml:space="preserve"> put out for collection would pose no new problems under a </w:t>
      </w:r>
      <w:r w:rsidR="00CF4740">
        <w:rPr>
          <w:lang w:eastAsia="ja-JP"/>
        </w:rPr>
        <w:t>general-law approach</w:t>
      </w:r>
      <w:r w:rsidR="002E6FFB">
        <w:rPr>
          <w:lang w:eastAsia="ja-JP"/>
        </w:rPr>
        <w:t xml:space="preserve"> to the Fourth Amendment</w:t>
      </w:r>
      <w:r w:rsidR="00CF3A28">
        <w:rPr>
          <w:lang w:eastAsia="ja-JP"/>
        </w:rPr>
        <w:t xml:space="preserve">: </w:t>
      </w:r>
      <w:r w:rsidR="00BD79BF">
        <w:rPr>
          <w:lang w:eastAsia="ja-JP"/>
        </w:rPr>
        <w:t>police can search abandoned property without a warrant.</w:t>
      </w:r>
      <w:r w:rsidR="00D90B0B" w:rsidRPr="002A4234">
        <w:rPr>
          <w:rStyle w:val="FootnoteReference"/>
        </w:rPr>
        <w:footnoteReference w:id="294"/>
      </w:r>
    </w:p>
    <w:p w14:paraId="1284CCD7" w14:textId="77CA2AF3" w:rsidR="00510E0A" w:rsidRPr="00510E0A" w:rsidRDefault="002A39BC" w:rsidP="00510E0A">
      <w:pPr>
        <w:pStyle w:val="BodyText"/>
        <w:rPr>
          <w:lang w:eastAsia="ja-JP"/>
        </w:rPr>
      </w:pPr>
      <w:r>
        <w:rPr>
          <w:lang w:eastAsia="ja-JP"/>
        </w:rPr>
        <w:t xml:space="preserve">Under this framework, </w:t>
      </w:r>
      <w:r w:rsidR="009A4FE7">
        <w:rPr>
          <w:lang w:eastAsia="ja-JP"/>
        </w:rPr>
        <w:t>individuals who want to dispose of property without subjecting it to the possibility of search</w:t>
      </w:r>
      <w:r w:rsidR="00C4524E">
        <w:rPr>
          <w:lang w:eastAsia="ja-JP"/>
        </w:rPr>
        <w:t xml:space="preserve"> need to exercise their right to destroy the property before they abandon it. For example, they </w:t>
      </w:r>
      <w:r w:rsidR="00CE174C">
        <w:rPr>
          <w:lang w:eastAsia="ja-JP"/>
        </w:rPr>
        <w:t>m</w:t>
      </w:r>
      <w:r w:rsidR="00582DC1">
        <w:rPr>
          <w:lang w:eastAsia="ja-JP"/>
        </w:rPr>
        <w:t>ight</w:t>
      </w:r>
      <w:r w:rsidR="00CE174C">
        <w:rPr>
          <w:lang w:eastAsia="ja-JP"/>
        </w:rPr>
        <w:t xml:space="preserve"> need to incinerate or </w:t>
      </w:r>
      <w:r w:rsidR="00B82BB7">
        <w:rPr>
          <w:lang w:eastAsia="ja-JP"/>
        </w:rPr>
        <w:t>hire a secure shredding service</w:t>
      </w:r>
      <w:r w:rsidR="004E5B08">
        <w:rPr>
          <w:lang w:eastAsia="ja-JP"/>
        </w:rPr>
        <w:t xml:space="preserve">, like those employed by many law firms and </w:t>
      </w:r>
      <w:r w:rsidR="004E5B08">
        <w:rPr>
          <w:lang w:eastAsia="ja-JP"/>
        </w:rPr>
        <w:lastRenderedPageBreak/>
        <w:t>courts,</w:t>
      </w:r>
      <w:r w:rsidR="00AE6A06">
        <w:rPr>
          <w:lang w:eastAsia="ja-JP"/>
        </w:rPr>
        <w:t xml:space="preserve"> </w:t>
      </w:r>
      <w:r w:rsidR="004E5B08">
        <w:rPr>
          <w:lang w:eastAsia="ja-JP"/>
        </w:rPr>
        <w:t xml:space="preserve">to ensure the destruction of the property </w:t>
      </w:r>
      <w:r w:rsidR="00AE6A06">
        <w:rPr>
          <w:lang w:eastAsia="ja-JP"/>
        </w:rPr>
        <w:t>prior to it entering municipal refuse streams</w:t>
      </w:r>
      <w:r w:rsidR="00CE174C">
        <w:rPr>
          <w:lang w:eastAsia="ja-JP"/>
        </w:rPr>
        <w:t>.</w:t>
      </w:r>
      <w:r w:rsidR="001D4C14">
        <w:rPr>
          <w:lang w:eastAsia="ja-JP"/>
        </w:rPr>
        <w:t xml:space="preserve"> </w:t>
      </w:r>
      <w:r w:rsidR="001D4C14">
        <w:t>At this point, the property would be abandoned and subject to search</w:t>
      </w:r>
      <w:r w:rsidR="00472BCA">
        <w:t>,</w:t>
      </w:r>
      <w:r w:rsidR="00F66CB6" w:rsidRPr="002A4234">
        <w:rPr>
          <w:rStyle w:val="FootnoteReference"/>
        </w:rPr>
        <w:footnoteReference w:id="295"/>
      </w:r>
      <w:r w:rsidR="00472BCA">
        <w:t xml:space="preserve"> </w:t>
      </w:r>
      <w:r w:rsidR="000B15A0">
        <w:t xml:space="preserve">but the destruction of the property </w:t>
      </w:r>
      <w:r w:rsidR="00B7515C">
        <w:t>would</w:t>
      </w:r>
      <w:r w:rsidR="000B15A0">
        <w:t xml:space="preserve"> hinder </w:t>
      </w:r>
      <w:r w:rsidR="00DB30FE">
        <w:t>inves</w:t>
      </w:r>
      <w:r w:rsidR="00226910">
        <w:t>t</w:t>
      </w:r>
      <w:r w:rsidR="0010381F">
        <w:t>igative efforts</w:t>
      </w:r>
      <w:r w:rsidR="000B15A0">
        <w:t>.</w:t>
      </w:r>
      <w:r w:rsidR="000B15A0" w:rsidRPr="002A4234">
        <w:rPr>
          <w:rStyle w:val="FootnoteReference"/>
        </w:rPr>
        <w:footnoteReference w:id="296"/>
      </w:r>
      <w:r w:rsidR="00DC1A1D">
        <w:rPr>
          <w:lang w:eastAsia="ja-JP"/>
        </w:rPr>
        <w:t xml:space="preserve"> Alternatively, </w:t>
      </w:r>
      <w:r w:rsidR="00050D78">
        <w:rPr>
          <w:lang w:eastAsia="ja-JP"/>
        </w:rPr>
        <w:t xml:space="preserve">individuals could </w:t>
      </w:r>
      <w:r w:rsidR="0090143F">
        <w:rPr>
          <w:lang w:eastAsia="ja-JP"/>
        </w:rPr>
        <w:t xml:space="preserve">attempt to </w:t>
      </w:r>
      <w:r w:rsidR="00050D78">
        <w:rPr>
          <w:lang w:eastAsia="ja-JP"/>
        </w:rPr>
        <w:t>avoid abandoning their property by turning it over to landfill-like long-term stora</w:t>
      </w:r>
      <w:r w:rsidR="002374C7">
        <w:rPr>
          <w:lang w:eastAsia="ja-JP"/>
        </w:rPr>
        <w:t>ge that is contractually structured as a bailment.</w:t>
      </w:r>
      <w:r w:rsidR="00917A36" w:rsidRPr="002A4234">
        <w:rPr>
          <w:rStyle w:val="FootnoteReference"/>
        </w:rPr>
        <w:footnoteReference w:id="297"/>
      </w:r>
      <w:r w:rsidR="00CD12E8">
        <w:rPr>
          <w:lang w:eastAsia="ja-JP"/>
        </w:rPr>
        <w:t xml:space="preserve"> Both of these alternatives are likely more expensive than </w:t>
      </w:r>
      <w:r w:rsidR="00893B8A">
        <w:rPr>
          <w:lang w:eastAsia="ja-JP"/>
        </w:rPr>
        <w:t>simple</w:t>
      </w:r>
      <w:r w:rsidR="00CD12E8">
        <w:rPr>
          <w:lang w:eastAsia="ja-JP"/>
        </w:rPr>
        <w:t xml:space="preserve"> </w:t>
      </w:r>
      <w:r w:rsidR="00C030FF">
        <w:rPr>
          <w:lang w:eastAsia="ja-JP"/>
        </w:rPr>
        <w:t>abandon</w:t>
      </w:r>
      <w:r w:rsidR="00A26B1E">
        <w:rPr>
          <w:lang w:eastAsia="ja-JP"/>
        </w:rPr>
        <w:t>men</w:t>
      </w:r>
      <w:r w:rsidR="00893B8A">
        <w:rPr>
          <w:lang w:eastAsia="ja-JP"/>
        </w:rPr>
        <w:t>t</w:t>
      </w:r>
      <w:r w:rsidR="00C030FF">
        <w:rPr>
          <w:lang w:eastAsia="ja-JP"/>
        </w:rPr>
        <w:t>,</w:t>
      </w:r>
      <w:r w:rsidR="005C403F">
        <w:rPr>
          <w:lang w:eastAsia="ja-JP"/>
        </w:rPr>
        <w:t xml:space="preserve"> but maintaining property interests often involves </w:t>
      </w:r>
      <w:r w:rsidR="00E96E9F">
        <w:rPr>
          <w:lang w:eastAsia="ja-JP"/>
        </w:rPr>
        <w:t>costs</w:t>
      </w:r>
      <w:r w:rsidR="008F428D">
        <w:rPr>
          <w:lang w:eastAsia="ja-JP"/>
        </w:rPr>
        <w:t xml:space="preserve">. </w:t>
      </w:r>
      <w:r w:rsidR="00C105F2">
        <w:rPr>
          <w:lang w:eastAsia="ja-JP"/>
        </w:rPr>
        <w:t xml:space="preserve">The harder question under a general-law approach is whether </w:t>
      </w:r>
      <w:r w:rsidR="001B3E9F">
        <w:rPr>
          <w:lang w:eastAsia="ja-JP"/>
        </w:rPr>
        <w:t xml:space="preserve">contractual efforts to avoid abandonment would be effective. </w:t>
      </w:r>
      <w:r w:rsidR="006C02A3">
        <w:rPr>
          <w:lang w:eastAsia="ja-JP"/>
        </w:rPr>
        <w:t>State enforcement of these contracts would be evidence of the general law, but not dispositive.</w:t>
      </w:r>
      <w:r w:rsidR="008F428D">
        <w:rPr>
          <w:lang w:eastAsia="ja-JP"/>
        </w:rPr>
        <w:t xml:space="preserve"> </w:t>
      </w:r>
      <w:r w:rsidR="006C02A3">
        <w:rPr>
          <w:lang w:eastAsia="ja-JP"/>
        </w:rPr>
        <w:t>Still, i</w:t>
      </w:r>
      <w:r w:rsidR="00EA0968">
        <w:rPr>
          <w:lang w:eastAsia="ja-JP"/>
        </w:rPr>
        <w:t xml:space="preserve">n the case of </w:t>
      </w:r>
      <w:r w:rsidR="00547E7C">
        <w:rPr>
          <w:lang w:eastAsia="ja-JP"/>
        </w:rPr>
        <w:t>most</w:t>
      </w:r>
      <w:r w:rsidR="00EA0968">
        <w:rPr>
          <w:lang w:eastAsia="ja-JP"/>
        </w:rPr>
        <w:t xml:space="preserve"> </w:t>
      </w:r>
      <w:r w:rsidR="002C21FB">
        <w:rPr>
          <w:lang w:eastAsia="ja-JP"/>
        </w:rPr>
        <w:t>trash</w:t>
      </w:r>
      <w:r w:rsidR="00784CD2">
        <w:rPr>
          <w:lang w:eastAsia="ja-JP"/>
        </w:rPr>
        <w:t xml:space="preserve">, the </w:t>
      </w:r>
      <w:r w:rsidR="00CF4740">
        <w:rPr>
          <w:lang w:eastAsia="ja-JP"/>
        </w:rPr>
        <w:t>general-law approach</w:t>
      </w:r>
      <w:r w:rsidR="00784CD2">
        <w:rPr>
          <w:lang w:eastAsia="ja-JP"/>
        </w:rPr>
        <w:t xml:space="preserve"> reaches the same result as existing doctrine, </w:t>
      </w:r>
      <w:r w:rsidR="00A36F51">
        <w:rPr>
          <w:lang w:eastAsia="ja-JP"/>
        </w:rPr>
        <w:t>albeit through different reasoning.</w:t>
      </w:r>
    </w:p>
    <w:p w14:paraId="2FF92383" w14:textId="332AA42F" w:rsidR="00FC4A2D" w:rsidRPr="00FC4A2D" w:rsidRDefault="00A36F51" w:rsidP="00FC4A2D">
      <w:pPr>
        <w:pStyle w:val="BodyText"/>
        <w:rPr>
          <w:lang w:eastAsia="ja-JP"/>
        </w:rPr>
      </w:pPr>
      <w:r>
        <w:rPr>
          <w:lang w:eastAsia="ja-JP"/>
        </w:rPr>
        <w:t xml:space="preserve">But in other contexts, the </w:t>
      </w:r>
      <w:r w:rsidR="00CF4740">
        <w:rPr>
          <w:lang w:eastAsia="ja-JP"/>
        </w:rPr>
        <w:t>general-law approach</w:t>
      </w:r>
      <w:r w:rsidR="00461D3E">
        <w:rPr>
          <w:lang w:eastAsia="ja-JP"/>
        </w:rPr>
        <w:t xml:space="preserve"> would </w:t>
      </w:r>
      <w:r w:rsidR="009F5738">
        <w:rPr>
          <w:lang w:eastAsia="ja-JP"/>
        </w:rPr>
        <w:t>require</w:t>
      </w:r>
      <w:r w:rsidR="00461D3E">
        <w:rPr>
          <w:lang w:eastAsia="ja-JP"/>
        </w:rPr>
        <w:t xml:space="preserve"> changes to </w:t>
      </w:r>
      <w:r w:rsidR="00E956D8">
        <w:rPr>
          <w:lang w:eastAsia="ja-JP"/>
        </w:rPr>
        <w:t>current law</w:t>
      </w:r>
      <w:r w:rsidR="001F1C57">
        <w:rPr>
          <w:lang w:eastAsia="ja-JP"/>
        </w:rPr>
        <w:t xml:space="preserve">. </w:t>
      </w:r>
      <w:r w:rsidR="00D41817">
        <w:rPr>
          <w:lang w:eastAsia="ja-JP"/>
        </w:rPr>
        <w:t>Fourth Amendment</w:t>
      </w:r>
      <w:r w:rsidR="00DE5A85">
        <w:rPr>
          <w:lang w:eastAsia="ja-JP"/>
        </w:rPr>
        <w:t xml:space="preserve"> doctrine tends to categorize lost or mislaid property as abandoned, thereby allowing </w:t>
      </w:r>
      <w:r w:rsidR="001629F7">
        <w:rPr>
          <w:lang w:eastAsia="ja-JP"/>
        </w:rPr>
        <w:t>police to conduct warrantless searches of that property.</w:t>
      </w:r>
      <w:r w:rsidR="007A1299" w:rsidRPr="002A4234">
        <w:rPr>
          <w:rStyle w:val="FootnoteReference"/>
        </w:rPr>
        <w:footnoteReference w:id="298"/>
      </w:r>
      <w:r w:rsidR="001F1C57">
        <w:rPr>
          <w:lang w:eastAsia="ja-JP"/>
        </w:rPr>
        <w:t xml:space="preserve"> </w:t>
      </w:r>
      <w:r w:rsidR="00E956D8">
        <w:rPr>
          <w:lang w:eastAsia="ja-JP"/>
        </w:rPr>
        <w:t>Yet</w:t>
      </w:r>
      <w:r w:rsidR="00D21B50">
        <w:rPr>
          <w:lang w:eastAsia="ja-JP"/>
        </w:rPr>
        <w:t>,</w:t>
      </w:r>
      <w:r w:rsidR="00E956D8">
        <w:rPr>
          <w:lang w:eastAsia="ja-JP"/>
        </w:rPr>
        <w:t xml:space="preserve"> a</w:t>
      </w:r>
      <w:r w:rsidR="00234893">
        <w:rPr>
          <w:lang w:eastAsia="ja-JP"/>
        </w:rPr>
        <w:t>t common law, l</w:t>
      </w:r>
      <w:r w:rsidR="008F13A2">
        <w:rPr>
          <w:lang w:eastAsia="ja-JP"/>
        </w:rPr>
        <w:t xml:space="preserve">ost and mislaid property </w:t>
      </w:r>
      <w:r w:rsidR="00B016EC">
        <w:rPr>
          <w:lang w:eastAsia="ja-JP"/>
        </w:rPr>
        <w:t xml:space="preserve">is </w:t>
      </w:r>
      <w:r w:rsidR="00B016EC" w:rsidRPr="00E956D8">
        <w:rPr>
          <w:i/>
          <w:iCs/>
          <w:lang w:eastAsia="ja-JP"/>
        </w:rPr>
        <w:t>not</w:t>
      </w:r>
      <w:r w:rsidR="00B016EC">
        <w:rPr>
          <w:lang w:eastAsia="ja-JP"/>
        </w:rPr>
        <w:t xml:space="preserve"> abandoned</w:t>
      </w:r>
      <w:r w:rsidR="0001278C">
        <w:rPr>
          <w:lang w:eastAsia="ja-JP"/>
        </w:rPr>
        <w:t>, even if left exposed to the public</w:t>
      </w:r>
      <w:r w:rsidR="005766E9">
        <w:rPr>
          <w:lang w:eastAsia="ja-JP"/>
        </w:rPr>
        <w:t>, and the owner retains</w:t>
      </w:r>
      <w:r w:rsidR="00E956D8">
        <w:rPr>
          <w:lang w:eastAsia="ja-JP"/>
        </w:rPr>
        <w:t xml:space="preserve"> a</w:t>
      </w:r>
      <w:r w:rsidR="005766E9">
        <w:rPr>
          <w:lang w:eastAsia="ja-JP"/>
        </w:rPr>
        <w:t xml:space="preserve"> claim to possession of the property superior to claims by any</w:t>
      </w:r>
      <w:r w:rsidR="00E956D8">
        <w:rPr>
          <w:lang w:eastAsia="ja-JP"/>
        </w:rPr>
        <w:t>one else</w:t>
      </w:r>
      <w:r w:rsidR="005766E9">
        <w:rPr>
          <w:lang w:eastAsia="ja-JP"/>
        </w:rPr>
        <w:t xml:space="preserve"> who may find it.</w:t>
      </w:r>
      <w:r w:rsidR="005766E9" w:rsidRPr="002A4234">
        <w:rPr>
          <w:rStyle w:val="FootnoteReference"/>
        </w:rPr>
        <w:footnoteReference w:id="299"/>
      </w:r>
      <w:r w:rsidR="005766E9">
        <w:rPr>
          <w:lang w:eastAsia="ja-JP"/>
        </w:rPr>
        <w:t xml:space="preserve"> </w:t>
      </w:r>
      <w:r w:rsidR="00CA3DF1">
        <w:rPr>
          <w:lang w:eastAsia="ja-JP"/>
        </w:rPr>
        <w:t>In a general</w:t>
      </w:r>
      <w:r w:rsidR="00B21E48">
        <w:rPr>
          <w:lang w:eastAsia="ja-JP"/>
        </w:rPr>
        <w:t>-</w:t>
      </w:r>
      <w:r w:rsidR="00CA3DF1">
        <w:rPr>
          <w:lang w:eastAsia="ja-JP"/>
        </w:rPr>
        <w:t xml:space="preserve">law framework, </w:t>
      </w:r>
      <w:r w:rsidR="008022DC">
        <w:rPr>
          <w:lang w:eastAsia="ja-JP"/>
        </w:rPr>
        <w:t>o</w:t>
      </w:r>
      <w:r w:rsidR="00A92D8E">
        <w:rPr>
          <w:lang w:eastAsia="ja-JP"/>
        </w:rPr>
        <w:t>fficers</w:t>
      </w:r>
      <w:r w:rsidR="006B3266">
        <w:rPr>
          <w:lang w:eastAsia="ja-JP"/>
        </w:rPr>
        <w:t xml:space="preserve"> </w:t>
      </w:r>
      <w:r w:rsidR="00A92D8E">
        <w:rPr>
          <w:lang w:eastAsia="ja-JP"/>
        </w:rPr>
        <w:t xml:space="preserve">finding </w:t>
      </w:r>
      <w:r w:rsidR="00177C8D">
        <w:rPr>
          <w:lang w:eastAsia="ja-JP"/>
        </w:rPr>
        <w:t xml:space="preserve">an apparently lost or mislaid purse would </w:t>
      </w:r>
      <w:r w:rsidR="0064394C">
        <w:rPr>
          <w:lang w:eastAsia="ja-JP"/>
        </w:rPr>
        <w:t xml:space="preserve">have an obligation not to appropriate it for </w:t>
      </w:r>
      <w:r w:rsidR="00921055">
        <w:rPr>
          <w:lang w:eastAsia="ja-JP"/>
        </w:rPr>
        <w:t>government</w:t>
      </w:r>
      <w:r w:rsidR="0064394C">
        <w:rPr>
          <w:lang w:eastAsia="ja-JP"/>
        </w:rPr>
        <w:t xml:space="preserve"> use</w:t>
      </w:r>
      <w:r w:rsidR="00C7083E">
        <w:rPr>
          <w:lang w:eastAsia="ja-JP"/>
        </w:rPr>
        <w:t>.</w:t>
      </w:r>
      <w:r w:rsidR="004C0D4D">
        <w:rPr>
          <w:lang w:eastAsia="ja-JP"/>
        </w:rPr>
        <w:t xml:space="preserve"> </w:t>
      </w:r>
      <w:r w:rsidR="00C7083E">
        <w:rPr>
          <w:lang w:eastAsia="ja-JP"/>
        </w:rPr>
        <w:t>Instead, the officers</w:t>
      </w:r>
      <w:r w:rsidR="004C0D4D">
        <w:rPr>
          <w:lang w:eastAsia="ja-JP"/>
        </w:rPr>
        <w:t xml:space="preserve"> would be bailees holding the property for the true owner</w:t>
      </w:r>
      <w:r w:rsidR="00177C8D">
        <w:rPr>
          <w:lang w:eastAsia="ja-JP"/>
        </w:rPr>
        <w:t>.</w:t>
      </w:r>
      <w:r w:rsidR="009B1FFC">
        <w:rPr>
          <w:lang w:eastAsia="ja-JP"/>
        </w:rPr>
        <w:t xml:space="preserve"> </w:t>
      </w:r>
      <w:r w:rsidR="00D80628">
        <w:rPr>
          <w:lang w:eastAsia="ja-JP"/>
        </w:rPr>
        <w:t>Law enforcement would no longer be able to rely on legal fictions about abandonment to justify warrantless searches.</w:t>
      </w:r>
    </w:p>
    <w:p w14:paraId="08BA9AEA" w14:textId="551D8FD7" w:rsidR="00CD5B6A" w:rsidRPr="00FC4A2D" w:rsidRDefault="00CD5B6A" w:rsidP="00CD5B6A">
      <w:pPr>
        <w:pStyle w:val="Heading3"/>
      </w:pPr>
      <w:bookmarkStart w:id="75" w:name="_Toc111723684"/>
      <w:r>
        <w:lastRenderedPageBreak/>
        <w:t>Real Property</w:t>
      </w:r>
      <w:bookmarkEnd w:id="75"/>
    </w:p>
    <w:p w14:paraId="70433B36" w14:textId="0B197D20" w:rsidR="005E4992" w:rsidRDefault="003F48AE" w:rsidP="00B84CF1">
      <w:pPr>
        <w:pStyle w:val="BodyText"/>
        <w:rPr>
          <w:lang w:eastAsia="ja-JP"/>
        </w:rPr>
      </w:pPr>
      <w:r>
        <w:rPr>
          <w:lang w:eastAsia="ja-JP"/>
        </w:rPr>
        <w:t xml:space="preserve">The most significant </w:t>
      </w:r>
      <w:r w:rsidR="00082500">
        <w:rPr>
          <w:lang w:eastAsia="ja-JP"/>
        </w:rPr>
        <w:t xml:space="preserve">doctrinal </w:t>
      </w:r>
      <w:r>
        <w:rPr>
          <w:lang w:eastAsia="ja-JP"/>
        </w:rPr>
        <w:t>changes</w:t>
      </w:r>
      <w:r w:rsidR="00622936">
        <w:rPr>
          <w:lang w:eastAsia="ja-JP"/>
        </w:rPr>
        <w:t xml:space="preserve"> would </w:t>
      </w:r>
      <w:r w:rsidR="00082500">
        <w:rPr>
          <w:lang w:eastAsia="ja-JP"/>
        </w:rPr>
        <w:t>arise in searches of</w:t>
      </w:r>
      <w:r w:rsidR="00C30537">
        <w:rPr>
          <w:lang w:eastAsia="ja-JP"/>
        </w:rPr>
        <w:t xml:space="preserve"> </w:t>
      </w:r>
      <w:r w:rsidR="00F75DEF">
        <w:rPr>
          <w:lang w:eastAsia="ja-JP"/>
        </w:rPr>
        <w:t xml:space="preserve">so-called </w:t>
      </w:r>
      <w:r w:rsidR="00C30537">
        <w:rPr>
          <w:lang w:eastAsia="ja-JP"/>
        </w:rPr>
        <w:t>abandoned real property</w:t>
      </w:r>
      <w:r w:rsidR="00F75DEF">
        <w:rPr>
          <w:lang w:eastAsia="ja-JP"/>
        </w:rPr>
        <w:t>.</w:t>
      </w:r>
      <w:r w:rsidR="000E2735" w:rsidRPr="002A4234">
        <w:rPr>
          <w:rStyle w:val="FootnoteReference"/>
        </w:rPr>
        <w:footnoteReference w:id="300"/>
      </w:r>
      <w:r w:rsidR="00B84CF1">
        <w:rPr>
          <w:lang w:eastAsia="ja-JP"/>
        </w:rPr>
        <w:t xml:space="preserve"> A</w:t>
      </w:r>
      <w:r w:rsidR="007D6526">
        <w:rPr>
          <w:lang w:eastAsia="ja-JP"/>
        </w:rPr>
        <w:t>t common law</w:t>
      </w:r>
      <w:r w:rsidR="00A02786">
        <w:rPr>
          <w:lang w:eastAsia="ja-JP"/>
        </w:rPr>
        <w:t>,</w:t>
      </w:r>
      <w:r w:rsidR="007D6526">
        <w:rPr>
          <w:lang w:eastAsia="ja-JP"/>
        </w:rPr>
        <w:t xml:space="preserve"> owners in fee simple cannot abandon their interests in real property</w:t>
      </w:r>
      <w:r w:rsidR="002071C0">
        <w:rPr>
          <w:lang w:eastAsia="ja-JP"/>
        </w:rPr>
        <w:t xml:space="preserve">, </w:t>
      </w:r>
      <w:r w:rsidR="00761DCD">
        <w:rPr>
          <w:lang w:eastAsia="ja-JP"/>
        </w:rPr>
        <w:t>regardless of</w:t>
      </w:r>
      <w:r w:rsidR="002071C0">
        <w:rPr>
          <w:lang w:eastAsia="ja-JP"/>
        </w:rPr>
        <w:t xml:space="preserve"> how badly they want to </w:t>
      </w:r>
      <w:r w:rsidR="009411F2">
        <w:rPr>
          <w:lang w:eastAsia="ja-JP"/>
        </w:rPr>
        <w:t>discharge their legal obligations in</w:t>
      </w:r>
      <w:r w:rsidR="002071C0">
        <w:rPr>
          <w:lang w:eastAsia="ja-JP"/>
        </w:rPr>
        <w:t xml:space="preserve"> a parcel of land</w:t>
      </w:r>
      <w:r w:rsidR="007D6526">
        <w:rPr>
          <w:lang w:eastAsia="ja-JP"/>
        </w:rPr>
        <w:t>.</w:t>
      </w:r>
      <w:r w:rsidR="00D8721A" w:rsidRPr="002A4234">
        <w:rPr>
          <w:rStyle w:val="FootnoteReference"/>
        </w:rPr>
        <w:footnoteReference w:id="301"/>
      </w:r>
      <w:r w:rsidR="007D6526">
        <w:rPr>
          <w:lang w:eastAsia="ja-JP"/>
        </w:rPr>
        <w:t xml:space="preserve"> </w:t>
      </w:r>
      <w:r w:rsidR="00780862">
        <w:rPr>
          <w:lang w:eastAsia="ja-JP"/>
        </w:rPr>
        <w:t>This makes sense</w:t>
      </w:r>
      <w:r w:rsidR="00396842">
        <w:rPr>
          <w:lang w:eastAsia="ja-JP"/>
        </w:rPr>
        <w:t xml:space="preserve"> from both a doctrinal and policy perspective. </w:t>
      </w:r>
      <w:r w:rsidR="00FC4F4D">
        <w:rPr>
          <w:lang w:eastAsia="ja-JP"/>
        </w:rPr>
        <w:t xml:space="preserve">There is nowhere to abandon a fee simple interest, absent some greater </w:t>
      </w:r>
      <w:r w:rsidR="003917A7">
        <w:rPr>
          <w:lang w:eastAsia="ja-JP"/>
        </w:rPr>
        <w:t>interest capable of absorbing it.</w:t>
      </w:r>
      <w:r w:rsidR="00396842">
        <w:rPr>
          <w:lang w:eastAsia="ja-JP"/>
        </w:rPr>
        <w:t xml:space="preserve"> </w:t>
      </w:r>
      <w:r w:rsidR="00A837FB">
        <w:rPr>
          <w:lang w:eastAsia="ja-JP"/>
        </w:rPr>
        <w:t>More importantly, ownership creates certain positive obligations on owners—property taxes, environmental liability, even basic maintenance—</w:t>
      </w:r>
      <w:r w:rsidR="00A92453">
        <w:rPr>
          <w:lang w:eastAsia="ja-JP"/>
        </w:rPr>
        <w:t xml:space="preserve">and </w:t>
      </w:r>
      <w:r w:rsidR="00A837FB">
        <w:rPr>
          <w:lang w:eastAsia="ja-JP"/>
        </w:rPr>
        <w:t xml:space="preserve">allowing owners to </w:t>
      </w:r>
      <w:r w:rsidR="009F5738">
        <w:rPr>
          <w:lang w:eastAsia="ja-JP"/>
        </w:rPr>
        <w:t>abandon</w:t>
      </w:r>
      <w:r w:rsidR="00A837FB">
        <w:rPr>
          <w:lang w:eastAsia="ja-JP"/>
        </w:rPr>
        <w:t xml:space="preserve"> real </w:t>
      </w:r>
      <w:r w:rsidR="009F5738">
        <w:rPr>
          <w:lang w:eastAsia="ja-JP"/>
        </w:rPr>
        <w:t>property</w:t>
      </w:r>
      <w:r w:rsidR="00A837FB">
        <w:rPr>
          <w:lang w:eastAsia="ja-JP"/>
        </w:rPr>
        <w:t xml:space="preserve"> would allow them to shift these obligations onto the public fisc. </w:t>
      </w:r>
      <w:r w:rsidR="00ED57EA">
        <w:rPr>
          <w:lang w:eastAsia="ja-JP"/>
        </w:rPr>
        <w:t>Interests smaller than fee simple</w:t>
      </w:r>
      <w:r w:rsidR="002A6E5B">
        <w:rPr>
          <w:lang w:eastAsia="ja-JP"/>
        </w:rPr>
        <w:t>—leaseholds, easements, and the like—</w:t>
      </w:r>
      <w:r w:rsidR="00ED57EA">
        <w:rPr>
          <w:lang w:eastAsia="ja-JP"/>
        </w:rPr>
        <w:t>can be abandoned, but</w:t>
      </w:r>
      <w:r w:rsidR="002A6E5B">
        <w:rPr>
          <w:lang w:eastAsia="ja-JP"/>
        </w:rPr>
        <w:t xml:space="preserve"> they merge into the fee.</w:t>
      </w:r>
      <w:r w:rsidR="00A07FFE">
        <w:rPr>
          <w:rStyle w:val="FootnoteReference"/>
          <w:lang w:eastAsia="ja-JP"/>
        </w:rPr>
        <w:footnoteReference w:id="302"/>
      </w:r>
      <w:r w:rsidR="002A6E5B">
        <w:rPr>
          <w:lang w:eastAsia="ja-JP"/>
        </w:rPr>
        <w:t xml:space="preserve"> </w:t>
      </w:r>
      <w:r w:rsidR="005A47C2">
        <w:rPr>
          <w:lang w:eastAsia="ja-JP"/>
        </w:rPr>
        <w:t>Thus, r</w:t>
      </w:r>
      <w:r w:rsidR="005E4992">
        <w:rPr>
          <w:lang w:eastAsia="ja-JP"/>
        </w:rPr>
        <w:t xml:space="preserve">eal property always has at least one owner who cannot abandon the property. </w:t>
      </w:r>
      <w:r w:rsidR="0022569A">
        <w:rPr>
          <w:lang w:eastAsia="ja-JP"/>
        </w:rPr>
        <w:t>Simply put</w:t>
      </w:r>
      <w:r w:rsidR="00CC08CE">
        <w:rPr>
          <w:lang w:eastAsia="ja-JP"/>
        </w:rPr>
        <w:t>, there is no such thing as abandoned real property</w:t>
      </w:r>
      <w:r w:rsidR="00C91C5D">
        <w:rPr>
          <w:lang w:eastAsia="ja-JP"/>
        </w:rPr>
        <w:t xml:space="preserve"> at common law. </w:t>
      </w:r>
      <w:r w:rsidR="0053200F">
        <w:rPr>
          <w:lang w:eastAsia="ja-JP"/>
        </w:rPr>
        <w:t>Yet current Fourth Amendment doctrine treats abandoned real property as a relevant category. C</w:t>
      </w:r>
      <w:r w:rsidR="003927D3">
        <w:rPr>
          <w:lang w:eastAsia="ja-JP"/>
        </w:rPr>
        <w:t xml:space="preserve">ourts have held that </w:t>
      </w:r>
      <w:r w:rsidR="00B63648">
        <w:rPr>
          <w:lang w:eastAsia="ja-JP"/>
        </w:rPr>
        <w:t>“</w:t>
      </w:r>
      <w:r w:rsidR="00B63648" w:rsidRPr="00B63648">
        <w:rPr>
          <w:lang w:eastAsia="ja-JP"/>
        </w:rPr>
        <w:t>a person can lose his reasonable expectation of privacy in his real property if he abandons it</w:t>
      </w:r>
      <w:r w:rsidR="00026C35">
        <w:rPr>
          <w:lang w:eastAsia="ja-JP"/>
        </w:rPr>
        <w:t>”</w:t>
      </w:r>
      <w:r w:rsidR="0087446A">
        <w:rPr>
          <w:lang w:eastAsia="ja-JP"/>
        </w:rPr>
        <w:t xml:space="preserve"> by </w:t>
      </w:r>
      <w:r w:rsidR="00A95CED">
        <w:rPr>
          <w:lang w:eastAsia="ja-JP"/>
        </w:rPr>
        <w:t>manifesting an intent to abandon it</w:t>
      </w:r>
      <w:r w:rsidR="002C0B2D">
        <w:rPr>
          <w:lang w:eastAsia="ja-JP"/>
        </w:rPr>
        <w:t>, notwithstanding the “sacrosanct place” that the home occupies in Fourth Amendment jurisprudence.</w:t>
      </w:r>
      <w:r w:rsidR="00837948" w:rsidRPr="002A4234">
        <w:rPr>
          <w:rStyle w:val="FootnoteReference"/>
        </w:rPr>
        <w:footnoteReference w:id="303"/>
      </w:r>
      <w:r w:rsidR="00230733">
        <w:rPr>
          <w:lang w:eastAsia="ja-JP"/>
        </w:rPr>
        <w:t xml:space="preserve"> </w:t>
      </w:r>
    </w:p>
    <w:p w14:paraId="2BE950EC" w14:textId="492CF5D7" w:rsidR="00A22C14" w:rsidRPr="00A22C14" w:rsidRDefault="005E4992" w:rsidP="00A22C14">
      <w:pPr>
        <w:pStyle w:val="BodyText"/>
        <w:rPr>
          <w:iCs/>
          <w:lang w:eastAsia="ja-JP"/>
        </w:rPr>
      </w:pPr>
      <w:r>
        <w:rPr>
          <w:lang w:eastAsia="ja-JP"/>
        </w:rPr>
        <w:t xml:space="preserve">Current Fourth Amendment doctrine attempts to balance the sanctity of the home against </w:t>
      </w:r>
      <w:r w:rsidR="006373B2">
        <w:rPr>
          <w:lang w:eastAsia="ja-JP"/>
        </w:rPr>
        <w:t>the practicalities of allowing police into vacant property without a warrant. Thus, i</w:t>
      </w:r>
      <w:r w:rsidR="00C85A64">
        <w:rPr>
          <w:lang w:eastAsia="ja-JP"/>
        </w:rPr>
        <w:t xml:space="preserve">n </w:t>
      </w:r>
      <w:r w:rsidR="00C85A64">
        <w:rPr>
          <w:i/>
          <w:lang w:eastAsia="ja-JP"/>
        </w:rPr>
        <w:t>United States v. Harrison</w:t>
      </w:r>
      <w:r w:rsidR="00C85A64">
        <w:rPr>
          <w:iCs/>
          <w:lang w:eastAsia="ja-JP"/>
        </w:rPr>
        <w:t>, the Third Circuit explained that “[b]</w:t>
      </w:r>
      <w:r w:rsidR="00C85A64" w:rsidRPr="00C85A64">
        <w:rPr>
          <w:iCs/>
          <w:lang w:eastAsia="ja-JP"/>
        </w:rPr>
        <w:t>efore the government may cross the threshold of a home without a warrant, there must be clear, unequivocal and unmistakable evidence that the property has been abandoned. Only then will such a search be permitted.</w:t>
      </w:r>
      <w:r w:rsidR="00C85A64">
        <w:rPr>
          <w:iCs/>
          <w:lang w:eastAsia="ja-JP"/>
        </w:rPr>
        <w:t>”</w:t>
      </w:r>
      <w:r w:rsidR="00C85A64" w:rsidRPr="002A4234">
        <w:rPr>
          <w:rStyle w:val="FootnoteReference"/>
        </w:rPr>
        <w:footnoteReference w:id="304"/>
      </w:r>
      <w:r w:rsidR="006373B2">
        <w:rPr>
          <w:iCs/>
          <w:lang w:eastAsia="ja-JP"/>
        </w:rPr>
        <w:t xml:space="preserve"> </w:t>
      </w:r>
      <w:r w:rsidR="004E22C2">
        <w:rPr>
          <w:iCs/>
          <w:lang w:eastAsia="ja-JP"/>
        </w:rPr>
        <w:t xml:space="preserve">Similarly, police may not declare an apartment abandoned and conduct a warrantless search because a tenant </w:t>
      </w:r>
      <w:r w:rsidR="003C7E14">
        <w:rPr>
          <w:iCs/>
          <w:lang w:eastAsia="ja-JP"/>
        </w:rPr>
        <w:t xml:space="preserve">was absent from it and </w:t>
      </w:r>
      <w:r w:rsidR="004E22C2">
        <w:rPr>
          <w:iCs/>
          <w:lang w:eastAsia="ja-JP"/>
        </w:rPr>
        <w:t>ha</w:t>
      </w:r>
      <w:r w:rsidR="003C7E14">
        <w:rPr>
          <w:iCs/>
          <w:lang w:eastAsia="ja-JP"/>
        </w:rPr>
        <w:t>d</w:t>
      </w:r>
      <w:r w:rsidR="004E22C2">
        <w:rPr>
          <w:iCs/>
          <w:lang w:eastAsia="ja-JP"/>
        </w:rPr>
        <w:t xml:space="preserve"> fallen behind on rent</w:t>
      </w:r>
      <w:r w:rsidR="00FD3C20">
        <w:rPr>
          <w:iCs/>
          <w:lang w:eastAsia="ja-JP"/>
        </w:rPr>
        <w:t xml:space="preserve"> for “over a month</w:t>
      </w:r>
      <w:r w:rsidR="004E22C2">
        <w:rPr>
          <w:iCs/>
          <w:lang w:eastAsia="ja-JP"/>
        </w:rPr>
        <w:t>.</w:t>
      </w:r>
      <w:r w:rsidR="00FD3C20">
        <w:rPr>
          <w:iCs/>
          <w:lang w:eastAsia="ja-JP"/>
        </w:rPr>
        <w:t>”</w:t>
      </w:r>
      <w:r w:rsidR="004E22C2" w:rsidRPr="002A4234">
        <w:rPr>
          <w:rStyle w:val="FootnoteReference"/>
        </w:rPr>
        <w:footnoteReference w:id="305"/>
      </w:r>
      <w:r w:rsidR="00A85F56">
        <w:rPr>
          <w:iCs/>
          <w:lang w:eastAsia="ja-JP"/>
        </w:rPr>
        <w:t xml:space="preserve"> But </w:t>
      </w:r>
      <w:r w:rsidR="00B11110">
        <w:rPr>
          <w:iCs/>
          <w:lang w:eastAsia="ja-JP"/>
        </w:rPr>
        <w:t>c</w:t>
      </w:r>
      <w:r w:rsidR="00A85F56">
        <w:rPr>
          <w:iCs/>
          <w:lang w:eastAsia="ja-JP"/>
        </w:rPr>
        <w:t xml:space="preserve">ourts have </w:t>
      </w:r>
      <w:r w:rsidR="00B96A1D">
        <w:rPr>
          <w:iCs/>
          <w:lang w:eastAsia="ja-JP"/>
        </w:rPr>
        <w:t xml:space="preserve">found that homes can lose </w:t>
      </w:r>
      <w:r w:rsidR="000D738A">
        <w:rPr>
          <w:iCs/>
          <w:lang w:eastAsia="ja-JP"/>
        </w:rPr>
        <w:t xml:space="preserve">both their character as a </w:t>
      </w:r>
      <w:r w:rsidR="003B37F6">
        <w:rPr>
          <w:iCs/>
          <w:lang w:eastAsia="ja-JP"/>
        </w:rPr>
        <w:t>“</w:t>
      </w:r>
      <w:r w:rsidR="00665DF5">
        <w:rPr>
          <w:iCs/>
          <w:lang w:eastAsia="ja-JP"/>
        </w:rPr>
        <w:t>residence</w:t>
      </w:r>
      <w:r w:rsidR="003B37F6">
        <w:rPr>
          <w:iCs/>
          <w:lang w:eastAsia="ja-JP"/>
        </w:rPr>
        <w:t>”</w:t>
      </w:r>
      <w:r w:rsidR="00665DF5">
        <w:rPr>
          <w:iCs/>
          <w:lang w:eastAsia="ja-JP"/>
        </w:rPr>
        <w:t xml:space="preserve"> and as a </w:t>
      </w:r>
      <w:r w:rsidR="003B37F6">
        <w:rPr>
          <w:iCs/>
          <w:lang w:eastAsia="ja-JP"/>
        </w:rPr>
        <w:t>“</w:t>
      </w:r>
      <w:r w:rsidR="00665DF5">
        <w:rPr>
          <w:iCs/>
          <w:lang w:eastAsia="ja-JP"/>
        </w:rPr>
        <w:t xml:space="preserve">privately </w:t>
      </w:r>
      <w:r w:rsidR="003B37F6">
        <w:rPr>
          <w:iCs/>
          <w:lang w:eastAsia="ja-JP"/>
        </w:rPr>
        <w:t xml:space="preserve">occupied structure” </w:t>
      </w:r>
      <w:r w:rsidR="00E6087D">
        <w:rPr>
          <w:iCs/>
          <w:lang w:eastAsia="ja-JP"/>
        </w:rPr>
        <w:t>if they are “</w:t>
      </w:r>
      <w:r w:rsidR="00E6087D" w:rsidRPr="00E6087D">
        <w:rPr>
          <w:iCs/>
          <w:lang w:eastAsia="ja-JP"/>
        </w:rPr>
        <w:t>open to the public, vandalized, uninhabitable, and from appearances virtually abandoned</w:t>
      </w:r>
      <w:r w:rsidR="00AB413C">
        <w:rPr>
          <w:iCs/>
          <w:lang w:eastAsia="ja-JP"/>
        </w:rPr>
        <w:t>.</w:t>
      </w:r>
      <w:r w:rsidR="00E6087D">
        <w:rPr>
          <w:iCs/>
          <w:lang w:eastAsia="ja-JP"/>
        </w:rPr>
        <w:t>”</w:t>
      </w:r>
      <w:r w:rsidR="00971C6D" w:rsidRPr="002A4234">
        <w:rPr>
          <w:rStyle w:val="FootnoteReference"/>
        </w:rPr>
        <w:footnoteReference w:id="306"/>
      </w:r>
    </w:p>
    <w:p w14:paraId="2C3C0E1A" w14:textId="09EABE65" w:rsidR="008E5FBE" w:rsidRDefault="005A5563" w:rsidP="00B84CF1">
      <w:pPr>
        <w:pStyle w:val="BodyText"/>
        <w:rPr>
          <w:iCs/>
          <w:lang w:eastAsia="ja-JP"/>
        </w:rPr>
      </w:pPr>
      <w:r>
        <w:rPr>
          <w:iCs/>
          <w:lang w:eastAsia="ja-JP"/>
        </w:rPr>
        <w:lastRenderedPageBreak/>
        <w:t xml:space="preserve">An inquiry </w:t>
      </w:r>
      <w:r w:rsidR="00EC0DA8">
        <w:rPr>
          <w:iCs/>
          <w:lang w:eastAsia="ja-JP"/>
        </w:rPr>
        <w:t>concluding</w:t>
      </w:r>
      <w:r w:rsidR="003E0D31">
        <w:rPr>
          <w:iCs/>
          <w:lang w:eastAsia="ja-JP"/>
        </w:rPr>
        <w:t xml:space="preserve"> that a person forfeits an</w:t>
      </w:r>
      <w:r w:rsidR="0029090C">
        <w:rPr>
          <w:iCs/>
          <w:lang w:eastAsia="ja-JP"/>
        </w:rPr>
        <w:t xml:space="preserve"> expectation of privacy by </w:t>
      </w:r>
      <w:r w:rsidR="00FF6959">
        <w:rPr>
          <w:iCs/>
          <w:lang w:eastAsia="ja-JP"/>
        </w:rPr>
        <w:t>leaving</w:t>
      </w:r>
      <w:r w:rsidR="0029090C">
        <w:rPr>
          <w:iCs/>
          <w:lang w:eastAsia="ja-JP"/>
        </w:rPr>
        <w:t xml:space="preserve"> </w:t>
      </w:r>
      <w:r w:rsidR="00FF6959">
        <w:rPr>
          <w:iCs/>
          <w:lang w:eastAsia="ja-JP"/>
        </w:rPr>
        <w:t>a</w:t>
      </w:r>
      <w:r w:rsidR="0029090C">
        <w:rPr>
          <w:iCs/>
          <w:lang w:eastAsia="ja-JP"/>
        </w:rPr>
        <w:t xml:space="preserve"> property </w:t>
      </w:r>
      <w:r w:rsidR="00A41709">
        <w:rPr>
          <w:iCs/>
          <w:lang w:eastAsia="ja-JP"/>
        </w:rPr>
        <w:t>undermines the notion</w:t>
      </w:r>
      <w:r w:rsidR="00E35606">
        <w:rPr>
          <w:iCs/>
          <w:lang w:eastAsia="ja-JP"/>
        </w:rPr>
        <w:t xml:space="preserve"> that “every man’s house is his castle</w:t>
      </w:r>
      <w:r w:rsidR="00365200">
        <w:rPr>
          <w:iCs/>
          <w:lang w:eastAsia="ja-JP"/>
        </w:rPr>
        <w:t>.</w:t>
      </w:r>
      <w:r w:rsidR="00E35606">
        <w:rPr>
          <w:iCs/>
          <w:lang w:eastAsia="ja-JP"/>
        </w:rPr>
        <w:t>”</w:t>
      </w:r>
      <w:r w:rsidR="00BF0C71">
        <w:rPr>
          <w:iCs/>
          <w:lang w:eastAsia="ja-JP"/>
        </w:rPr>
        <w:t xml:space="preserve"> </w:t>
      </w:r>
      <w:r w:rsidR="00CE2BA8">
        <w:rPr>
          <w:iCs/>
          <w:lang w:eastAsia="ja-JP"/>
        </w:rPr>
        <w:t xml:space="preserve">For example, in </w:t>
      </w:r>
      <w:r w:rsidR="00CE2BA8" w:rsidRPr="00A41709">
        <w:rPr>
          <w:i/>
          <w:lang w:eastAsia="ja-JP"/>
        </w:rPr>
        <w:t>United States v. Levasseur</w:t>
      </w:r>
      <w:r w:rsidR="00CE2BA8">
        <w:rPr>
          <w:iCs/>
          <w:lang w:eastAsia="ja-JP"/>
        </w:rPr>
        <w:t>,</w:t>
      </w:r>
      <w:r w:rsidR="007B40B8" w:rsidRPr="002A4234">
        <w:rPr>
          <w:rStyle w:val="FootnoteReference"/>
        </w:rPr>
        <w:footnoteReference w:id="307"/>
      </w:r>
      <w:r w:rsidR="00CE2BA8">
        <w:rPr>
          <w:iCs/>
          <w:lang w:eastAsia="ja-JP"/>
        </w:rPr>
        <w:t xml:space="preserve"> the </w:t>
      </w:r>
      <w:r w:rsidR="00A41709">
        <w:rPr>
          <w:iCs/>
          <w:lang w:eastAsia="ja-JP"/>
        </w:rPr>
        <w:t>S</w:t>
      </w:r>
      <w:r w:rsidR="00CE2BA8">
        <w:rPr>
          <w:iCs/>
          <w:lang w:eastAsia="ja-JP"/>
        </w:rPr>
        <w:t xml:space="preserve">econd </w:t>
      </w:r>
      <w:r w:rsidR="00A41709">
        <w:rPr>
          <w:iCs/>
          <w:lang w:eastAsia="ja-JP"/>
        </w:rPr>
        <w:t>C</w:t>
      </w:r>
      <w:r w:rsidR="00CE2BA8">
        <w:rPr>
          <w:iCs/>
          <w:lang w:eastAsia="ja-JP"/>
        </w:rPr>
        <w:t xml:space="preserve">ircuit upheld a warrantless search of a footlocker </w:t>
      </w:r>
      <w:r w:rsidR="008F1583">
        <w:rPr>
          <w:iCs/>
          <w:lang w:eastAsia="ja-JP"/>
        </w:rPr>
        <w:t>after finding the home where police found it to be abandoned</w:t>
      </w:r>
      <w:r w:rsidR="006B22C0">
        <w:rPr>
          <w:iCs/>
          <w:lang w:eastAsia="ja-JP"/>
        </w:rPr>
        <w:t xml:space="preserve">. The court’s basis for finding abandonment was that the owners had </w:t>
      </w:r>
      <w:r w:rsidR="00636136">
        <w:rPr>
          <w:iCs/>
          <w:lang w:eastAsia="ja-JP"/>
        </w:rPr>
        <w:t>“settled” in a different city after learning of police activity near their home</w:t>
      </w:r>
      <w:r w:rsidR="007B40B8">
        <w:rPr>
          <w:iCs/>
          <w:lang w:eastAsia="ja-JP"/>
        </w:rPr>
        <w:t xml:space="preserve"> and determining that it was “too risky” to return to the house and pack up.</w:t>
      </w:r>
      <w:r w:rsidR="007B40B8" w:rsidRPr="002A4234">
        <w:rPr>
          <w:rStyle w:val="FootnoteReference"/>
        </w:rPr>
        <w:footnoteReference w:id="308"/>
      </w:r>
      <w:r w:rsidR="00636136">
        <w:rPr>
          <w:iCs/>
          <w:lang w:eastAsia="ja-JP"/>
        </w:rPr>
        <w:t xml:space="preserve"> </w:t>
      </w:r>
      <w:r w:rsidR="000F3A20">
        <w:rPr>
          <w:iCs/>
          <w:lang w:eastAsia="ja-JP"/>
        </w:rPr>
        <w:t xml:space="preserve">This </w:t>
      </w:r>
      <w:r w:rsidR="00623B8B">
        <w:rPr>
          <w:iCs/>
          <w:lang w:eastAsia="ja-JP"/>
        </w:rPr>
        <w:t xml:space="preserve">reasoning </w:t>
      </w:r>
      <w:r w:rsidR="00E74FB7">
        <w:rPr>
          <w:iCs/>
          <w:lang w:eastAsia="ja-JP"/>
        </w:rPr>
        <w:t xml:space="preserve">finds </w:t>
      </w:r>
      <w:r w:rsidR="009E3EF9">
        <w:rPr>
          <w:iCs/>
          <w:lang w:eastAsia="ja-JP"/>
        </w:rPr>
        <w:t>no support in common law</w:t>
      </w:r>
      <w:r w:rsidR="000F3A20">
        <w:rPr>
          <w:iCs/>
          <w:lang w:eastAsia="ja-JP"/>
        </w:rPr>
        <w:t xml:space="preserve">. </w:t>
      </w:r>
      <w:r w:rsidR="0035456B">
        <w:rPr>
          <w:iCs/>
          <w:lang w:eastAsia="ja-JP"/>
        </w:rPr>
        <w:t xml:space="preserve">But </w:t>
      </w:r>
      <w:r w:rsidR="00623B8B">
        <w:rPr>
          <w:iCs/>
          <w:lang w:eastAsia="ja-JP"/>
        </w:rPr>
        <w:t xml:space="preserve">under current doctrine, </w:t>
      </w:r>
      <w:r w:rsidR="009E3EF9">
        <w:rPr>
          <w:iCs/>
          <w:lang w:eastAsia="ja-JP"/>
        </w:rPr>
        <w:t>Fourth Amendment</w:t>
      </w:r>
      <w:r w:rsidR="00024225">
        <w:rPr>
          <w:iCs/>
          <w:lang w:eastAsia="ja-JP"/>
        </w:rPr>
        <w:t xml:space="preserve"> protection apparently diminishes if </w:t>
      </w:r>
      <w:r w:rsidR="001A2D6B">
        <w:rPr>
          <w:iCs/>
          <w:lang w:eastAsia="ja-JP"/>
        </w:rPr>
        <w:t xml:space="preserve">owners fear law enforcement </w:t>
      </w:r>
      <w:r w:rsidR="00B142D0">
        <w:rPr>
          <w:iCs/>
          <w:lang w:eastAsia="ja-JP"/>
        </w:rPr>
        <w:t>intrusions into their home.</w:t>
      </w:r>
    </w:p>
    <w:p w14:paraId="0AD7F983" w14:textId="78EAC51D" w:rsidR="0029090C" w:rsidRDefault="005E08B5" w:rsidP="00B84CF1">
      <w:pPr>
        <w:pStyle w:val="BodyText"/>
        <w:rPr>
          <w:iCs/>
          <w:lang w:eastAsia="ja-JP"/>
        </w:rPr>
      </w:pPr>
      <w:r>
        <w:rPr>
          <w:iCs/>
          <w:lang w:eastAsia="ja-JP"/>
        </w:rPr>
        <w:t xml:space="preserve">Fourth Amendment abandonment doctrine </w:t>
      </w:r>
      <w:r w:rsidR="005F4FA4">
        <w:rPr>
          <w:iCs/>
          <w:lang w:eastAsia="ja-JP"/>
        </w:rPr>
        <w:t xml:space="preserve">also </w:t>
      </w:r>
      <w:r w:rsidR="00F6712C">
        <w:rPr>
          <w:iCs/>
          <w:lang w:eastAsia="ja-JP"/>
        </w:rPr>
        <w:t xml:space="preserve">contains </w:t>
      </w:r>
      <w:r w:rsidR="00CF18CA">
        <w:rPr>
          <w:iCs/>
          <w:lang w:eastAsia="ja-JP"/>
        </w:rPr>
        <w:t xml:space="preserve">troublesome class overtones </w:t>
      </w:r>
      <w:r w:rsidR="001550E8">
        <w:rPr>
          <w:iCs/>
          <w:lang w:eastAsia="ja-JP"/>
        </w:rPr>
        <w:t xml:space="preserve">that </w:t>
      </w:r>
      <w:r w:rsidR="00866A69">
        <w:rPr>
          <w:iCs/>
          <w:lang w:eastAsia="ja-JP"/>
        </w:rPr>
        <w:t>common</w:t>
      </w:r>
      <w:r w:rsidR="0035456B">
        <w:rPr>
          <w:iCs/>
          <w:lang w:eastAsia="ja-JP"/>
        </w:rPr>
        <w:t>-</w:t>
      </w:r>
      <w:r w:rsidR="00866A69">
        <w:rPr>
          <w:iCs/>
          <w:lang w:eastAsia="ja-JP"/>
        </w:rPr>
        <w:t>law</w:t>
      </w:r>
      <w:r w:rsidR="001550E8">
        <w:rPr>
          <w:iCs/>
          <w:lang w:eastAsia="ja-JP"/>
        </w:rPr>
        <w:t xml:space="preserve"> property </w:t>
      </w:r>
      <w:r w:rsidR="00866A69">
        <w:rPr>
          <w:iCs/>
          <w:lang w:eastAsia="ja-JP"/>
        </w:rPr>
        <w:t xml:space="preserve">doctrine largely avoids. </w:t>
      </w:r>
      <w:r w:rsidR="00A42F3C">
        <w:rPr>
          <w:iCs/>
          <w:lang w:eastAsia="ja-JP"/>
        </w:rPr>
        <w:t>In Fourth Amendment cases, courts often talk about “</w:t>
      </w:r>
      <w:r w:rsidR="00DF5B49">
        <w:rPr>
          <w:iCs/>
          <w:lang w:eastAsia="ja-JP"/>
        </w:rPr>
        <w:t xml:space="preserve">indicia of abandonment” which include the presence of </w:t>
      </w:r>
      <w:r w:rsidR="00341E10">
        <w:rPr>
          <w:iCs/>
          <w:lang w:eastAsia="ja-JP"/>
        </w:rPr>
        <w:t>“r</w:t>
      </w:r>
      <w:r w:rsidR="00341E10" w:rsidRPr="00341E10">
        <w:rPr>
          <w:iCs/>
          <w:lang w:eastAsia="ja-JP"/>
        </w:rPr>
        <w:t>efuse, including mattresses, tires, and beer bottles</w:t>
      </w:r>
      <w:r w:rsidR="005505BE">
        <w:rPr>
          <w:iCs/>
          <w:lang w:eastAsia="ja-JP"/>
        </w:rPr>
        <w:t>,</w:t>
      </w:r>
      <w:r w:rsidR="00341E10">
        <w:rPr>
          <w:iCs/>
          <w:lang w:eastAsia="ja-JP"/>
        </w:rPr>
        <w:t>”</w:t>
      </w:r>
      <w:r w:rsidR="00341E10" w:rsidRPr="002A4234">
        <w:rPr>
          <w:rStyle w:val="FootnoteReference"/>
        </w:rPr>
        <w:footnoteReference w:id="309"/>
      </w:r>
      <w:r w:rsidR="005505BE">
        <w:rPr>
          <w:iCs/>
          <w:lang w:eastAsia="ja-JP"/>
        </w:rPr>
        <w:t xml:space="preserve"> broken locks, </w:t>
      </w:r>
      <w:r w:rsidR="00C803E5">
        <w:rPr>
          <w:iCs/>
          <w:lang w:eastAsia="ja-JP"/>
        </w:rPr>
        <w:t>broken window</w:t>
      </w:r>
      <w:r w:rsidR="000D1924">
        <w:rPr>
          <w:iCs/>
          <w:lang w:eastAsia="ja-JP"/>
        </w:rPr>
        <w:t>s</w:t>
      </w:r>
      <w:r w:rsidR="00B56936">
        <w:rPr>
          <w:iCs/>
          <w:lang w:eastAsia="ja-JP"/>
        </w:rPr>
        <w:t xml:space="preserve">, </w:t>
      </w:r>
      <w:r w:rsidR="00E5640E">
        <w:rPr>
          <w:iCs/>
          <w:lang w:eastAsia="ja-JP"/>
        </w:rPr>
        <w:t xml:space="preserve">and </w:t>
      </w:r>
      <w:r w:rsidR="00527CA9">
        <w:rPr>
          <w:iCs/>
          <w:lang w:eastAsia="ja-JP"/>
        </w:rPr>
        <w:t>discontinued electrical service</w:t>
      </w:r>
      <w:r w:rsidR="00037E6D">
        <w:rPr>
          <w:iCs/>
          <w:lang w:eastAsia="ja-JP"/>
        </w:rPr>
        <w:t>, among other things</w:t>
      </w:r>
      <w:r w:rsidR="00976D57">
        <w:rPr>
          <w:iCs/>
          <w:lang w:eastAsia="ja-JP"/>
        </w:rPr>
        <w:t>.</w:t>
      </w:r>
      <w:r w:rsidR="00B56936" w:rsidRPr="002A4234">
        <w:rPr>
          <w:rStyle w:val="FootnoteReference"/>
        </w:rPr>
        <w:footnoteReference w:id="310"/>
      </w:r>
      <w:r w:rsidR="000D1924">
        <w:rPr>
          <w:iCs/>
          <w:lang w:eastAsia="ja-JP"/>
        </w:rPr>
        <w:t xml:space="preserve"> </w:t>
      </w:r>
      <w:r w:rsidR="00527CA9">
        <w:rPr>
          <w:iCs/>
          <w:lang w:eastAsia="ja-JP"/>
        </w:rPr>
        <w:t>Taken together</w:t>
      </w:r>
      <w:r w:rsidR="00B56936">
        <w:rPr>
          <w:iCs/>
          <w:lang w:eastAsia="ja-JP"/>
        </w:rPr>
        <w:t>, these attributes may</w:t>
      </w:r>
      <w:r w:rsidR="00976D57">
        <w:rPr>
          <w:iCs/>
          <w:lang w:eastAsia="ja-JP"/>
        </w:rPr>
        <w:t xml:space="preserve"> </w:t>
      </w:r>
      <w:r w:rsidR="00527CA9">
        <w:rPr>
          <w:iCs/>
          <w:lang w:eastAsia="ja-JP"/>
        </w:rPr>
        <w:t xml:space="preserve">indicate </w:t>
      </w:r>
      <w:r w:rsidR="00594494">
        <w:rPr>
          <w:iCs/>
          <w:lang w:eastAsia="ja-JP"/>
        </w:rPr>
        <w:t xml:space="preserve">nothing </w:t>
      </w:r>
      <w:r w:rsidR="00B463D8">
        <w:rPr>
          <w:iCs/>
          <w:lang w:eastAsia="ja-JP"/>
        </w:rPr>
        <w:t xml:space="preserve">more </w:t>
      </w:r>
      <w:r w:rsidR="00594494">
        <w:rPr>
          <w:iCs/>
          <w:lang w:eastAsia="ja-JP"/>
        </w:rPr>
        <w:t>than</w:t>
      </w:r>
      <w:r w:rsidR="00281AFB">
        <w:rPr>
          <w:iCs/>
          <w:lang w:eastAsia="ja-JP"/>
        </w:rPr>
        <w:t xml:space="preserve"> poverty.</w:t>
      </w:r>
      <w:r w:rsidR="00D245BF" w:rsidRPr="002A4234">
        <w:rPr>
          <w:rStyle w:val="FootnoteReference"/>
        </w:rPr>
        <w:footnoteReference w:id="311"/>
      </w:r>
      <w:r w:rsidR="00281AFB">
        <w:rPr>
          <w:iCs/>
          <w:lang w:eastAsia="ja-JP"/>
        </w:rPr>
        <w:t xml:space="preserve"> </w:t>
      </w:r>
      <w:r w:rsidR="00DB3C87">
        <w:rPr>
          <w:iCs/>
          <w:lang w:eastAsia="ja-JP"/>
        </w:rPr>
        <w:t>A bright</w:t>
      </w:r>
      <w:r w:rsidR="00594494">
        <w:rPr>
          <w:iCs/>
          <w:lang w:eastAsia="ja-JP"/>
        </w:rPr>
        <w:t>-</w:t>
      </w:r>
      <w:r w:rsidR="00DB3C87">
        <w:rPr>
          <w:iCs/>
          <w:lang w:eastAsia="ja-JP"/>
        </w:rPr>
        <w:t>line rule that fee</w:t>
      </w:r>
      <w:r w:rsidR="00C714E5">
        <w:rPr>
          <w:iCs/>
          <w:lang w:eastAsia="ja-JP"/>
        </w:rPr>
        <w:t>-</w:t>
      </w:r>
      <w:r w:rsidR="00DB3C87">
        <w:rPr>
          <w:iCs/>
          <w:lang w:eastAsia="ja-JP"/>
        </w:rPr>
        <w:t>simple interests cannot be abandoned would avoid</w:t>
      </w:r>
      <w:r w:rsidR="008C1A97">
        <w:rPr>
          <w:iCs/>
          <w:lang w:eastAsia="ja-JP"/>
        </w:rPr>
        <w:t xml:space="preserve"> </w:t>
      </w:r>
      <w:r w:rsidR="00594494">
        <w:rPr>
          <w:iCs/>
          <w:lang w:eastAsia="ja-JP"/>
        </w:rPr>
        <w:t>many such</w:t>
      </w:r>
      <w:r w:rsidR="008C1A97">
        <w:rPr>
          <w:iCs/>
          <w:lang w:eastAsia="ja-JP"/>
        </w:rPr>
        <w:t xml:space="preserve"> inquiries. </w:t>
      </w:r>
      <w:r w:rsidR="00926CD1">
        <w:rPr>
          <w:iCs/>
          <w:lang w:eastAsia="ja-JP"/>
        </w:rPr>
        <w:t xml:space="preserve">For leased property, </w:t>
      </w:r>
      <w:r w:rsidR="004060D3">
        <w:rPr>
          <w:iCs/>
          <w:lang w:eastAsia="ja-JP"/>
        </w:rPr>
        <w:t xml:space="preserve">an approach that harmonized the Fourth Amendment and the common law would permit </w:t>
      </w:r>
      <w:r w:rsidR="00926CD1">
        <w:rPr>
          <w:iCs/>
          <w:lang w:eastAsia="ja-JP"/>
        </w:rPr>
        <w:t xml:space="preserve">warrantless searches </w:t>
      </w:r>
      <w:r w:rsidR="008C569A">
        <w:rPr>
          <w:iCs/>
          <w:lang w:eastAsia="ja-JP"/>
        </w:rPr>
        <w:t xml:space="preserve">only </w:t>
      </w:r>
      <w:r w:rsidR="00926CD1">
        <w:rPr>
          <w:iCs/>
          <w:lang w:eastAsia="ja-JP"/>
        </w:rPr>
        <w:t>where</w:t>
      </w:r>
      <w:r w:rsidR="008C569A">
        <w:rPr>
          <w:iCs/>
          <w:lang w:eastAsia="ja-JP"/>
        </w:rPr>
        <w:t xml:space="preserve"> (1)</w:t>
      </w:r>
      <w:r w:rsidR="00926CD1">
        <w:rPr>
          <w:iCs/>
          <w:lang w:eastAsia="ja-JP"/>
        </w:rPr>
        <w:t xml:space="preserve"> indicia of abandonment</w:t>
      </w:r>
      <w:r w:rsidR="004060D3">
        <w:rPr>
          <w:iCs/>
          <w:lang w:eastAsia="ja-JP"/>
        </w:rPr>
        <w:t xml:space="preserve"> by the leaseholder</w:t>
      </w:r>
      <w:r w:rsidR="00926CD1">
        <w:rPr>
          <w:iCs/>
          <w:lang w:eastAsia="ja-JP"/>
        </w:rPr>
        <w:t xml:space="preserve"> would give a landlord a right of entry and </w:t>
      </w:r>
      <w:r w:rsidR="008C569A">
        <w:rPr>
          <w:iCs/>
          <w:lang w:eastAsia="ja-JP"/>
        </w:rPr>
        <w:t xml:space="preserve">(2) </w:t>
      </w:r>
      <w:r w:rsidR="00926CD1">
        <w:rPr>
          <w:iCs/>
          <w:lang w:eastAsia="ja-JP"/>
        </w:rPr>
        <w:t xml:space="preserve">the landlord in fact </w:t>
      </w:r>
      <w:r w:rsidR="008C569A">
        <w:rPr>
          <w:iCs/>
          <w:lang w:eastAsia="ja-JP"/>
        </w:rPr>
        <w:t xml:space="preserve">authorized </w:t>
      </w:r>
      <w:r w:rsidR="009847FB">
        <w:rPr>
          <w:iCs/>
          <w:lang w:eastAsia="ja-JP"/>
        </w:rPr>
        <w:t>the entry</w:t>
      </w:r>
      <w:r w:rsidR="00862381">
        <w:rPr>
          <w:iCs/>
          <w:lang w:eastAsia="ja-JP"/>
        </w:rPr>
        <w:t xml:space="preserve"> by police</w:t>
      </w:r>
      <w:r w:rsidR="00394768">
        <w:rPr>
          <w:iCs/>
          <w:lang w:eastAsia="ja-JP"/>
        </w:rPr>
        <w:t>.</w:t>
      </w:r>
      <w:r w:rsidR="00394768" w:rsidRPr="002A4234">
        <w:rPr>
          <w:rStyle w:val="FootnoteReference"/>
        </w:rPr>
        <w:footnoteReference w:id="312"/>
      </w:r>
    </w:p>
    <w:p w14:paraId="43144D2B" w14:textId="0288F99F" w:rsidR="00FC21C4" w:rsidRDefault="00CD5B6A" w:rsidP="00FC21C4">
      <w:pPr>
        <w:pStyle w:val="Heading3"/>
      </w:pPr>
      <w:bookmarkStart w:id="77" w:name="_Toc111723685"/>
      <w:r>
        <w:t>Intangibles</w:t>
      </w:r>
      <w:bookmarkEnd w:id="77"/>
    </w:p>
    <w:p w14:paraId="3E29F96B" w14:textId="24816A1C" w:rsidR="00D63C91" w:rsidRDefault="00D63C91" w:rsidP="00D63C91">
      <w:pPr>
        <w:pStyle w:val="BodyText"/>
      </w:pPr>
      <w:r>
        <w:t xml:space="preserve">No subject makes a better case for a </w:t>
      </w:r>
      <w:r w:rsidR="00CF4740">
        <w:t>general-law approach</w:t>
      </w:r>
      <w:r>
        <w:t xml:space="preserve"> than </w:t>
      </w:r>
      <w:r w:rsidR="006242C7">
        <w:t>intangible</w:t>
      </w:r>
      <w:r w:rsidR="00B126AC">
        <w:t xml:space="preserve"> possessions</w:t>
      </w:r>
      <w:r w:rsidR="00CD5B6A">
        <w:t xml:space="preserve"> like </w:t>
      </w:r>
      <w:r>
        <w:t>email.</w:t>
      </w:r>
      <w:r w:rsidRPr="00D63C91">
        <w:t xml:space="preserve"> </w:t>
      </w:r>
      <w:r w:rsidR="00767E16">
        <w:t xml:space="preserve">Congress has made various efforts to define the relationship between </w:t>
      </w:r>
      <w:r w:rsidR="00B701AD">
        <w:t>technology</w:t>
      </w:r>
      <w:r w:rsidR="00EF0336">
        <w:t xml:space="preserve"> users, </w:t>
      </w:r>
      <w:r w:rsidR="00B701AD">
        <w:t>technology service</w:t>
      </w:r>
      <w:r w:rsidR="00EF0336">
        <w:t xml:space="preserve"> providers, and the government</w:t>
      </w:r>
      <w:r w:rsidR="00D419E4">
        <w:t>.</w:t>
      </w:r>
      <w:r w:rsidR="007B5FDE" w:rsidDel="00FD3B7A">
        <w:t xml:space="preserve"> </w:t>
      </w:r>
      <w:r w:rsidR="00FD3B7A">
        <w:t xml:space="preserve">But legislative solutions are imperfect, often because technological innovation proceeds much more quickly than statutory innovation. </w:t>
      </w:r>
      <w:r w:rsidR="004B4A6C">
        <w:t xml:space="preserve">Nowhere is this disconnect </w:t>
      </w:r>
      <w:r w:rsidR="004B4A6C">
        <w:lastRenderedPageBreak/>
        <w:t xml:space="preserve">between technology and the positive law more apparent than in how </w:t>
      </w:r>
      <w:r w:rsidR="00E341BB">
        <w:t>the Electronic Communications Privacy Act</w:t>
      </w:r>
      <w:r w:rsidR="008D7107">
        <w:t xml:space="preserve"> (ECPA)</w:t>
      </w:r>
      <w:r w:rsidR="00E341BB" w:rsidRPr="002A4234">
        <w:rPr>
          <w:rStyle w:val="FootnoteReference"/>
        </w:rPr>
        <w:footnoteReference w:id="313"/>
      </w:r>
      <w:r w:rsidR="00E341BB">
        <w:t xml:space="preserve"> handle</w:t>
      </w:r>
      <w:r w:rsidR="00086C62">
        <w:t>s</w:t>
      </w:r>
      <w:r w:rsidR="00E341BB">
        <w:t xml:space="preserve"> email.</w:t>
      </w:r>
      <w:bookmarkStart w:id="78" w:name="_Ref114133070"/>
      <w:r w:rsidR="00833289" w:rsidRPr="002A4234">
        <w:rPr>
          <w:rStyle w:val="FootnoteReference"/>
        </w:rPr>
        <w:footnoteReference w:id="314"/>
      </w:r>
      <w:bookmarkEnd w:id="78"/>
      <w:r w:rsidR="007F4A9C">
        <w:t xml:space="preserve"> Under the ECPA, email left on a third-party server </w:t>
      </w:r>
      <w:r w:rsidR="004A2236">
        <w:t xml:space="preserve">for more than six months </w:t>
      </w:r>
      <w:r w:rsidR="00086C62">
        <w:t xml:space="preserve">is </w:t>
      </w:r>
      <w:r w:rsidR="00E605A7">
        <w:t>cons</w:t>
      </w:r>
      <w:r w:rsidR="00A104B5">
        <w:t xml:space="preserve">idered </w:t>
      </w:r>
      <w:r w:rsidR="00F06135">
        <w:t>abandoned and</w:t>
      </w:r>
      <w:r w:rsidR="004A2236">
        <w:t xml:space="preserve"> therefore subject to search without a warrant.</w:t>
      </w:r>
      <w:r w:rsidR="00DF1F5C" w:rsidRPr="002A4234">
        <w:rPr>
          <w:rStyle w:val="FootnoteReference"/>
        </w:rPr>
        <w:footnoteReference w:id="315"/>
      </w:r>
      <w:r w:rsidR="0065628C">
        <w:t xml:space="preserve"> </w:t>
      </w:r>
      <w:r w:rsidR="00926D1C">
        <w:t>While this framework may have made sense in the early days of email before cloud storage enabled users to store massive amounts of data with their email service providers, it contradicts the expectations of modern users.</w:t>
      </w:r>
      <w:r w:rsidR="00926D1C" w:rsidRPr="002A4234">
        <w:rPr>
          <w:rStyle w:val="FootnoteReference"/>
        </w:rPr>
        <w:footnoteReference w:id="316"/>
      </w:r>
      <w:r w:rsidR="00926D1C">
        <w:t xml:space="preserve"> </w:t>
      </w:r>
      <w:r w:rsidR="00F83BC7">
        <w:t xml:space="preserve">Under this framework, </w:t>
      </w:r>
      <w:r w:rsidR="00976843">
        <w:t xml:space="preserve">the government </w:t>
      </w:r>
      <w:r w:rsidR="00086C62">
        <w:t xml:space="preserve">would need </w:t>
      </w:r>
      <w:r w:rsidR="00976843">
        <w:t xml:space="preserve">no warrant to access emails that </w:t>
      </w:r>
      <w:r w:rsidR="00BD4C3C">
        <w:t>were</w:t>
      </w:r>
      <w:r w:rsidR="00976843">
        <w:t xml:space="preserve"> more than six months old</w:t>
      </w:r>
      <w:r w:rsidR="00C714E5">
        <w:t xml:space="preserve">, </w:t>
      </w:r>
      <w:r w:rsidR="00C2755E">
        <w:t>even if the user saved them to the cloud specifically to preserve access to and control over those files for the indefinite future</w:t>
      </w:r>
      <w:r w:rsidR="00C714E5">
        <w:t>—t</w:t>
      </w:r>
      <w:r w:rsidR="00C2755E">
        <w:t xml:space="preserve">hat is, even if the user </w:t>
      </w:r>
      <w:r w:rsidR="00C300D3">
        <w:t>had</w:t>
      </w:r>
      <w:r w:rsidR="00C2755E">
        <w:t xml:space="preserve"> not abandoned the files under common</w:t>
      </w:r>
      <w:r w:rsidR="00C714E5">
        <w:t>-</w:t>
      </w:r>
      <w:r w:rsidR="00C2755E">
        <w:t>law definitions of abandonment.</w:t>
      </w:r>
      <w:r w:rsidR="00ED2FE1" w:rsidRPr="002A4234">
        <w:rPr>
          <w:rStyle w:val="FootnoteReference"/>
        </w:rPr>
        <w:footnoteReference w:id="317"/>
      </w:r>
    </w:p>
    <w:p w14:paraId="43682789" w14:textId="52041CE2" w:rsidR="007B5FDE" w:rsidRPr="00F07CAF" w:rsidRDefault="00C440A4" w:rsidP="00D63C91">
      <w:pPr>
        <w:pStyle w:val="BodyText"/>
        <w:rPr>
          <w:highlight w:val="magenta"/>
        </w:rPr>
      </w:pPr>
      <w:r>
        <w:t>Despite this statutory regime, s</w:t>
      </w:r>
      <w:r w:rsidR="009A4D1E">
        <w:t>ome courts</w:t>
      </w:r>
      <w:r w:rsidR="00345D74">
        <w:t xml:space="preserve"> </w:t>
      </w:r>
      <w:r w:rsidR="00452744">
        <w:t>have</w:t>
      </w:r>
      <w:r w:rsidR="00A10BAD" w:rsidDel="00FB08B8">
        <w:t xml:space="preserve"> </w:t>
      </w:r>
      <w:r w:rsidR="00FB08B8">
        <w:t xml:space="preserve">ruled </w:t>
      </w:r>
      <w:r w:rsidR="00A10BAD">
        <w:t xml:space="preserve">that the Fourth Amendment protects </w:t>
      </w:r>
      <w:r w:rsidR="00F95CF7">
        <w:t>material</w:t>
      </w:r>
      <w:r w:rsidR="006F5526">
        <w:t>s held in cloud storage</w:t>
      </w:r>
      <w:r w:rsidR="00A10BAD">
        <w:t xml:space="preserve">. In </w:t>
      </w:r>
      <w:r w:rsidR="007671B0" w:rsidRPr="008473C0">
        <w:rPr>
          <w:i/>
          <w:iCs/>
        </w:rPr>
        <w:t>U</w:t>
      </w:r>
      <w:r w:rsidR="00223D28">
        <w:rPr>
          <w:i/>
          <w:iCs/>
        </w:rPr>
        <w:t>nited States</w:t>
      </w:r>
      <w:r w:rsidR="007671B0" w:rsidRPr="008473C0">
        <w:rPr>
          <w:i/>
          <w:iCs/>
        </w:rPr>
        <w:t xml:space="preserve"> v. Warshak</w:t>
      </w:r>
      <w:r w:rsidR="007671B0">
        <w:t>,</w:t>
      </w:r>
      <w:r w:rsidR="008473C0" w:rsidRPr="002A4234">
        <w:rPr>
          <w:rStyle w:val="FootnoteReference"/>
        </w:rPr>
        <w:footnoteReference w:id="318"/>
      </w:r>
      <w:r w:rsidR="007671B0">
        <w:t xml:space="preserve"> the Sixth Circuit </w:t>
      </w:r>
      <w:r w:rsidR="00223D28">
        <w:t>observed</w:t>
      </w:r>
      <w:r w:rsidR="007671B0">
        <w:t xml:space="preserve"> that </w:t>
      </w:r>
      <w:r w:rsidR="008473C0">
        <w:t>“</w:t>
      </w:r>
      <w:r w:rsidR="00223D28">
        <w:t>[g]</w:t>
      </w:r>
      <w:r w:rsidR="008473C0" w:rsidRPr="008473C0">
        <w:t>iven the fundamental similarities between email and traditional forms of communication, it would defy common sense to afford emails lesser Fourth Amendment protection.</w:t>
      </w:r>
      <w:r w:rsidR="008473C0">
        <w:t>”</w:t>
      </w:r>
      <w:r w:rsidR="0001384D" w:rsidRPr="002A4234">
        <w:rPr>
          <w:rStyle w:val="FootnoteReference"/>
        </w:rPr>
        <w:footnoteReference w:id="319"/>
      </w:r>
      <w:r w:rsidR="007671B0">
        <w:t xml:space="preserve"> </w:t>
      </w:r>
      <w:r w:rsidR="007674E3">
        <w:t xml:space="preserve">The court </w:t>
      </w:r>
      <w:r w:rsidR="00DC107A">
        <w:t>further explained that “</w:t>
      </w:r>
      <w:r w:rsidR="00DC107A" w:rsidRPr="00DC107A">
        <w:t>the ISP is the functional equivalent of a post office or a telephone company</w:t>
      </w:r>
      <w:r w:rsidR="004710F2">
        <w:t>.</w:t>
      </w:r>
      <w:r w:rsidR="00E712B0">
        <w:t> </w:t>
      </w:r>
      <w:r w:rsidR="00DC107A" w:rsidRPr="00DC107A" w:rsidDel="00E712B0">
        <w:t>.</w:t>
      </w:r>
      <w:r w:rsidR="00956370">
        <w:t> </w:t>
      </w:r>
      <w:r w:rsidR="007771A3">
        <w:t>.</w:t>
      </w:r>
      <w:r w:rsidR="00956370">
        <w:t> </w:t>
      </w:r>
      <w:r w:rsidR="007771A3">
        <w:t>.</w:t>
      </w:r>
      <w:r w:rsidR="00956370">
        <w:t> </w:t>
      </w:r>
      <w:r w:rsidR="00EB139E">
        <w:t>[T]</w:t>
      </w:r>
      <w:r w:rsidR="00DC107A" w:rsidRPr="00DC107A">
        <w:t>he police may not storm the post office and intercept a letter, and they are likewise forbidden from using the phone system to make a clandestine recording of a telephone call—unless they get a warrant</w:t>
      </w:r>
      <w:r w:rsidR="00DC107A">
        <w:t>.”</w:t>
      </w:r>
      <w:r w:rsidR="00DC107A" w:rsidRPr="002A4234">
        <w:rPr>
          <w:rStyle w:val="FootnoteReference"/>
        </w:rPr>
        <w:footnoteReference w:id="320"/>
      </w:r>
      <w:r w:rsidR="0010471C">
        <w:t xml:space="preserve"> In other words, </w:t>
      </w:r>
      <w:r w:rsidR="004D172B">
        <w:t>email users have a reasonable expectation of privacy in the contents of their email.</w:t>
      </w:r>
    </w:p>
    <w:p w14:paraId="7A62A093" w14:textId="45C434AC" w:rsidR="000A7942" w:rsidRDefault="00F02B89" w:rsidP="00C8112D">
      <w:pPr>
        <w:pStyle w:val="BodyText"/>
      </w:pPr>
      <w:r w:rsidRPr="00EF6222">
        <w:t xml:space="preserve">The </w:t>
      </w:r>
      <w:r w:rsidR="00CF4740">
        <w:t>general</w:t>
      </w:r>
      <w:r w:rsidR="00CF4740" w:rsidRPr="00C92ACB">
        <w:t>-</w:t>
      </w:r>
      <w:r w:rsidR="00CF4740">
        <w:t>law approach</w:t>
      </w:r>
      <w:r w:rsidRPr="00EF6222">
        <w:t xml:space="preserve"> would yield the same result as </w:t>
      </w:r>
      <w:r w:rsidR="002D12D0" w:rsidRPr="00EF6222">
        <w:rPr>
          <w:i/>
          <w:iCs/>
        </w:rPr>
        <w:t>W</w:t>
      </w:r>
      <w:r w:rsidRPr="00EF6222">
        <w:rPr>
          <w:i/>
          <w:iCs/>
        </w:rPr>
        <w:t>arshak</w:t>
      </w:r>
      <w:r w:rsidRPr="00EF6222">
        <w:t xml:space="preserve">, </w:t>
      </w:r>
      <w:r w:rsidR="00EF6222" w:rsidRPr="00EF6222">
        <w:t>but th</w:t>
      </w:r>
      <w:r w:rsidR="001C729C">
        <w:t>r</w:t>
      </w:r>
      <w:r w:rsidR="00EF6222" w:rsidRPr="00EF6222">
        <w:t>ough property concept</w:t>
      </w:r>
      <w:r w:rsidR="001C729C">
        <w:t>s</w:t>
      </w:r>
      <w:r w:rsidR="00EF6222" w:rsidRPr="00EF6222">
        <w:t xml:space="preserve"> </w:t>
      </w:r>
      <w:r w:rsidR="00E27E8E">
        <w:t>rather than</w:t>
      </w:r>
      <w:r w:rsidR="00EF6222" w:rsidRPr="00EF6222">
        <w:t xml:space="preserve"> privacy</w:t>
      </w:r>
      <w:r w:rsidRPr="00EF6222">
        <w:t>.</w:t>
      </w:r>
      <w:r w:rsidR="000A7942">
        <w:t xml:space="preserve"> Property would be a more predictable foundation because it avoids</w:t>
      </w:r>
      <w:r w:rsidR="004A08FD">
        <w:t xml:space="preserve"> the most difficult ambiguities in privacy analysis. </w:t>
      </w:r>
      <w:r w:rsidR="00C74213">
        <w:t>Property asks whether the defendant</w:t>
      </w:r>
      <w:r w:rsidR="007819DF">
        <w:t>s</w:t>
      </w:r>
      <w:r w:rsidR="00C74213">
        <w:t xml:space="preserve"> had a right to exclude </w:t>
      </w:r>
      <w:r w:rsidR="007819DF">
        <w:t>others from their digitally</w:t>
      </w:r>
      <w:r w:rsidR="001469A7">
        <w:t xml:space="preserve"> </w:t>
      </w:r>
      <w:r w:rsidR="007819DF">
        <w:t>stored files and if so, whether that right was violated</w:t>
      </w:r>
      <w:r w:rsidR="0036259C">
        <w:t xml:space="preserve">. </w:t>
      </w:r>
      <w:r w:rsidR="004B1004">
        <w:t>T</w:t>
      </w:r>
      <w:r w:rsidR="00A47607">
        <w:t>hus</w:t>
      </w:r>
      <w:r w:rsidR="0036259C">
        <w:t xml:space="preserve">, it would treat digital files on a server the same way that it treats files </w:t>
      </w:r>
      <w:r w:rsidR="00D95F5C">
        <w:t xml:space="preserve">hanging in an office </w:t>
      </w:r>
      <w:r w:rsidR="00D95F5C">
        <w:lastRenderedPageBreak/>
        <w:t>drawer</w:t>
      </w:r>
      <w:r w:rsidR="000D2841">
        <w:t xml:space="preserve"> and protect them from warrantless searches</w:t>
      </w:r>
      <w:r w:rsidR="00D95F5C">
        <w:t>. And if th</w:t>
      </w:r>
      <w:r w:rsidR="00485CDB">
        <w:t xml:space="preserve">e desired digital </w:t>
      </w:r>
      <w:r w:rsidR="00D95F5C">
        <w:t xml:space="preserve">files are on a third party’s cloud server, courts </w:t>
      </w:r>
      <w:r w:rsidR="0052752B">
        <w:t>could</w:t>
      </w:r>
      <w:r w:rsidR="00D95F5C">
        <w:t xml:space="preserve"> look to the law of bailment just as they would if the </w:t>
      </w:r>
      <w:r w:rsidR="00485CDB">
        <w:t xml:space="preserve">files were </w:t>
      </w:r>
      <w:r w:rsidR="00516F9A">
        <w:t>stored</w:t>
      </w:r>
      <w:r w:rsidR="00485CDB">
        <w:t xml:space="preserve"> in a commercial warehouse.</w:t>
      </w:r>
    </w:p>
    <w:p w14:paraId="2DB28091" w14:textId="68BD7F6F" w:rsidR="000F2DA4" w:rsidRDefault="004869BD" w:rsidP="000F2DA4">
      <w:pPr>
        <w:pStyle w:val="Heading2"/>
        <w:rPr>
          <w:i/>
          <w:iCs/>
        </w:rPr>
      </w:pPr>
      <w:bookmarkStart w:id="79" w:name="_Toc96093557"/>
      <w:bookmarkStart w:id="80" w:name="_Toc111723686"/>
      <w:r w:rsidRPr="00026F09">
        <w:rPr>
          <w:i/>
          <w:iCs/>
        </w:rPr>
        <w:t>Bailments</w:t>
      </w:r>
      <w:bookmarkEnd w:id="79"/>
      <w:bookmarkEnd w:id="80"/>
    </w:p>
    <w:p w14:paraId="47B08001" w14:textId="226EC906" w:rsidR="00BB749F" w:rsidRDefault="00EE2F7D" w:rsidP="009F0C6A">
      <w:pPr>
        <w:pStyle w:val="BodyText"/>
        <w:rPr>
          <w:lang w:eastAsia="ja-JP"/>
        </w:rPr>
      </w:pPr>
      <w:r>
        <w:rPr>
          <w:lang w:eastAsia="ja-JP"/>
        </w:rPr>
        <w:t xml:space="preserve">Bailment is another area in which the </w:t>
      </w:r>
      <w:r w:rsidR="00CF4740">
        <w:rPr>
          <w:lang w:eastAsia="ja-JP"/>
        </w:rPr>
        <w:t>general-law approach</w:t>
      </w:r>
      <w:r>
        <w:rPr>
          <w:lang w:eastAsia="ja-JP"/>
        </w:rPr>
        <w:t xml:space="preserve"> to the Fourth Amendment would potentially depart from </w:t>
      </w:r>
      <w:r w:rsidR="00557BAD">
        <w:rPr>
          <w:lang w:eastAsia="ja-JP"/>
        </w:rPr>
        <w:t xml:space="preserve">existing doctrine. </w:t>
      </w:r>
      <w:r w:rsidR="00556ED0">
        <w:rPr>
          <w:lang w:eastAsia="ja-JP"/>
        </w:rPr>
        <w:t xml:space="preserve"> The general law would use bailment to determine when </w:t>
      </w:r>
      <w:r w:rsidR="006E0290">
        <w:rPr>
          <w:lang w:eastAsia="ja-JP"/>
        </w:rPr>
        <w:t xml:space="preserve">law enforcement needs a warrant to search a defendant’s property </w:t>
      </w:r>
      <w:r w:rsidR="004826FE">
        <w:rPr>
          <w:lang w:eastAsia="ja-JP"/>
        </w:rPr>
        <w:t>held by a third party</w:t>
      </w:r>
      <w:r w:rsidR="006E0290">
        <w:rPr>
          <w:lang w:eastAsia="ja-JP"/>
        </w:rPr>
        <w:t xml:space="preserve">. </w:t>
      </w:r>
      <w:r w:rsidR="00BB749F">
        <w:rPr>
          <w:lang w:eastAsia="ja-JP"/>
        </w:rPr>
        <w:t xml:space="preserve">This approach would center </w:t>
      </w:r>
      <w:r w:rsidR="00BD3DC5">
        <w:rPr>
          <w:lang w:eastAsia="ja-JP"/>
        </w:rPr>
        <w:t>on</w:t>
      </w:r>
      <w:r w:rsidR="00BB749F">
        <w:rPr>
          <w:lang w:eastAsia="ja-JP"/>
        </w:rPr>
        <w:t xml:space="preserve"> who had the right to exclude whom, largely eschewing </w:t>
      </w:r>
      <w:r w:rsidR="003B3A55">
        <w:rPr>
          <w:lang w:eastAsia="ja-JP"/>
        </w:rPr>
        <w:t>the maligned “third-</w:t>
      </w:r>
      <w:r w:rsidR="00BB749F">
        <w:rPr>
          <w:lang w:eastAsia="ja-JP"/>
        </w:rPr>
        <w:t>party doctrine</w:t>
      </w:r>
      <w:r w:rsidR="003B3A55">
        <w:rPr>
          <w:lang w:eastAsia="ja-JP"/>
        </w:rPr>
        <w:t xml:space="preserve">,” under which </w:t>
      </w:r>
      <w:r w:rsidR="0028323B">
        <w:rPr>
          <w:lang w:eastAsia="ja-JP"/>
        </w:rPr>
        <w:t>a person forfeits her expectation of privacy in information held by a third part</w:t>
      </w:r>
      <w:r w:rsidR="007F2985">
        <w:rPr>
          <w:lang w:eastAsia="ja-JP"/>
        </w:rPr>
        <w:t>y</w:t>
      </w:r>
      <w:r w:rsidR="00BB749F">
        <w:rPr>
          <w:lang w:eastAsia="ja-JP"/>
        </w:rPr>
        <w:t>.</w:t>
      </w:r>
      <w:r w:rsidR="00446293" w:rsidRPr="002A4234">
        <w:rPr>
          <w:rStyle w:val="FootnoteReference"/>
        </w:rPr>
        <w:footnoteReference w:id="321"/>
      </w:r>
    </w:p>
    <w:p w14:paraId="74F07BEA" w14:textId="29CBCD30" w:rsidR="00BB749F" w:rsidRDefault="003537AA" w:rsidP="00BB749F">
      <w:pPr>
        <w:pStyle w:val="Heading3"/>
      </w:pPr>
      <w:bookmarkStart w:id="81" w:name="_Toc111723687"/>
      <w:r>
        <w:t>Tangibles</w:t>
      </w:r>
      <w:bookmarkEnd w:id="81"/>
    </w:p>
    <w:p w14:paraId="6EC53C75" w14:textId="3CF378B0" w:rsidR="00267A25" w:rsidRDefault="003D2751" w:rsidP="009F0C6A">
      <w:pPr>
        <w:pStyle w:val="BodyText"/>
        <w:rPr>
          <w:lang w:eastAsia="ja-JP"/>
        </w:rPr>
      </w:pPr>
      <w:r w:rsidRPr="003D2751">
        <w:rPr>
          <w:lang w:eastAsia="ja-JP"/>
        </w:rPr>
        <w:t xml:space="preserve">At common law, bailment covered </w:t>
      </w:r>
      <w:r w:rsidR="00D73FCB">
        <w:rPr>
          <w:lang w:eastAsia="ja-JP"/>
        </w:rPr>
        <w:t xml:space="preserve">any </w:t>
      </w:r>
      <w:r w:rsidRPr="003D2751">
        <w:rPr>
          <w:lang w:eastAsia="ja-JP"/>
        </w:rPr>
        <w:t xml:space="preserve">transactions in which </w:t>
      </w:r>
      <w:r w:rsidR="00D73FCB">
        <w:rPr>
          <w:lang w:eastAsia="ja-JP"/>
        </w:rPr>
        <w:t>one party</w:t>
      </w:r>
      <w:r w:rsidR="00DC7739">
        <w:rPr>
          <w:lang w:eastAsia="ja-JP"/>
        </w:rPr>
        <w:t xml:space="preserve"> </w:t>
      </w:r>
      <w:r w:rsidR="00816DFA">
        <w:rPr>
          <w:lang w:eastAsia="ja-JP"/>
        </w:rPr>
        <w:t>temporarily delivered property to another with the expectation that the property be returned at a later time</w:t>
      </w:r>
      <w:r w:rsidR="00DC7739">
        <w:rPr>
          <w:lang w:eastAsia="ja-JP"/>
        </w:rPr>
        <w:t>.</w:t>
      </w:r>
      <w:bookmarkStart w:id="82" w:name="_Ref113028700"/>
      <w:r w:rsidR="00816DFA" w:rsidRPr="002A4234">
        <w:rPr>
          <w:rStyle w:val="FootnoteReference"/>
        </w:rPr>
        <w:footnoteReference w:id="322"/>
      </w:r>
      <w:bookmarkEnd w:id="82"/>
      <w:r w:rsidR="00F960A7">
        <w:rPr>
          <w:lang w:eastAsia="ja-JP"/>
        </w:rPr>
        <w:t xml:space="preserve"> </w:t>
      </w:r>
      <w:r w:rsidR="00222BF9">
        <w:rPr>
          <w:lang w:eastAsia="ja-JP"/>
        </w:rPr>
        <w:t>Bailments thus included a range of transactions</w:t>
      </w:r>
      <w:r w:rsidR="008C497C">
        <w:rPr>
          <w:lang w:eastAsia="ja-JP"/>
        </w:rPr>
        <w:t>,</w:t>
      </w:r>
      <w:r w:rsidR="00222BF9">
        <w:rPr>
          <w:lang w:eastAsia="ja-JP"/>
        </w:rPr>
        <w:t xml:space="preserve"> from </w:t>
      </w:r>
      <w:r w:rsidR="00DA6983">
        <w:rPr>
          <w:lang w:eastAsia="ja-JP"/>
        </w:rPr>
        <w:t xml:space="preserve">the paradigmatic case of </w:t>
      </w:r>
      <w:r w:rsidR="00222BF9">
        <w:rPr>
          <w:lang w:eastAsia="ja-JP"/>
        </w:rPr>
        <w:t>entrusting a horse to an innkeeper</w:t>
      </w:r>
      <w:r w:rsidR="00DA6983">
        <w:rPr>
          <w:lang w:eastAsia="ja-JP"/>
        </w:rPr>
        <w:t>,</w:t>
      </w:r>
      <w:r w:rsidR="00F2621F" w:rsidRPr="002A4234">
        <w:rPr>
          <w:rStyle w:val="FootnoteReference"/>
        </w:rPr>
        <w:footnoteReference w:id="323"/>
      </w:r>
      <w:r w:rsidR="00DA6983">
        <w:rPr>
          <w:lang w:eastAsia="ja-JP"/>
        </w:rPr>
        <w:t xml:space="preserve"> parking a car in a secure garage,</w:t>
      </w:r>
      <w:r w:rsidR="00F2621F" w:rsidRPr="002A4234">
        <w:rPr>
          <w:rStyle w:val="FootnoteReference"/>
        </w:rPr>
        <w:footnoteReference w:id="324"/>
      </w:r>
      <w:r w:rsidR="00DA6983">
        <w:rPr>
          <w:lang w:eastAsia="ja-JP"/>
        </w:rPr>
        <w:t xml:space="preserve"> </w:t>
      </w:r>
      <w:r w:rsidR="006C7F5D">
        <w:rPr>
          <w:lang w:eastAsia="ja-JP"/>
        </w:rPr>
        <w:t>shipping,</w:t>
      </w:r>
      <w:r w:rsidR="00105405" w:rsidRPr="002A4234">
        <w:rPr>
          <w:rStyle w:val="FootnoteReference"/>
        </w:rPr>
        <w:footnoteReference w:id="325"/>
      </w:r>
      <w:r w:rsidR="006C7F5D">
        <w:rPr>
          <w:lang w:eastAsia="ja-JP"/>
        </w:rPr>
        <w:t xml:space="preserve"> warehousing,</w:t>
      </w:r>
      <w:r w:rsidR="00585B58" w:rsidRPr="002A4234">
        <w:rPr>
          <w:rStyle w:val="FootnoteReference"/>
        </w:rPr>
        <w:footnoteReference w:id="326"/>
      </w:r>
      <w:r w:rsidR="006C7F5D">
        <w:rPr>
          <w:lang w:eastAsia="ja-JP"/>
        </w:rPr>
        <w:t xml:space="preserve"> renting </w:t>
      </w:r>
      <w:r w:rsidR="00675FB6">
        <w:rPr>
          <w:lang w:eastAsia="ja-JP"/>
        </w:rPr>
        <w:t xml:space="preserve">a </w:t>
      </w:r>
      <w:r w:rsidR="004F046F">
        <w:rPr>
          <w:lang w:eastAsia="ja-JP"/>
        </w:rPr>
        <w:t>truck</w:t>
      </w:r>
      <w:r w:rsidR="006C7F5D">
        <w:rPr>
          <w:lang w:eastAsia="ja-JP"/>
        </w:rPr>
        <w:t>,</w:t>
      </w:r>
      <w:r w:rsidR="00704EAF" w:rsidRPr="002A4234">
        <w:rPr>
          <w:rStyle w:val="FootnoteReference"/>
        </w:rPr>
        <w:footnoteReference w:id="327"/>
      </w:r>
      <w:r w:rsidR="006C7F5D">
        <w:rPr>
          <w:lang w:eastAsia="ja-JP"/>
        </w:rPr>
        <w:t xml:space="preserve"> </w:t>
      </w:r>
      <w:r w:rsidR="005254E9">
        <w:rPr>
          <w:lang w:eastAsia="ja-JP"/>
        </w:rPr>
        <w:t xml:space="preserve">and </w:t>
      </w:r>
      <w:r w:rsidR="00EA242B">
        <w:rPr>
          <w:lang w:eastAsia="ja-JP"/>
        </w:rPr>
        <w:t>pawning property,</w:t>
      </w:r>
      <w:r w:rsidR="00EA242B" w:rsidRPr="002A4234">
        <w:rPr>
          <w:rStyle w:val="FootnoteReference"/>
        </w:rPr>
        <w:footnoteReference w:id="328"/>
      </w:r>
      <w:r w:rsidR="003359EB">
        <w:rPr>
          <w:lang w:eastAsia="ja-JP"/>
        </w:rPr>
        <w:t xml:space="preserve"> </w:t>
      </w:r>
      <w:r w:rsidR="00675FB6">
        <w:rPr>
          <w:lang w:eastAsia="ja-JP"/>
        </w:rPr>
        <w:t>to walking a friend’s dog</w:t>
      </w:r>
      <w:r w:rsidR="00895688">
        <w:rPr>
          <w:lang w:eastAsia="ja-JP"/>
        </w:rPr>
        <w:t>.</w:t>
      </w:r>
      <w:r w:rsidR="00337F5F" w:rsidRPr="002A4234">
        <w:rPr>
          <w:rStyle w:val="FootnoteReference"/>
        </w:rPr>
        <w:footnoteReference w:id="329"/>
      </w:r>
      <w:r w:rsidR="008F26C4">
        <w:rPr>
          <w:lang w:eastAsia="ja-JP"/>
        </w:rPr>
        <w:t xml:space="preserve"> </w:t>
      </w:r>
      <w:r w:rsidR="00DB659D">
        <w:rPr>
          <w:lang w:eastAsia="ja-JP"/>
        </w:rPr>
        <w:t>Courts have even extended the doctrine to cover found property.</w:t>
      </w:r>
      <w:r w:rsidR="00DB659D" w:rsidRPr="002A4234">
        <w:rPr>
          <w:rStyle w:val="FootnoteReference"/>
        </w:rPr>
        <w:footnoteReference w:id="330"/>
      </w:r>
      <w:r w:rsidR="00DB659D">
        <w:rPr>
          <w:lang w:eastAsia="ja-JP"/>
        </w:rPr>
        <w:t xml:space="preserve"> </w:t>
      </w:r>
      <w:r w:rsidR="008F26C4">
        <w:rPr>
          <w:lang w:eastAsia="ja-JP"/>
        </w:rPr>
        <w:t xml:space="preserve">In each case, the bailor is the owner of the property and the bailee is the party temporarily in possession of </w:t>
      </w:r>
      <w:r w:rsidR="000113C3">
        <w:rPr>
          <w:lang w:eastAsia="ja-JP"/>
        </w:rPr>
        <w:t>it</w:t>
      </w:r>
      <w:r w:rsidR="008F26C4">
        <w:rPr>
          <w:lang w:eastAsia="ja-JP"/>
        </w:rPr>
        <w:t xml:space="preserve">. </w:t>
      </w:r>
      <w:r w:rsidR="00F5048A">
        <w:rPr>
          <w:lang w:eastAsia="ja-JP"/>
        </w:rPr>
        <w:t>A b</w:t>
      </w:r>
      <w:r w:rsidR="00502319">
        <w:rPr>
          <w:lang w:eastAsia="ja-JP"/>
        </w:rPr>
        <w:t xml:space="preserve">ailee owes </w:t>
      </w:r>
      <w:r w:rsidR="00F5048A">
        <w:rPr>
          <w:lang w:eastAsia="ja-JP"/>
        </w:rPr>
        <w:t>the</w:t>
      </w:r>
      <w:r w:rsidR="00502319">
        <w:rPr>
          <w:lang w:eastAsia="ja-JP"/>
        </w:rPr>
        <w:t xml:space="preserve"> </w:t>
      </w:r>
      <w:r w:rsidR="007732FA">
        <w:rPr>
          <w:lang w:eastAsia="ja-JP"/>
        </w:rPr>
        <w:t>b</w:t>
      </w:r>
      <w:r w:rsidR="00502319">
        <w:rPr>
          <w:lang w:eastAsia="ja-JP"/>
        </w:rPr>
        <w:t>ailor a duty to return the property in</w:t>
      </w:r>
      <w:r w:rsidR="007732FA">
        <w:rPr>
          <w:lang w:eastAsia="ja-JP"/>
        </w:rPr>
        <w:t xml:space="preserve"> the agreed</w:t>
      </w:r>
      <w:r w:rsidR="00F5048A">
        <w:rPr>
          <w:lang w:eastAsia="ja-JP"/>
        </w:rPr>
        <w:t>-</w:t>
      </w:r>
      <w:r w:rsidR="007732FA">
        <w:rPr>
          <w:lang w:eastAsia="ja-JP"/>
        </w:rPr>
        <w:t xml:space="preserve">upon condition and is liable if </w:t>
      </w:r>
      <w:r w:rsidR="00F5048A">
        <w:rPr>
          <w:lang w:eastAsia="ja-JP"/>
        </w:rPr>
        <w:t>she</w:t>
      </w:r>
      <w:r w:rsidR="007732FA">
        <w:rPr>
          <w:lang w:eastAsia="ja-JP"/>
        </w:rPr>
        <w:t xml:space="preserve"> </w:t>
      </w:r>
      <w:r w:rsidR="00F5048A">
        <w:rPr>
          <w:lang w:eastAsia="ja-JP"/>
        </w:rPr>
        <w:t>does not</w:t>
      </w:r>
      <w:r w:rsidR="007732FA">
        <w:rPr>
          <w:lang w:eastAsia="ja-JP"/>
        </w:rPr>
        <w:t>.</w:t>
      </w:r>
      <w:r w:rsidR="005F37D9" w:rsidRPr="002A4234">
        <w:rPr>
          <w:rStyle w:val="FootnoteReference"/>
        </w:rPr>
        <w:footnoteReference w:id="331"/>
      </w:r>
    </w:p>
    <w:p w14:paraId="54449BC8" w14:textId="3EE86750" w:rsidR="00267A25" w:rsidRDefault="00F22CE7" w:rsidP="009F0C6A">
      <w:pPr>
        <w:pStyle w:val="BodyText"/>
        <w:rPr>
          <w:lang w:eastAsia="ja-JP"/>
        </w:rPr>
      </w:pPr>
      <w:r w:rsidRPr="00E25D8A">
        <w:rPr>
          <w:lang w:eastAsia="ja-JP"/>
        </w:rPr>
        <w:t>Bailment</w:t>
      </w:r>
      <w:r w:rsidR="00547FBA">
        <w:rPr>
          <w:lang w:eastAsia="ja-JP"/>
        </w:rPr>
        <w:t>’s relationship to Fourth Amendment rights went mostly unexplored</w:t>
      </w:r>
      <w:r w:rsidR="00742DDB">
        <w:rPr>
          <w:lang w:eastAsia="ja-JP"/>
        </w:rPr>
        <w:t xml:space="preserve"> </w:t>
      </w:r>
      <w:r w:rsidRPr="00E25D8A">
        <w:rPr>
          <w:lang w:eastAsia="ja-JP"/>
        </w:rPr>
        <w:t xml:space="preserve">until </w:t>
      </w:r>
      <w:r w:rsidR="00306908" w:rsidRPr="00E25D8A">
        <w:rPr>
          <w:lang w:eastAsia="ja-JP"/>
        </w:rPr>
        <w:t xml:space="preserve">Justice Gorsuch </w:t>
      </w:r>
      <w:r w:rsidR="007324FC" w:rsidRPr="00E25D8A">
        <w:rPr>
          <w:lang w:eastAsia="ja-JP"/>
        </w:rPr>
        <w:t>raised it in</w:t>
      </w:r>
      <w:r w:rsidR="007324FC">
        <w:rPr>
          <w:lang w:eastAsia="ja-JP"/>
        </w:rPr>
        <w:t xml:space="preserve"> his dissent in </w:t>
      </w:r>
      <w:r w:rsidR="00DC2AA2">
        <w:rPr>
          <w:i/>
          <w:iCs/>
          <w:lang w:eastAsia="ja-JP"/>
        </w:rPr>
        <w:t>Carpenter</w:t>
      </w:r>
      <w:r w:rsidR="00282650">
        <w:rPr>
          <w:lang w:eastAsia="ja-JP"/>
        </w:rPr>
        <w:t xml:space="preserve"> as a counter to the third-</w:t>
      </w:r>
      <w:r w:rsidR="00282650">
        <w:rPr>
          <w:lang w:eastAsia="ja-JP"/>
        </w:rPr>
        <w:lastRenderedPageBreak/>
        <w:t>party doctrine.</w:t>
      </w:r>
      <w:r w:rsidR="00784186" w:rsidRPr="002A4234">
        <w:rPr>
          <w:rStyle w:val="FootnoteReference"/>
        </w:rPr>
        <w:footnoteReference w:id="332"/>
      </w:r>
      <w:r w:rsidR="00282650">
        <w:rPr>
          <w:lang w:eastAsia="ja-JP"/>
        </w:rPr>
        <w:t xml:space="preserve"> He explained</w:t>
      </w:r>
      <w:r w:rsidR="00C65358">
        <w:rPr>
          <w:lang w:eastAsia="ja-JP"/>
        </w:rPr>
        <w:t xml:space="preserve"> that</w:t>
      </w:r>
      <w:r w:rsidR="00282650">
        <w:rPr>
          <w:lang w:eastAsia="ja-JP"/>
        </w:rPr>
        <w:t xml:space="preserve"> “</w:t>
      </w:r>
      <w:r w:rsidR="00282650" w:rsidRPr="00282650">
        <w:rPr>
          <w:lang w:eastAsia="ja-JP"/>
        </w:rPr>
        <w:t>the fact that a third party has access to or possession of your papers and effects does not necessarily eliminate your interest in them</w:t>
      </w:r>
      <w:r w:rsidR="00461A31">
        <w:rPr>
          <w:lang w:eastAsia="ja-JP"/>
        </w:rPr>
        <w:t>.”</w:t>
      </w:r>
      <w:r w:rsidR="00461A31" w:rsidRPr="002A4234">
        <w:rPr>
          <w:rStyle w:val="FootnoteReference"/>
        </w:rPr>
        <w:footnoteReference w:id="333"/>
      </w:r>
      <w:r w:rsidR="00C9110F">
        <w:rPr>
          <w:lang w:eastAsia="ja-JP"/>
        </w:rPr>
        <w:t xml:space="preserve"> </w:t>
      </w:r>
      <w:r w:rsidR="002B1565">
        <w:rPr>
          <w:lang w:eastAsia="ja-JP"/>
        </w:rPr>
        <w:t>Indeed, as</w:t>
      </w:r>
      <w:r w:rsidR="00CA48CA">
        <w:rPr>
          <w:lang w:eastAsia="ja-JP"/>
        </w:rPr>
        <w:t xml:space="preserve"> </w:t>
      </w:r>
      <w:r w:rsidR="00446293">
        <w:rPr>
          <w:lang w:eastAsia="ja-JP"/>
        </w:rPr>
        <w:t>he</w:t>
      </w:r>
      <w:r w:rsidR="002B1565">
        <w:rPr>
          <w:lang w:eastAsia="ja-JP"/>
        </w:rPr>
        <w:t xml:space="preserve"> </w:t>
      </w:r>
      <w:r w:rsidR="00CA48CA">
        <w:rPr>
          <w:lang w:eastAsia="ja-JP"/>
        </w:rPr>
        <w:t>observed</w:t>
      </w:r>
      <w:r w:rsidR="002B1565">
        <w:rPr>
          <w:lang w:eastAsia="ja-JP"/>
        </w:rPr>
        <w:t xml:space="preserve">, even bailing </w:t>
      </w:r>
      <w:r w:rsidR="00C5493D">
        <w:rPr>
          <w:lang w:eastAsia="ja-JP"/>
        </w:rPr>
        <w:t xml:space="preserve">one’s papers to the government, by depositing them in the mail, does not </w:t>
      </w:r>
      <w:r w:rsidR="00FE4A2A">
        <w:rPr>
          <w:lang w:eastAsia="ja-JP"/>
        </w:rPr>
        <w:t xml:space="preserve">grant the government the right to search the letters </w:t>
      </w:r>
      <w:r w:rsidR="00B87AEA">
        <w:rPr>
          <w:lang w:eastAsia="ja-JP"/>
        </w:rPr>
        <w:t>“</w:t>
      </w:r>
      <w:r w:rsidR="00B87AEA" w:rsidRPr="00B87AEA">
        <w:rPr>
          <w:lang w:eastAsia="ja-JP"/>
        </w:rPr>
        <w:t>e</w:t>
      </w:r>
      <w:r w:rsidR="00441E27">
        <w:rPr>
          <w:lang w:eastAsia="ja-JP"/>
        </w:rPr>
        <w:t>x</w:t>
      </w:r>
      <w:r w:rsidR="00B87AEA" w:rsidRPr="00B87AEA">
        <w:rPr>
          <w:lang w:eastAsia="ja-JP"/>
        </w:rPr>
        <w:t>cept as to their outward form and weight</w:t>
      </w:r>
      <w:r w:rsidR="00B87AEA">
        <w:rPr>
          <w:lang w:eastAsia="ja-JP"/>
        </w:rPr>
        <w:t>.”</w:t>
      </w:r>
      <w:r w:rsidR="00B87AEA" w:rsidRPr="002A4234">
        <w:rPr>
          <w:rStyle w:val="FootnoteReference"/>
        </w:rPr>
        <w:footnoteReference w:id="334"/>
      </w:r>
      <w:r w:rsidR="00783B3F">
        <w:rPr>
          <w:lang w:eastAsia="ja-JP"/>
        </w:rPr>
        <w:t xml:space="preserve"> </w:t>
      </w:r>
      <w:r w:rsidR="00CA7118">
        <w:rPr>
          <w:lang w:eastAsia="ja-JP"/>
        </w:rPr>
        <w:t xml:space="preserve">Notwithstanding the bailment to the </w:t>
      </w:r>
      <w:r w:rsidR="00441E27">
        <w:rPr>
          <w:lang w:eastAsia="ja-JP"/>
        </w:rPr>
        <w:t>P</w:t>
      </w:r>
      <w:r w:rsidR="007B00F6">
        <w:rPr>
          <w:lang w:eastAsia="ja-JP"/>
        </w:rPr>
        <w:t xml:space="preserve">ostal </w:t>
      </w:r>
      <w:r w:rsidR="009C2826">
        <w:rPr>
          <w:lang w:eastAsia="ja-JP"/>
        </w:rPr>
        <w:t>S</w:t>
      </w:r>
      <w:r w:rsidR="007B00F6">
        <w:rPr>
          <w:lang w:eastAsia="ja-JP"/>
        </w:rPr>
        <w:t>ervice, the Fourth Amendment protects the letters “</w:t>
      </w:r>
      <w:r w:rsidR="007B00F6" w:rsidRPr="007B00F6">
        <w:rPr>
          <w:lang w:eastAsia="ja-JP"/>
        </w:rPr>
        <w:t>as if they were retained by the parties forwarding</w:t>
      </w:r>
      <w:r w:rsidR="007B00F6">
        <w:rPr>
          <w:lang w:eastAsia="ja-JP"/>
        </w:rPr>
        <w:t xml:space="preserve"> </w:t>
      </w:r>
      <w:r w:rsidR="007B00F6" w:rsidRPr="007B00F6">
        <w:rPr>
          <w:lang w:eastAsia="ja-JP"/>
        </w:rPr>
        <w:t>them in their own domiciles</w:t>
      </w:r>
      <w:r w:rsidR="007B00F6">
        <w:rPr>
          <w:lang w:eastAsia="ja-JP"/>
        </w:rPr>
        <w:t>.”</w:t>
      </w:r>
      <w:r w:rsidR="007B00F6" w:rsidRPr="002A4234">
        <w:rPr>
          <w:rStyle w:val="FootnoteReference"/>
        </w:rPr>
        <w:footnoteReference w:id="335"/>
      </w:r>
    </w:p>
    <w:p w14:paraId="7A98C5EB" w14:textId="753D0D32" w:rsidR="00186DE5" w:rsidRDefault="00186DE5" w:rsidP="009F0C6A">
      <w:pPr>
        <w:pStyle w:val="BodyText"/>
        <w:rPr>
          <w:lang w:eastAsia="ja-JP"/>
        </w:rPr>
      </w:pPr>
      <w:r>
        <w:rPr>
          <w:lang w:eastAsia="ja-JP"/>
        </w:rPr>
        <w:t xml:space="preserve">That bailment would not expose a bailor to governmental search is consistent with </w:t>
      </w:r>
      <w:r w:rsidR="00C65358">
        <w:rPr>
          <w:lang w:eastAsia="ja-JP"/>
        </w:rPr>
        <w:t>the common law’s</w:t>
      </w:r>
      <w:r w:rsidR="007B2ABE">
        <w:rPr>
          <w:lang w:eastAsia="ja-JP"/>
        </w:rPr>
        <w:t xml:space="preserve"> </w:t>
      </w:r>
      <w:r w:rsidR="00C65358">
        <w:rPr>
          <w:lang w:eastAsia="ja-JP"/>
        </w:rPr>
        <w:t>treatment</w:t>
      </w:r>
      <w:r w:rsidR="007B2ABE">
        <w:rPr>
          <w:lang w:eastAsia="ja-JP"/>
        </w:rPr>
        <w:t xml:space="preserve"> </w:t>
      </w:r>
      <w:r w:rsidR="00C65358">
        <w:rPr>
          <w:lang w:eastAsia="ja-JP"/>
        </w:rPr>
        <w:t>of</w:t>
      </w:r>
      <w:r w:rsidR="007B2ABE">
        <w:rPr>
          <w:lang w:eastAsia="ja-JP"/>
        </w:rPr>
        <w:t xml:space="preserve"> bailees who “break bulk”—open bailed packages—without permission of the bailor</w:t>
      </w:r>
      <w:r w:rsidR="00D9711B">
        <w:rPr>
          <w:lang w:eastAsia="ja-JP"/>
        </w:rPr>
        <w:t>.</w:t>
      </w:r>
      <w:r w:rsidR="00395788">
        <w:rPr>
          <w:lang w:eastAsia="ja-JP"/>
        </w:rPr>
        <w:t xml:space="preserve"> </w:t>
      </w:r>
      <w:r w:rsidR="006F3E0E">
        <w:rPr>
          <w:lang w:eastAsia="ja-JP"/>
        </w:rPr>
        <w:t xml:space="preserve">At common law, breaking bulk was </w:t>
      </w:r>
      <w:r w:rsidR="006508D2">
        <w:rPr>
          <w:lang w:eastAsia="ja-JP"/>
        </w:rPr>
        <w:t>required for</w:t>
      </w:r>
      <w:r w:rsidR="00673F5C">
        <w:rPr>
          <w:lang w:eastAsia="ja-JP"/>
        </w:rPr>
        <w:t xml:space="preserve"> a bailee to be guilty of lar</w:t>
      </w:r>
      <w:r w:rsidR="00F671F2">
        <w:rPr>
          <w:lang w:eastAsia="ja-JP"/>
        </w:rPr>
        <w:t>ceny</w:t>
      </w:r>
      <w:r w:rsidR="002C1EAA">
        <w:rPr>
          <w:lang w:eastAsia="ja-JP"/>
        </w:rPr>
        <w:t xml:space="preserve">. </w:t>
      </w:r>
      <w:r w:rsidR="00102572">
        <w:rPr>
          <w:lang w:eastAsia="ja-JP"/>
        </w:rPr>
        <w:t xml:space="preserve">Blackstone </w:t>
      </w:r>
      <w:r w:rsidR="004B3725">
        <w:rPr>
          <w:lang w:eastAsia="ja-JP"/>
        </w:rPr>
        <w:t>e</w:t>
      </w:r>
      <w:r w:rsidR="000C333C">
        <w:rPr>
          <w:lang w:eastAsia="ja-JP"/>
        </w:rPr>
        <w:t>xplained that</w:t>
      </w:r>
      <w:r w:rsidR="00FB0F5B">
        <w:rPr>
          <w:lang w:eastAsia="ja-JP"/>
        </w:rPr>
        <w:t xml:space="preserve"> </w:t>
      </w:r>
      <w:r w:rsidR="006856D0">
        <w:rPr>
          <w:lang w:eastAsia="ja-JP"/>
        </w:rPr>
        <w:t xml:space="preserve">failure to deliver </w:t>
      </w:r>
      <w:r w:rsidR="009B1DE2">
        <w:rPr>
          <w:lang w:eastAsia="ja-JP"/>
        </w:rPr>
        <w:t>goods is not larceny</w:t>
      </w:r>
      <w:r w:rsidR="005F1ABD">
        <w:rPr>
          <w:lang w:eastAsia="ja-JP"/>
        </w:rPr>
        <w:t>;</w:t>
      </w:r>
      <w:r w:rsidR="000C333C">
        <w:rPr>
          <w:lang w:eastAsia="ja-JP"/>
        </w:rPr>
        <w:t xml:space="preserve"> l</w:t>
      </w:r>
      <w:r w:rsidR="00337C38">
        <w:rPr>
          <w:lang w:eastAsia="ja-JP"/>
        </w:rPr>
        <w:t>arceny only occurs “</w:t>
      </w:r>
      <w:r w:rsidR="00337C38" w:rsidRPr="00337C38">
        <w:rPr>
          <w:lang w:eastAsia="ja-JP"/>
        </w:rPr>
        <w:t>if the carrier opens a bale, or pack of goods, or pierces a vessel of wine, and takes away a part thereof.</w:t>
      </w:r>
      <w:r w:rsidR="00337C38">
        <w:rPr>
          <w:lang w:eastAsia="ja-JP"/>
        </w:rPr>
        <w:t>”</w:t>
      </w:r>
      <w:r w:rsidR="002B5D85" w:rsidRPr="002A4234">
        <w:rPr>
          <w:rStyle w:val="FootnoteReference"/>
        </w:rPr>
        <w:footnoteReference w:id="336"/>
      </w:r>
      <w:r w:rsidR="00ED1897">
        <w:rPr>
          <w:lang w:eastAsia="ja-JP"/>
        </w:rPr>
        <w:t xml:space="preserve"> </w:t>
      </w:r>
      <w:r w:rsidR="003048CE">
        <w:rPr>
          <w:lang w:eastAsia="ja-JP"/>
        </w:rPr>
        <w:t>The significance is that common</w:t>
      </w:r>
      <w:r w:rsidR="00F41A34">
        <w:rPr>
          <w:lang w:eastAsia="ja-JP"/>
        </w:rPr>
        <w:t>-</w:t>
      </w:r>
      <w:r w:rsidR="003048CE">
        <w:rPr>
          <w:lang w:eastAsia="ja-JP"/>
        </w:rPr>
        <w:t xml:space="preserve">law bailees had no </w:t>
      </w:r>
      <w:r w:rsidR="008A0F4A">
        <w:rPr>
          <w:lang w:eastAsia="ja-JP"/>
        </w:rPr>
        <w:t xml:space="preserve">inherent </w:t>
      </w:r>
      <w:r w:rsidR="003048CE">
        <w:rPr>
          <w:lang w:eastAsia="ja-JP"/>
        </w:rPr>
        <w:t>right to</w:t>
      </w:r>
      <w:r w:rsidR="000E22DD">
        <w:rPr>
          <w:lang w:eastAsia="ja-JP"/>
        </w:rPr>
        <w:t xml:space="preserve"> unpack goods entrusted to them</w:t>
      </w:r>
      <w:r w:rsidR="00F044DE">
        <w:rPr>
          <w:lang w:eastAsia="ja-JP"/>
        </w:rPr>
        <w:t>. T</w:t>
      </w:r>
      <w:r w:rsidR="009D31BF">
        <w:rPr>
          <w:lang w:eastAsia="ja-JP"/>
        </w:rPr>
        <w:t xml:space="preserve">he bailor </w:t>
      </w:r>
      <w:r w:rsidR="00F044DE">
        <w:rPr>
          <w:lang w:eastAsia="ja-JP"/>
        </w:rPr>
        <w:t>retained a limited right to exclude the bailee, despite the bailee otherwise having possession of the goods.</w:t>
      </w:r>
    </w:p>
    <w:p w14:paraId="044232EB" w14:textId="764BEEC5" w:rsidR="00D14994" w:rsidRDefault="00A401FA" w:rsidP="009F0C6A">
      <w:pPr>
        <w:pStyle w:val="BodyText"/>
        <w:rPr>
          <w:lang w:eastAsia="ja-JP"/>
        </w:rPr>
      </w:pPr>
      <w:r>
        <w:rPr>
          <w:lang w:eastAsia="ja-JP"/>
        </w:rPr>
        <w:t xml:space="preserve">The bailee being in possession of the goods yet potentially still subject to the bailor’s right to exclude has important implications </w:t>
      </w:r>
      <w:r w:rsidR="007273C4">
        <w:rPr>
          <w:lang w:eastAsia="ja-JP"/>
        </w:rPr>
        <w:t xml:space="preserve">for analyzing Fourth Amendment searches </w:t>
      </w:r>
      <w:r>
        <w:rPr>
          <w:lang w:eastAsia="ja-JP"/>
        </w:rPr>
        <w:t xml:space="preserve">under a </w:t>
      </w:r>
      <w:r w:rsidR="00CF4740">
        <w:rPr>
          <w:lang w:eastAsia="ja-JP"/>
        </w:rPr>
        <w:t>general-law approach</w:t>
      </w:r>
      <w:r>
        <w:rPr>
          <w:lang w:eastAsia="ja-JP"/>
        </w:rPr>
        <w:t>.</w:t>
      </w:r>
      <w:r w:rsidR="00804DC1">
        <w:rPr>
          <w:lang w:eastAsia="ja-JP"/>
        </w:rPr>
        <w:t xml:space="preserve"> As a baseline rule, because the bailee has the right to exclude—and often a duty to exclude—third parties from the bailed goods</w:t>
      </w:r>
      <w:r w:rsidR="000371BD">
        <w:rPr>
          <w:lang w:eastAsia="ja-JP"/>
        </w:rPr>
        <w:t>,</w:t>
      </w:r>
      <w:r w:rsidR="004A7FD7" w:rsidRPr="004A7FD7">
        <w:rPr>
          <w:rStyle w:val="Heading2Char"/>
        </w:rPr>
        <w:t xml:space="preserve"> </w:t>
      </w:r>
      <w:r w:rsidR="004A7FD7">
        <w:rPr>
          <w:rStyle w:val="FootnoteReference"/>
          <w:lang w:eastAsia="ja-JP"/>
        </w:rPr>
        <w:footnoteReference w:id="337"/>
      </w:r>
      <w:r w:rsidR="000371BD">
        <w:rPr>
          <w:lang w:eastAsia="ja-JP"/>
        </w:rPr>
        <w:t xml:space="preserve"> police </w:t>
      </w:r>
      <w:r w:rsidR="004A7FD7">
        <w:rPr>
          <w:lang w:eastAsia="ja-JP"/>
        </w:rPr>
        <w:t xml:space="preserve">may </w:t>
      </w:r>
      <w:r w:rsidR="000E387C">
        <w:rPr>
          <w:lang w:eastAsia="ja-JP"/>
        </w:rPr>
        <w:t>not</w:t>
      </w:r>
      <w:r w:rsidR="000371BD">
        <w:rPr>
          <w:lang w:eastAsia="ja-JP"/>
        </w:rPr>
        <w:t xml:space="preserve"> search the goods</w:t>
      </w:r>
      <w:r w:rsidR="000E387C">
        <w:rPr>
          <w:lang w:eastAsia="ja-JP"/>
        </w:rPr>
        <w:t xml:space="preserve"> absent</w:t>
      </w:r>
      <w:r w:rsidR="007D40EB">
        <w:rPr>
          <w:lang w:eastAsia="ja-JP"/>
        </w:rPr>
        <w:t xml:space="preserve"> a warrant</w:t>
      </w:r>
      <w:r w:rsidR="000371BD">
        <w:rPr>
          <w:lang w:eastAsia="ja-JP"/>
        </w:rPr>
        <w:t xml:space="preserve">. </w:t>
      </w:r>
      <w:r w:rsidR="001F02B5">
        <w:rPr>
          <w:lang w:eastAsia="ja-JP"/>
        </w:rPr>
        <w:t xml:space="preserve">That is, the right of the police </w:t>
      </w:r>
      <w:r w:rsidR="000E387C">
        <w:rPr>
          <w:lang w:eastAsia="ja-JP"/>
        </w:rPr>
        <w:t xml:space="preserve">freely </w:t>
      </w:r>
      <w:r w:rsidR="001F02B5">
        <w:rPr>
          <w:lang w:eastAsia="ja-JP"/>
        </w:rPr>
        <w:t xml:space="preserve">to search the goods </w:t>
      </w:r>
      <w:r w:rsidR="000A2E60">
        <w:rPr>
          <w:lang w:eastAsia="ja-JP"/>
        </w:rPr>
        <w:t xml:space="preserve">terminates where the public’s right to do the same </w:t>
      </w:r>
      <w:r w:rsidR="00C575C1">
        <w:rPr>
          <w:lang w:eastAsia="ja-JP"/>
        </w:rPr>
        <w:t>ends</w:t>
      </w:r>
      <w:r w:rsidR="000A2E60">
        <w:rPr>
          <w:lang w:eastAsia="ja-JP"/>
        </w:rPr>
        <w:t>.</w:t>
      </w:r>
      <w:r w:rsidR="00C7477F">
        <w:rPr>
          <w:lang w:eastAsia="ja-JP"/>
        </w:rPr>
        <w:t xml:space="preserve"> Police would need no warrant to view a painting that an heiress has bailed to a museum for public e</w:t>
      </w:r>
      <w:r w:rsidR="000E387C">
        <w:rPr>
          <w:lang w:eastAsia="ja-JP"/>
        </w:rPr>
        <w:t>x</w:t>
      </w:r>
      <w:r w:rsidR="00C7477F">
        <w:rPr>
          <w:lang w:eastAsia="ja-JP"/>
        </w:rPr>
        <w:t xml:space="preserve">hibition, but they </w:t>
      </w:r>
      <w:r w:rsidR="00AE01DE">
        <w:rPr>
          <w:lang w:eastAsia="ja-JP"/>
        </w:rPr>
        <w:t>would need a warrant to</w:t>
      </w:r>
      <w:r w:rsidR="00C7477F">
        <w:rPr>
          <w:lang w:eastAsia="ja-JP"/>
        </w:rPr>
        <w:t xml:space="preserve"> view the same painting bailed to a secured</w:t>
      </w:r>
      <w:r w:rsidR="0020546E">
        <w:rPr>
          <w:lang w:eastAsia="ja-JP"/>
        </w:rPr>
        <w:t>-</w:t>
      </w:r>
      <w:r w:rsidR="00C7477F">
        <w:rPr>
          <w:lang w:eastAsia="ja-JP"/>
        </w:rPr>
        <w:t>storage facility.</w:t>
      </w:r>
      <w:r w:rsidR="000A2E60">
        <w:rPr>
          <w:lang w:eastAsia="ja-JP"/>
        </w:rPr>
        <w:t xml:space="preserve"> </w:t>
      </w:r>
      <w:r w:rsidR="001B2447">
        <w:rPr>
          <w:lang w:eastAsia="ja-JP"/>
        </w:rPr>
        <w:t xml:space="preserve">Rather than focusing </w:t>
      </w:r>
      <w:r w:rsidR="001B2447">
        <w:rPr>
          <w:lang w:eastAsia="ja-JP"/>
        </w:rPr>
        <w:lastRenderedPageBreak/>
        <w:t>on the right to exclude, current third</w:t>
      </w:r>
      <w:r w:rsidR="000E387C">
        <w:rPr>
          <w:lang w:eastAsia="ja-JP"/>
        </w:rPr>
        <w:t>-</w:t>
      </w:r>
      <w:r w:rsidR="001B2447">
        <w:rPr>
          <w:lang w:eastAsia="ja-JP"/>
        </w:rPr>
        <w:t xml:space="preserve">party doctrine has courts examining whether the bailor </w:t>
      </w:r>
      <w:r w:rsidR="008B3D01">
        <w:rPr>
          <w:lang w:eastAsia="ja-JP"/>
        </w:rPr>
        <w:t>expected privacy notwithstanding the bailment.</w:t>
      </w:r>
      <w:bookmarkStart w:id="83" w:name="_Ref114137174"/>
      <w:r w:rsidR="002D350A" w:rsidRPr="002A4234">
        <w:rPr>
          <w:rStyle w:val="FootnoteReference"/>
        </w:rPr>
        <w:footnoteReference w:id="338"/>
      </w:r>
      <w:bookmarkEnd w:id="83"/>
      <w:r w:rsidR="008B3D01">
        <w:rPr>
          <w:lang w:eastAsia="ja-JP"/>
        </w:rPr>
        <w:t xml:space="preserve"> </w:t>
      </w:r>
      <w:r w:rsidR="00802692">
        <w:rPr>
          <w:lang w:eastAsia="ja-JP"/>
        </w:rPr>
        <w:t>Under current doctrine, courts have</w:t>
      </w:r>
      <w:r w:rsidR="00EB53DF">
        <w:rPr>
          <w:lang w:eastAsia="ja-JP"/>
        </w:rPr>
        <w:t xml:space="preserve"> found that </w:t>
      </w:r>
      <w:r w:rsidR="0012436D">
        <w:rPr>
          <w:lang w:eastAsia="ja-JP"/>
        </w:rPr>
        <w:t xml:space="preserve">bailing clothing to a dry cleaner effectively </w:t>
      </w:r>
      <w:r w:rsidR="00D14994">
        <w:rPr>
          <w:lang w:eastAsia="ja-JP"/>
        </w:rPr>
        <w:t>exposes</w:t>
      </w:r>
      <w:r w:rsidR="0012436D">
        <w:rPr>
          <w:lang w:eastAsia="ja-JP"/>
        </w:rPr>
        <w:t xml:space="preserve"> it to the public</w:t>
      </w:r>
      <w:r w:rsidR="000E387C">
        <w:rPr>
          <w:lang w:eastAsia="ja-JP"/>
        </w:rPr>
        <w:t>,</w:t>
      </w:r>
      <w:r w:rsidR="0012436D">
        <w:rPr>
          <w:lang w:eastAsia="ja-JP"/>
        </w:rPr>
        <w:t xml:space="preserve"> therefore</w:t>
      </w:r>
      <w:r w:rsidR="00D14994">
        <w:rPr>
          <w:lang w:eastAsia="ja-JP"/>
        </w:rPr>
        <w:t xml:space="preserve"> ending its Fourth Amendment protection.</w:t>
      </w:r>
      <w:r w:rsidR="001E2A1F" w:rsidRPr="002A4234">
        <w:rPr>
          <w:rStyle w:val="FootnoteReference"/>
        </w:rPr>
        <w:footnoteReference w:id="339"/>
      </w:r>
      <w:r w:rsidR="00F71D16">
        <w:rPr>
          <w:lang w:eastAsia="ja-JP"/>
        </w:rPr>
        <w:t xml:space="preserve"> </w:t>
      </w:r>
      <w:r w:rsidR="001327E7">
        <w:rPr>
          <w:lang w:eastAsia="ja-JP"/>
        </w:rPr>
        <w:t xml:space="preserve">By contrast, police do need a warrant to search goods bailed in sealed containers </w:t>
      </w:r>
      <w:r w:rsidR="005C69BF">
        <w:rPr>
          <w:lang w:eastAsia="ja-JP"/>
        </w:rPr>
        <w:t xml:space="preserve">because </w:t>
      </w:r>
      <w:r w:rsidR="001327E7">
        <w:rPr>
          <w:lang w:eastAsia="ja-JP"/>
        </w:rPr>
        <w:t>the seal manifests the owner’s intent to keep the goods private.</w:t>
      </w:r>
      <w:r w:rsidR="00F24F51" w:rsidRPr="002A4234">
        <w:rPr>
          <w:rStyle w:val="FootnoteReference"/>
        </w:rPr>
        <w:footnoteReference w:id="340"/>
      </w:r>
      <w:r w:rsidR="00765EBC">
        <w:rPr>
          <w:lang w:eastAsia="ja-JP"/>
        </w:rPr>
        <w:t xml:space="preserve"> Likewise, bailment of a bag to a store clerk </w:t>
      </w:r>
      <w:r w:rsidR="00BE00F1">
        <w:rPr>
          <w:lang w:eastAsia="ja-JP"/>
        </w:rPr>
        <w:t>mandated by</w:t>
      </w:r>
      <w:r w:rsidR="00765EBC">
        <w:rPr>
          <w:lang w:eastAsia="ja-JP"/>
        </w:rPr>
        <w:t xml:space="preserve"> store policy does not terminate the bag owner’s Fourth Amendment protection against warrantless searches of the bag.</w:t>
      </w:r>
      <w:r w:rsidR="00765EBC" w:rsidRPr="002A4234">
        <w:rPr>
          <w:rStyle w:val="FootnoteReference"/>
        </w:rPr>
        <w:footnoteReference w:id="341"/>
      </w:r>
    </w:p>
    <w:p w14:paraId="383AF023" w14:textId="69392B26" w:rsidR="00352897" w:rsidRDefault="00777067" w:rsidP="009F0C6A">
      <w:pPr>
        <w:pStyle w:val="BodyText"/>
        <w:rPr>
          <w:rFonts w:ascii="Garamond" w:hAnsi="Garamond"/>
          <w:lang w:eastAsia="ja-JP"/>
        </w:rPr>
      </w:pPr>
      <w:r>
        <w:rPr>
          <w:lang w:eastAsia="ja-JP"/>
        </w:rPr>
        <w:t>Under doctrine</w:t>
      </w:r>
      <w:r w:rsidR="00C40E7C">
        <w:rPr>
          <w:lang w:eastAsia="ja-JP"/>
        </w:rPr>
        <w:t xml:space="preserve"> from the middle of the </w:t>
      </w:r>
      <w:r w:rsidR="00773BB1">
        <w:rPr>
          <w:lang w:eastAsia="ja-JP"/>
        </w:rPr>
        <w:t>twentieth</w:t>
      </w:r>
      <w:r w:rsidR="00C40E7C">
        <w:rPr>
          <w:lang w:eastAsia="ja-JP"/>
        </w:rPr>
        <w:t xml:space="preserve"> century</w:t>
      </w:r>
      <w:r>
        <w:rPr>
          <w:lang w:eastAsia="ja-JP"/>
        </w:rPr>
        <w:t>, the bailee’s right to search the bailed property—to break bulk</w:t>
      </w:r>
      <w:r w:rsidR="00E402F4">
        <w:rPr>
          <w:lang w:eastAsia="ja-JP"/>
        </w:rPr>
        <w:t xml:space="preserve"> or to use the property generally</w:t>
      </w:r>
      <w:r w:rsidR="00152E37">
        <w:rPr>
          <w:lang w:eastAsia="ja-JP"/>
        </w:rPr>
        <w:t>—determines whether the bailee can consent to a search on behalf of the bailor.</w:t>
      </w:r>
      <w:r w:rsidR="00E402F4" w:rsidRPr="002A4234">
        <w:rPr>
          <w:rStyle w:val="FootnoteReference"/>
        </w:rPr>
        <w:footnoteReference w:id="342"/>
      </w:r>
      <w:r w:rsidR="0002599E">
        <w:rPr>
          <w:lang w:eastAsia="ja-JP"/>
        </w:rPr>
        <w:t xml:space="preserve"> </w:t>
      </w:r>
      <w:r w:rsidR="00E701B1">
        <w:rPr>
          <w:lang w:eastAsia="ja-JP"/>
        </w:rPr>
        <w:t>Thus i</w:t>
      </w:r>
      <w:r w:rsidR="0002599E">
        <w:rPr>
          <w:lang w:eastAsia="ja-JP"/>
        </w:rPr>
        <w:t xml:space="preserve">n </w:t>
      </w:r>
      <w:r w:rsidR="0002599E" w:rsidRPr="00893801">
        <w:rPr>
          <w:i/>
          <w:lang w:eastAsia="ja-JP"/>
        </w:rPr>
        <w:t>Corngold v. United States</w:t>
      </w:r>
      <w:r w:rsidR="0002599E">
        <w:rPr>
          <w:lang w:eastAsia="ja-JP"/>
        </w:rPr>
        <w:t>,</w:t>
      </w:r>
      <w:r w:rsidR="00733AF1" w:rsidRPr="002A4234">
        <w:rPr>
          <w:rStyle w:val="FootnoteReference"/>
        </w:rPr>
        <w:footnoteReference w:id="343"/>
      </w:r>
      <w:r w:rsidR="0002599E">
        <w:rPr>
          <w:lang w:eastAsia="ja-JP"/>
        </w:rPr>
        <w:t xml:space="preserve"> </w:t>
      </w:r>
      <w:r w:rsidR="000E15BD">
        <w:rPr>
          <w:lang w:eastAsia="ja-JP"/>
        </w:rPr>
        <w:t xml:space="preserve">an en </w:t>
      </w:r>
      <w:r w:rsidR="00E525DD" w:rsidDel="0066543F">
        <w:rPr>
          <w:lang w:eastAsia="ja-JP"/>
        </w:rPr>
        <w:t xml:space="preserve">banc </w:t>
      </w:r>
      <w:r w:rsidR="0002599E">
        <w:rPr>
          <w:lang w:eastAsia="ja-JP"/>
        </w:rPr>
        <w:t>Ninth Circuit</w:t>
      </w:r>
      <w:r w:rsidR="0066543F">
        <w:rPr>
          <w:lang w:eastAsia="ja-JP"/>
        </w:rPr>
        <w:t xml:space="preserve"> </w:t>
      </w:r>
      <w:r w:rsidR="0002599E">
        <w:rPr>
          <w:lang w:eastAsia="ja-JP"/>
        </w:rPr>
        <w:t xml:space="preserve">overruled </w:t>
      </w:r>
      <w:r w:rsidR="00620A67">
        <w:rPr>
          <w:lang w:eastAsia="ja-JP"/>
        </w:rPr>
        <w:t xml:space="preserve">its own </w:t>
      </w:r>
      <w:r w:rsidR="0002599E" w:rsidRPr="000E15BD">
        <w:rPr>
          <w:lang w:eastAsia="ja-JP"/>
        </w:rPr>
        <w:t>precedent to hold that an airline could not consent to the search of a parcel</w:t>
      </w:r>
      <w:r w:rsidR="009A6097" w:rsidRPr="000E15BD">
        <w:rPr>
          <w:lang w:eastAsia="ja-JP"/>
        </w:rPr>
        <w:t xml:space="preserve"> when the owner had only consented to</w:t>
      </w:r>
      <w:r w:rsidR="00733AF1" w:rsidRPr="000E15BD">
        <w:rPr>
          <w:lang w:eastAsia="ja-JP"/>
        </w:rPr>
        <w:t xml:space="preserve"> examination by the carrier itself.</w:t>
      </w:r>
      <w:r w:rsidR="00733AF1" w:rsidRPr="000E15BD">
        <w:rPr>
          <w:rStyle w:val="FootnoteReference"/>
        </w:rPr>
        <w:footnoteReference w:id="344"/>
      </w:r>
      <w:r w:rsidR="00152E37" w:rsidRPr="000E15BD">
        <w:rPr>
          <w:lang w:eastAsia="ja-JP"/>
        </w:rPr>
        <w:t xml:space="preserve"> </w:t>
      </w:r>
      <w:r w:rsidR="00BC1B09" w:rsidRPr="000E15BD">
        <w:rPr>
          <w:lang w:eastAsia="ja-JP"/>
        </w:rPr>
        <w:t>Other circuits found that</w:t>
      </w:r>
      <w:r w:rsidR="00E701B1" w:rsidRPr="000E15BD">
        <w:rPr>
          <w:lang w:eastAsia="ja-JP"/>
        </w:rPr>
        <w:t xml:space="preserve"> a bailee </w:t>
      </w:r>
      <w:r w:rsidR="00F63E85" w:rsidRPr="000E15BD" w:rsidDel="005833E4">
        <w:rPr>
          <w:lang w:eastAsia="ja-JP"/>
        </w:rPr>
        <w:t xml:space="preserve">who has </w:t>
      </w:r>
      <w:r w:rsidR="00E701B1" w:rsidRPr="000E15BD">
        <w:rPr>
          <w:lang w:eastAsia="ja-JP"/>
        </w:rPr>
        <w:t>general use and control of property</w:t>
      </w:r>
      <w:r w:rsidR="00F63E85" w:rsidRPr="000E15BD" w:rsidDel="005833E4">
        <w:rPr>
          <w:lang w:eastAsia="ja-JP"/>
        </w:rPr>
        <w:t xml:space="preserve"> </w:t>
      </w:r>
      <w:r w:rsidR="00F63E85" w:rsidRPr="000E15BD">
        <w:rPr>
          <w:lang w:eastAsia="ja-JP"/>
        </w:rPr>
        <w:t xml:space="preserve">may consent to </w:t>
      </w:r>
      <w:r w:rsidR="00F63E85" w:rsidRPr="000B3D14">
        <w:rPr>
          <w:lang w:eastAsia="ja-JP"/>
        </w:rPr>
        <w:t>a search</w:t>
      </w:r>
      <w:r w:rsidR="00BA0680" w:rsidRPr="000B3D14">
        <w:rPr>
          <w:lang w:eastAsia="ja-JP"/>
        </w:rPr>
        <w:t>,</w:t>
      </w:r>
      <w:r w:rsidR="00F63E85" w:rsidRPr="000E15BD">
        <w:rPr>
          <w:rStyle w:val="FootnoteReference"/>
        </w:rPr>
        <w:footnoteReference w:id="345"/>
      </w:r>
      <w:r w:rsidR="00BA0680" w:rsidRPr="000B3D14">
        <w:rPr>
          <w:lang w:eastAsia="ja-JP"/>
        </w:rPr>
        <w:t xml:space="preserve"> at least to the extent that the search is coterminous with the bailee’s authorized use.</w:t>
      </w:r>
      <w:r w:rsidR="00BA0680" w:rsidRPr="000E15BD">
        <w:rPr>
          <w:rStyle w:val="FootnoteReference"/>
        </w:rPr>
        <w:footnoteReference w:id="346"/>
      </w:r>
      <w:r w:rsidR="009665EF" w:rsidRPr="000B3D14">
        <w:rPr>
          <w:lang w:eastAsia="ja-JP"/>
        </w:rPr>
        <w:t xml:space="preserve"> </w:t>
      </w:r>
      <w:r w:rsidR="00352897" w:rsidRPr="000B3D14">
        <w:rPr>
          <w:lang w:eastAsia="ja-JP"/>
        </w:rPr>
        <w:t xml:space="preserve">In the context of postal inspections, the Supreme Court distinguished </w:t>
      </w:r>
      <w:r w:rsidR="00540EAE" w:rsidRPr="000B3D14">
        <w:rPr>
          <w:lang w:eastAsia="ja-JP"/>
        </w:rPr>
        <w:t>“what is open to inspection, such as newspapers, magazines, pamphlets, and other printed matter, purposely left in a condition to be examined” from “let</w:t>
      </w:r>
      <w:r w:rsidR="00540EAE" w:rsidRPr="000B3D14">
        <w:rPr>
          <w:lang w:eastAsia="ja-JP"/>
        </w:rPr>
        <w:lastRenderedPageBreak/>
        <w:t>ters, and sealed packages,” the latter being subject to search only under a warrant.</w:t>
      </w:r>
      <w:r w:rsidR="00540EAE" w:rsidRPr="000E15BD">
        <w:rPr>
          <w:rStyle w:val="FootnoteReference"/>
        </w:rPr>
        <w:footnoteReference w:id="347"/>
      </w:r>
      <w:r w:rsidR="00F92B57" w:rsidRPr="000B3D14">
        <w:rPr>
          <w:lang w:eastAsia="ja-JP"/>
        </w:rPr>
        <w:t xml:space="preserve"> The </w:t>
      </w:r>
      <w:r w:rsidR="005E11AC" w:rsidRPr="000B3D14">
        <w:rPr>
          <w:lang w:eastAsia="ja-JP"/>
        </w:rPr>
        <w:t>C</w:t>
      </w:r>
      <w:r w:rsidR="00F92B57" w:rsidRPr="000B3D14">
        <w:rPr>
          <w:lang w:eastAsia="ja-JP"/>
        </w:rPr>
        <w:t>ourt reasoned that “[t]he constitutional guaranty of the right of the people to be secure in their papers against unreasonable searches and seizures extends to their papers, thus closed against inspection, wherever they may be.”</w:t>
      </w:r>
      <w:r w:rsidR="00F92B57" w:rsidRPr="000E15BD">
        <w:rPr>
          <w:rStyle w:val="FootnoteReference"/>
        </w:rPr>
        <w:footnoteReference w:id="348"/>
      </w:r>
      <w:r w:rsidR="005E11B3" w:rsidRPr="000B3D14">
        <w:rPr>
          <w:lang w:eastAsia="ja-JP"/>
        </w:rPr>
        <w:t xml:space="preserve"> In other words, although the papers had been delivered to a branch of the government,</w:t>
      </w:r>
      <w:r w:rsidR="000B057E" w:rsidRPr="000B3D14">
        <w:rPr>
          <w:lang w:eastAsia="ja-JP"/>
        </w:rPr>
        <w:t xml:space="preserve"> the government was not entitled to search the papers because the sender had excluded the government from </w:t>
      </w:r>
      <w:r w:rsidR="0061028E" w:rsidRPr="000B3D14">
        <w:rPr>
          <w:lang w:eastAsia="ja-JP"/>
        </w:rPr>
        <w:t>the contents of the papers.</w:t>
      </w:r>
    </w:p>
    <w:p w14:paraId="7B47E728" w14:textId="0C030A21" w:rsidR="00AC6CE2" w:rsidRDefault="00DD6B98" w:rsidP="00580317">
      <w:pPr>
        <w:pStyle w:val="BodyText"/>
        <w:rPr>
          <w:rFonts w:eastAsia="Cambria"/>
        </w:rPr>
      </w:pPr>
      <w:r>
        <w:rPr>
          <w:rFonts w:eastAsia="Cambria"/>
        </w:rPr>
        <w:t xml:space="preserve">After </w:t>
      </w:r>
      <w:r w:rsidR="00580317">
        <w:rPr>
          <w:rFonts w:eastAsia="Cambria"/>
          <w:i/>
          <w:iCs/>
        </w:rPr>
        <w:t>Katz</w:t>
      </w:r>
      <w:r w:rsidR="00580317" w:rsidRPr="0092117E">
        <w:rPr>
          <w:rFonts w:eastAsia="Cambria"/>
        </w:rPr>
        <w:t>,</w:t>
      </w:r>
      <w:r w:rsidR="00580317">
        <w:rPr>
          <w:rFonts w:eastAsia="Cambria"/>
          <w:i/>
          <w:iCs/>
        </w:rPr>
        <w:t xml:space="preserve"> </w:t>
      </w:r>
      <w:r w:rsidR="00580317">
        <w:rPr>
          <w:rFonts w:eastAsia="Cambria"/>
        </w:rPr>
        <w:t xml:space="preserve">some cases have </w:t>
      </w:r>
      <w:r w:rsidR="00CC1910">
        <w:rPr>
          <w:rFonts w:eastAsia="Cambria"/>
        </w:rPr>
        <w:t xml:space="preserve">strayed from </w:t>
      </w:r>
      <w:r w:rsidR="002A6ED5">
        <w:rPr>
          <w:rFonts w:eastAsia="Cambria"/>
        </w:rPr>
        <w:t>the doctrine’s previous connection to common law</w:t>
      </w:r>
      <w:r w:rsidR="00580317">
        <w:rPr>
          <w:rFonts w:eastAsia="Cambria"/>
        </w:rPr>
        <w:t>, focusing only on whether the search violated the defendant’s reasonable expectation of privacy.</w:t>
      </w:r>
      <w:r w:rsidR="00580317" w:rsidRPr="002A4234">
        <w:rPr>
          <w:rStyle w:val="FootnoteReference"/>
          <w:rFonts w:eastAsia="Cambria"/>
        </w:rPr>
        <w:footnoteReference w:id="349"/>
      </w:r>
      <w:r w:rsidR="00580317">
        <w:rPr>
          <w:rFonts w:eastAsia="Cambria"/>
        </w:rPr>
        <w:t xml:space="preserve"> Thus</w:t>
      </w:r>
      <w:r w:rsidR="005B6C55">
        <w:rPr>
          <w:rFonts w:eastAsia="Cambria"/>
        </w:rPr>
        <w:t>,</w:t>
      </w:r>
      <w:r w:rsidR="00580317">
        <w:rPr>
          <w:rFonts w:eastAsia="Cambria"/>
        </w:rPr>
        <w:t xml:space="preserve"> in </w:t>
      </w:r>
      <w:r w:rsidR="00580317">
        <w:rPr>
          <w:rFonts w:eastAsia="Cambria"/>
          <w:i/>
          <w:iCs/>
        </w:rPr>
        <w:t>Rawlings v. Kentucky</w:t>
      </w:r>
      <w:r w:rsidR="00580317">
        <w:rPr>
          <w:rFonts w:eastAsia="Cambria"/>
        </w:rPr>
        <w:t>,</w:t>
      </w:r>
      <w:r w:rsidRPr="002A4234">
        <w:rPr>
          <w:rStyle w:val="FootnoteReference"/>
          <w:rFonts w:eastAsia="Cambria"/>
        </w:rPr>
        <w:footnoteReference w:id="350"/>
      </w:r>
      <w:r w:rsidR="00580317">
        <w:rPr>
          <w:rFonts w:eastAsia="Cambria"/>
        </w:rPr>
        <w:t xml:space="preserve"> the Supreme Court held that police did not violate a defendant</w:t>
      </w:r>
      <w:r w:rsidR="003C23C9">
        <w:rPr>
          <w:rFonts w:eastAsia="Cambria"/>
        </w:rPr>
        <w:t>’</w:t>
      </w:r>
      <w:r w:rsidR="00580317">
        <w:rPr>
          <w:rFonts w:eastAsia="Cambria"/>
        </w:rPr>
        <w:t xml:space="preserve">s Fourth Amendment rights when they searched </w:t>
      </w:r>
      <w:r w:rsidR="00933F3A">
        <w:rPr>
          <w:rFonts w:eastAsia="Cambria"/>
        </w:rPr>
        <w:t xml:space="preserve">his </w:t>
      </w:r>
      <w:r w:rsidR="00580317">
        <w:rPr>
          <w:rFonts w:eastAsia="Cambria"/>
        </w:rPr>
        <w:t>friend</w:t>
      </w:r>
      <w:r w:rsidR="00933F3A">
        <w:rPr>
          <w:rFonts w:eastAsia="Cambria"/>
        </w:rPr>
        <w:t>’</w:t>
      </w:r>
      <w:r w:rsidR="00580317">
        <w:rPr>
          <w:rFonts w:eastAsia="Cambria"/>
        </w:rPr>
        <w:t xml:space="preserve">s purse in which he had stashed drugs because the defendant had no reasonable expectation of privacy in the purse. To reach this conclusion, the Court reiterated </w:t>
      </w:r>
      <w:r w:rsidR="00580317">
        <w:rPr>
          <w:rFonts w:eastAsia="Cambria"/>
          <w:i/>
          <w:iCs/>
        </w:rPr>
        <w:t>Rakas</w:t>
      </w:r>
      <w:r w:rsidR="00FB5AE1">
        <w:rPr>
          <w:rFonts w:eastAsia="Cambria"/>
        </w:rPr>
        <w:t xml:space="preserve">’s pronouncement </w:t>
      </w:r>
      <w:r w:rsidR="00580317">
        <w:rPr>
          <w:rFonts w:eastAsia="Cambria"/>
        </w:rPr>
        <w:t>that “</w:t>
      </w:r>
      <w:r w:rsidR="00580317" w:rsidRPr="00025D1D">
        <w:rPr>
          <w:rFonts w:eastAsia="Cambria"/>
        </w:rPr>
        <w:t>arcane distinctions developed in property and tort law</w:t>
      </w:r>
      <w:r w:rsidR="000E15BD">
        <w:rPr>
          <w:rFonts w:eastAsia="Cambria"/>
        </w:rPr>
        <w:t> </w:t>
      </w:r>
      <w:r w:rsidR="00580317">
        <w:rPr>
          <w:rFonts w:eastAsia="Cambria"/>
        </w:rPr>
        <w:t>.</w:t>
      </w:r>
      <w:r w:rsidR="000E15BD">
        <w:rPr>
          <w:rFonts w:eastAsia="Cambria"/>
        </w:rPr>
        <w:t> </w:t>
      </w:r>
      <w:r w:rsidR="00580317">
        <w:rPr>
          <w:rFonts w:eastAsia="Cambria"/>
        </w:rPr>
        <w:t>.</w:t>
      </w:r>
      <w:r w:rsidR="000E15BD">
        <w:rPr>
          <w:rFonts w:eastAsia="Cambria"/>
        </w:rPr>
        <w:t> </w:t>
      </w:r>
      <w:r w:rsidR="00580317">
        <w:rPr>
          <w:rFonts w:eastAsia="Cambria"/>
        </w:rPr>
        <w:t>.</w:t>
      </w:r>
      <w:r w:rsidR="000E15BD">
        <w:rPr>
          <w:rFonts w:eastAsia="Cambria"/>
        </w:rPr>
        <w:t> </w:t>
      </w:r>
      <w:r w:rsidR="00580317">
        <w:rPr>
          <w:rFonts w:eastAsia="Cambria"/>
        </w:rPr>
        <w:t>ought not control” Fourth Amendment analysis.</w:t>
      </w:r>
      <w:r w:rsidR="00580317" w:rsidRPr="002A4234">
        <w:rPr>
          <w:rStyle w:val="FootnoteReference"/>
          <w:rFonts w:eastAsia="Cambria"/>
        </w:rPr>
        <w:footnoteReference w:id="351"/>
      </w:r>
      <w:r w:rsidR="00AC7465">
        <w:rPr>
          <w:rFonts w:eastAsia="Cambria"/>
        </w:rPr>
        <w:t xml:space="preserve"> </w:t>
      </w:r>
      <w:r w:rsidR="00DF3DDA">
        <w:rPr>
          <w:rFonts w:eastAsia="Cambria"/>
        </w:rPr>
        <w:t xml:space="preserve">But there are no clear benefits </w:t>
      </w:r>
      <w:r w:rsidR="00062268">
        <w:rPr>
          <w:rFonts w:eastAsia="Cambria"/>
        </w:rPr>
        <w:t xml:space="preserve">to </w:t>
      </w:r>
      <w:r w:rsidR="00962537">
        <w:rPr>
          <w:rFonts w:eastAsia="Cambria"/>
        </w:rPr>
        <w:t>replacing</w:t>
      </w:r>
      <w:r w:rsidR="00062268">
        <w:rPr>
          <w:rFonts w:eastAsia="Cambria"/>
        </w:rPr>
        <w:t xml:space="preserve"> </w:t>
      </w:r>
      <w:r w:rsidR="00DE6B36">
        <w:rPr>
          <w:rFonts w:eastAsia="Cambria"/>
        </w:rPr>
        <w:t>property’s ancient,</w:t>
      </w:r>
      <w:r w:rsidR="00062268">
        <w:rPr>
          <w:rFonts w:eastAsia="Cambria"/>
        </w:rPr>
        <w:t xml:space="preserve"> bright-line</w:t>
      </w:r>
      <w:r w:rsidR="00962537">
        <w:rPr>
          <w:rFonts w:eastAsia="Cambria"/>
        </w:rPr>
        <w:t xml:space="preserve"> rules</w:t>
      </w:r>
      <w:r w:rsidR="00DE6B36">
        <w:rPr>
          <w:rFonts w:eastAsia="Cambria"/>
        </w:rPr>
        <w:t xml:space="preserve"> </w:t>
      </w:r>
      <w:r w:rsidR="00962537">
        <w:rPr>
          <w:rFonts w:eastAsia="Cambria"/>
        </w:rPr>
        <w:t>with</w:t>
      </w:r>
      <w:r w:rsidR="00DE6B36">
        <w:rPr>
          <w:rFonts w:eastAsia="Cambria"/>
        </w:rPr>
        <w:t xml:space="preserve"> privacy analysis, especially</w:t>
      </w:r>
      <w:r w:rsidR="00962537">
        <w:rPr>
          <w:rFonts w:eastAsia="Cambria"/>
        </w:rPr>
        <w:t xml:space="preserve"> given the Fourth Amendment’s preoccupation </w:t>
      </w:r>
      <w:r w:rsidR="00336162">
        <w:rPr>
          <w:rFonts w:eastAsia="Cambria"/>
        </w:rPr>
        <w:t xml:space="preserve">with </w:t>
      </w:r>
      <w:r w:rsidR="00172DDC">
        <w:rPr>
          <w:rFonts w:eastAsia="Cambria"/>
          <w:i/>
          <w:iCs/>
        </w:rPr>
        <w:t>security</w:t>
      </w:r>
      <w:r w:rsidR="00172DDC">
        <w:rPr>
          <w:rFonts w:eastAsia="Cambria"/>
        </w:rPr>
        <w:t xml:space="preserve"> in various forms of property</w:t>
      </w:r>
      <w:r w:rsidR="00657641">
        <w:rPr>
          <w:rFonts w:eastAsia="Cambria"/>
        </w:rPr>
        <w:t>.</w:t>
      </w:r>
    </w:p>
    <w:p w14:paraId="28599A1F" w14:textId="4A286BED" w:rsidR="0074378D" w:rsidRDefault="0074378D" w:rsidP="00580317">
      <w:pPr>
        <w:pStyle w:val="BodyText"/>
        <w:rPr>
          <w:rFonts w:eastAsia="Cambria"/>
        </w:rPr>
      </w:pPr>
      <w:r>
        <w:rPr>
          <w:rFonts w:eastAsia="Cambria"/>
        </w:rPr>
        <w:t>A general</w:t>
      </w:r>
      <w:r w:rsidR="00172DDC">
        <w:rPr>
          <w:rFonts w:eastAsia="Cambria"/>
        </w:rPr>
        <w:t>-</w:t>
      </w:r>
      <w:r>
        <w:rPr>
          <w:rFonts w:eastAsia="Cambria"/>
        </w:rPr>
        <w:t>law approach to</w:t>
      </w:r>
      <w:r w:rsidR="008566EC">
        <w:rPr>
          <w:rFonts w:eastAsia="Cambria"/>
        </w:rPr>
        <w:t xml:space="preserve"> a fact pattern like</w:t>
      </w:r>
      <w:r w:rsidR="006B5BB7">
        <w:rPr>
          <w:rFonts w:eastAsia="Cambria"/>
        </w:rPr>
        <w:t xml:space="preserve"> </w:t>
      </w:r>
      <w:r w:rsidRPr="008C66DE">
        <w:rPr>
          <w:rFonts w:eastAsia="Cambria"/>
          <w:i/>
          <w:iCs/>
        </w:rPr>
        <w:t>Rawlings</w:t>
      </w:r>
      <w:r>
        <w:rPr>
          <w:rFonts w:eastAsia="Cambria"/>
        </w:rPr>
        <w:t xml:space="preserve"> would ask whether the </w:t>
      </w:r>
      <w:r w:rsidR="00D47A82">
        <w:rPr>
          <w:rFonts w:eastAsia="Cambria"/>
        </w:rPr>
        <w:t>defendant retained his right to exclude others from the drugs even though they were s</w:t>
      </w:r>
      <w:r w:rsidR="00571540">
        <w:rPr>
          <w:rFonts w:eastAsia="Cambria"/>
        </w:rPr>
        <w:t>tashed in the friend’s purse.</w:t>
      </w:r>
      <w:r w:rsidR="00E2756F">
        <w:rPr>
          <w:rFonts w:eastAsia="Cambria"/>
        </w:rPr>
        <w:t xml:space="preserve"> </w:t>
      </w:r>
      <w:r w:rsidR="00354507">
        <w:rPr>
          <w:rFonts w:eastAsia="Cambria"/>
        </w:rPr>
        <w:t>Bailing the property to a friend neither made the property available to the public nor empowered the friend t</w:t>
      </w:r>
      <w:r w:rsidR="009F6DBA">
        <w:rPr>
          <w:rFonts w:eastAsia="Cambria"/>
        </w:rPr>
        <w:t>o do anything with the property other than keep</w:t>
      </w:r>
      <w:r w:rsidR="009F6DBA" w:rsidDel="005B6C55">
        <w:rPr>
          <w:rFonts w:eastAsia="Cambria"/>
        </w:rPr>
        <w:t xml:space="preserve"> </w:t>
      </w:r>
      <w:r w:rsidR="009F6DBA">
        <w:rPr>
          <w:rFonts w:eastAsia="Cambria"/>
        </w:rPr>
        <w:t xml:space="preserve">and return it to the defendant upon request. </w:t>
      </w:r>
      <w:r w:rsidR="008C66DE">
        <w:rPr>
          <w:rFonts w:eastAsia="Cambria"/>
        </w:rPr>
        <w:t>T</w:t>
      </w:r>
      <w:r w:rsidR="008B5FD7">
        <w:rPr>
          <w:rFonts w:eastAsia="Cambria"/>
        </w:rPr>
        <w:t>he friend could consent to a search of her purse</w:t>
      </w:r>
      <w:r w:rsidR="00CC7005">
        <w:rPr>
          <w:rFonts w:eastAsia="Cambria"/>
        </w:rPr>
        <w:t xml:space="preserve">, but this </w:t>
      </w:r>
      <w:r w:rsidR="001B728B">
        <w:rPr>
          <w:rFonts w:eastAsia="Cambria"/>
        </w:rPr>
        <w:t xml:space="preserve">consent would not extend to the defendant’s property in her purse. </w:t>
      </w:r>
      <w:r w:rsidR="00285E3B">
        <w:rPr>
          <w:rFonts w:eastAsia="Cambria"/>
        </w:rPr>
        <w:t>Consequently,</w:t>
      </w:r>
      <w:r w:rsidR="00904CC1" w:rsidDel="00285E3B">
        <w:rPr>
          <w:rFonts w:eastAsia="Cambria"/>
        </w:rPr>
        <w:t xml:space="preserve"> </w:t>
      </w:r>
      <w:r w:rsidR="00904CC1">
        <w:rPr>
          <w:rFonts w:eastAsia="Cambria"/>
        </w:rPr>
        <w:t>officers would be free to find any drugs that the defendant stored loose in the purse</w:t>
      </w:r>
      <w:r w:rsidR="001B728B">
        <w:rPr>
          <w:rFonts w:eastAsia="Cambria"/>
        </w:rPr>
        <w:t>, but they could not open any container belonging to the defendant</w:t>
      </w:r>
      <w:r w:rsidR="007E4B8D">
        <w:rPr>
          <w:rFonts w:eastAsia="Cambria"/>
        </w:rPr>
        <w:t xml:space="preserve"> that the friend did not have permission to open.</w:t>
      </w:r>
    </w:p>
    <w:p w14:paraId="6BA5A8B0" w14:textId="0BC133CD" w:rsidR="009D118B" w:rsidRDefault="008566EC" w:rsidP="009F0C6A">
      <w:pPr>
        <w:pStyle w:val="BodyText"/>
        <w:rPr>
          <w:rFonts w:eastAsia="Cambria"/>
        </w:rPr>
      </w:pPr>
      <w:r>
        <w:rPr>
          <w:rFonts w:eastAsia="Cambria"/>
        </w:rPr>
        <w:t>B</w:t>
      </w:r>
      <w:r w:rsidR="005C4455">
        <w:rPr>
          <w:rFonts w:eastAsia="Cambria"/>
        </w:rPr>
        <w:t xml:space="preserve">ailment doctrine </w:t>
      </w:r>
      <w:r w:rsidR="00B737FC">
        <w:rPr>
          <w:rFonts w:eastAsia="Cambria"/>
        </w:rPr>
        <w:t>also simplifies the question of who can consent to a search.</w:t>
      </w:r>
      <w:r w:rsidR="00A447B1">
        <w:rPr>
          <w:rFonts w:eastAsia="Cambria"/>
        </w:rPr>
        <w:t xml:space="preserve"> </w:t>
      </w:r>
      <w:r w:rsidR="00DD2DCE" w:rsidRPr="00D466C5">
        <w:rPr>
          <w:rFonts w:eastAsia="Cambria"/>
        </w:rPr>
        <w:t xml:space="preserve">Modern courts talk about whether the </w:t>
      </w:r>
      <w:r w:rsidR="004F1054">
        <w:rPr>
          <w:rFonts w:eastAsia="Cambria"/>
        </w:rPr>
        <w:t>bailee</w:t>
      </w:r>
      <w:r w:rsidR="00DD2DCE" w:rsidRPr="00D466C5">
        <w:rPr>
          <w:rFonts w:eastAsia="Cambria"/>
        </w:rPr>
        <w:t xml:space="preserve"> had “actual” or a “apparent” authority over the item searched.</w:t>
      </w:r>
      <w:r w:rsidR="00DD2DCE" w:rsidRPr="002A4234">
        <w:rPr>
          <w:rStyle w:val="FootnoteReference"/>
          <w:rFonts w:eastAsia="Cambria"/>
        </w:rPr>
        <w:footnoteReference w:id="352"/>
      </w:r>
      <w:r w:rsidR="00DD2DCE" w:rsidRPr="00D466C5">
        <w:rPr>
          <w:rFonts w:ascii="Garamond" w:eastAsia="Cambria" w:hAnsi="Garamond" w:cs="AppleSystemUIFont"/>
          <w:sz w:val="26"/>
          <w:szCs w:val="26"/>
        </w:rPr>
        <w:t xml:space="preserve"> </w:t>
      </w:r>
      <w:r w:rsidR="00DD2DCE" w:rsidRPr="00D466C5">
        <w:rPr>
          <w:rFonts w:eastAsia="Cambria"/>
        </w:rPr>
        <w:t>Thus,</w:t>
      </w:r>
      <w:r w:rsidR="00E0194C">
        <w:rPr>
          <w:rFonts w:eastAsia="Cambria"/>
        </w:rPr>
        <w:t xml:space="preserve"> where a defendant </w:t>
      </w:r>
      <w:r w:rsidR="008F7797">
        <w:rPr>
          <w:rFonts w:eastAsia="Cambria"/>
        </w:rPr>
        <w:t xml:space="preserve">left some of his clothing </w:t>
      </w:r>
      <w:r w:rsidR="003F1FED">
        <w:rPr>
          <w:rFonts w:eastAsia="Cambria"/>
        </w:rPr>
        <w:t>mixed with his</w:t>
      </w:r>
      <w:r w:rsidR="008F7797">
        <w:rPr>
          <w:rFonts w:eastAsia="Cambria"/>
        </w:rPr>
        <w:t xml:space="preserve"> cousin’s</w:t>
      </w:r>
      <w:r w:rsidR="003F1FED">
        <w:rPr>
          <w:rFonts w:eastAsia="Cambria"/>
        </w:rPr>
        <w:t xml:space="preserve"> clothing in </w:t>
      </w:r>
      <w:r w:rsidR="005D0EBC">
        <w:rPr>
          <w:rFonts w:eastAsia="Cambria"/>
        </w:rPr>
        <w:t xml:space="preserve">a </w:t>
      </w:r>
      <w:r w:rsidR="008F7797">
        <w:rPr>
          <w:rFonts w:eastAsia="Cambria"/>
        </w:rPr>
        <w:t>duffel bag at the cousin’s house, the cou</w:t>
      </w:r>
      <w:r w:rsidR="003F1FED">
        <w:rPr>
          <w:rFonts w:eastAsia="Cambria"/>
        </w:rPr>
        <w:t xml:space="preserve">sin </w:t>
      </w:r>
      <w:r w:rsidR="003F1FED">
        <w:rPr>
          <w:rFonts w:eastAsia="Cambria"/>
        </w:rPr>
        <w:lastRenderedPageBreak/>
        <w:t xml:space="preserve">could consent to a search </w:t>
      </w:r>
      <w:r w:rsidR="00E31F86">
        <w:rPr>
          <w:rFonts w:eastAsia="Cambria"/>
        </w:rPr>
        <w:t>of the duffel bag and therefore of the defendant’s clothing.</w:t>
      </w:r>
      <w:r w:rsidR="00E31F86" w:rsidRPr="002A4234">
        <w:rPr>
          <w:rStyle w:val="FootnoteReference"/>
          <w:rFonts w:eastAsia="Cambria"/>
        </w:rPr>
        <w:footnoteReference w:id="353"/>
      </w:r>
      <w:r w:rsidR="00DD2DCE" w:rsidRPr="00D466C5">
        <w:rPr>
          <w:rFonts w:eastAsia="Cambria"/>
        </w:rPr>
        <w:t xml:space="preserve"> </w:t>
      </w:r>
      <w:r w:rsidR="001730D0">
        <w:rPr>
          <w:rFonts w:eastAsia="Cambria"/>
        </w:rPr>
        <w:t xml:space="preserve">Similarly, </w:t>
      </w:r>
      <w:r w:rsidR="00DD2DCE" w:rsidRPr="00D466C5">
        <w:rPr>
          <w:rFonts w:eastAsia="Cambria"/>
        </w:rPr>
        <w:t xml:space="preserve">courts have allowed the driver of a borrowed car to consent to a search because the driver has “immediate possession </w:t>
      </w:r>
      <w:r w:rsidR="00153C16">
        <w:rPr>
          <w:rFonts w:eastAsia="Cambria"/>
        </w:rPr>
        <w:t xml:space="preserve">of </w:t>
      </w:r>
      <w:r w:rsidR="00DD2DCE" w:rsidRPr="00D466C5">
        <w:rPr>
          <w:rFonts w:eastAsia="Cambria"/>
        </w:rPr>
        <w:t xml:space="preserve">and control </w:t>
      </w:r>
      <w:r w:rsidR="00826425">
        <w:rPr>
          <w:rFonts w:eastAsia="Cambria"/>
        </w:rPr>
        <w:t>over</w:t>
      </w:r>
      <w:r w:rsidR="00DD2DCE" w:rsidRPr="00D466C5">
        <w:rPr>
          <w:rFonts w:eastAsia="Cambria"/>
        </w:rPr>
        <w:t xml:space="preserve"> the vehicle.”</w:t>
      </w:r>
      <w:r w:rsidR="00DD2DCE" w:rsidRPr="002A4234">
        <w:rPr>
          <w:rStyle w:val="FootnoteReference"/>
          <w:rFonts w:eastAsia="Cambria"/>
        </w:rPr>
        <w:footnoteReference w:id="354"/>
      </w:r>
      <w:r w:rsidR="00DD2DCE" w:rsidRPr="00D466C5">
        <w:rPr>
          <w:rFonts w:ascii="Garamond" w:eastAsia="Cambria" w:hAnsi="Garamond" w:cs="AppleSystemUIFont"/>
          <w:sz w:val="26"/>
          <w:szCs w:val="26"/>
        </w:rPr>
        <w:t xml:space="preserve"> </w:t>
      </w:r>
      <w:r w:rsidR="00DD2DCE" w:rsidRPr="00D466C5">
        <w:rPr>
          <w:rFonts w:eastAsia="Cambria"/>
        </w:rPr>
        <w:t xml:space="preserve">This control gives the driver actual authority over the vehicle and the bailor is said to have assumed the risk that the </w:t>
      </w:r>
      <w:r w:rsidR="003A1C2D">
        <w:rPr>
          <w:rFonts w:eastAsia="Cambria"/>
        </w:rPr>
        <w:t>bailee</w:t>
      </w:r>
      <w:r w:rsidR="00DD2DCE" w:rsidRPr="00D466C5">
        <w:rPr>
          <w:rFonts w:eastAsia="Cambria"/>
        </w:rPr>
        <w:t xml:space="preserve"> may consent to a search.</w:t>
      </w:r>
      <w:r w:rsidR="00E053B0" w:rsidRPr="002A4234">
        <w:rPr>
          <w:rStyle w:val="FootnoteReference"/>
          <w:rFonts w:eastAsia="Cambria"/>
        </w:rPr>
        <w:footnoteReference w:id="355"/>
      </w:r>
      <w:r w:rsidR="00DD2DCE" w:rsidRPr="00D466C5">
        <w:rPr>
          <w:rFonts w:ascii="Garamond" w:eastAsia="Cambria" w:hAnsi="Garamond" w:cs="AppleSystemUIFont"/>
          <w:sz w:val="26"/>
          <w:szCs w:val="26"/>
        </w:rPr>
        <w:t xml:space="preserve"> </w:t>
      </w:r>
      <w:r w:rsidR="007F4C2C" w:rsidRPr="00D466C5">
        <w:rPr>
          <w:rFonts w:eastAsia="Cambria"/>
        </w:rPr>
        <w:t xml:space="preserve">This assumption of risk analysis is analytically consistent with caselaw turning on </w:t>
      </w:r>
      <w:r w:rsidR="00952383">
        <w:rPr>
          <w:rFonts w:eastAsia="Cambria"/>
        </w:rPr>
        <w:t>a</w:t>
      </w:r>
      <w:r w:rsidR="007F4C2C" w:rsidRPr="00D466C5">
        <w:rPr>
          <w:rFonts w:eastAsia="Cambria"/>
        </w:rPr>
        <w:t xml:space="preserve"> defendant</w:t>
      </w:r>
      <w:r w:rsidR="00952383">
        <w:rPr>
          <w:rFonts w:eastAsia="Cambria"/>
        </w:rPr>
        <w:t>’</w:t>
      </w:r>
      <w:r w:rsidR="007F4C2C" w:rsidRPr="00D466C5">
        <w:rPr>
          <w:rFonts w:eastAsia="Cambria"/>
        </w:rPr>
        <w:t>s reasonable expectation of privacy.</w:t>
      </w:r>
    </w:p>
    <w:p w14:paraId="1754EF10" w14:textId="5A13E716" w:rsidR="00183CB3" w:rsidRDefault="00A82E09" w:rsidP="009F0C6A">
      <w:pPr>
        <w:pStyle w:val="BodyText"/>
        <w:rPr>
          <w:lang w:eastAsia="ja-JP"/>
        </w:rPr>
      </w:pPr>
      <w:r>
        <w:rPr>
          <w:lang w:eastAsia="ja-JP"/>
        </w:rPr>
        <w:t xml:space="preserve">But some contemporary caselaw still turns on </w:t>
      </w:r>
      <w:r w:rsidR="00A30C5C">
        <w:rPr>
          <w:lang w:eastAsia="ja-JP"/>
        </w:rPr>
        <w:t>traditional property</w:t>
      </w:r>
      <w:r w:rsidR="00D7208B">
        <w:rPr>
          <w:lang w:eastAsia="ja-JP"/>
        </w:rPr>
        <w:t>-</w:t>
      </w:r>
      <w:r w:rsidR="00A30C5C">
        <w:rPr>
          <w:lang w:eastAsia="ja-JP"/>
        </w:rPr>
        <w:t xml:space="preserve">law bailment concepts rather than the reasonable expectation of privacy test. </w:t>
      </w:r>
      <w:r w:rsidR="00B6343A">
        <w:rPr>
          <w:lang w:eastAsia="ja-JP"/>
        </w:rPr>
        <w:t>Although the cases are few and far between, it appears that</w:t>
      </w:r>
      <w:r w:rsidR="009665EF">
        <w:rPr>
          <w:lang w:eastAsia="ja-JP"/>
        </w:rPr>
        <w:t xml:space="preserve"> where the bailee has a right to exclude the bailor, the bailor cannot consent to </w:t>
      </w:r>
      <w:r w:rsidR="00C802BC">
        <w:rPr>
          <w:lang w:eastAsia="ja-JP"/>
        </w:rPr>
        <w:t>a search.</w:t>
      </w:r>
      <w:r w:rsidR="00C802BC" w:rsidRPr="002A4234">
        <w:rPr>
          <w:rStyle w:val="FootnoteReference"/>
        </w:rPr>
        <w:footnoteReference w:id="356"/>
      </w:r>
      <w:r w:rsidR="00F63E85">
        <w:rPr>
          <w:lang w:eastAsia="ja-JP"/>
        </w:rPr>
        <w:t xml:space="preserve"> </w:t>
      </w:r>
      <w:r w:rsidR="00D91725">
        <w:rPr>
          <w:lang w:eastAsia="ja-JP"/>
        </w:rPr>
        <w:t>Thus, bail</w:t>
      </w:r>
      <w:r w:rsidR="00FA66AB">
        <w:rPr>
          <w:lang w:eastAsia="ja-JP"/>
        </w:rPr>
        <w:t>ors cannot begin tracking bailees after the bailment begins, but they may condition the bailment on allowing tracking.</w:t>
      </w:r>
      <w:r w:rsidR="00F63E85">
        <w:rPr>
          <w:lang w:eastAsia="ja-JP"/>
        </w:rPr>
        <w:t xml:space="preserve"> </w:t>
      </w:r>
      <w:r w:rsidR="00DD584F">
        <w:rPr>
          <w:lang w:eastAsia="ja-JP"/>
        </w:rPr>
        <w:t>For example, in</w:t>
      </w:r>
      <w:r w:rsidR="00E323D7">
        <w:rPr>
          <w:lang w:eastAsia="ja-JP"/>
        </w:rPr>
        <w:t xml:space="preserve"> </w:t>
      </w:r>
      <w:r w:rsidR="00E323D7">
        <w:rPr>
          <w:i/>
          <w:iCs/>
          <w:lang w:eastAsia="ja-JP"/>
        </w:rPr>
        <w:t>United States v. Cheshire</w:t>
      </w:r>
      <w:r w:rsidR="00E323D7">
        <w:rPr>
          <w:lang w:eastAsia="ja-JP"/>
        </w:rPr>
        <w:t>,</w:t>
      </w:r>
      <w:r w:rsidR="00377C99" w:rsidRPr="002A4234">
        <w:rPr>
          <w:rStyle w:val="FootnoteReference"/>
        </w:rPr>
        <w:footnoteReference w:id="357"/>
      </w:r>
      <w:r w:rsidR="00E323D7">
        <w:rPr>
          <w:lang w:eastAsia="ja-JP"/>
        </w:rPr>
        <w:t xml:space="preserve"> the </w:t>
      </w:r>
      <w:r w:rsidR="00DB0C9B">
        <w:rPr>
          <w:lang w:eastAsia="ja-JP"/>
        </w:rPr>
        <w:t xml:space="preserve">Fifth Circuit found that </w:t>
      </w:r>
      <w:r w:rsidR="00377C99">
        <w:rPr>
          <w:lang w:eastAsia="ja-JP"/>
        </w:rPr>
        <w:t>a tracker installed by an airplane owner before renting out the airplane was within the third-party consent exception to the warrant requirement.</w:t>
      </w:r>
      <w:r w:rsidR="0069618A" w:rsidRPr="002A4234">
        <w:rPr>
          <w:rStyle w:val="FootnoteReference"/>
        </w:rPr>
        <w:footnoteReference w:id="358"/>
      </w:r>
      <w:r w:rsidR="00246D68">
        <w:rPr>
          <w:lang w:eastAsia="ja-JP"/>
        </w:rPr>
        <w:t xml:space="preserve"> Although courts </w:t>
      </w:r>
      <w:r w:rsidR="00314B03">
        <w:rPr>
          <w:lang w:eastAsia="ja-JP"/>
        </w:rPr>
        <w:t xml:space="preserve">regularly </w:t>
      </w:r>
      <w:r w:rsidR="00246D68">
        <w:rPr>
          <w:lang w:eastAsia="ja-JP"/>
        </w:rPr>
        <w:t xml:space="preserve">express </w:t>
      </w:r>
      <w:r w:rsidR="00314B03">
        <w:rPr>
          <w:lang w:eastAsia="ja-JP"/>
        </w:rPr>
        <w:t xml:space="preserve">skepticism </w:t>
      </w:r>
      <w:r w:rsidR="00FB5B98">
        <w:rPr>
          <w:lang w:eastAsia="ja-JP"/>
        </w:rPr>
        <w:t>of</w:t>
      </w:r>
      <w:r w:rsidR="00314B03">
        <w:rPr>
          <w:lang w:eastAsia="ja-JP"/>
        </w:rPr>
        <w:t xml:space="preserve"> the minutia of property doctrine, cases like </w:t>
      </w:r>
      <w:r w:rsidR="00314B03" w:rsidRPr="00314B03">
        <w:rPr>
          <w:i/>
          <w:iCs/>
          <w:lang w:eastAsia="ja-JP"/>
        </w:rPr>
        <w:t>Cheshire</w:t>
      </w:r>
      <w:r w:rsidR="00F260E0">
        <w:rPr>
          <w:lang w:eastAsia="ja-JP"/>
        </w:rPr>
        <w:t xml:space="preserve"> use analysis that tracks property concepts</w:t>
      </w:r>
      <w:r w:rsidR="00314B03">
        <w:rPr>
          <w:lang w:eastAsia="ja-JP"/>
        </w:rPr>
        <w:t xml:space="preserve">. </w:t>
      </w:r>
      <w:r w:rsidR="00622B05" w:rsidRPr="00314B03">
        <w:rPr>
          <w:lang w:eastAsia="ja-JP"/>
        </w:rPr>
        <w:t>Similarly</w:t>
      </w:r>
      <w:r w:rsidR="00622B05">
        <w:rPr>
          <w:lang w:eastAsia="ja-JP"/>
        </w:rPr>
        <w:t xml:space="preserve">, </w:t>
      </w:r>
      <w:r w:rsidR="00314B03">
        <w:rPr>
          <w:lang w:eastAsia="ja-JP"/>
        </w:rPr>
        <w:t xml:space="preserve">in </w:t>
      </w:r>
      <w:r w:rsidR="00AF65CB" w:rsidRPr="0027014C">
        <w:rPr>
          <w:i/>
          <w:iCs/>
          <w:lang w:eastAsia="ja-JP"/>
        </w:rPr>
        <w:t>Hardy v. Commonwealth</w:t>
      </w:r>
      <w:r w:rsidR="00AF65CB">
        <w:rPr>
          <w:lang w:eastAsia="ja-JP"/>
        </w:rPr>
        <w:t>,</w:t>
      </w:r>
      <w:r w:rsidR="0027014C" w:rsidRPr="002A4234">
        <w:rPr>
          <w:rStyle w:val="FootnoteReference"/>
        </w:rPr>
        <w:footnoteReference w:id="359"/>
      </w:r>
      <w:r w:rsidR="00AF65CB">
        <w:rPr>
          <w:lang w:eastAsia="ja-JP"/>
        </w:rPr>
        <w:t xml:space="preserve"> the </w:t>
      </w:r>
      <w:r w:rsidR="006358F0">
        <w:rPr>
          <w:lang w:eastAsia="ja-JP"/>
        </w:rPr>
        <w:t>Virginia</w:t>
      </w:r>
      <w:r w:rsidR="00AF65CB">
        <w:rPr>
          <w:lang w:eastAsia="ja-JP"/>
        </w:rPr>
        <w:t xml:space="preserve"> Court of Appeals held that a search did not violate a defendant’s rights where</w:t>
      </w:r>
      <w:r w:rsidR="000048BC">
        <w:rPr>
          <w:lang w:eastAsia="ja-JP"/>
        </w:rPr>
        <w:t xml:space="preserve"> the bailee of a car </w:t>
      </w:r>
      <w:r w:rsidR="00DA0208">
        <w:rPr>
          <w:lang w:eastAsia="ja-JP"/>
        </w:rPr>
        <w:t>declined to consent to a search but the bailor did consent.</w:t>
      </w:r>
      <w:r w:rsidR="00106809" w:rsidRPr="002A4234">
        <w:rPr>
          <w:rStyle w:val="FootnoteReference"/>
        </w:rPr>
        <w:footnoteReference w:id="360"/>
      </w:r>
      <w:r w:rsidR="00DA0208">
        <w:rPr>
          <w:lang w:eastAsia="ja-JP"/>
        </w:rPr>
        <w:t xml:space="preserve"> The court reasoned that the </w:t>
      </w:r>
      <w:r w:rsidR="00127284">
        <w:rPr>
          <w:lang w:eastAsia="ja-JP"/>
        </w:rPr>
        <w:t>owner-bailor had standing to consent to the search because, under the terms of the bailment, he “was entitled to possession” at that moment.</w:t>
      </w:r>
      <w:r w:rsidR="00127284" w:rsidRPr="002A4234">
        <w:rPr>
          <w:rStyle w:val="FootnoteReference"/>
        </w:rPr>
        <w:footnoteReference w:id="361"/>
      </w:r>
    </w:p>
    <w:p w14:paraId="538A4FD1" w14:textId="7BDFC8B2" w:rsidR="008D640D" w:rsidRDefault="00EA7669" w:rsidP="009F0C6A">
      <w:pPr>
        <w:pStyle w:val="BodyText"/>
        <w:rPr>
          <w:lang w:eastAsia="ja-JP"/>
        </w:rPr>
      </w:pPr>
      <w:r>
        <w:rPr>
          <w:lang w:eastAsia="ja-JP"/>
        </w:rPr>
        <w:t xml:space="preserve">Under </w:t>
      </w:r>
      <w:r w:rsidR="008C1C8F">
        <w:rPr>
          <w:lang w:eastAsia="ja-JP"/>
        </w:rPr>
        <w:t xml:space="preserve">the </w:t>
      </w:r>
      <w:r>
        <w:rPr>
          <w:lang w:eastAsia="ja-JP"/>
        </w:rPr>
        <w:t>general</w:t>
      </w:r>
      <w:r w:rsidR="006358F0">
        <w:rPr>
          <w:lang w:eastAsia="ja-JP"/>
        </w:rPr>
        <w:t>-</w:t>
      </w:r>
      <w:r>
        <w:rPr>
          <w:lang w:eastAsia="ja-JP"/>
        </w:rPr>
        <w:t xml:space="preserve">law </w:t>
      </w:r>
      <w:r w:rsidR="008C1C8F">
        <w:rPr>
          <w:lang w:eastAsia="ja-JP"/>
        </w:rPr>
        <w:t>approach</w:t>
      </w:r>
      <w:r>
        <w:rPr>
          <w:lang w:eastAsia="ja-JP"/>
        </w:rPr>
        <w:t xml:space="preserve">, </w:t>
      </w:r>
      <w:r w:rsidR="001B6D84">
        <w:rPr>
          <w:lang w:eastAsia="ja-JP"/>
        </w:rPr>
        <w:t xml:space="preserve">much of the doctrine about when </w:t>
      </w:r>
      <w:r w:rsidR="00CC1D78">
        <w:rPr>
          <w:lang w:eastAsia="ja-JP"/>
        </w:rPr>
        <w:t>bailees and bailors could consent to a search</w:t>
      </w:r>
      <w:r>
        <w:rPr>
          <w:lang w:eastAsia="ja-JP"/>
        </w:rPr>
        <w:t xml:space="preserve"> would </w:t>
      </w:r>
      <w:r w:rsidR="00171AA1">
        <w:rPr>
          <w:lang w:eastAsia="ja-JP"/>
        </w:rPr>
        <w:t xml:space="preserve">functionally remain the same, although it would rest </w:t>
      </w:r>
      <w:r w:rsidR="00CA0A10">
        <w:rPr>
          <w:lang w:eastAsia="ja-JP"/>
        </w:rPr>
        <w:t xml:space="preserve">more firmly </w:t>
      </w:r>
      <w:r w:rsidR="00171AA1">
        <w:rPr>
          <w:lang w:eastAsia="ja-JP"/>
        </w:rPr>
        <w:t xml:space="preserve">on the </w:t>
      </w:r>
      <w:r w:rsidR="00521CB8">
        <w:rPr>
          <w:lang w:eastAsia="ja-JP"/>
        </w:rPr>
        <w:t xml:space="preserve">details of the bailors’ right to exclude rather than their </w:t>
      </w:r>
      <w:r w:rsidR="00367E8C">
        <w:rPr>
          <w:lang w:eastAsia="ja-JP"/>
        </w:rPr>
        <w:t>expectations of</w:t>
      </w:r>
      <w:r w:rsidR="00521CB8">
        <w:rPr>
          <w:lang w:eastAsia="ja-JP"/>
        </w:rPr>
        <w:t xml:space="preserve"> privacy.</w:t>
      </w:r>
      <w:r w:rsidR="00CE666A">
        <w:rPr>
          <w:lang w:eastAsia="ja-JP"/>
        </w:rPr>
        <w:t xml:space="preserve"> </w:t>
      </w:r>
      <w:r w:rsidR="00D7208B">
        <w:rPr>
          <w:lang w:eastAsia="ja-JP"/>
        </w:rPr>
        <w:t>It</w:t>
      </w:r>
      <w:r w:rsidR="00CE666A">
        <w:rPr>
          <w:lang w:eastAsia="ja-JP"/>
        </w:rPr>
        <w:t xml:space="preserve"> would</w:t>
      </w:r>
      <w:r w:rsidR="00D7208B">
        <w:rPr>
          <w:lang w:eastAsia="ja-JP"/>
        </w:rPr>
        <w:t>, in other words,</w:t>
      </w:r>
      <w:r w:rsidR="00CE666A">
        <w:rPr>
          <w:lang w:eastAsia="ja-JP"/>
        </w:rPr>
        <w:t xml:space="preserve"> turn on those “arcane details” that </w:t>
      </w:r>
      <w:r w:rsidR="00CE666A">
        <w:rPr>
          <w:i/>
          <w:iCs/>
          <w:lang w:eastAsia="ja-JP"/>
        </w:rPr>
        <w:t>Rawlings</w:t>
      </w:r>
      <w:r w:rsidR="00CE666A">
        <w:rPr>
          <w:lang w:eastAsia="ja-JP"/>
        </w:rPr>
        <w:t xml:space="preserve"> and </w:t>
      </w:r>
      <w:r w:rsidR="00CE666A">
        <w:rPr>
          <w:i/>
          <w:iCs/>
          <w:lang w:eastAsia="ja-JP"/>
        </w:rPr>
        <w:t>Rakas</w:t>
      </w:r>
      <w:r w:rsidR="00CE666A">
        <w:rPr>
          <w:lang w:eastAsia="ja-JP"/>
        </w:rPr>
        <w:t xml:space="preserve"> </w:t>
      </w:r>
      <w:r w:rsidR="00613BE4">
        <w:rPr>
          <w:lang w:eastAsia="ja-JP"/>
        </w:rPr>
        <w:t>rejected.</w:t>
      </w:r>
      <w:r w:rsidR="00C94B47">
        <w:rPr>
          <w:lang w:eastAsia="ja-JP"/>
        </w:rPr>
        <w:t xml:space="preserve"> </w:t>
      </w:r>
      <w:r w:rsidR="00271DC6">
        <w:rPr>
          <w:lang w:eastAsia="ja-JP"/>
        </w:rPr>
        <w:t>The general</w:t>
      </w:r>
      <w:r w:rsidR="008C1C8F">
        <w:rPr>
          <w:lang w:eastAsia="ja-JP"/>
        </w:rPr>
        <w:t>-</w:t>
      </w:r>
      <w:r w:rsidR="00271DC6">
        <w:rPr>
          <w:lang w:eastAsia="ja-JP"/>
        </w:rPr>
        <w:t>law framework would tend to be more protective</w:t>
      </w:r>
      <w:r w:rsidR="00793AFC">
        <w:rPr>
          <w:lang w:eastAsia="ja-JP"/>
        </w:rPr>
        <w:t xml:space="preserve"> than existing doctrine to the extent that </w:t>
      </w:r>
      <w:r w:rsidR="006467BF">
        <w:rPr>
          <w:lang w:eastAsia="ja-JP"/>
        </w:rPr>
        <w:t>it</w:t>
      </w:r>
      <w:r w:rsidR="00793AFC">
        <w:rPr>
          <w:lang w:eastAsia="ja-JP"/>
        </w:rPr>
        <w:t xml:space="preserve"> would eliminate </w:t>
      </w:r>
      <w:r w:rsidR="00D56FB2">
        <w:rPr>
          <w:lang w:eastAsia="ja-JP"/>
        </w:rPr>
        <w:lastRenderedPageBreak/>
        <w:t xml:space="preserve">the possibility that, under the third-party doctrine, merely bailing the property strips </w:t>
      </w:r>
      <w:r w:rsidR="004B534C">
        <w:rPr>
          <w:lang w:eastAsia="ja-JP"/>
        </w:rPr>
        <w:t xml:space="preserve">it of Fourth Amendment protections. </w:t>
      </w:r>
      <w:r w:rsidR="00D00AD1">
        <w:rPr>
          <w:lang w:eastAsia="ja-JP"/>
        </w:rPr>
        <w:t>It would also be more protective than a positive</w:t>
      </w:r>
      <w:r w:rsidR="00AB6AC1">
        <w:rPr>
          <w:lang w:eastAsia="ja-JP"/>
        </w:rPr>
        <w:t>-</w:t>
      </w:r>
      <w:r w:rsidR="00D00AD1">
        <w:rPr>
          <w:lang w:eastAsia="ja-JP"/>
        </w:rPr>
        <w:t xml:space="preserve">law approach, in that </w:t>
      </w:r>
      <w:r w:rsidR="001F62A4">
        <w:rPr>
          <w:lang w:eastAsia="ja-JP"/>
        </w:rPr>
        <w:t xml:space="preserve">statutes authorizing landlords and bailors to </w:t>
      </w:r>
      <w:r w:rsidR="00F225DB">
        <w:rPr>
          <w:lang w:eastAsia="ja-JP"/>
        </w:rPr>
        <w:t xml:space="preserve">search property would not </w:t>
      </w:r>
      <w:r w:rsidR="00196EDE">
        <w:rPr>
          <w:lang w:eastAsia="ja-JP"/>
        </w:rPr>
        <w:t xml:space="preserve">necessarily authorize warrantless searches. Instead, the analysis would turn on </w:t>
      </w:r>
      <w:r w:rsidR="00042DC1">
        <w:rPr>
          <w:lang w:eastAsia="ja-JP"/>
        </w:rPr>
        <w:t>how the general law allocated the right to exclude</w:t>
      </w:r>
      <w:r w:rsidR="005676EE">
        <w:rPr>
          <w:lang w:eastAsia="ja-JP"/>
        </w:rPr>
        <w:t xml:space="preserve"> among potential rights-holders.</w:t>
      </w:r>
    </w:p>
    <w:p w14:paraId="79010642" w14:textId="235DD0E6" w:rsidR="00CB328F" w:rsidRDefault="00E34AB1" w:rsidP="00CB328F">
      <w:pPr>
        <w:pStyle w:val="Heading3"/>
      </w:pPr>
      <w:bookmarkStart w:id="85" w:name="_Toc111723688"/>
      <w:r>
        <w:t>Intangibles</w:t>
      </w:r>
      <w:bookmarkEnd w:id="85"/>
    </w:p>
    <w:p w14:paraId="15F33AD6" w14:textId="0CB54366" w:rsidR="00586EF9" w:rsidRPr="009F0C6A" w:rsidRDefault="000357EE" w:rsidP="00586EF9">
      <w:pPr>
        <w:pStyle w:val="BodyText"/>
        <w:rPr>
          <w:lang w:eastAsia="ja-JP"/>
        </w:rPr>
      </w:pPr>
      <w:r>
        <w:rPr>
          <w:lang w:eastAsia="ja-JP"/>
        </w:rPr>
        <w:t>Applying</w:t>
      </w:r>
      <w:r w:rsidR="00746D25">
        <w:rPr>
          <w:lang w:eastAsia="ja-JP"/>
        </w:rPr>
        <w:t xml:space="preserve"> </w:t>
      </w:r>
      <w:r w:rsidR="0033482A">
        <w:rPr>
          <w:lang w:eastAsia="ja-JP"/>
        </w:rPr>
        <w:t>bailment</w:t>
      </w:r>
      <w:r w:rsidR="00746D25">
        <w:rPr>
          <w:lang w:eastAsia="ja-JP"/>
        </w:rPr>
        <w:t xml:space="preserve"> doctrine through the general law </w:t>
      </w:r>
      <w:r w:rsidR="007263DC">
        <w:rPr>
          <w:lang w:eastAsia="ja-JP"/>
        </w:rPr>
        <w:t xml:space="preserve">would also clarify when the Fourth Amendment requires law enforcement to secure a warrant before searching files </w:t>
      </w:r>
      <w:r w:rsidR="003238D0">
        <w:rPr>
          <w:lang w:eastAsia="ja-JP"/>
        </w:rPr>
        <w:t xml:space="preserve">stored </w:t>
      </w:r>
      <w:r w:rsidR="00732EA3">
        <w:rPr>
          <w:lang w:eastAsia="ja-JP"/>
        </w:rPr>
        <w:t>in</w:t>
      </w:r>
      <w:r w:rsidR="003238D0">
        <w:rPr>
          <w:lang w:eastAsia="ja-JP"/>
        </w:rPr>
        <w:t xml:space="preserve"> the cloud</w:t>
      </w:r>
      <w:r w:rsidR="00EC7E76">
        <w:rPr>
          <w:lang w:eastAsia="ja-JP"/>
        </w:rPr>
        <w:t>.</w:t>
      </w:r>
      <w:r w:rsidR="00C4786A" w:rsidDel="00EC7E76">
        <w:rPr>
          <w:lang w:eastAsia="ja-JP"/>
        </w:rPr>
        <w:t xml:space="preserve"> </w:t>
      </w:r>
      <w:r w:rsidR="00586EF9">
        <w:rPr>
          <w:lang w:eastAsia="ja-JP"/>
        </w:rPr>
        <w:t xml:space="preserve">Interpreting cloud storage as a bailment is consistent with Justice Gorsuch’s dissent in </w:t>
      </w:r>
      <w:r w:rsidR="00586EF9">
        <w:rPr>
          <w:i/>
          <w:iCs/>
          <w:lang w:eastAsia="ja-JP"/>
        </w:rPr>
        <w:t>Carpenter</w:t>
      </w:r>
      <w:r w:rsidR="00586EF9">
        <w:rPr>
          <w:lang w:eastAsia="ja-JP"/>
        </w:rPr>
        <w:t xml:space="preserve">, where </w:t>
      </w:r>
      <w:r w:rsidR="00145283">
        <w:rPr>
          <w:lang w:eastAsia="ja-JP"/>
        </w:rPr>
        <w:t>he</w:t>
      </w:r>
      <w:r w:rsidR="00586EF9">
        <w:rPr>
          <w:lang w:eastAsia="ja-JP"/>
        </w:rPr>
        <w:t xml:space="preserve"> argued that the “</w:t>
      </w:r>
      <w:r w:rsidR="00586EF9" w:rsidRPr="003A3F01">
        <w:rPr>
          <w:lang w:eastAsia="ja-JP"/>
        </w:rPr>
        <w:t>ancient principles</w:t>
      </w:r>
      <w:r w:rsidR="00586EF9">
        <w:rPr>
          <w:lang w:eastAsia="ja-JP"/>
        </w:rPr>
        <w:t>” of bailment—especially its protection of letters bailed to the government—“</w:t>
      </w:r>
      <w:r w:rsidR="00586EF9" w:rsidRPr="002C3E64">
        <w:rPr>
          <w:lang w:eastAsia="ja-JP"/>
        </w:rPr>
        <w:t>may help us address modern data cases too</w:t>
      </w:r>
      <w:r w:rsidR="00123650">
        <w:rPr>
          <w:lang w:eastAsia="ja-JP"/>
        </w:rPr>
        <w:t>.</w:t>
      </w:r>
      <w:r w:rsidR="00586EF9">
        <w:rPr>
          <w:lang w:eastAsia="ja-JP"/>
        </w:rPr>
        <w:t>”</w:t>
      </w:r>
      <w:r w:rsidR="00586EF9" w:rsidRPr="00C835C7">
        <w:rPr>
          <w:rStyle w:val="FootnoteReference"/>
          <w:lang w:eastAsia="ja-JP"/>
        </w:rPr>
        <w:t xml:space="preserve"> </w:t>
      </w:r>
      <w:r w:rsidR="00586EF9" w:rsidRPr="002A4234">
        <w:rPr>
          <w:rStyle w:val="FootnoteReference"/>
        </w:rPr>
        <w:footnoteReference w:id="362"/>
      </w:r>
    </w:p>
    <w:p w14:paraId="7408A12B" w14:textId="62C56D14" w:rsidR="009F424E" w:rsidRDefault="00731962" w:rsidP="009F0C6A">
      <w:pPr>
        <w:pStyle w:val="BodyText"/>
        <w:rPr>
          <w:lang w:eastAsia="ja-JP"/>
        </w:rPr>
      </w:pPr>
      <w:r>
        <w:rPr>
          <w:lang w:eastAsia="ja-JP"/>
        </w:rPr>
        <w:t xml:space="preserve">Although </w:t>
      </w:r>
      <w:r w:rsidR="00D6542F">
        <w:rPr>
          <w:lang w:eastAsia="ja-JP"/>
        </w:rPr>
        <w:t>intangible</w:t>
      </w:r>
      <w:r>
        <w:rPr>
          <w:lang w:eastAsia="ja-JP"/>
        </w:rPr>
        <w:t xml:space="preserve">, </w:t>
      </w:r>
      <w:r w:rsidR="00367BBA">
        <w:rPr>
          <w:lang w:eastAsia="ja-JP"/>
        </w:rPr>
        <w:t xml:space="preserve">digital </w:t>
      </w:r>
      <w:r w:rsidR="00D94C1B">
        <w:rPr>
          <w:lang w:eastAsia="ja-JP"/>
        </w:rPr>
        <w:t>files should be understood as</w:t>
      </w:r>
      <w:r>
        <w:rPr>
          <w:lang w:eastAsia="ja-JP"/>
        </w:rPr>
        <w:t xml:space="preserve"> good</w:t>
      </w:r>
      <w:r w:rsidR="00D94C1B">
        <w:rPr>
          <w:lang w:eastAsia="ja-JP"/>
        </w:rPr>
        <w:t>s</w:t>
      </w:r>
      <w:r>
        <w:rPr>
          <w:lang w:eastAsia="ja-JP"/>
        </w:rPr>
        <w:t xml:space="preserve"> that </w:t>
      </w:r>
      <w:r w:rsidR="00367BBA">
        <w:rPr>
          <w:lang w:eastAsia="ja-JP"/>
        </w:rPr>
        <w:t xml:space="preserve">can be delivered to </w:t>
      </w:r>
      <w:r w:rsidR="002007B3">
        <w:rPr>
          <w:lang w:eastAsia="ja-JP"/>
        </w:rPr>
        <w:t>and accepted by a bailee for safekeeping.</w:t>
      </w:r>
      <w:r w:rsidR="00114BDB" w:rsidRPr="002A4234">
        <w:rPr>
          <w:rStyle w:val="FootnoteReference"/>
        </w:rPr>
        <w:footnoteReference w:id="363"/>
      </w:r>
      <w:r w:rsidR="002007B3">
        <w:rPr>
          <w:lang w:eastAsia="ja-JP"/>
        </w:rPr>
        <w:t xml:space="preserve"> </w:t>
      </w:r>
      <w:r w:rsidR="00170873">
        <w:rPr>
          <w:lang w:eastAsia="ja-JP"/>
        </w:rPr>
        <w:t>To be sure,</w:t>
      </w:r>
      <w:r w:rsidR="001812B3">
        <w:rPr>
          <w:lang w:eastAsia="ja-JP"/>
        </w:rPr>
        <w:t xml:space="preserve"> the service agreement between the two parties might </w:t>
      </w:r>
      <w:r w:rsidR="00170873">
        <w:rPr>
          <w:lang w:eastAsia="ja-JP"/>
        </w:rPr>
        <w:t>attempt to disclaim</w:t>
      </w:r>
      <w:r w:rsidR="001812B3">
        <w:rPr>
          <w:lang w:eastAsia="ja-JP"/>
        </w:rPr>
        <w:t xml:space="preserve"> the </w:t>
      </w:r>
      <w:r w:rsidR="002B3B6B">
        <w:rPr>
          <w:lang w:eastAsia="ja-JP"/>
        </w:rPr>
        <w:t>responsibilities traditionally born by bailees</w:t>
      </w:r>
      <w:r w:rsidR="000C6E4A">
        <w:rPr>
          <w:lang w:eastAsia="ja-JP"/>
        </w:rPr>
        <w:t>,</w:t>
      </w:r>
      <w:r w:rsidR="002B3B6B">
        <w:rPr>
          <w:lang w:eastAsia="ja-JP"/>
        </w:rPr>
        <w:t xml:space="preserve"> but</w:t>
      </w:r>
      <w:r w:rsidR="000C6E4A">
        <w:rPr>
          <w:lang w:eastAsia="ja-JP"/>
        </w:rPr>
        <w:t xml:space="preserve"> at common law </w:t>
      </w:r>
      <w:r w:rsidR="00361D54">
        <w:rPr>
          <w:lang w:eastAsia="ja-JP"/>
        </w:rPr>
        <w:t>such provisions have no impact on whether a relationship creates a bailment.</w:t>
      </w:r>
      <w:r w:rsidR="00114BDB" w:rsidRPr="002A4234">
        <w:rPr>
          <w:rStyle w:val="FootnoteReference"/>
        </w:rPr>
        <w:footnoteReference w:id="364"/>
      </w:r>
      <w:r w:rsidR="00361D54">
        <w:rPr>
          <w:lang w:eastAsia="ja-JP"/>
        </w:rPr>
        <w:t xml:space="preserve"> </w:t>
      </w:r>
      <w:r w:rsidR="00834978">
        <w:rPr>
          <w:lang w:eastAsia="ja-JP"/>
        </w:rPr>
        <w:t xml:space="preserve">If files </w:t>
      </w:r>
      <w:r w:rsidR="0072548F">
        <w:rPr>
          <w:lang w:eastAsia="ja-JP"/>
        </w:rPr>
        <w:t>have</w:t>
      </w:r>
      <w:r w:rsidR="00834978">
        <w:rPr>
          <w:lang w:eastAsia="ja-JP"/>
        </w:rPr>
        <w:t xml:space="preserve"> the same </w:t>
      </w:r>
      <w:r w:rsidR="0072548F">
        <w:rPr>
          <w:lang w:eastAsia="ja-JP"/>
        </w:rPr>
        <w:t xml:space="preserve">status in the law </w:t>
      </w:r>
      <w:r w:rsidR="00834978">
        <w:rPr>
          <w:lang w:eastAsia="ja-JP"/>
        </w:rPr>
        <w:t xml:space="preserve">as </w:t>
      </w:r>
      <w:r w:rsidR="00C55C7C">
        <w:rPr>
          <w:lang w:eastAsia="ja-JP"/>
        </w:rPr>
        <w:t>tangible</w:t>
      </w:r>
      <w:r w:rsidR="00834978">
        <w:rPr>
          <w:lang w:eastAsia="ja-JP"/>
        </w:rPr>
        <w:t xml:space="preserve"> goods, contract </w:t>
      </w:r>
      <w:r w:rsidR="000C6E4A">
        <w:rPr>
          <w:lang w:eastAsia="ja-JP"/>
        </w:rPr>
        <w:t>may determine the contours of the bailor</w:t>
      </w:r>
      <w:r w:rsidR="0055358B">
        <w:rPr>
          <w:lang w:eastAsia="ja-JP"/>
        </w:rPr>
        <w:t>-</w:t>
      </w:r>
      <w:r w:rsidR="000C6E4A">
        <w:rPr>
          <w:lang w:eastAsia="ja-JP"/>
        </w:rPr>
        <w:t xml:space="preserve">bailee relationship but not waive </w:t>
      </w:r>
      <w:r w:rsidR="0071686B">
        <w:rPr>
          <w:lang w:eastAsia="ja-JP"/>
        </w:rPr>
        <w:t>the bailment relationship—and its attendant duty of care—itself.</w:t>
      </w:r>
      <w:r w:rsidR="0071686B" w:rsidRPr="002A4234">
        <w:rPr>
          <w:rStyle w:val="FootnoteReference"/>
        </w:rPr>
        <w:footnoteReference w:id="365"/>
      </w:r>
      <w:r w:rsidR="00F8460F">
        <w:rPr>
          <w:lang w:eastAsia="ja-JP"/>
        </w:rPr>
        <w:t xml:space="preserve"> Since the bailee has an obligation to exclude the public </w:t>
      </w:r>
      <w:r w:rsidR="00E44059">
        <w:rPr>
          <w:lang w:eastAsia="ja-JP"/>
        </w:rPr>
        <w:t xml:space="preserve">from viewing the file, and, in the case of encrypted storage, may </w:t>
      </w:r>
      <w:r w:rsidR="0066566E">
        <w:rPr>
          <w:lang w:eastAsia="ja-JP"/>
        </w:rPr>
        <w:t>themselves</w:t>
      </w:r>
      <w:r w:rsidR="00224FF0">
        <w:rPr>
          <w:lang w:eastAsia="ja-JP"/>
        </w:rPr>
        <w:t xml:space="preserve"> be excluded from viewing the file, </w:t>
      </w:r>
      <w:r w:rsidR="00971F8E">
        <w:rPr>
          <w:lang w:eastAsia="ja-JP"/>
        </w:rPr>
        <w:t>the general</w:t>
      </w:r>
      <w:r w:rsidR="00F92E94">
        <w:rPr>
          <w:lang w:eastAsia="ja-JP"/>
        </w:rPr>
        <w:t>-</w:t>
      </w:r>
      <w:r w:rsidR="00971F8E">
        <w:rPr>
          <w:lang w:eastAsia="ja-JP"/>
        </w:rPr>
        <w:t xml:space="preserve">law framework would protect </w:t>
      </w:r>
      <w:r w:rsidR="00021984">
        <w:rPr>
          <w:lang w:eastAsia="ja-JP"/>
        </w:rPr>
        <w:t xml:space="preserve">the contents of </w:t>
      </w:r>
      <w:r w:rsidR="000D6154">
        <w:rPr>
          <w:lang w:eastAsia="ja-JP"/>
        </w:rPr>
        <w:t>files in cloud storage from warrantless searches.</w:t>
      </w:r>
      <w:r w:rsidR="00021984" w:rsidRPr="002A4234">
        <w:rPr>
          <w:rStyle w:val="FootnoteReference"/>
        </w:rPr>
        <w:footnoteReference w:id="366"/>
      </w:r>
    </w:p>
    <w:p w14:paraId="68025524" w14:textId="65C75DE9" w:rsidR="001D28D2" w:rsidRDefault="00410FC2" w:rsidP="009F0C6A">
      <w:pPr>
        <w:pStyle w:val="BodyText"/>
        <w:rPr>
          <w:lang w:eastAsia="ja-JP"/>
        </w:rPr>
      </w:pPr>
      <w:r>
        <w:rPr>
          <w:lang w:eastAsia="ja-JP"/>
        </w:rPr>
        <w:t>If cloud storage creates a bailment for general</w:t>
      </w:r>
      <w:r w:rsidR="00C40150">
        <w:rPr>
          <w:lang w:eastAsia="ja-JP"/>
        </w:rPr>
        <w:t>-</w:t>
      </w:r>
      <w:r>
        <w:rPr>
          <w:lang w:eastAsia="ja-JP"/>
        </w:rPr>
        <w:t xml:space="preserve">law purposes, then </w:t>
      </w:r>
      <w:r w:rsidR="007A0C38">
        <w:rPr>
          <w:lang w:eastAsia="ja-JP"/>
        </w:rPr>
        <w:t xml:space="preserve">law enforcement would generally need a warrant to </w:t>
      </w:r>
      <w:r w:rsidR="00F52670">
        <w:rPr>
          <w:lang w:eastAsia="ja-JP"/>
        </w:rPr>
        <w:t>obtain and search</w:t>
      </w:r>
      <w:r w:rsidR="007A0C38">
        <w:rPr>
          <w:lang w:eastAsia="ja-JP"/>
        </w:rPr>
        <w:t xml:space="preserve"> </w:t>
      </w:r>
      <w:r w:rsidR="00F52670">
        <w:rPr>
          <w:lang w:eastAsia="ja-JP"/>
        </w:rPr>
        <w:t>such</w:t>
      </w:r>
      <w:r w:rsidR="007A0C38">
        <w:rPr>
          <w:lang w:eastAsia="ja-JP"/>
        </w:rPr>
        <w:t xml:space="preserve"> files. At present, the third-party doctrine threatens to </w:t>
      </w:r>
      <w:r w:rsidR="00A23347">
        <w:rPr>
          <w:lang w:eastAsia="ja-JP"/>
        </w:rPr>
        <w:t>deny</w:t>
      </w:r>
      <w:r w:rsidR="007A0C38">
        <w:rPr>
          <w:lang w:eastAsia="ja-JP"/>
        </w:rPr>
        <w:t xml:space="preserve"> </w:t>
      </w:r>
      <w:r w:rsidR="00850FBC">
        <w:rPr>
          <w:lang w:eastAsia="ja-JP"/>
        </w:rPr>
        <w:t>such files</w:t>
      </w:r>
      <w:r w:rsidR="00850FBC" w:rsidDel="00A23347">
        <w:rPr>
          <w:lang w:eastAsia="ja-JP"/>
        </w:rPr>
        <w:t xml:space="preserve"> </w:t>
      </w:r>
      <w:r w:rsidR="00850FBC">
        <w:rPr>
          <w:lang w:eastAsia="ja-JP"/>
        </w:rPr>
        <w:t>Fourth Amendment protection since they have been “disclosed” to the cloud</w:t>
      </w:r>
      <w:r w:rsidR="002833A8">
        <w:rPr>
          <w:lang w:eastAsia="ja-JP"/>
        </w:rPr>
        <w:t>-</w:t>
      </w:r>
      <w:r w:rsidR="00850FBC">
        <w:rPr>
          <w:lang w:eastAsia="ja-JP"/>
        </w:rPr>
        <w:t>storage companies. This disclosure is irrelevant under a general</w:t>
      </w:r>
      <w:r w:rsidR="009B53A1">
        <w:rPr>
          <w:lang w:eastAsia="ja-JP"/>
        </w:rPr>
        <w:t>-</w:t>
      </w:r>
      <w:r w:rsidR="00850FBC">
        <w:rPr>
          <w:lang w:eastAsia="ja-JP"/>
        </w:rPr>
        <w:t xml:space="preserve">law framework. Instead, the analysis would look to </w:t>
      </w:r>
      <w:r w:rsidR="00850FBC">
        <w:rPr>
          <w:lang w:eastAsia="ja-JP"/>
        </w:rPr>
        <w:lastRenderedPageBreak/>
        <w:t xml:space="preserve">whether </w:t>
      </w:r>
      <w:r w:rsidR="00B31F1A">
        <w:rPr>
          <w:lang w:eastAsia="ja-JP"/>
        </w:rPr>
        <w:t>the files’ owners had waived or abandoned their right to exclude the public from the files</w:t>
      </w:r>
      <w:r w:rsidR="000816CC">
        <w:rPr>
          <w:lang w:eastAsia="ja-JP"/>
        </w:rPr>
        <w:t xml:space="preserve">. </w:t>
      </w:r>
      <w:r w:rsidR="001D28D2">
        <w:rPr>
          <w:lang w:eastAsia="ja-JP"/>
        </w:rPr>
        <w:t xml:space="preserve">For example, </w:t>
      </w:r>
      <w:r w:rsidR="008E18DD">
        <w:rPr>
          <w:lang w:eastAsia="ja-JP"/>
        </w:rPr>
        <w:t>if law enforcement wanted to search a suspect’s Gmail account to find information about a crime, they would need a warrant to do so even though the email</w:t>
      </w:r>
      <w:r w:rsidR="00C3703B">
        <w:rPr>
          <w:lang w:eastAsia="ja-JP"/>
        </w:rPr>
        <w:t>s</w:t>
      </w:r>
      <w:r w:rsidR="008E18DD">
        <w:rPr>
          <w:lang w:eastAsia="ja-JP"/>
        </w:rPr>
        <w:t xml:space="preserve"> </w:t>
      </w:r>
      <w:r w:rsidR="00E66CB5">
        <w:rPr>
          <w:lang w:eastAsia="ja-JP"/>
        </w:rPr>
        <w:t>exist</w:t>
      </w:r>
      <w:r w:rsidR="008E18DD">
        <w:rPr>
          <w:lang w:eastAsia="ja-JP"/>
        </w:rPr>
        <w:t xml:space="preserve"> on servers </w:t>
      </w:r>
      <w:r w:rsidR="00FF1AB4">
        <w:rPr>
          <w:lang w:eastAsia="ja-JP"/>
        </w:rPr>
        <w:t>that Google maintains</w:t>
      </w:r>
      <w:r w:rsidR="008E18DD">
        <w:rPr>
          <w:lang w:eastAsia="ja-JP"/>
        </w:rPr>
        <w:t>.</w:t>
      </w:r>
      <w:r w:rsidR="0017478B">
        <w:rPr>
          <w:lang w:eastAsia="ja-JP"/>
        </w:rPr>
        <w:t xml:space="preserve"> </w:t>
      </w:r>
      <w:r w:rsidR="00376A6F">
        <w:rPr>
          <w:lang w:eastAsia="ja-JP"/>
        </w:rPr>
        <w:t xml:space="preserve">This </w:t>
      </w:r>
      <w:r w:rsidR="00781E58">
        <w:rPr>
          <w:lang w:eastAsia="ja-JP"/>
        </w:rPr>
        <w:t xml:space="preserve">result would not </w:t>
      </w:r>
      <w:r w:rsidR="00467D56">
        <w:rPr>
          <w:lang w:eastAsia="ja-JP"/>
        </w:rPr>
        <w:t xml:space="preserve">radically alter </w:t>
      </w:r>
      <w:r w:rsidR="006C0FD9">
        <w:rPr>
          <w:lang w:eastAsia="ja-JP"/>
        </w:rPr>
        <w:t xml:space="preserve">the state of the law, </w:t>
      </w:r>
      <w:r w:rsidR="00F51BC3">
        <w:rPr>
          <w:lang w:eastAsia="ja-JP"/>
        </w:rPr>
        <w:t>as</w:t>
      </w:r>
      <w:r w:rsidR="006C0FD9">
        <w:rPr>
          <w:lang w:eastAsia="ja-JP"/>
        </w:rPr>
        <w:t xml:space="preserve"> m</w:t>
      </w:r>
      <w:r w:rsidR="0073439A">
        <w:rPr>
          <w:lang w:eastAsia="ja-JP"/>
        </w:rPr>
        <w:t>any courts recognize that email users have a reasonable expectation of privacy in the contents of their emails</w:t>
      </w:r>
      <w:r w:rsidR="00FE0ED1">
        <w:rPr>
          <w:lang w:eastAsia="ja-JP"/>
        </w:rPr>
        <w:t>.</w:t>
      </w:r>
      <w:r w:rsidR="00733EBD" w:rsidRPr="002A4234">
        <w:rPr>
          <w:rStyle w:val="FootnoteReference"/>
        </w:rPr>
        <w:footnoteReference w:id="367"/>
      </w:r>
      <w:r w:rsidR="00FE0ED1">
        <w:rPr>
          <w:lang w:eastAsia="ja-JP"/>
        </w:rPr>
        <w:t xml:space="preserve"> Applying bailment via the general law produces the same outcome but simplifies the analysis</w:t>
      </w:r>
      <w:r w:rsidR="001B3B43">
        <w:rPr>
          <w:lang w:eastAsia="ja-JP"/>
        </w:rPr>
        <w:t>: courts only need to know that there is a bailment</w:t>
      </w:r>
      <w:r w:rsidR="00313521">
        <w:rPr>
          <w:lang w:eastAsia="ja-JP"/>
        </w:rPr>
        <w:t xml:space="preserve"> and can skip thornier questions about how much privacy the email service user expected.</w:t>
      </w:r>
    </w:p>
    <w:p w14:paraId="56C2F433" w14:textId="243B18A5" w:rsidR="009F0C6A" w:rsidRDefault="00352570" w:rsidP="009F0C6A">
      <w:pPr>
        <w:pStyle w:val="BodyText"/>
        <w:rPr>
          <w:lang w:eastAsia="ja-JP"/>
        </w:rPr>
      </w:pPr>
      <w:r>
        <w:rPr>
          <w:lang w:eastAsia="ja-JP"/>
        </w:rPr>
        <w:t xml:space="preserve">Bailment </w:t>
      </w:r>
      <w:r w:rsidR="008D2E64">
        <w:rPr>
          <w:lang w:eastAsia="ja-JP"/>
        </w:rPr>
        <w:t>doctrine</w:t>
      </w:r>
      <w:r>
        <w:rPr>
          <w:lang w:eastAsia="ja-JP"/>
        </w:rPr>
        <w:t xml:space="preserve"> would also clarify whether</w:t>
      </w:r>
      <w:r w:rsidR="00014D6E">
        <w:rPr>
          <w:lang w:eastAsia="ja-JP"/>
        </w:rPr>
        <w:t>, say,</w:t>
      </w:r>
      <w:r>
        <w:rPr>
          <w:lang w:eastAsia="ja-JP"/>
        </w:rPr>
        <w:t xml:space="preserve"> Google could consent to the search of a suspect’s Gmail account. </w:t>
      </w:r>
      <w:r w:rsidR="00EB34A8">
        <w:rPr>
          <w:lang w:eastAsia="ja-JP"/>
        </w:rPr>
        <w:t>The general law would have two questions to decide</w:t>
      </w:r>
      <w:r w:rsidR="00A57C21">
        <w:rPr>
          <w:lang w:eastAsia="ja-JP"/>
        </w:rPr>
        <w:t>.</w:t>
      </w:r>
      <w:r w:rsidR="00EB34A8">
        <w:rPr>
          <w:lang w:eastAsia="ja-JP"/>
        </w:rPr>
        <w:t xml:space="preserve"> </w:t>
      </w:r>
      <w:r w:rsidR="00A57C21">
        <w:rPr>
          <w:lang w:eastAsia="ja-JP"/>
        </w:rPr>
        <w:t>The f</w:t>
      </w:r>
      <w:r w:rsidR="00EB34A8">
        <w:rPr>
          <w:lang w:eastAsia="ja-JP"/>
        </w:rPr>
        <w:t>irst</w:t>
      </w:r>
      <w:r w:rsidR="00A57C21">
        <w:rPr>
          <w:lang w:eastAsia="ja-JP"/>
        </w:rPr>
        <w:t xml:space="preserve"> would be</w:t>
      </w:r>
      <w:r w:rsidR="00EB34A8">
        <w:rPr>
          <w:lang w:eastAsia="ja-JP"/>
        </w:rPr>
        <w:t xml:space="preserve"> whether</w:t>
      </w:r>
      <w:r w:rsidR="00E77F9F">
        <w:rPr>
          <w:lang w:eastAsia="ja-JP"/>
        </w:rPr>
        <w:t xml:space="preserve"> a</w:t>
      </w:r>
      <w:r w:rsidR="00EB34A8">
        <w:rPr>
          <w:lang w:eastAsia="ja-JP"/>
        </w:rPr>
        <w:t xml:space="preserve"> bailment </w:t>
      </w:r>
      <w:r w:rsidR="00E77F9F">
        <w:rPr>
          <w:lang w:eastAsia="ja-JP"/>
        </w:rPr>
        <w:t xml:space="preserve">relationship </w:t>
      </w:r>
      <w:r w:rsidR="00EB34A8">
        <w:rPr>
          <w:lang w:eastAsia="ja-JP"/>
        </w:rPr>
        <w:t xml:space="preserve">was waivable by contract. </w:t>
      </w:r>
      <w:r w:rsidR="000650C9">
        <w:rPr>
          <w:lang w:eastAsia="ja-JP"/>
        </w:rPr>
        <w:t xml:space="preserve">While </w:t>
      </w:r>
      <w:r w:rsidR="0049202F">
        <w:rPr>
          <w:lang w:eastAsia="ja-JP"/>
        </w:rPr>
        <w:t>the common law tends to treat bailment status as mandatory</w:t>
      </w:r>
      <w:r w:rsidR="002C7507">
        <w:rPr>
          <w:lang w:eastAsia="ja-JP"/>
        </w:rPr>
        <w:t xml:space="preserve"> with respect to </w:t>
      </w:r>
      <w:r w:rsidR="002C7507" w:rsidRPr="00E77F9F">
        <w:rPr>
          <w:i/>
          <w:iCs/>
          <w:lang w:eastAsia="ja-JP"/>
        </w:rPr>
        <w:t>tangibles</w:t>
      </w:r>
      <w:r w:rsidR="002C7507">
        <w:rPr>
          <w:lang w:eastAsia="ja-JP"/>
        </w:rPr>
        <w:t xml:space="preserve">, courts applying the general law </w:t>
      </w:r>
      <w:r w:rsidR="00E77F9F">
        <w:rPr>
          <w:lang w:eastAsia="ja-JP"/>
        </w:rPr>
        <w:t>to intangibles would need to determine whether the same rule should apply</w:t>
      </w:r>
      <w:r w:rsidR="002C7507">
        <w:rPr>
          <w:lang w:eastAsia="ja-JP"/>
        </w:rPr>
        <w:t>.</w:t>
      </w:r>
      <w:r w:rsidR="00A97C62">
        <w:rPr>
          <w:lang w:eastAsia="ja-JP"/>
        </w:rPr>
        <w:t xml:space="preserve"> </w:t>
      </w:r>
      <w:r w:rsidR="00E77F9F">
        <w:rPr>
          <w:lang w:eastAsia="ja-JP"/>
        </w:rPr>
        <w:t xml:space="preserve">Assuming </w:t>
      </w:r>
      <w:r w:rsidR="003E45AC">
        <w:rPr>
          <w:lang w:eastAsia="ja-JP"/>
        </w:rPr>
        <w:t xml:space="preserve">that </w:t>
      </w:r>
      <w:r w:rsidR="00E77F9F">
        <w:rPr>
          <w:lang w:eastAsia="ja-JP"/>
        </w:rPr>
        <w:t>a bailment relationship existed, t</w:t>
      </w:r>
      <w:r w:rsidR="00A97C62">
        <w:rPr>
          <w:lang w:eastAsia="ja-JP"/>
        </w:rPr>
        <w:t xml:space="preserve">he second question </w:t>
      </w:r>
      <w:r w:rsidR="00E77F9F">
        <w:rPr>
          <w:lang w:eastAsia="ja-JP"/>
        </w:rPr>
        <w:t>would then be</w:t>
      </w:r>
      <w:r w:rsidR="00A97C62">
        <w:rPr>
          <w:lang w:eastAsia="ja-JP"/>
        </w:rPr>
        <w:t xml:space="preserve"> </w:t>
      </w:r>
      <w:r w:rsidR="00472E68">
        <w:rPr>
          <w:lang w:eastAsia="ja-JP"/>
        </w:rPr>
        <w:t>whether</w:t>
      </w:r>
      <w:r>
        <w:rPr>
          <w:lang w:eastAsia="ja-JP"/>
        </w:rPr>
        <w:t xml:space="preserve"> </w:t>
      </w:r>
      <w:r w:rsidR="00E77F9F">
        <w:rPr>
          <w:lang w:eastAsia="ja-JP"/>
        </w:rPr>
        <w:t xml:space="preserve">the </w:t>
      </w:r>
      <w:r w:rsidR="004B496C">
        <w:rPr>
          <w:lang w:eastAsia="ja-JP"/>
        </w:rPr>
        <w:t>bail</w:t>
      </w:r>
      <w:r w:rsidR="00BF6C6E">
        <w:rPr>
          <w:lang w:eastAsia="ja-JP"/>
        </w:rPr>
        <w:t>ee</w:t>
      </w:r>
      <w:r w:rsidR="004B496C">
        <w:rPr>
          <w:lang w:eastAsia="ja-JP"/>
        </w:rPr>
        <w:t xml:space="preserve"> </w:t>
      </w:r>
      <w:r w:rsidR="00BF6C6E">
        <w:rPr>
          <w:lang w:eastAsia="ja-JP"/>
        </w:rPr>
        <w:t>has authority to</w:t>
      </w:r>
      <w:r w:rsidR="004B496C">
        <w:rPr>
          <w:lang w:eastAsia="ja-JP"/>
        </w:rPr>
        <w:t xml:space="preserve"> consent to </w:t>
      </w:r>
      <w:r w:rsidR="00BF6C6E">
        <w:rPr>
          <w:lang w:eastAsia="ja-JP"/>
        </w:rPr>
        <w:t>law</w:t>
      </w:r>
      <w:r w:rsidR="00C745AC">
        <w:rPr>
          <w:lang w:eastAsia="ja-JP"/>
        </w:rPr>
        <w:t>-</w:t>
      </w:r>
      <w:r w:rsidR="00BF6C6E">
        <w:rPr>
          <w:lang w:eastAsia="ja-JP"/>
        </w:rPr>
        <w:t>enforcement access to the bailor’s</w:t>
      </w:r>
      <w:r w:rsidR="004B496C">
        <w:rPr>
          <w:lang w:eastAsia="ja-JP"/>
        </w:rPr>
        <w:t xml:space="preserve"> data.</w:t>
      </w:r>
      <w:r>
        <w:rPr>
          <w:lang w:eastAsia="ja-JP"/>
        </w:rPr>
        <w:t xml:space="preserve"> </w:t>
      </w:r>
      <w:r w:rsidR="00DE6DC1">
        <w:rPr>
          <w:lang w:eastAsia="ja-JP"/>
        </w:rPr>
        <w:t>A court applying the general law could conclude that</w:t>
      </w:r>
      <w:r w:rsidR="000816CC">
        <w:rPr>
          <w:lang w:eastAsia="ja-JP"/>
        </w:rPr>
        <w:t xml:space="preserve"> cloud</w:t>
      </w:r>
      <w:r w:rsidR="002833A8">
        <w:rPr>
          <w:lang w:eastAsia="ja-JP"/>
        </w:rPr>
        <w:t>-</w:t>
      </w:r>
      <w:r w:rsidR="000816CC">
        <w:rPr>
          <w:lang w:eastAsia="ja-JP"/>
        </w:rPr>
        <w:t xml:space="preserve">storage companies lack </w:t>
      </w:r>
      <w:r w:rsidR="00014D6E">
        <w:rPr>
          <w:lang w:eastAsia="ja-JP"/>
        </w:rPr>
        <w:t>authority</w:t>
      </w:r>
      <w:r w:rsidR="000816CC">
        <w:rPr>
          <w:lang w:eastAsia="ja-JP"/>
        </w:rPr>
        <w:t xml:space="preserve"> to consent to a search of the</w:t>
      </w:r>
      <w:r w:rsidR="00C10C0F">
        <w:rPr>
          <w:lang w:eastAsia="ja-JP"/>
        </w:rPr>
        <w:t xml:space="preserve"> files</w:t>
      </w:r>
      <w:r w:rsidR="000816CC">
        <w:rPr>
          <w:lang w:eastAsia="ja-JP"/>
        </w:rPr>
        <w:t xml:space="preserve"> </w:t>
      </w:r>
      <w:r w:rsidR="00AF5A06">
        <w:rPr>
          <w:lang w:eastAsia="ja-JP"/>
        </w:rPr>
        <w:t>without the bailor’s permission to do so.</w:t>
      </w:r>
      <w:r w:rsidR="000816CC">
        <w:rPr>
          <w:lang w:eastAsia="ja-JP"/>
        </w:rPr>
        <w:t xml:space="preserve"> </w:t>
      </w:r>
      <w:r w:rsidR="00E9074E">
        <w:rPr>
          <w:lang w:eastAsia="ja-JP"/>
        </w:rPr>
        <w:t>Allowing the cloud</w:t>
      </w:r>
      <w:r w:rsidR="002833A8">
        <w:rPr>
          <w:lang w:eastAsia="ja-JP"/>
        </w:rPr>
        <w:t>-</w:t>
      </w:r>
      <w:r w:rsidR="00E9074E">
        <w:rPr>
          <w:lang w:eastAsia="ja-JP"/>
        </w:rPr>
        <w:t>storage company to search the files for its own purposes</w:t>
      </w:r>
      <w:r w:rsidR="001B6D44">
        <w:rPr>
          <w:lang w:eastAsia="ja-JP"/>
        </w:rPr>
        <w:t xml:space="preserve"> need not be understood as creating</w:t>
      </w:r>
      <w:r w:rsidR="00E9074E">
        <w:rPr>
          <w:lang w:eastAsia="ja-JP"/>
        </w:rPr>
        <w:t xml:space="preserve"> consent </w:t>
      </w:r>
      <w:r w:rsidR="0047312A">
        <w:rPr>
          <w:lang w:eastAsia="ja-JP"/>
        </w:rPr>
        <w:t xml:space="preserve">for searches related to law </w:t>
      </w:r>
      <w:r w:rsidR="00E9074E" w:rsidDel="0047312A">
        <w:rPr>
          <w:lang w:eastAsia="ja-JP"/>
        </w:rPr>
        <w:t>enforcement</w:t>
      </w:r>
      <w:r w:rsidR="00E9074E">
        <w:rPr>
          <w:lang w:eastAsia="ja-JP"/>
        </w:rPr>
        <w:t>.</w:t>
      </w:r>
      <w:r w:rsidR="004E3CDA" w:rsidRPr="002A4234">
        <w:rPr>
          <w:rStyle w:val="FootnoteReference"/>
        </w:rPr>
        <w:footnoteReference w:id="368"/>
      </w:r>
    </w:p>
    <w:p w14:paraId="5C2BFDB2" w14:textId="6FDA4CF6" w:rsidR="00B340A7" w:rsidRPr="009F0C6A" w:rsidRDefault="007D779D" w:rsidP="009F0C6A">
      <w:pPr>
        <w:pStyle w:val="BodyText"/>
        <w:rPr>
          <w:lang w:eastAsia="ja-JP"/>
        </w:rPr>
      </w:pPr>
      <w:r>
        <w:rPr>
          <w:lang w:eastAsia="ja-JP"/>
        </w:rPr>
        <w:t>By a</w:t>
      </w:r>
      <w:r w:rsidR="007D4E39">
        <w:rPr>
          <w:lang w:eastAsia="ja-JP"/>
        </w:rPr>
        <w:t>pplying bailment and other private</w:t>
      </w:r>
      <w:r w:rsidR="006C44D7">
        <w:rPr>
          <w:lang w:eastAsia="ja-JP"/>
        </w:rPr>
        <w:t>-</w:t>
      </w:r>
      <w:r w:rsidR="007D4E39">
        <w:rPr>
          <w:lang w:eastAsia="ja-JP"/>
        </w:rPr>
        <w:t>law doctrines to intangibles</w:t>
      </w:r>
      <w:r>
        <w:rPr>
          <w:lang w:eastAsia="ja-JP"/>
        </w:rPr>
        <w:t xml:space="preserve">, </w:t>
      </w:r>
      <w:r w:rsidR="007D4E39">
        <w:rPr>
          <w:lang w:eastAsia="ja-JP"/>
        </w:rPr>
        <w:t>federal courts using a general</w:t>
      </w:r>
      <w:r w:rsidR="008C0820">
        <w:rPr>
          <w:lang w:eastAsia="ja-JP"/>
        </w:rPr>
        <w:t>-</w:t>
      </w:r>
      <w:r w:rsidR="007D4E39">
        <w:rPr>
          <w:lang w:eastAsia="ja-JP"/>
        </w:rPr>
        <w:t xml:space="preserve">law approach </w:t>
      </w:r>
      <w:r>
        <w:rPr>
          <w:lang w:eastAsia="ja-JP"/>
        </w:rPr>
        <w:t>would make law in an area with little state</w:t>
      </w:r>
      <w:r w:rsidR="00EB1E3B">
        <w:rPr>
          <w:lang w:eastAsia="ja-JP"/>
        </w:rPr>
        <w:t>-</w:t>
      </w:r>
      <w:r>
        <w:rPr>
          <w:lang w:eastAsia="ja-JP"/>
        </w:rPr>
        <w:t xml:space="preserve">court </w:t>
      </w:r>
      <w:r w:rsidR="004F57DB">
        <w:rPr>
          <w:lang w:eastAsia="ja-JP"/>
        </w:rPr>
        <w:t>precedent to reference</w:t>
      </w:r>
      <w:r w:rsidR="001B38B6">
        <w:rPr>
          <w:lang w:eastAsia="ja-JP"/>
        </w:rPr>
        <w:t xml:space="preserve">. </w:t>
      </w:r>
      <w:r w:rsidR="009A67A5">
        <w:rPr>
          <w:lang w:eastAsia="ja-JP"/>
        </w:rPr>
        <w:t xml:space="preserve">To be sure, </w:t>
      </w:r>
      <w:r w:rsidR="00C50F5A">
        <w:rPr>
          <w:lang w:eastAsia="ja-JP"/>
        </w:rPr>
        <w:t>state law</w:t>
      </w:r>
      <w:r w:rsidR="00863BCF">
        <w:rPr>
          <w:lang w:eastAsia="ja-JP"/>
        </w:rPr>
        <w:t xml:space="preserve"> would</w:t>
      </w:r>
      <w:r w:rsidR="00C50F5A">
        <w:rPr>
          <w:lang w:eastAsia="ja-JP"/>
        </w:rPr>
        <w:t xml:space="preserve"> </w:t>
      </w:r>
      <w:r w:rsidR="00863BCF">
        <w:rPr>
          <w:lang w:eastAsia="ja-JP"/>
        </w:rPr>
        <w:t>control</w:t>
      </w:r>
      <w:r w:rsidR="00555F87">
        <w:rPr>
          <w:lang w:eastAsia="ja-JP"/>
        </w:rPr>
        <w:t xml:space="preserve"> any </w:t>
      </w:r>
      <w:r w:rsidR="00C52EFA">
        <w:rPr>
          <w:lang w:eastAsia="ja-JP"/>
        </w:rPr>
        <w:t>questions of</w:t>
      </w:r>
      <w:r w:rsidR="00555F87">
        <w:rPr>
          <w:lang w:eastAsia="ja-JP"/>
        </w:rPr>
        <w:t xml:space="preserve"> </w:t>
      </w:r>
      <w:r w:rsidR="00863BCF">
        <w:rPr>
          <w:lang w:eastAsia="ja-JP"/>
        </w:rPr>
        <w:t xml:space="preserve">civil </w:t>
      </w:r>
      <w:r w:rsidR="00555F87">
        <w:rPr>
          <w:lang w:eastAsia="ja-JP"/>
        </w:rPr>
        <w:t xml:space="preserve">liability between bailor and bailee. </w:t>
      </w:r>
      <w:r w:rsidR="000D43D7">
        <w:rPr>
          <w:lang w:eastAsia="ja-JP"/>
        </w:rPr>
        <w:t xml:space="preserve">Today, state courts have few, if any, opportunities to consider these questions because the contracts </w:t>
      </w:r>
      <w:r w:rsidR="0084575A">
        <w:rPr>
          <w:lang w:eastAsia="ja-JP"/>
        </w:rPr>
        <w:t xml:space="preserve">between bailor and bailee </w:t>
      </w:r>
      <w:r w:rsidR="00EB1E3B">
        <w:rPr>
          <w:lang w:eastAsia="ja-JP"/>
        </w:rPr>
        <w:t>keep</w:t>
      </w:r>
      <w:r w:rsidR="00B02740">
        <w:rPr>
          <w:lang w:eastAsia="ja-JP"/>
        </w:rPr>
        <w:t xml:space="preserve"> disputes out of court. </w:t>
      </w:r>
      <w:r w:rsidR="00A643DC">
        <w:rPr>
          <w:lang w:eastAsia="ja-JP"/>
        </w:rPr>
        <w:t>But</w:t>
      </w:r>
      <w:r w:rsidR="00EC50E7">
        <w:rPr>
          <w:lang w:eastAsia="ja-JP"/>
        </w:rPr>
        <w:t xml:space="preserve"> under the general</w:t>
      </w:r>
      <w:r w:rsidR="00807ACC">
        <w:rPr>
          <w:lang w:eastAsia="ja-JP"/>
        </w:rPr>
        <w:t>-</w:t>
      </w:r>
      <w:r w:rsidR="00EC50E7">
        <w:rPr>
          <w:lang w:eastAsia="ja-JP"/>
        </w:rPr>
        <w:t xml:space="preserve">law approach, federal courts </w:t>
      </w:r>
      <w:r w:rsidR="00F76978">
        <w:rPr>
          <w:lang w:eastAsia="ja-JP"/>
        </w:rPr>
        <w:t>need not wait for</w:t>
      </w:r>
      <w:r w:rsidR="00EC50E7">
        <w:rPr>
          <w:lang w:eastAsia="ja-JP"/>
        </w:rPr>
        <w:t xml:space="preserve"> state</w:t>
      </w:r>
      <w:r w:rsidR="00A7509C">
        <w:rPr>
          <w:lang w:eastAsia="ja-JP"/>
        </w:rPr>
        <w:t>-</w:t>
      </w:r>
      <w:r w:rsidR="00EC50E7">
        <w:rPr>
          <w:lang w:eastAsia="ja-JP"/>
        </w:rPr>
        <w:t>court precedent</w:t>
      </w:r>
      <w:r w:rsidR="007D1776">
        <w:rPr>
          <w:lang w:eastAsia="ja-JP"/>
        </w:rPr>
        <w:t>. N</w:t>
      </w:r>
      <w:r w:rsidR="00F76978">
        <w:rPr>
          <w:lang w:eastAsia="ja-JP"/>
        </w:rPr>
        <w:t xml:space="preserve">or must they follow it </w:t>
      </w:r>
      <w:r w:rsidR="00EC50E7">
        <w:rPr>
          <w:lang w:eastAsia="ja-JP"/>
        </w:rPr>
        <w:t xml:space="preserve">if they </w:t>
      </w:r>
      <w:r w:rsidR="007D1776">
        <w:rPr>
          <w:lang w:eastAsia="ja-JP"/>
        </w:rPr>
        <w:t>determine that</w:t>
      </w:r>
      <w:r w:rsidR="00EC50E7">
        <w:rPr>
          <w:lang w:eastAsia="ja-JP"/>
        </w:rPr>
        <w:t xml:space="preserve"> state courts </w:t>
      </w:r>
      <w:r w:rsidR="007D1776">
        <w:rPr>
          <w:lang w:eastAsia="ja-JP"/>
        </w:rPr>
        <w:t>are</w:t>
      </w:r>
      <w:r w:rsidR="00B86B5C">
        <w:rPr>
          <w:lang w:eastAsia="ja-JP"/>
        </w:rPr>
        <w:t xml:space="preserve"> out of sync with the general law.</w:t>
      </w:r>
      <w:r w:rsidR="00422B1F">
        <w:rPr>
          <w:lang w:eastAsia="ja-JP"/>
        </w:rPr>
        <w:t xml:space="preserve"> </w:t>
      </w:r>
      <w:r w:rsidR="00E60E71">
        <w:rPr>
          <w:lang w:eastAsia="ja-JP"/>
        </w:rPr>
        <w:t xml:space="preserve">Indeed, if federal courts are the only courts drawing well-litigated cases on highly technical issues, the </w:t>
      </w:r>
      <w:r w:rsidR="00A61CE2">
        <w:rPr>
          <w:lang w:eastAsia="ja-JP"/>
        </w:rPr>
        <w:t>federal courts m</w:t>
      </w:r>
      <w:r w:rsidR="00730F5D">
        <w:rPr>
          <w:lang w:eastAsia="ja-JP"/>
        </w:rPr>
        <w:t>ight</w:t>
      </w:r>
      <w:r w:rsidR="00A61CE2">
        <w:rPr>
          <w:lang w:eastAsia="ja-JP"/>
        </w:rPr>
        <w:t xml:space="preserve"> be particularly well situated to announce the general law without reference to state-court precedent.</w:t>
      </w:r>
    </w:p>
    <w:p w14:paraId="2E541A3A" w14:textId="3D5036D6" w:rsidR="00687DFE" w:rsidRDefault="00C87C82" w:rsidP="00687DFE">
      <w:pPr>
        <w:pStyle w:val="Heading2"/>
        <w:rPr>
          <w:i/>
          <w:iCs/>
        </w:rPr>
      </w:pPr>
      <w:bookmarkStart w:id="86" w:name="_Toc96093558"/>
      <w:bookmarkStart w:id="87" w:name="_Toc111723689"/>
      <w:r>
        <w:rPr>
          <w:i/>
          <w:iCs/>
        </w:rPr>
        <w:t>Privacy Torts</w:t>
      </w:r>
      <w:bookmarkEnd w:id="86"/>
      <w:bookmarkEnd w:id="87"/>
    </w:p>
    <w:p w14:paraId="5C3CAD69" w14:textId="3C2EDB6A" w:rsidR="00BC5F84" w:rsidRDefault="00F25355" w:rsidP="00BC5F84">
      <w:pPr>
        <w:pStyle w:val="BodyText"/>
      </w:pPr>
      <w:r>
        <w:t xml:space="preserve">Privacy torts </w:t>
      </w:r>
      <w:r w:rsidR="00DB74AC">
        <w:t xml:space="preserve">also </w:t>
      </w:r>
      <w:r w:rsidR="00014D6E">
        <w:t>provide</w:t>
      </w:r>
      <w:r w:rsidDel="00DB74AC">
        <w:t xml:space="preserve"> </w:t>
      </w:r>
      <w:r>
        <w:t>fertile ground for the general</w:t>
      </w:r>
      <w:r w:rsidR="00014D6E">
        <w:t>-</w:t>
      </w:r>
      <w:r>
        <w:t>law</w:t>
      </w:r>
      <w:r w:rsidR="00014D6E">
        <w:t xml:space="preserve"> approach</w:t>
      </w:r>
      <w:r>
        <w:t>.</w:t>
      </w:r>
      <w:r w:rsidR="00BF4E33" w:rsidRPr="002A4234">
        <w:rPr>
          <w:rStyle w:val="FootnoteReference"/>
        </w:rPr>
        <w:footnoteReference w:id="369"/>
      </w:r>
      <w:r>
        <w:t xml:space="preserve"> </w:t>
      </w:r>
      <w:r w:rsidR="00EB6D68">
        <w:t>Although p</w:t>
      </w:r>
      <w:r w:rsidR="0073627F">
        <w:t xml:space="preserve">rivacy rights in the United States </w:t>
      </w:r>
      <w:r w:rsidR="00EB6D68">
        <w:t>are dispersed among</w:t>
      </w:r>
      <w:r w:rsidR="006E5194">
        <w:t xml:space="preserve"> </w:t>
      </w:r>
      <w:r w:rsidR="005A23D6">
        <w:t xml:space="preserve">federal </w:t>
      </w:r>
      <w:r w:rsidR="00366A3A">
        <w:t>statutes</w:t>
      </w:r>
      <w:r w:rsidR="006E5194">
        <w:t xml:space="preserve"> </w:t>
      </w:r>
      <w:r w:rsidR="006E5194">
        <w:lastRenderedPageBreak/>
        <w:t xml:space="preserve">protecting children </w:t>
      </w:r>
      <w:r w:rsidR="000E436D">
        <w:t>on the internet</w:t>
      </w:r>
      <w:r w:rsidR="006129EA">
        <w:t>,</w:t>
      </w:r>
      <w:r w:rsidR="00F95E73" w:rsidRPr="002A4234">
        <w:rPr>
          <w:rStyle w:val="FootnoteReference"/>
        </w:rPr>
        <w:footnoteReference w:id="370"/>
      </w:r>
      <w:r w:rsidR="006129EA">
        <w:t xml:space="preserve"> students,</w:t>
      </w:r>
      <w:r w:rsidR="00F95E73" w:rsidRPr="002A4234">
        <w:rPr>
          <w:rStyle w:val="FootnoteReference"/>
        </w:rPr>
        <w:footnoteReference w:id="371"/>
      </w:r>
      <w:r w:rsidR="006129EA">
        <w:t xml:space="preserve"> </w:t>
      </w:r>
      <w:r w:rsidR="00F95E73">
        <w:t>certain medical records</w:t>
      </w:r>
      <w:r w:rsidR="006129EA">
        <w:t>,</w:t>
      </w:r>
      <w:r w:rsidR="00F95E73" w:rsidRPr="002A4234">
        <w:rPr>
          <w:rStyle w:val="FootnoteReference"/>
        </w:rPr>
        <w:footnoteReference w:id="372"/>
      </w:r>
      <w:r w:rsidR="006129EA">
        <w:t xml:space="preserve"> </w:t>
      </w:r>
      <w:r w:rsidR="00366A3A">
        <w:t xml:space="preserve">and </w:t>
      </w:r>
      <w:r w:rsidR="006129EA">
        <w:t>some financial data</w:t>
      </w:r>
      <w:r w:rsidR="00DF39E8" w:rsidRPr="002A4234">
        <w:rPr>
          <w:rStyle w:val="FootnoteReference"/>
        </w:rPr>
        <w:footnoteReference w:id="373"/>
      </w:r>
      <w:r w:rsidR="003B5E18" w:rsidRPr="00687DFE">
        <w:t xml:space="preserve"> </w:t>
      </w:r>
      <w:r w:rsidR="005D0B8B">
        <w:t>along with</w:t>
      </w:r>
      <w:r w:rsidR="00366A3A">
        <w:t xml:space="preserve"> </w:t>
      </w:r>
      <w:r w:rsidR="0027068D">
        <w:t>a patchwork of state laws</w:t>
      </w:r>
      <w:r w:rsidR="005A23D6">
        <w:t>, there is an underappreciated common law of privacy</w:t>
      </w:r>
      <w:r w:rsidR="00505CEF">
        <w:t xml:space="preserve"> that is </w:t>
      </w:r>
      <w:r w:rsidR="008F227F">
        <w:t>more than</w:t>
      </w:r>
      <w:r w:rsidR="00505CEF">
        <w:t xml:space="preserve"> a century old</w:t>
      </w:r>
      <w:r w:rsidR="00CD271D">
        <w:t>.</w:t>
      </w:r>
      <w:bookmarkStart w:id="88" w:name="_Ref113027850"/>
      <w:r w:rsidR="00505CEF" w:rsidRPr="002A4234">
        <w:rPr>
          <w:rStyle w:val="FootnoteReference"/>
        </w:rPr>
        <w:footnoteReference w:id="374"/>
      </w:r>
      <w:bookmarkEnd w:id="88"/>
      <w:r w:rsidR="001F1F33">
        <w:t xml:space="preserve"> </w:t>
      </w:r>
      <w:r w:rsidR="00DE2F27">
        <w:t xml:space="preserve">To be sure, the common law of privacy is stunted: it emerged </w:t>
      </w:r>
      <w:r w:rsidR="00BB584F">
        <w:t xml:space="preserve">just </w:t>
      </w:r>
      <w:r w:rsidR="00DE2F27">
        <w:t>as common</w:t>
      </w:r>
      <w:r w:rsidR="006A5D1E">
        <w:t>-</w:t>
      </w:r>
      <w:r w:rsidR="00DE2F27">
        <w:t>law courts</w:t>
      </w:r>
      <w:r w:rsidR="003C2DE0">
        <w:t xml:space="preserve"> became more likely to wait for state legislatures to </w:t>
      </w:r>
      <w:r w:rsidR="003C7F0F">
        <w:t>respond</w:t>
      </w:r>
      <w:r w:rsidR="00BB584F">
        <w:t xml:space="preserve"> to emerging technologies</w:t>
      </w:r>
      <w:r w:rsidR="00891F8F">
        <w:t xml:space="preserve">. </w:t>
      </w:r>
      <w:r w:rsidR="00336391">
        <w:t>A</w:t>
      </w:r>
      <w:r w:rsidR="00891F8F">
        <w:t>rbitration, liability waivers, and federal diversity jurisdiction sever</w:t>
      </w:r>
      <w:r w:rsidR="008F227F">
        <w:t>el</w:t>
      </w:r>
      <w:r w:rsidR="00891F8F">
        <w:t xml:space="preserve">y limit the number of </w:t>
      </w:r>
      <w:r w:rsidR="00AE526B">
        <w:t xml:space="preserve">privacy-related </w:t>
      </w:r>
      <w:r w:rsidR="00891F8F">
        <w:t>cases that state common</w:t>
      </w:r>
      <w:r w:rsidR="007C7946">
        <w:t>-</w:t>
      </w:r>
      <w:r w:rsidR="00891F8F">
        <w:t>law courts decide.</w:t>
      </w:r>
      <w:r w:rsidR="001E56BD" w:rsidRPr="002A4234">
        <w:rPr>
          <w:rStyle w:val="FootnoteReference"/>
        </w:rPr>
        <w:footnoteReference w:id="375"/>
      </w:r>
      <w:r w:rsidR="00891F8F">
        <w:t xml:space="preserve"> </w:t>
      </w:r>
      <w:r w:rsidR="00BC5F84">
        <w:t xml:space="preserve">Unsurprisingly, </w:t>
      </w:r>
      <w:r w:rsidR="00872DF6">
        <w:t>t</w:t>
      </w:r>
      <w:r w:rsidR="00CD271D">
        <w:t xml:space="preserve">he United States lacks a </w:t>
      </w:r>
      <w:r w:rsidR="007F5E10">
        <w:t>dominant theory of privacy</w:t>
      </w:r>
      <w:r w:rsidR="001334CC">
        <w:t>.</w:t>
      </w:r>
      <w:r w:rsidR="006B7133" w:rsidRPr="002A4234">
        <w:rPr>
          <w:rStyle w:val="FootnoteReference"/>
        </w:rPr>
        <w:footnoteReference w:id="376"/>
      </w:r>
      <w:r w:rsidR="007F5E10">
        <w:t xml:space="preserve"> </w:t>
      </w:r>
      <w:r w:rsidR="001334CC">
        <w:t>Most privacy laws instead</w:t>
      </w:r>
      <w:r w:rsidR="007F5E10">
        <w:t xml:space="preserve"> </w:t>
      </w:r>
      <w:r w:rsidR="00CA3C75">
        <w:t>trace their origins to</w:t>
      </w:r>
      <w:r w:rsidR="00EF40C0">
        <w:t xml:space="preserve"> other doctrines such as</w:t>
      </w:r>
      <w:r w:rsidR="007F5E10">
        <w:t xml:space="preserve"> human rights,</w:t>
      </w:r>
      <w:r w:rsidR="00DF39E8" w:rsidRPr="002A4234">
        <w:rPr>
          <w:rStyle w:val="FootnoteReference"/>
        </w:rPr>
        <w:footnoteReference w:id="377"/>
      </w:r>
      <w:r w:rsidR="007F5E10">
        <w:t xml:space="preserve"> </w:t>
      </w:r>
      <w:r w:rsidR="00EF40C0">
        <w:t>consumer protection,</w:t>
      </w:r>
      <w:r w:rsidR="003E6EB2" w:rsidRPr="002A4234">
        <w:rPr>
          <w:rStyle w:val="FootnoteReference"/>
        </w:rPr>
        <w:footnoteReference w:id="378"/>
      </w:r>
      <w:r w:rsidR="00EF40C0">
        <w:t xml:space="preserve"> and property.</w:t>
      </w:r>
      <w:r w:rsidR="00A879DE" w:rsidRPr="002A4234">
        <w:rPr>
          <w:rStyle w:val="FootnoteReference"/>
        </w:rPr>
        <w:footnoteReference w:id="379"/>
      </w:r>
      <w:r w:rsidR="008536FA">
        <w:t xml:space="preserve"> </w:t>
      </w:r>
      <w:r w:rsidR="00BC5F84">
        <w:t xml:space="preserve">Still, there is </w:t>
      </w:r>
      <w:r w:rsidR="008F227F">
        <w:t>some</w:t>
      </w:r>
      <w:r w:rsidR="00BC5F84">
        <w:t xml:space="preserve"> content in the common law of privacy, and when combined with </w:t>
      </w:r>
      <w:r w:rsidR="003E6ADB">
        <w:t>existing</w:t>
      </w:r>
      <w:r w:rsidR="00BC5F84">
        <w:t xml:space="preserve"> privacy statutes, there is ample evidence </w:t>
      </w:r>
      <w:r w:rsidR="003E6ADB">
        <w:t xml:space="preserve">from which courts can </w:t>
      </w:r>
      <w:r w:rsidR="006A5D1E">
        <w:t>find</w:t>
      </w:r>
      <w:r w:rsidR="003E6ADB">
        <w:t xml:space="preserve"> </w:t>
      </w:r>
      <w:r w:rsidR="006A5D1E">
        <w:t>a</w:t>
      </w:r>
      <w:r w:rsidR="00BC5F84">
        <w:t xml:space="preserve"> general law of privacy.</w:t>
      </w:r>
    </w:p>
    <w:p w14:paraId="6B7EE754" w14:textId="0BC1C0F8" w:rsidR="0093794C" w:rsidRDefault="00DA4FE2" w:rsidP="00BC5F84">
      <w:pPr>
        <w:pStyle w:val="BodyText"/>
      </w:pPr>
      <w:r>
        <w:t>Th</w:t>
      </w:r>
      <w:r w:rsidR="00823739">
        <w:t>at law</w:t>
      </w:r>
      <w:r>
        <w:t xml:space="preserve"> should be understood as an expansion of the general law of trespass</w:t>
      </w:r>
      <w:r w:rsidR="00125DCC">
        <w:t>—</w:t>
      </w:r>
      <w:r w:rsidR="006C2C2D">
        <w:t>t</w:t>
      </w:r>
      <w:r>
        <w:t xml:space="preserve">hat is, </w:t>
      </w:r>
      <w:r w:rsidR="00C93DBE">
        <w:t>law guarding the right to exclude</w:t>
      </w:r>
      <w:r w:rsidR="00B1563A">
        <w:t xml:space="preserve">, </w:t>
      </w:r>
      <w:r w:rsidR="00E73DF2">
        <w:t>especially</w:t>
      </w:r>
      <w:r w:rsidR="00482BAD">
        <w:t xml:space="preserve"> the right to exclude from houses, papers, and effects</w:t>
      </w:r>
      <w:r w:rsidR="00C93DBE">
        <w:t xml:space="preserve">. </w:t>
      </w:r>
      <w:r w:rsidR="0036172C">
        <w:t>Since 1890, t</w:t>
      </w:r>
      <w:r w:rsidR="00120648">
        <w:t xml:space="preserve">he </w:t>
      </w:r>
      <w:r w:rsidR="002538D4">
        <w:t>common law of torts has</w:t>
      </w:r>
      <w:r w:rsidR="001347CD">
        <w:t xml:space="preserve"> </w:t>
      </w:r>
      <w:r w:rsidR="002538D4">
        <w:t xml:space="preserve">slowly </w:t>
      </w:r>
      <w:r w:rsidR="004C07F5">
        <w:t>recognized</w:t>
      </w:r>
      <w:r w:rsidR="0036172C">
        <w:t xml:space="preserve"> “</w:t>
      </w:r>
      <w:r w:rsidR="00876407">
        <w:t>the</w:t>
      </w:r>
      <w:r w:rsidR="0036172C">
        <w:t xml:space="preserve"> right to be let alone”</w:t>
      </w:r>
      <w:r w:rsidR="001347CD">
        <w:t xml:space="preserve"> in many jurisdictions.</w:t>
      </w:r>
      <w:r w:rsidR="000F208F" w:rsidRPr="002A4234">
        <w:rPr>
          <w:rStyle w:val="FootnoteReference"/>
        </w:rPr>
        <w:footnoteReference w:id="380"/>
      </w:r>
      <w:r w:rsidR="001F5C8F">
        <w:t xml:space="preserve"> Although </w:t>
      </w:r>
      <w:r w:rsidR="00632D3E">
        <w:t xml:space="preserve">these privacy rights are </w:t>
      </w:r>
      <w:r w:rsidR="001F5C8F">
        <w:t xml:space="preserve">no less part of the common law than </w:t>
      </w:r>
      <w:r w:rsidR="00C93DBE">
        <w:t>traditional actions in trespass</w:t>
      </w:r>
      <w:r w:rsidR="008649DD">
        <w:t xml:space="preserve">, </w:t>
      </w:r>
      <w:r w:rsidR="00632D3E">
        <w:t>courts have neglected them in shaping</w:t>
      </w:r>
      <w:r w:rsidR="00965AAC">
        <w:t xml:space="preserve"> Fourth Amendment doctrine.</w:t>
      </w:r>
      <w:r w:rsidR="004C07F5">
        <w:t xml:space="preserve"> </w:t>
      </w:r>
      <w:r w:rsidR="00075B35">
        <w:t>This is a mistake</w:t>
      </w:r>
      <w:r w:rsidR="003B36D8">
        <w:t>. Common</w:t>
      </w:r>
      <w:r w:rsidR="002D7C0D">
        <w:t>-</w:t>
      </w:r>
      <w:r w:rsidR="003B36D8">
        <w:t xml:space="preserve">law-type privacy actions are, as Warren and Brandeis recognized, an essential complement to </w:t>
      </w:r>
      <w:r w:rsidR="00193C54">
        <w:t>trespass</w:t>
      </w:r>
      <w:r w:rsidR="00E33685">
        <w:t xml:space="preserve"> made necessary by the evolving economy.</w:t>
      </w:r>
      <w:r w:rsidR="00C63C69" w:rsidRPr="002A4234">
        <w:rPr>
          <w:rStyle w:val="FootnoteReference"/>
        </w:rPr>
        <w:footnoteReference w:id="381"/>
      </w:r>
      <w:r w:rsidR="00936E36">
        <w:t xml:space="preserve"> The same changes that inspired the emergence of these actions in the positive law make them necessary in the Fourth Amendment.</w:t>
      </w:r>
    </w:p>
    <w:p w14:paraId="469E90D6" w14:textId="37BC47DC" w:rsidR="00C87C82" w:rsidRPr="003A4A41" w:rsidRDefault="0093794C" w:rsidP="003A4A41">
      <w:pPr>
        <w:pStyle w:val="BodyText"/>
      </w:pPr>
      <w:r>
        <w:lastRenderedPageBreak/>
        <w:t xml:space="preserve">A </w:t>
      </w:r>
      <w:r w:rsidR="00CF4740">
        <w:t>general-law approach</w:t>
      </w:r>
      <w:r>
        <w:t xml:space="preserve"> would empower courts to </w:t>
      </w:r>
      <w:r w:rsidR="006F4666">
        <w:t xml:space="preserve">dig deep into the private law </w:t>
      </w:r>
      <w:r w:rsidR="000B037B">
        <w:t xml:space="preserve">in order </w:t>
      </w:r>
      <w:r w:rsidR="006F4666">
        <w:t>to</w:t>
      </w:r>
      <w:r>
        <w:t xml:space="preserve"> create bright</w:t>
      </w:r>
      <w:r w:rsidR="00A6771D">
        <w:t>-</w:t>
      </w:r>
      <w:r>
        <w:t xml:space="preserve">line rules around </w:t>
      </w:r>
      <w:r w:rsidR="00914205">
        <w:t xml:space="preserve">privacy rights for Fourth Amendment purposes. </w:t>
      </w:r>
      <w:r w:rsidR="002D17F2">
        <w:t>Unlike modern</w:t>
      </w:r>
      <w:r w:rsidR="00581C59">
        <w:t>,</w:t>
      </w:r>
      <w:r w:rsidR="002D17F2">
        <w:t xml:space="preserve"> semicodified </w:t>
      </w:r>
      <w:r w:rsidR="00C63C69">
        <w:t>private law, t</w:t>
      </w:r>
      <w:r w:rsidR="006F4666">
        <w:t xml:space="preserve">he general law is not burdened by the silos of </w:t>
      </w:r>
      <w:r w:rsidR="004C556D">
        <w:t>p</w:t>
      </w:r>
      <w:r w:rsidR="006F4666">
        <w:t xml:space="preserve">roperty, </w:t>
      </w:r>
      <w:r w:rsidR="004C556D">
        <w:t>t</w:t>
      </w:r>
      <w:r w:rsidR="006F4666">
        <w:t xml:space="preserve">ort, or </w:t>
      </w:r>
      <w:r w:rsidR="004C556D">
        <w:t>p</w:t>
      </w:r>
      <w:r w:rsidR="006F4666">
        <w:t>rivacy</w:t>
      </w:r>
      <w:r w:rsidR="00AD5E33">
        <w:t xml:space="preserve">, but is its own cohesive whole. </w:t>
      </w:r>
      <w:r w:rsidR="002C0DCE">
        <w:t>And w</w:t>
      </w:r>
      <w:r w:rsidR="00D918E3">
        <w:t>here a state common</w:t>
      </w:r>
      <w:r w:rsidR="0015794A">
        <w:t>-</w:t>
      </w:r>
      <w:r w:rsidR="00D918E3">
        <w:t xml:space="preserve">law court might wait </w:t>
      </w:r>
      <w:r w:rsidR="005C631C">
        <w:t xml:space="preserve">to update doctrine for changing technology out of deference to the legislature, </w:t>
      </w:r>
      <w:r w:rsidR="00150901">
        <w:t xml:space="preserve">a court </w:t>
      </w:r>
      <w:r w:rsidR="00D84417">
        <w:t>applying</w:t>
      </w:r>
      <w:r w:rsidR="00150901">
        <w:t xml:space="preserve"> general law </w:t>
      </w:r>
      <w:r w:rsidR="00BD12AA">
        <w:t xml:space="preserve">faces </w:t>
      </w:r>
      <w:r w:rsidR="00476F44">
        <w:t>fewer</w:t>
      </w:r>
      <w:r w:rsidR="00BD12AA">
        <w:t xml:space="preserve"> suc</w:t>
      </w:r>
      <w:r w:rsidR="00570C18">
        <w:t>h limitations.</w:t>
      </w:r>
    </w:p>
    <w:p w14:paraId="211BCBB4" w14:textId="7B394563" w:rsidR="00431EC9" w:rsidRDefault="00DA6FF0" w:rsidP="003A4A41">
      <w:pPr>
        <w:pStyle w:val="BodyText"/>
      </w:pPr>
      <w:r>
        <w:t>The</w:t>
      </w:r>
      <w:r>
        <w:rPr>
          <w:i/>
        </w:rPr>
        <w:t xml:space="preserve"> </w:t>
      </w:r>
      <w:r w:rsidR="0015794A">
        <w:rPr>
          <w:i/>
          <w:iCs/>
        </w:rPr>
        <w:t>Restatement (Second)</w:t>
      </w:r>
      <w:r>
        <w:rPr>
          <w:i/>
        </w:rPr>
        <w:t xml:space="preserve"> of </w:t>
      </w:r>
      <w:r w:rsidR="0015794A">
        <w:rPr>
          <w:i/>
          <w:iCs/>
        </w:rPr>
        <w:t>Torts</w:t>
      </w:r>
      <w:r w:rsidR="001366CE">
        <w:t xml:space="preserve"> divides </w:t>
      </w:r>
      <w:r w:rsidR="00134034">
        <w:t xml:space="preserve">invasions of the right of privacy into </w:t>
      </w:r>
      <w:r w:rsidR="00C96D70">
        <w:t>“</w:t>
      </w:r>
      <w:r w:rsidR="00134034">
        <w:t>four distinct wrongs”</w:t>
      </w:r>
      <w:r w:rsidR="00F86180">
        <w:t>:</w:t>
      </w:r>
      <w:r w:rsidR="000E09C5" w:rsidRPr="002A4234">
        <w:rPr>
          <w:rStyle w:val="FootnoteReference"/>
        </w:rPr>
        <w:footnoteReference w:id="382"/>
      </w:r>
      <w:r w:rsidR="00EC61B5">
        <w:t xml:space="preserve"> </w:t>
      </w:r>
      <w:r w:rsidR="00702FB2">
        <w:t xml:space="preserve">intrusion </w:t>
      </w:r>
      <w:r w:rsidR="004E0AD3">
        <w:t>up</w:t>
      </w:r>
      <w:r w:rsidR="00702FB2">
        <w:t xml:space="preserve">on </w:t>
      </w:r>
      <w:r w:rsidR="006C4F41">
        <w:t>seclusion</w:t>
      </w:r>
      <w:r w:rsidR="00702FB2">
        <w:t>,</w:t>
      </w:r>
      <w:r w:rsidR="00E95879" w:rsidRPr="002A4234">
        <w:rPr>
          <w:rStyle w:val="FootnoteReference"/>
        </w:rPr>
        <w:footnoteReference w:id="383"/>
      </w:r>
      <w:r w:rsidR="00221745">
        <w:t xml:space="preserve"> </w:t>
      </w:r>
      <w:r w:rsidR="006C4F41">
        <w:t>appropriation</w:t>
      </w:r>
      <w:r w:rsidR="00221745">
        <w:t xml:space="preserve"> of name of likeness,</w:t>
      </w:r>
      <w:r w:rsidR="006C4F41" w:rsidRPr="002A4234">
        <w:rPr>
          <w:rStyle w:val="FootnoteReference"/>
        </w:rPr>
        <w:footnoteReference w:id="384"/>
      </w:r>
      <w:r w:rsidR="00221745">
        <w:t xml:space="preserve"> </w:t>
      </w:r>
      <w:r w:rsidR="00B17D34">
        <w:t>publicity given to private life,</w:t>
      </w:r>
      <w:r w:rsidR="006C4F41" w:rsidRPr="002A4234">
        <w:rPr>
          <w:rStyle w:val="FootnoteReference"/>
        </w:rPr>
        <w:footnoteReference w:id="385"/>
      </w:r>
      <w:r w:rsidR="00B17D34">
        <w:t xml:space="preserve"> and </w:t>
      </w:r>
      <w:r w:rsidR="008655F6">
        <w:t xml:space="preserve">publicity placing </w:t>
      </w:r>
      <w:r w:rsidR="0006061D">
        <w:t>person</w:t>
      </w:r>
      <w:r w:rsidR="008655F6">
        <w:t xml:space="preserve"> in </w:t>
      </w:r>
      <w:r w:rsidR="00B17D34">
        <w:t xml:space="preserve">false </w:t>
      </w:r>
      <w:r w:rsidR="00E95879">
        <w:t>light.</w:t>
      </w:r>
      <w:r w:rsidR="0006061D" w:rsidRPr="002A4234">
        <w:rPr>
          <w:rStyle w:val="FootnoteReference"/>
        </w:rPr>
        <w:footnoteReference w:id="386"/>
      </w:r>
      <w:r w:rsidR="00C67B1B">
        <w:t xml:space="preserve"> </w:t>
      </w:r>
      <w:r w:rsidR="00B243CF">
        <w:t>As even</w:t>
      </w:r>
      <w:r w:rsidR="00C67B1B">
        <w:t xml:space="preserve"> the </w:t>
      </w:r>
      <w:r w:rsidR="00C67B1B" w:rsidRPr="00521B59">
        <w:rPr>
          <w:i/>
          <w:iCs/>
        </w:rPr>
        <w:t>Restatement</w:t>
      </w:r>
      <w:r w:rsidR="00C67B1B">
        <w:t xml:space="preserve"> acknowledges</w:t>
      </w:r>
      <w:r w:rsidR="00B243CF">
        <w:t>, however,</w:t>
      </w:r>
      <w:r w:rsidR="00C67B1B">
        <w:t xml:space="preserve"> these categories sometimes overlap and that </w:t>
      </w:r>
      <w:r w:rsidR="00886E97">
        <w:t xml:space="preserve">some courts take a more expansive view of privacy that tends to </w:t>
      </w:r>
      <w:r w:rsidR="009E6814">
        <w:t>supersede</w:t>
      </w:r>
      <w:r w:rsidR="00A76D24">
        <w:t xml:space="preserve"> these categories.</w:t>
      </w:r>
      <w:r w:rsidR="00A76D24" w:rsidRPr="002A4234">
        <w:rPr>
          <w:rStyle w:val="FootnoteReference"/>
        </w:rPr>
        <w:footnoteReference w:id="387"/>
      </w:r>
    </w:p>
    <w:p w14:paraId="74FBF70C" w14:textId="46C3F3D4" w:rsidR="005415DB" w:rsidRDefault="005415DB" w:rsidP="005415DB">
      <w:pPr>
        <w:pStyle w:val="Heading3"/>
      </w:pPr>
      <w:bookmarkStart w:id="89" w:name="_Toc111723690"/>
      <w:r>
        <w:t>Intrusion on Seclusion</w:t>
      </w:r>
      <w:bookmarkEnd w:id="89"/>
    </w:p>
    <w:p w14:paraId="5EB34FC2" w14:textId="7469841B" w:rsidR="00152BE5" w:rsidRDefault="00F91A1A" w:rsidP="003A4A41">
      <w:pPr>
        <w:pStyle w:val="BodyText"/>
      </w:pPr>
      <w:r>
        <w:t>The first category, intrusion on seclusion</w:t>
      </w:r>
      <w:r w:rsidR="00024239">
        <w:t>,</w:t>
      </w:r>
      <w:r>
        <w:t xml:space="preserve"> is</w:t>
      </w:r>
      <w:r w:rsidR="009A50F1">
        <w:t xml:space="preserve"> </w:t>
      </w:r>
      <w:r w:rsidR="003C5329">
        <w:t>particularly</w:t>
      </w:r>
      <w:r w:rsidR="009A50F1">
        <w:t xml:space="preserve"> useful </w:t>
      </w:r>
      <w:r w:rsidR="00521B59">
        <w:t>here</w:t>
      </w:r>
      <w:r w:rsidR="009A50F1">
        <w:t xml:space="preserve"> because it </w:t>
      </w:r>
      <w:r w:rsidR="004A0AB4">
        <w:t xml:space="preserve">often </w:t>
      </w:r>
      <w:r w:rsidR="003A2305">
        <w:t xml:space="preserve">involves </w:t>
      </w:r>
      <w:r w:rsidR="004A0AB4">
        <w:t xml:space="preserve">a straightforward violation of </w:t>
      </w:r>
      <w:r w:rsidR="007741BF">
        <w:t xml:space="preserve">the right to exclude. </w:t>
      </w:r>
      <w:r w:rsidR="00BC0A21">
        <w:t>Under t</w:t>
      </w:r>
      <w:r w:rsidR="007741BF">
        <w:t xml:space="preserve">he </w:t>
      </w:r>
      <w:r w:rsidR="007741BF" w:rsidRPr="009075FF">
        <w:rPr>
          <w:i/>
          <w:iCs/>
        </w:rPr>
        <w:t>Restatement</w:t>
      </w:r>
      <w:r w:rsidR="00BC0A21">
        <w:rPr>
          <w:iCs/>
        </w:rPr>
        <w:t>,</w:t>
      </w:r>
      <w:r w:rsidR="007741BF">
        <w:t xml:space="preserve"> </w:t>
      </w:r>
      <w:r w:rsidR="003F4E6E">
        <w:t>“o</w:t>
      </w:r>
      <w:r w:rsidR="003F4E6E" w:rsidRPr="003F4E6E">
        <w:t>ne who intentionally intrudes, physically or otherwise, upon the solitude or seclusion of another or his private affairs or concerns, is subject to liability to the other for invasion of his privacy, if the intrusion would be highly offensive to a reasonable person.</w:t>
      </w:r>
      <w:r w:rsidR="003F4E6E">
        <w:t>”</w:t>
      </w:r>
      <w:r w:rsidR="003F4E6E" w:rsidRPr="002A4234">
        <w:rPr>
          <w:rStyle w:val="FootnoteReference"/>
        </w:rPr>
        <w:footnoteReference w:id="388"/>
      </w:r>
      <w:r w:rsidR="00867E13">
        <w:t xml:space="preserve"> The comments clarify that the intrusion “</w:t>
      </w:r>
      <w:r w:rsidR="00867E13" w:rsidRPr="00867E13">
        <w:t>may also be by the use of the defendant</w:t>
      </w:r>
      <w:r w:rsidR="007F54C0">
        <w:t>’</w:t>
      </w:r>
      <w:r w:rsidR="00867E13" w:rsidRPr="00867E13">
        <w:t>s senses, with or without mechanical aids, to oversee or overhear the plaintiff's private affairs, as by looking into his upstairs windows with binoculars or tapping his telephone wires.</w:t>
      </w:r>
      <w:r w:rsidR="00867E13">
        <w:t>”</w:t>
      </w:r>
      <w:r w:rsidR="00867E13" w:rsidRPr="002A4234">
        <w:rPr>
          <w:rStyle w:val="FootnoteReference"/>
        </w:rPr>
        <w:footnoteReference w:id="389"/>
      </w:r>
      <w:r w:rsidR="005C6B2F">
        <w:t xml:space="preserve"> As in traditional actions in trespass, liability stems from the intrusion itself</w:t>
      </w:r>
      <w:r w:rsidR="004E627B">
        <w:t>, not</w:t>
      </w:r>
      <w:r w:rsidR="005C6B2F">
        <w:t xml:space="preserve"> injury caused by the intrusion.</w:t>
      </w:r>
      <w:r w:rsidR="005C6B2F" w:rsidRPr="002A4234">
        <w:rPr>
          <w:rStyle w:val="FootnoteReference"/>
        </w:rPr>
        <w:footnoteReference w:id="390"/>
      </w:r>
      <w:r w:rsidR="00F5036F">
        <w:t xml:space="preserve"> </w:t>
      </w:r>
      <w:r w:rsidR="00F90DBE">
        <w:t>One state court</w:t>
      </w:r>
      <w:r w:rsidR="00283538">
        <w:t xml:space="preserve"> </w:t>
      </w:r>
      <w:r w:rsidR="00E94A00">
        <w:t>has explained that “[t]</w:t>
      </w:r>
      <w:r w:rsidR="00E94A00" w:rsidRPr="00E94A00">
        <w:t>he right of privacy is embraced within the absolute rights of personal security and personal liberty</w:t>
      </w:r>
      <w:r w:rsidR="0038199C">
        <w:t>,</w:t>
      </w:r>
      <w:r w:rsidR="00E94A00">
        <w:t>”</w:t>
      </w:r>
      <w:r w:rsidR="0038199C">
        <w:t xml:space="preserve"> with “personal liberty” </w:t>
      </w:r>
      <w:r w:rsidR="0038199C" w:rsidRPr="0038199C">
        <w:t>includ</w:t>
      </w:r>
      <w:r w:rsidR="001B1E4E">
        <w:t>ing</w:t>
      </w:r>
      <w:r w:rsidR="0038199C" w:rsidRPr="0038199C">
        <w:t xml:space="preserve"> </w:t>
      </w:r>
      <w:r w:rsidR="001B1E4E">
        <w:t>“</w:t>
      </w:r>
      <w:r w:rsidR="0038199C" w:rsidRPr="0038199C">
        <w:t xml:space="preserve">not only freedom from physical restraint, but also the right </w:t>
      </w:r>
      <w:r w:rsidR="001B1E4E">
        <w:t>‘</w:t>
      </w:r>
      <w:r w:rsidR="0038199C" w:rsidRPr="0038199C">
        <w:t>to be let alone,</w:t>
      </w:r>
      <w:r w:rsidR="001B1E4E">
        <w:t>’</w:t>
      </w:r>
      <w:r w:rsidR="0038199C" w:rsidRPr="0038199C">
        <w:t xml:space="preserve"> to determine one</w:t>
      </w:r>
      <w:r w:rsidR="001B1E4E">
        <w:t>’</w:t>
      </w:r>
      <w:r w:rsidR="0038199C" w:rsidRPr="0038199C">
        <w:t>s mode of life, whether it shall be a life of publicity or of privacy</w:t>
      </w:r>
      <w:r w:rsidR="001B1E4E">
        <w:t>.</w:t>
      </w:r>
      <w:r w:rsidR="007115C4">
        <w:t>”</w:t>
      </w:r>
      <w:r w:rsidR="00283538" w:rsidRPr="002A4234">
        <w:rPr>
          <w:rStyle w:val="FootnoteReference"/>
        </w:rPr>
        <w:footnoteReference w:id="391"/>
      </w:r>
    </w:p>
    <w:p w14:paraId="52565C23" w14:textId="7FF8DDC2" w:rsidR="00B67947" w:rsidRDefault="004151A2" w:rsidP="003A4A41">
      <w:pPr>
        <w:pStyle w:val="BodyText"/>
      </w:pPr>
      <w:r>
        <w:lastRenderedPageBreak/>
        <w:t>Under t</w:t>
      </w:r>
      <w:r w:rsidR="00A85B73">
        <w:t xml:space="preserve">his </w:t>
      </w:r>
      <w:r w:rsidR="0033668E">
        <w:t>view</w:t>
      </w:r>
      <w:r>
        <w:t xml:space="preserve">, a violation </w:t>
      </w:r>
      <w:r w:rsidR="0033668E">
        <w:t xml:space="preserve">of the right to privacy </w:t>
      </w:r>
      <w:r>
        <w:t>could be seen</w:t>
      </w:r>
      <w:r w:rsidR="0033668E">
        <w:t xml:space="preserve"> as a threat to the security of the </w:t>
      </w:r>
      <w:r w:rsidR="008715E6">
        <w:t>“person” for Fourth Amendment purposes</w:t>
      </w:r>
      <w:r w:rsidR="0033668E">
        <w:t>.</w:t>
      </w:r>
      <w:r w:rsidR="00F865FB">
        <w:t xml:space="preserve"> </w:t>
      </w:r>
      <w:r w:rsidR="00F90DBE">
        <w:t>It thus could</w:t>
      </w:r>
      <w:r w:rsidR="009944A1">
        <w:t xml:space="preserve"> support</w:t>
      </w:r>
      <w:r w:rsidR="00A1462A">
        <w:t xml:space="preserve"> </w:t>
      </w:r>
      <w:r w:rsidR="005F66D1">
        <w:rPr>
          <w:i/>
          <w:iCs/>
        </w:rPr>
        <w:t>Katz</w:t>
      </w:r>
      <w:r w:rsidR="00A1462A">
        <w:t xml:space="preserve">’s holding that </w:t>
      </w:r>
      <w:r w:rsidR="005F66D1">
        <w:t xml:space="preserve">that </w:t>
      </w:r>
      <w:r w:rsidR="009944A1">
        <w:t>the Fourth Amendment protects against wiretapping</w:t>
      </w:r>
      <w:r w:rsidR="00B070D5">
        <w:t>,</w:t>
      </w:r>
      <w:r w:rsidR="009944A1">
        <w:t xml:space="preserve"> </w:t>
      </w:r>
      <w:r>
        <w:t xml:space="preserve">notwithstanding the lack of </w:t>
      </w:r>
      <w:r w:rsidR="009944A1">
        <w:t>any physical intrusion.</w:t>
      </w:r>
      <w:r w:rsidR="0098541A">
        <w:rPr>
          <w:rStyle w:val="FootnoteReference"/>
        </w:rPr>
        <w:footnoteReference w:id="392"/>
      </w:r>
      <w:r w:rsidR="009944A1">
        <w:t xml:space="preserve"> But a</w:t>
      </w:r>
      <w:r w:rsidR="00107F22">
        <w:t xml:space="preserve">nother way to view wiretapping </w:t>
      </w:r>
      <w:r w:rsidR="001B6D44">
        <w:t>is</w:t>
      </w:r>
      <w:r>
        <w:t xml:space="preserve"> </w:t>
      </w:r>
      <w:r w:rsidR="008E2FAD">
        <w:t>as</w:t>
      </w:r>
      <w:r w:rsidR="00107F22">
        <w:t xml:space="preserve"> an invasion </w:t>
      </w:r>
      <w:r>
        <w:t>of</w:t>
      </w:r>
      <w:r w:rsidR="00107F22">
        <w:t xml:space="preserve"> a person’s </w:t>
      </w:r>
      <w:r w:rsidR="0072547C">
        <w:t>“papers</w:t>
      </w:r>
      <w:r>
        <w:t>.</w:t>
      </w:r>
      <w:r w:rsidR="0072547C">
        <w:t>”</w:t>
      </w:r>
      <w:r>
        <w:t xml:space="preserve"> T</w:t>
      </w:r>
      <w:r w:rsidR="000544FB">
        <w:t xml:space="preserve">he telephone and </w:t>
      </w:r>
      <w:r w:rsidR="00777AB7">
        <w:t>later technologies</w:t>
      </w:r>
      <w:r w:rsidR="000544FB">
        <w:t xml:space="preserve"> are successors of the letter—the quintessential paper </w:t>
      </w:r>
      <w:r w:rsidR="007F3E83">
        <w:t xml:space="preserve">that receives a high level of Fourth Amendment protection. </w:t>
      </w:r>
      <w:r w:rsidR="0030001F">
        <w:t xml:space="preserve">Through </w:t>
      </w:r>
      <w:r w:rsidR="00EA0794">
        <w:t>the</w:t>
      </w:r>
      <w:r w:rsidR="0030001F">
        <w:t xml:space="preserve"> process of constitutional “translation,”</w:t>
      </w:r>
      <w:r w:rsidR="00235317" w:rsidRPr="002A4234">
        <w:rPr>
          <w:rStyle w:val="FootnoteReference"/>
        </w:rPr>
        <w:footnoteReference w:id="393"/>
      </w:r>
      <w:r w:rsidR="0030001F">
        <w:t xml:space="preserve"> courts could conclude that </w:t>
      </w:r>
      <w:r w:rsidR="00060DD1">
        <w:t xml:space="preserve">“papers” </w:t>
      </w:r>
      <w:r w:rsidR="008719E1">
        <w:t xml:space="preserve">(or “effects”) should be construed to extend to </w:t>
      </w:r>
      <w:r w:rsidR="008250A8">
        <w:t xml:space="preserve">various forms of electronic communication. </w:t>
      </w:r>
      <w:r w:rsidR="009D57D4">
        <w:t>The general</w:t>
      </w:r>
      <w:r w:rsidR="008715E6">
        <w:t>-</w:t>
      </w:r>
      <w:r w:rsidR="009D57D4">
        <w:t xml:space="preserve">law </w:t>
      </w:r>
      <w:r w:rsidR="0072547C">
        <w:t xml:space="preserve">approach </w:t>
      </w:r>
      <w:r w:rsidR="009D57D4">
        <w:t>could take either view</w:t>
      </w:r>
      <w:r w:rsidR="008250A8">
        <w:t>.</w:t>
      </w:r>
    </w:p>
    <w:p w14:paraId="79733AB8" w14:textId="48952A02" w:rsidR="00723BF4" w:rsidRDefault="00490C63" w:rsidP="003A4A41">
      <w:pPr>
        <w:pStyle w:val="BodyText"/>
      </w:pPr>
      <w:r>
        <w:t>Bugs</w:t>
      </w:r>
      <w:r w:rsidR="00FE1AB0">
        <w:t>,</w:t>
      </w:r>
      <w:r w:rsidR="003429CE" w:rsidRPr="002A4234">
        <w:rPr>
          <w:rStyle w:val="FootnoteReference"/>
        </w:rPr>
        <w:footnoteReference w:id="394"/>
      </w:r>
      <w:r>
        <w:t xml:space="preserve"> video cameras</w:t>
      </w:r>
      <w:r w:rsidR="00FE1AB0">
        <w:t>, heat sensors</w:t>
      </w:r>
      <w:r w:rsidR="003407E0">
        <w:t>,</w:t>
      </w:r>
      <w:r w:rsidR="003407E0" w:rsidRPr="002A4234">
        <w:rPr>
          <w:rStyle w:val="FootnoteReference"/>
        </w:rPr>
        <w:footnoteReference w:id="395"/>
      </w:r>
      <w:r>
        <w:t xml:space="preserve"> </w:t>
      </w:r>
      <w:r w:rsidR="00120E0E">
        <w:t xml:space="preserve">and other wall-penetrating technology </w:t>
      </w:r>
      <w:r w:rsidR="00101856">
        <w:t>can easily</w:t>
      </w:r>
      <w:r w:rsidR="00DE7FD6">
        <w:t xml:space="preserve"> be understood as intrusions into </w:t>
      </w:r>
      <w:r w:rsidR="0072547C">
        <w:t>“</w:t>
      </w:r>
      <w:r w:rsidR="00DE7FD6" w:rsidRPr="0072547C">
        <w:t>houses</w:t>
      </w:r>
      <w:r w:rsidR="003700C4">
        <w:t>.</w:t>
      </w:r>
      <w:r w:rsidR="0072547C">
        <w:t>”</w:t>
      </w:r>
      <w:r w:rsidR="003700C4">
        <w:t xml:space="preserve"> </w:t>
      </w:r>
      <w:r w:rsidR="001B4D59">
        <w:t>C</w:t>
      </w:r>
      <w:r w:rsidR="003700C4">
        <w:t xml:space="preserve">ourts have </w:t>
      </w:r>
      <w:r w:rsidR="00F92FEE">
        <w:t>found that</w:t>
      </w:r>
      <w:r w:rsidR="008C00E9">
        <w:t xml:space="preserve"> systemically spying through the windows of another’s home </w:t>
      </w:r>
      <w:r w:rsidR="009200D0">
        <w:t>is</w:t>
      </w:r>
      <w:r w:rsidR="008C00E9">
        <w:t xml:space="preserve"> an intrusion on seclusion,</w:t>
      </w:r>
      <w:r w:rsidR="003233D1" w:rsidRPr="002A4234">
        <w:rPr>
          <w:rStyle w:val="FootnoteReference"/>
        </w:rPr>
        <w:footnoteReference w:id="396"/>
      </w:r>
      <w:r w:rsidR="008C00E9">
        <w:t xml:space="preserve"> even if the viewer has a right to be investigating the inhabitants of the house.</w:t>
      </w:r>
      <w:r w:rsidR="008C00E9" w:rsidRPr="002A4234">
        <w:rPr>
          <w:rStyle w:val="FootnoteReference"/>
        </w:rPr>
        <w:footnoteReference w:id="397"/>
      </w:r>
      <w:r w:rsidR="003A2736">
        <w:t xml:space="preserve"> </w:t>
      </w:r>
      <w:r w:rsidR="002234CE">
        <w:t xml:space="preserve">Recent </w:t>
      </w:r>
      <w:r w:rsidR="00C75F01">
        <w:t>case</w:t>
      </w:r>
      <w:r w:rsidR="00F5469F">
        <w:t xml:space="preserve"> </w:t>
      </w:r>
      <w:r w:rsidR="00C75F01">
        <w:t>law</w:t>
      </w:r>
      <w:r w:rsidR="002234CE">
        <w:t xml:space="preserve"> from Massachusetts is illustrative. In </w:t>
      </w:r>
      <w:r w:rsidR="002234CE">
        <w:rPr>
          <w:i/>
          <w:iCs/>
        </w:rPr>
        <w:t>Bignami v. Serrano</w:t>
      </w:r>
      <w:r w:rsidR="002234CE">
        <w:t xml:space="preserve">, </w:t>
      </w:r>
      <w:r w:rsidR="006A0E48">
        <w:t>two homes in the tony suburb of Brookline, Massachusetts shared a driv</w:t>
      </w:r>
      <w:r w:rsidR="00A22730">
        <w:t>e</w:t>
      </w:r>
      <w:r w:rsidR="006A0E48">
        <w:t>way</w:t>
      </w:r>
      <w:r w:rsidR="004C6CDC">
        <w:t xml:space="preserve">, each having an easement to use </w:t>
      </w:r>
      <w:r w:rsidR="00153DD9">
        <w:t>it</w:t>
      </w:r>
      <w:r w:rsidR="004C6CDC">
        <w:t>.</w:t>
      </w:r>
      <w:r w:rsidR="00A8124E" w:rsidRPr="002A4234">
        <w:rPr>
          <w:rStyle w:val="FootnoteReference"/>
        </w:rPr>
        <w:footnoteReference w:id="398"/>
      </w:r>
      <w:r w:rsidR="004C6CDC">
        <w:t xml:space="preserve"> </w:t>
      </w:r>
      <w:r w:rsidR="004478EC">
        <w:t xml:space="preserve">After </w:t>
      </w:r>
      <w:r w:rsidR="0039549D">
        <w:t xml:space="preserve">the neighbors’ </w:t>
      </w:r>
      <w:r w:rsidR="004478EC">
        <w:t>dis</w:t>
      </w:r>
      <w:r w:rsidR="00A71280">
        <w:t>agreements</w:t>
      </w:r>
      <w:r w:rsidR="004478EC">
        <w:t xml:space="preserve"> about </w:t>
      </w:r>
      <w:r w:rsidR="00A71280">
        <w:t xml:space="preserve">use of </w:t>
      </w:r>
      <w:r w:rsidR="004478EC">
        <w:t xml:space="preserve">the driveway </w:t>
      </w:r>
      <w:r w:rsidR="008E5431">
        <w:t xml:space="preserve">grew into </w:t>
      </w:r>
      <w:r w:rsidR="00CC444C">
        <w:t>a white</w:t>
      </w:r>
      <w:r w:rsidR="00A71280">
        <w:t>-</w:t>
      </w:r>
      <w:r w:rsidR="00CC444C">
        <w:t>hot dispute</w:t>
      </w:r>
      <w:r w:rsidR="008E5431">
        <w:t xml:space="preserve">, </w:t>
      </w:r>
      <w:r w:rsidR="00A71280">
        <w:t>one set of homeowners</w:t>
      </w:r>
      <w:r w:rsidR="008E5431">
        <w:t xml:space="preserve"> set up video cameras to constantly record the shared driveway. </w:t>
      </w:r>
      <w:r w:rsidR="00A71280">
        <w:t>The court found that, w</w:t>
      </w:r>
      <w:r w:rsidR="0088365A">
        <w:t xml:space="preserve">hatever right the </w:t>
      </w:r>
      <w:r w:rsidR="00A71280">
        <w:t>homeowners</w:t>
      </w:r>
      <w:r w:rsidR="0088365A">
        <w:t xml:space="preserve"> migh</w:t>
      </w:r>
      <w:r w:rsidR="00815D05">
        <w:t>t</w:t>
      </w:r>
      <w:r w:rsidR="0088365A">
        <w:t xml:space="preserve"> have to record their own property, </w:t>
      </w:r>
      <w:r w:rsidR="004E2D89">
        <w:t xml:space="preserve">their </w:t>
      </w:r>
      <w:r w:rsidR="0088365A">
        <w:t xml:space="preserve">recording </w:t>
      </w:r>
      <w:r w:rsidR="004E2D89">
        <w:t>of their</w:t>
      </w:r>
      <w:r w:rsidR="00A71280">
        <w:t xml:space="preserve"> neighbors’</w:t>
      </w:r>
      <w:r w:rsidR="0088365A">
        <w:t xml:space="preserve"> easement </w:t>
      </w:r>
      <w:r w:rsidR="00966E00">
        <w:t xml:space="preserve">interfered with </w:t>
      </w:r>
      <w:r w:rsidR="00E25023">
        <w:t>the neigh</w:t>
      </w:r>
      <w:r w:rsidR="003438DE">
        <w:t>b</w:t>
      </w:r>
      <w:r w:rsidR="00E25023">
        <w:t>ors’</w:t>
      </w:r>
      <w:r w:rsidR="00966E00">
        <w:t xml:space="preserve"> use </w:t>
      </w:r>
      <w:r w:rsidR="00966E00">
        <w:lastRenderedPageBreak/>
        <w:t>and enjoyment of the property.</w:t>
      </w:r>
      <w:r w:rsidR="00A71280" w:rsidRPr="002A4234">
        <w:rPr>
          <w:rStyle w:val="FootnoteReference"/>
        </w:rPr>
        <w:footnoteReference w:id="399"/>
      </w:r>
      <w:r w:rsidR="00966E00">
        <w:t xml:space="preserve"> </w:t>
      </w:r>
      <w:r w:rsidR="00FC760B">
        <w:t>R</w:t>
      </w:r>
      <w:r w:rsidR="00477978">
        <w:t xml:space="preserve">ecording children </w:t>
      </w:r>
      <w:r w:rsidR="00FC760B">
        <w:t>in the driveway</w:t>
      </w:r>
      <w:r w:rsidR="00477978">
        <w:t xml:space="preserve"> raised additional </w:t>
      </w:r>
      <w:r w:rsidR="00FC760B">
        <w:t xml:space="preserve">privacy </w:t>
      </w:r>
      <w:r w:rsidR="00477978">
        <w:t>concerns</w:t>
      </w:r>
      <w:r w:rsidR="009A1033">
        <w:t>.</w:t>
      </w:r>
      <w:r w:rsidR="007365A5" w:rsidRPr="002A4234">
        <w:rPr>
          <w:rStyle w:val="FootnoteReference"/>
        </w:rPr>
        <w:footnoteReference w:id="400"/>
      </w:r>
      <w:r w:rsidR="003B791E">
        <w:t xml:space="preserve"> In Massachusetts, video surveillance on otherwise inaccessible private property is an “intrusion on solitude” and </w:t>
      </w:r>
      <w:r w:rsidR="007E620F">
        <w:t>a “</w:t>
      </w:r>
      <w:r w:rsidR="007E620F" w:rsidRPr="007E620F">
        <w:t>violation of a person</w:t>
      </w:r>
      <w:r w:rsidR="009075FF">
        <w:t>’</w:t>
      </w:r>
      <w:r w:rsidR="007E620F" w:rsidRPr="007E620F">
        <w:t>s interest in being left alone</w:t>
      </w:r>
      <w:r w:rsidR="007E620F">
        <w:t>.”</w:t>
      </w:r>
      <w:r w:rsidR="007E620F" w:rsidRPr="002A4234">
        <w:rPr>
          <w:rStyle w:val="FootnoteReference"/>
        </w:rPr>
        <w:footnoteReference w:id="401"/>
      </w:r>
    </w:p>
    <w:p w14:paraId="4C14D74B" w14:textId="3BB51B9E" w:rsidR="00F1665A" w:rsidRPr="00BE135B" w:rsidRDefault="00BE135B" w:rsidP="003A4A41">
      <w:pPr>
        <w:pStyle w:val="BodyText"/>
      </w:pPr>
      <w:r>
        <w:t xml:space="preserve">Similarly in </w:t>
      </w:r>
      <w:r>
        <w:rPr>
          <w:i/>
          <w:iCs/>
        </w:rPr>
        <w:t>Polay v. McMahon</w:t>
      </w:r>
      <w:r>
        <w:t xml:space="preserve">, </w:t>
      </w:r>
      <w:r w:rsidR="00FC2156">
        <w:t xml:space="preserve">the Massachusetts </w:t>
      </w:r>
      <w:r w:rsidR="0058644E">
        <w:t>Supreme Judicial Court</w:t>
      </w:r>
      <w:r w:rsidR="00FC2156">
        <w:t xml:space="preserve"> </w:t>
      </w:r>
      <w:r w:rsidR="00231029">
        <w:t xml:space="preserve">upheld a judgment against a defendant who </w:t>
      </w:r>
      <w:r w:rsidR="00A82CC8">
        <w:t xml:space="preserve">pointed cameras to record the interior of </w:t>
      </w:r>
      <w:r w:rsidR="008A3A97">
        <w:t>his neighbors’</w:t>
      </w:r>
      <w:r w:rsidR="00A82CC8">
        <w:t xml:space="preserve"> home</w:t>
      </w:r>
      <w:r w:rsidR="00723BF4">
        <w:t>.</w:t>
      </w:r>
      <w:r w:rsidR="00FE44BC" w:rsidRPr="002A4234">
        <w:rPr>
          <w:rStyle w:val="FootnoteReference"/>
        </w:rPr>
        <w:footnoteReference w:id="402"/>
      </w:r>
      <w:r w:rsidR="00723BF4">
        <w:t xml:space="preserve"> </w:t>
      </w:r>
      <w:r w:rsidR="001A7353">
        <w:t xml:space="preserve">The court </w:t>
      </w:r>
      <w:r w:rsidR="00F73579">
        <w:t>balance</w:t>
      </w:r>
      <w:r w:rsidR="009652E2">
        <w:t>d</w:t>
      </w:r>
      <w:r w:rsidR="00F73579">
        <w:t xml:space="preserve"> the alleged need for the intrusion</w:t>
      </w:r>
      <w:r w:rsidR="00FC760B">
        <w:t xml:space="preserve"> against its harms</w:t>
      </w:r>
      <w:r w:rsidR="00513B68">
        <w:t xml:space="preserve">, recognizing that </w:t>
      </w:r>
      <w:r w:rsidR="004B6DD4">
        <w:t>some</w:t>
      </w:r>
      <w:r w:rsidR="00513B68">
        <w:t xml:space="preserve"> </w:t>
      </w:r>
      <w:r w:rsidR="0070574F">
        <w:t>observation</w:t>
      </w:r>
      <w:r w:rsidR="00193D69">
        <w:t xml:space="preserve"> by </w:t>
      </w:r>
      <w:r w:rsidR="00FC760B">
        <w:t xml:space="preserve">one’s </w:t>
      </w:r>
      <w:r w:rsidR="00193D69">
        <w:t xml:space="preserve">neighbors is </w:t>
      </w:r>
      <w:r w:rsidR="00FC760B">
        <w:t>inevitabl</w:t>
      </w:r>
      <w:r w:rsidR="0070574F">
        <w:t>e</w:t>
      </w:r>
      <w:r w:rsidR="00FC760B">
        <w:t xml:space="preserve"> in</w:t>
      </w:r>
      <w:r w:rsidR="00193D69">
        <w:t xml:space="preserve"> </w:t>
      </w:r>
      <w:r w:rsidR="00692FCA">
        <w:t>modern society</w:t>
      </w:r>
      <w:r w:rsidR="00A24A73">
        <w:t>.</w:t>
      </w:r>
      <w:r w:rsidR="00A82CC8">
        <w:t xml:space="preserve"> </w:t>
      </w:r>
      <w:r w:rsidR="00E94C3D">
        <w:t>Nevertheless</w:t>
      </w:r>
      <w:r w:rsidR="00B745E8">
        <w:t xml:space="preserve">, the </w:t>
      </w:r>
      <w:r w:rsidR="002573BD">
        <w:t>court found the systematic recording</w:t>
      </w:r>
      <w:r w:rsidR="00B745E8">
        <w:t xml:space="preserve"> </w:t>
      </w:r>
      <w:r w:rsidR="00E94C3D">
        <w:t xml:space="preserve">impermissible because </w:t>
      </w:r>
      <w:r w:rsidR="00A82CC8">
        <w:t>“</w:t>
      </w:r>
      <w:r w:rsidR="00A82CC8" w:rsidRPr="00A82CC8">
        <w:t>even where an individual</w:t>
      </w:r>
      <w:r w:rsidR="00DB7B73">
        <w:t>’</w:t>
      </w:r>
      <w:r w:rsidR="00A82CC8" w:rsidRPr="00A82CC8">
        <w:t>s conduct is observable by the public, the individual still may possess a reasonable expectation of privacy against the use of electronic surveillance that monitors and records such conduct for a continuous and extended duration.</w:t>
      </w:r>
      <w:r w:rsidR="00723BF4">
        <w:t>”</w:t>
      </w:r>
      <w:r w:rsidR="00E94C3D" w:rsidRPr="002A4234">
        <w:rPr>
          <w:rStyle w:val="FootnoteReference"/>
        </w:rPr>
        <w:footnoteReference w:id="403"/>
      </w:r>
    </w:p>
    <w:p w14:paraId="31B745E9" w14:textId="5B9F3E01" w:rsidR="0062545F" w:rsidRDefault="00D87811" w:rsidP="00AD7FA5">
      <w:pPr>
        <w:pStyle w:val="BodyText"/>
      </w:pPr>
      <w:r>
        <w:t>The question of when recordings</w:t>
      </w:r>
      <w:r w:rsidR="00B75A5C">
        <w:t xml:space="preserve"> of public</w:t>
      </w:r>
      <w:r w:rsidR="00A36392">
        <w:t xml:space="preserve">ly </w:t>
      </w:r>
      <w:r w:rsidR="00270235">
        <w:t>visible</w:t>
      </w:r>
      <w:r w:rsidR="00B75A5C">
        <w:t xml:space="preserve"> spaces</w:t>
      </w:r>
      <w:r>
        <w:t xml:space="preserve"> become </w:t>
      </w:r>
      <w:r w:rsidR="00B75A5C">
        <w:t xml:space="preserve">impermissible </w:t>
      </w:r>
      <w:r>
        <w:t xml:space="preserve">searches is unsettled under current Fourth Amendment doctrine. </w:t>
      </w:r>
      <w:r w:rsidR="007218A6">
        <w:t xml:space="preserve">Lower courts have recently </w:t>
      </w:r>
      <w:r w:rsidR="00762D0D">
        <w:t xml:space="preserve">faced a spate of cases requiring them to decide whether cameras mounted on utility poles conduct a “search” when they </w:t>
      </w:r>
      <w:r w:rsidR="00164B59">
        <w:t xml:space="preserve">are intentionally mounted to record the activity on private property, often over </w:t>
      </w:r>
      <w:r w:rsidR="00B75A5C">
        <w:t>an extended period</w:t>
      </w:r>
      <w:r w:rsidR="00164B59">
        <w:t>.</w:t>
      </w:r>
      <w:r w:rsidR="00164B59" w:rsidRPr="002A4234">
        <w:rPr>
          <w:rStyle w:val="FootnoteReference"/>
        </w:rPr>
        <w:footnoteReference w:id="404"/>
      </w:r>
      <w:r w:rsidR="00A4723B">
        <w:t xml:space="preserve"> </w:t>
      </w:r>
      <w:r w:rsidR="00B75A5C">
        <w:t>Normally</w:t>
      </w:r>
      <w:r w:rsidR="00734C65">
        <w:t xml:space="preserve">, </w:t>
      </w:r>
      <w:r w:rsidR="00B75A5C">
        <w:t xml:space="preserve">law enforcement does not “search” when they observe </w:t>
      </w:r>
      <w:r w:rsidR="00030261">
        <w:t>things in public view</w:t>
      </w:r>
      <w:r w:rsidR="00734C65">
        <w:t>.</w:t>
      </w:r>
      <w:r w:rsidR="00984E8D" w:rsidRPr="002A4234">
        <w:rPr>
          <w:rStyle w:val="FootnoteReference"/>
        </w:rPr>
        <w:footnoteReference w:id="405"/>
      </w:r>
      <w:r w:rsidR="00734C65">
        <w:t xml:space="preserve"> </w:t>
      </w:r>
      <w:r w:rsidR="001071E6">
        <w:t>In these cases, technological advances have expanded officers’ capacity to observe their targets, both in duration and in vantage point.</w:t>
      </w:r>
      <w:r w:rsidR="00FA0285" w:rsidRPr="002A4234">
        <w:rPr>
          <w:rStyle w:val="FootnoteReference"/>
        </w:rPr>
        <w:footnoteReference w:id="406"/>
      </w:r>
      <w:r w:rsidR="001071E6">
        <w:t xml:space="preserve"> </w:t>
      </w:r>
      <w:r w:rsidR="009274A0">
        <w:t>If this ex</w:t>
      </w:r>
      <w:r w:rsidR="009274A0">
        <w:lastRenderedPageBreak/>
        <w:t xml:space="preserve">panded capacity is a problem, </w:t>
      </w:r>
      <w:r w:rsidR="006A0AB4">
        <w:t xml:space="preserve">courts need to </w:t>
      </w:r>
      <w:r w:rsidR="003B5E3B">
        <w:t xml:space="preserve">determine when </w:t>
      </w:r>
      <w:r w:rsidR="006A0AB4">
        <w:t xml:space="preserve">recording from public property onto private property </w:t>
      </w:r>
      <w:r w:rsidR="003B5E3B">
        <w:t>becomes</w:t>
      </w:r>
      <w:r w:rsidR="006A0AB4">
        <w:t xml:space="preserve"> impermissible. </w:t>
      </w:r>
      <w:r w:rsidR="004C5661">
        <w:t>As Kerr explain</w:t>
      </w:r>
      <w:r w:rsidR="003B5E3B">
        <w:t>s</w:t>
      </w:r>
      <w:r w:rsidR="004C5661">
        <w:t xml:space="preserve">, </w:t>
      </w:r>
      <w:r w:rsidR="002B007B">
        <w:t>“</w:t>
      </w:r>
      <w:r w:rsidR="002B007B" w:rsidRPr="002B007B">
        <w:t xml:space="preserve">you could say that their use is always a search, </w:t>
      </w:r>
      <w:r w:rsidR="004C5661">
        <w:t>[b]</w:t>
      </w:r>
      <w:r w:rsidR="002B007B" w:rsidRPr="002B007B">
        <w:t xml:space="preserve">ut then you have to figure out what the constitutional definition of </w:t>
      </w:r>
      <w:r w:rsidR="004C5661">
        <w:t>‘</w:t>
      </w:r>
      <w:r w:rsidR="002B007B" w:rsidRPr="002B007B">
        <w:t>pole camera</w:t>
      </w:r>
      <w:r w:rsidR="00C31E34">
        <w:t>’</w:t>
      </w:r>
      <w:r w:rsidR="002B007B" w:rsidRPr="002B007B">
        <w:t xml:space="preserve"> is and what makes it different from other cameras</w:t>
      </w:r>
      <w:r w:rsidR="00CE2390">
        <w:t>.</w:t>
      </w:r>
      <w:r w:rsidR="002B007B">
        <w:t>”</w:t>
      </w:r>
      <w:r w:rsidR="00B516C9" w:rsidRPr="002A4234">
        <w:rPr>
          <w:rStyle w:val="FootnoteReference"/>
        </w:rPr>
        <w:footnoteReference w:id="407"/>
      </w:r>
      <w:r w:rsidR="00775A7D">
        <w:t xml:space="preserve"> Rather than grapple with that question, some federal courts of appeals have held that </w:t>
      </w:r>
      <w:r w:rsidR="00533136">
        <w:t>pole cameras pose no Fourth Amendment problems.</w:t>
      </w:r>
      <w:r w:rsidR="00533136" w:rsidRPr="002A4234">
        <w:rPr>
          <w:rStyle w:val="FootnoteReference"/>
        </w:rPr>
        <w:footnoteReference w:id="408"/>
      </w:r>
    </w:p>
    <w:p w14:paraId="3BA09496" w14:textId="2537C284" w:rsidR="00913FDC" w:rsidRDefault="00533136" w:rsidP="00AD7FA5">
      <w:pPr>
        <w:pStyle w:val="BodyText"/>
      </w:pPr>
      <w:r>
        <w:t xml:space="preserve">For example, in </w:t>
      </w:r>
      <w:r w:rsidR="00324CEA">
        <w:rPr>
          <w:i/>
          <w:iCs/>
        </w:rPr>
        <w:t>United States v. Houston</w:t>
      </w:r>
      <w:r w:rsidR="00324CEA">
        <w:t xml:space="preserve">, the Sixth Circuit held that </w:t>
      </w:r>
      <w:r w:rsidR="00C14EDF">
        <w:t>ten</w:t>
      </w:r>
      <w:r w:rsidR="00AD7FA5">
        <w:t xml:space="preserve"> weeks of recording from a pole camera “</w:t>
      </w:r>
      <w:r w:rsidR="00F32110">
        <w:t xml:space="preserve">did not violate </w:t>
      </w:r>
      <w:r w:rsidR="0018126E">
        <w:t>[the</w:t>
      </w:r>
      <w:r w:rsidR="00CC0D87">
        <w:t xml:space="preserve"> resident of a farm’s</w:t>
      </w:r>
      <w:r w:rsidR="0018126E">
        <w:t>]</w:t>
      </w:r>
      <w:r w:rsidR="00F32110">
        <w:t xml:space="preserve"> reasonable expectations of privacy because the camera recorded the same view of the farm as that enjoyed by passersby on public roads.”</w:t>
      </w:r>
      <w:r w:rsidR="00AD7FA5" w:rsidRPr="002A4234">
        <w:rPr>
          <w:rStyle w:val="FootnoteReference"/>
        </w:rPr>
        <w:footnoteReference w:id="409"/>
      </w:r>
      <w:r w:rsidR="0031481F">
        <w:t xml:space="preserve"> The length of the surveillance </w:t>
      </w:r>
      <w:r w:rsidR="00AC1D7C">
        <w:t>wa</w:t>
      </w:r>
      <w:r w:rsidR="0031481F">
        <w:t>s irrelevant “because the Fourth Amendment does not punish law enforcement for using technology to more efficiently conduct their investigations.”</w:t>
      </w:r>
      <w:r w:rsidR="00B6647E" w:rsidRPr="002A4234">
        <w:rPr>
          <w:rStyle w:val="FootnoteReference"/>
        </w:rPr>
        <w:footnoteReference w:id="410"/>
      </w:r>
      <w:r w:rsidR="00941BAB">
        <w:t xml:space="preserve"> The </w:t>
      </w:r>
      <w:r w:rsidR="002A6352">
        <w:t>Sixth Circuit</w:t>
      </w:r>
      <w:r w:rsidR="00941BAB">
        <w:t xml:space="preserve"> </w:t>
      </w:r>
      <w:r w:rsidR="006173EA">
        <w:t>relied</w:t>
      </w:r>
      <w:r w:rsidR="00941BAB">
        <w:t xml:space="preserve"> on </w:t>
      </w:r>
      <w:r w:rsidR="00941BAB" w:rsidRPr="00941BAB">
        <w:rPr>
          <w:i/>
          <w:iCs/>
        </w:rPr>
        <w:t>California v. Ciraolo</w:t>
      </w:r>
      <w:r w:rsidR="00941BAB">
        <w:t>, which held that aerial observations of a defendant’s curtilage required no warrant because the Fourth Amendment does not “preclude an officer’s observations from a public vantage point where he has a right to be and which renders the activities clearly visible.”</w:t>
      </w:r>
      <w:r w:rsidR="00941BAB" w:rsidRPr="002A4234">
        <w:rPr>
          <w:rStyle w:val="FootnoteReference"/>
        </w:rPr>
        <w:footnoteReference w:id="411"/>
      </w:r>
      <w:r w:rsidR="00941BAB">
        <w:t xml:space="preserve"> </w:t>
      </w:r>
      <w:r w:rsidR="00896F8B">
        <w:t xml:space="preserve">The </w:t>
      </w:r>
      <w:r w:rsidR="00896F8B" w:rsidRPr="00480E83">
        <w:rPr>
          <w:i/>
          <w:iCs/>
        </w:rPr>
        <w:t>Ciraolo</w:t>
      </w:r>
      <w:r w:rsidR="00896F8B">
        <w:t xml:space="preserve"> </w:t>
      </w:r>
      <w:r w:rsidR="00A83F4B">
        <w:t xml:space="preserve">Court </w:t>
      </w:r>
      <w:r w:rsidR="00515639">
        <w:t xml:space="preserve">deployed this language to support its conclusion that </w:t>
      </w:r>
      <w:r w:rsidR="00660319">
        <w:t xml:space="preserve">the </w:t>
      </w:r>
      <w:r w:rsidR="00515639">
        <w:t>defendant’s</w:t>
      </w:r>
      <w:r w:rsidR="00864F40">
        <w:t xml:space="preserve"> </w:t>
      </w:r>
      <w:r w:rsidR="00660319">
        <w:t>efforts to conceal his space were unavailing.</w:t>
      </w:r>
      <w:r w:rsidR="002A3E62" w:rsidRPr="002A4234">
        <w:rPr>
          <w:rStyle w:val="FootnoteReference"/>
        </w:rPr>
        <w:footnoteReference w:id="412"/>
      </w:r>
    </w:p>
    <w:p w14:paraId="1F83D333" w14:textId="69D9C6DF" w:rsidR="00436DBD" w:rsidRDefault="00436DBD" w:rsidP="00436DBD">
      <w:pPr>
        <w:pStyle w:val="BodyText"/>
      </w:pPr>
      <w:r w:rsidRPr="00BF357E">
        <w:rPr>
          <w:i/>
          <w:iCs/>
        </w:rPr>
        <w:t>Ciraolo</w:t>
      </w:r>
      <w:r w:rsidR="004E627B">
        <w:t>’s logic</w:t>
      </w:r>
      <w:r w:rsidRPr="00BF357E">
        <w:t xml:space="preserve"> is </w:t>
      </w:r>
      <w:r w:rsidR="00671B99" w:rsidRPr="00671B99">
        <w:t>maddening</w:t>
      </w:r>
      <w:r w:rsidR="003C5766">
        <w:t>.</w:t>
      </w:r>
      <w:r w:rsidR="00526A47" w:rsidRPr="00BF357E">
        <w:t xml:space="preserve"> </w:t>
      </w:r>
      <w:r w:rsidR="00DC6FD8">
        <w:t>W</w:t>
      </w:r>
      <w:r w:rsidR="00FA245E" w:rsidRPr="00BF357E">
        <w:t xml:space="preserve">ithout looking to property doctrine, </w:t>
      </w:r>
      <w:r w:rsidR="00190D2B" w:rsidRPr="00BF357E">
        <w:t>h</w:t>
      </w:r>
      <w:r w:rsidR="00526A47" w:rsidRPr="00BF357E">
        <w:t>ow do we know that the police have a right to conduct aerial surveillance</w:t>
      </w:r>
      <w:r w:rsidR="00671B99" w:rsidRPr="00671B99">
        <w:t xml:space="preserve">? Property doctrine tells people where </w:t>
      </w:r>
      <w:r w:rsidR="00F43707" w:rsidRPr="00BF357E">
        <w:t xml:space="preserve">they </w:t>
      </w:r>
      <w:r w:rsidR="00671B99" w:rsidRPr="00671B99">
        <w:t>are allowed to be.</w:t>
      </w:r>
      <w:r w:rsidR="00B824C8">
        <w:t xml:space="preserve"> </w:t>
      </w:r>
      <w:r w:rsidR="001B6AAF">
        <w:t xml:space="preserve">The </w:t>
      </w:r>
      <w:r w:rsidR="001B6AAF">
        <w:rPr>
          <w:i/>
          <w:iCs/>
        </w:rPr>
        <w:t>Ciraolo</w:t>
      </w:r>
      <w:r w:rsidR="001B6AAF">
        <w:t xml:space="preserve"> </w:t>
      </w:r>
      <w:r w:rsidR="00B824C8">
        <w:t>C</w:t>
      </w:r>
      <w:r w:rsidR="001B6AAF">
        <w:t>ourt argued that “</w:t>
      </w:r>
      <w:r w:rsidR="00B824C8">
        <w:t>[i]</w:t>
      </w:r>
      <w:r w:rsidR="001B6AAF" w:rsidRPr="001B6AAF">
        <w:t>n an age where private and commercial flight in the public airways is routine, it is unreasonable for respondent to expect that his marijuana plants were constitutionally protected from being observed with the naked eye from an altitude of 1,000 feet</w:t>
      </w:r>
      <w:r w:rsidR="001B6AAF">
        <w:t>.”</w:t>
      </w:r>
      <w:r w:rsidR="008A7826" w:rsidRPr="002A4234">
        <w:rPr>
          <w:rStyle w:val="FootnoteReference"/>
        </w:rPr>
        <w:footnoteReference w:id="413"/>
      </w:r>
      <w:r w:rsidR="008A7826">
        <w:t xml:space="preserve"> </w:t>
      </w:r>
      <w:r w:rsidR="00A526F4">
        <w:t>Clearly, altitude matters.</w:t>
      </w:r>
      <w:r w:rsidR="00847AFA">
        <w:t xml:space="preserve"> </w:t>
      </w:r>
      <w:r w:rsidR="00A526F4">
        <w:t>T</w:t>
      </w:r>
      <w:r w:rsidR="00847AFA">
        <w:t>hat low overflights are much more intrusive than commercial flights</w:t>
      </w:r>
      <w:r w:rsidR="00A526F4">
        <w:t xml:space="preserve"> </w:t>
      </w:r>
      <w:r w:rsidR="00847AFA">
        <w:t xml:space="preserve">has prompted the American Law Institute to direct the drafters of the forthcoming </w:t>
      </w:r>
      <w:r w:rsidR="00847AFA" w:rsidRPr="005077DE">
        <w:rPr>
          <w:i/>
          <w:iCs/>
        </w:rPr>
        <w:t xml:space="preserve">Restatement </w:t>
      </w:r>
      <w:r w:rsidR="005077DE">
        <w:rPr>
          <w:i/>
          <w:iCs/>
        </w:rPr>
        <w:t>(</w:t>
      </w:r>
      <w:r w:rsidR="00847AFA" w:rsidRPr="005077DE">
        <w:rPr>
          <w:i/>
          <w:iCs/>
        </w:rPr>
        <w:t>Third</w:t>
      </w:r>
      <w:r w:rsidR="005077DE">
        <w:rPr>
          <w:i/>
          <w:iCs/>
        </w:rPr>
        <w:t>)</w:t>
      </w:r>
      <w:r w:rsidR="00847AFA" w:rsidRPr="005077DE">
        <w:rPr>
          <w:i/>
          <w:iCs/>
        </w:rPr>
        <w:t xml:space="preserve"> of Property</w:t>
      </w:r>
      <w:r w:rsidR="00847AFA">
        <w:t xml:space="preserve"> to grapple with the question of when drones commit trespass. </w:t>
      </w:r>
      <w:r w:rsidR="003C59E1">
        <w:t xml:space="preserve">Moreover, it </w:t>
      </w:r>
      <w:r w:rsidR="009732B8">
        <w:t>would be</w:t>
      </w:r>
      <w:r w:rsidR="003C59E1">
        <w:t xml:space="preserve"> downright silly to have a doctrine that prohibits </w:t>
      </w:r>
      <w:r w:rsidR="001A5834">
        <w:t>police</w:t>
      </w:r>
      <w:r w:rsidR="003C59E1">
        <w:t xml:space="preserve"> </w:t>
      </w:r>
      <w:r w:rsidR="00022140">
        <w:t xml:space="preserve">entering the curtilage to peer over a </w:t>
      </w:r>
      <w:r w:rsidR="00022140">
        <w:lastRenderedPageBreak/>
        <w:t>fence</w:t>
      </w:r>
      <w:r w:rsidR="003C59E1">
        <w:t xml:space="preserve"> but authorizes them to </w:t>
      </w:r>
      <w:r w:rsidR="00E1501E">
        <w:t xml:space="preserve">launch a </w:t>
      </w:r>
      <w:r w:rsidR="00855B3A">
        <w:t>drone</w:t>
      </w:r>
      <w:r w:rsidR="00E1501E">
        <w:t xml:space="preserve"> over </w:t>
      </w:r>
      <w:r w:rsidR="00022140">
        <w:t>that same</w:t>
      </w:r>
      <w:r w:rsidR="00E1501E">
        <w:t xml:space="preserve"> fence.</w:t>
      </w:r>
      <w:r w:rsidR="00E36083" w:rsidRPr="002A4234">
        <w:rPr>
          <w:rStyle w:val="FootnoteReference"/>
        </w:rPr>
        <w:footnoteReference w:id="414"/>
      </w:r>
      <w:r w:rsidR="00E1501E">
        <w:t xml:space="preserve"> </w:t>
      </w:r>
      <w:r w:rsidR="009D6C18">
        <w:t>T</w:t>
      </w:r>
      <w:r w:rsidR="00E1501E">
        <w:t xml:space="preserve">here are several doctrinal stands here that </w:t>
      </w:r>
      <w:r w:rsidR="00987E40">
        <w:t>desperately need to be untangled.</w:t>
      </w:r>
    </w:p>
    <w:p w14:paraId="300C66D9" w14:textId="39370E5E" w:rsidR="00987E40" w:rsidRPr="0067642E" w:rsidRDefault="00987E40" w:rsidP="00436DBD">
      <w:pPr>
        <w:pStyle w:val="BodyText"/>
      </w:pPr>
      <w:r>
        <w:t xml:space="preserve">A </w:t>
      </w:r>
      <w:r w:rsidR="00CF4740">
        <w:t>general-law approach</w:t>
      </w:r>
      <w:r>
        <w:t xml:space="preserve"> would do just that.</w:t>
      </w:r>
      <w:r w:rsidR="00455502">
        <w:t xml:space="preserve"> On fact</w:t>
      </w:r>
      <w:r w:rsidR="00466B72">
        <w:t>s</w:t>
      </w:r>
      <w:r w:rsidR="00455502">
        <w:t xml:space="preserve"> such as those in </w:t>
      </w:r>
      <w:r w:rsidR="00455502">
        <w:rPr>
          <w:i/>
          <w:iCs/>
        </w:rPr>
        <w:t xml:space="preserve">Ciraolo </w:t>
      </w:r>
      <w:r w:rsidR="00455502">
        <w:t xml:space="preserve">or </w:t>
      </w:r>
      <w:r w:rsidR="00D56722">
        <w:rPr>
          <w:i/>
          <w:iCs/>
        </w:rPr>
        <w:t>Houston</w:t>
      </w:r>
      <w:r w:rsidR="00D56722">
        <w:t xml:space="preserve">, a court would first look to see if </w:t>
      </w:r>
      <w:r w:rsidR="00D653E5">
        <w:t xml:space="preserve">there was a traditional trespass against the defendant’s right to exclude. Finding no physical invasion, </w:t>
      </w:r>
      <w:r w:rsidR="000D0275">
        <w:t xml:space="preserve">the court </w:t>
      </w:r>
      <w:r w:rsidR="00D75016">
        <w:t>c</w:t>
      </w:r>
      <w:r w:rsidR="000D0275">
        <w:t xml:space="preserve">ould then ask whether an intrusion on seclusion nevertheless occurred. </w:t>
      </w:r>
      <w:r w:rsidR="0067642E">
        <w:t xml:space="preserve">This analysis would look like that in </w:t>
      </w:r>
      <w:r w:rsidR="0067642E">
        <w:rPr>
          <w:i/>
          <w:iCs/>
        </w:rPr>
        <w:t>Polay</w:t>
      </w:r>
      <w:r w:rsidR="0067642E">
        <w:t xml:space="preserve"> and </w:t>
      </w:r>
      <w:r w:rsidR="0067642E">
        <w:rPr>
          <w:i/>
          <w:iCs/>
        </w:rPr>
        <w:t>Bignami</w:t>
      </w:r>
      <w:r w:rsidR="0067642E">
        <w:t xml:space="preserve">, which held that </w:t>
      </w:r>
      <w:r w:rsidR="002821A4">
        <w:t xml:space="preserve">systemically recording one’s neighbors is an invasion of their privacy even if </w:t>
      </w:r>
      <w:r w:rsidR="008A0170">
        <w:t>the</w:t>
      </w:r>
      <w:r w:rsidR="002821A4">
        <w:t xml:space="preserve"> </w:t>
      </w:r>
      <w:r w:rsidR="009A4A34">
        <w:t xml:space="preserve">neighbors’ </w:t>
      </w:r>
      <w:r w:rsidR="002821A4">
        <w:t xml:space="preserve">activities are viewable from </w:t>
      </w:r>
      <w:r w:rsidR="00551EE9">
        <w:t xml:space="preserve">beyond </w:t>
      </w:r>
      <w:r w:rsidR="00CE0EA2">
        <w:t>the</w:t>
      </w:r>
      <w:r w:rsidR="00551EE9">
        <w:t xml:space="preserve"> property line.</w:t>
      </w:r>
    </w:p>
    <w:p w14:paraId="0B9B4DBB" w14:textId="0464B639" w:rsidR="006829E8" w:rsidRPr="0067642E" w:rsidRDefault="006829E8" w:rsidP="006829E8">
      <w:pPr>
        <w:pStyle w:val="Heading3"/>
      </w:pPr>
      <w:bookmarkStart w:id="91" w:name="_Toc111723691"/>
      <w:r>
        <w:t>Public Disclosure of Private Facts</w:t>
      </w:r>
      <w:bookmarkEnd w:id="91"/>
    </w:p>
    <w:p w14:paraId="69CB3B70" w14:textId="0D9CA95A" w:rsidR="00310590" w:rsidRDefault="00B824C8" w:rsidP="004749FD">
      <w:pPr>
        <w:pStyle w:val="BodyText"/>
      </w:pPr>
      <w:r>
        <w:t>The tort of p</w:t>
      </w:r>
      <w:r w:rsidR="00FA7F3F">
        <w:t xml:space="preserve">ublic disclosure of private facts </w:t>
      </w:r>
      <w:r>
        <w:t>can</w:t>
      </w:r>
      <w:r w:rsidR="00FA7F3F">
        <w:t xml:space="preserve"> also illuminate the Fourth Amendment</w:t>
      </w:r>
      <w:r w:rsidR="00230EFC">
        <w:t>.</w:t>
      </w:r>
      <w:r w:rsidR="00E84763">
        <w:t xml:space="preserve"> </w:t>
      </w:r>
      <w:r w:rsidR="00771195">
        <w:t>According</w:t>
      </w:r>
      <w:r w:rsidR="00E84763">
        <w:t xml:space="preserve"> to the </w:t>
      </w:r>
      <w:r w:rsidR="00E84763" w:rsidRPr="000B567B">
        <w:rPr>
          <w:i/>
        </w:rPr>
        <w:t>Restatement</w:t>
      </w:r>
      <w:r w:rsidR="00E84763">
        <w:t>,</w:t>
      </w:r>
    </w:p>
    <w:p w14:paraId="4E19935F" w14:textId="77777777" w:rsidR="002A1901" w:rsidRDefault="002A1901" w:rsidP="004749FD">
      <w:pPr>
        <w:pStyle w:val="BodyText"/>
      </w:pPr>
    </w:p>
    <w:p w14:paraId="02F0FADD" w14:textId="7D8C742D" w:rsidR="002A1901" w:rsidRDefault="00310590" w:rsidP="0007421B">
      <w:pPr>
        <w:pStyle w:val="BodyText"/>
        <w:ind w:left="360" w:right="360" w:firstLine="0"/>
      </w:pPr>
      <w:r>
        <w:t>O</w:t>
      </w:r>
      <w:r w:rsidR="00E84763">
        <w:t>ne who gives publicity to a matter concerning the private life of another is subject to liability to the other for invasion of his privacy, if the matter publicized is of a kind that</w:t>
      </w:r>
      <w:r w:rsidR="00771195">
        <w:t xml:space="preserve"> </w:t>
      </w:r>
      <w:r w:rsidR="00E84763">
        <w:t>(a) would be highly offensive to a reasonable person, and</w:t>
      </w:r>
      <w:r w:rsidR="00771195">
        <w:t xml:space="preserve"> </w:t>
      </w:r>
      <w:r w:rsidR="00E84763">
        <w:t>(b) is not of legitimate concern to the public.</w:t>
      </w:r>
      <w:r w:rsidR="00771195" w:rsidRPr="002A4234">
        <w:rPr>
          <w:rStyle w:val="FootnoteReference"/>
        </w:rPr>
        <w:footnoteReference w:id="415"/>
      </w:r>
    </w:p>
    <w:p w14:paraId="6D8620DB" w14:textId="77777777" w:rsidR="002A1901" w:rsidRDefault="002A1901" w:rsidP="004749FD">
      <w:pPr>
        <w:pStyle w:val="BodyText"/>
      </w:pPr>
    </w:p>
    <w:p w14:paraId="536F87BB" w14:textId="776FCF83" w:rsidR="002A1B05" w:rsidRDefault="00133610" w:rsidP="004749FD">
      <w:pPr>
        <w:pStyle w:val="BodyText"/>
      </w:pPr>
      <w:r>
        <w:t xml:space="preserve">Courts </w:t>
      </w:r>
      <w:r w:rsidR="00675DB0">
        <w:t>proceed cautiously in this space since there is a First Amendment right to publish publicly available information.</w:t>
      </w:r>
      <w:r w:rsidR="00675DB0" w:rsidRPr="002A4234">
        <w:rPr>
          <w:rStyle w:val="FootnoteReference"/>
        </w:rPr>
        <w:footnoteReference w:id="416"/>
      </w:r>
      <w:r w:rsidR="00C737F1">
        <w:t xml:space="preserve"> </w:t>
      </w:r>
      <w:r w:rsidR="00D44A8E">
        <w:t xml:space="preserve">Still, parties who disclose facts that are not publicly available may be liable for </w:t>
      </w:r>
      <w:r w:rsidR="00317652">
        <w:t xml:space="preserve">invasion of privacy alongside other statutory </w:t>
      </w:r>
      <w:r w:rsidR="002A71BB">
        <w:t>violations</w:t>
      </w:r>
      <w:r w:rsidR="00317652">
        <w:t>.</w:t>
      </w:r>
      <w:r w:rsidR="00317652" w:rsidRPr="002A4234">
        <w:rPr>
          <w:rStyle w:val="FootnoteReference"/>
        </w:rPr>
        <w:footnoteReference w:id="417"/>
      </w:r>
    </w:p>
    <w:p w14:paraId="138CCAA1" w14:textId="1D79619A" w:rsidR="0067709E" w:rsidRDefault="00F752DF" w:rsidP="004749FD">
      <w:pPr>
        <w:pStyle w:val="BodyText"/>
      </w:pPr>
      <w:r>
        <w:t>H</w:t>
      </w:r>
      <w:r w:rsidR="002A1B05">
        <w:t>ere</w:t>
      </w:r>
      <w:r w:rsidR="00352ECB">
        <w:t>,</w:t>
      </w:r>
      <w:r w:rsidR="002A1B05">
        <w:t xml:space="preserve"> </w:t>
      </w:r>
      <w:r w:rsidR="007D5C30">
        <w:t xml:space="preserve">statutory law, insofar as it highlights </w:t>
      </w:r>
      <w:r w:rsidR="00224FD8">
        <w:t xml:space="preserve">particularly </w:t>
      </w:r>
      <w:r w:rsidR="00744DB4">
        <w:t>sensitive</w:t>
      </w:r>
      <w:r w:rsidR="00224FD8">
        <w:t xml:space="preserve"> topics</w:t>
      </w:r>
      <w:r w:rsidR="003C5766">
        <w:t xml:space="preserve"> (</w:t>
      </w:r>
      <w:r w:rsidR="00744DB4">
        <w:t xml:space="preserve">for example, </w:t>
      </w:r>
      <w:r w:rsidR="00970B21">
        <w:t>health information</w:t>
      </w:r>
      <w:r w:rsidR="003C5766">
        <w:t xml:space="preserve">) </w:t>
      </w:r>
      <w:r w:rsidR="00830E5F">
        <w:t>m</w:t>
      </w:r>
      <w:r w:rsidR="003C5766">
        <w:t xml:space="preserve">ight constitute </w:t>
      </w:r>
      <w:r w:rsidR="00830E5F">
        <w:t xml:space="preserve">evidence of </w:t>
      </w:r>
      <w:r w:rsidR="008539CE">
        <w:t xml:space="preserve">the general law. </w:t>
      </w:r>
      <w:r w:rsidR="002A1B05">
        <w:t>And i</w:t>
      </w:r>
      <w:r w:rsidR="0046262C">
        <w:t>f</w:t>
      </w:r>
      <w:r w:rsidR="002A1B05">
        <w:t>, for example,</w:t>
      </w:r>
      <w:r w:rsidR="0046262C">
        <w:t xml:space="preserve"> disclosure of genetic information is a violation of the general law, </w:t>
      </w:r>
      <w:r w:rsidR="002A1B05">
        <w:t xml:space="preserve">a general-law </w:t>
      </w:r>
      <w:r w:rsidR="002A71BB">
        <w:t>approach</w:t>
      </w:r>
      <w:r w:rsidR="002A1B05">
        <w:t xml:space="preserve"> would conclude that </w:t>
      </w:r>
      <w:r w:rsidR="0046262C">
        <w:t xml:space="preserve">law enforcement </w:t>
      </w:r>
      <w:r w:rsidR="00FC63E0">
        <w:t xml:space="preserve">would need a </w:t>
      </w:r>
      <w:r w:rsidR="0046262C">
        <w:t>warrant</w:t>
      </w:r>
      <w:r w:rsidR="00FC63E0">
        <w:t xml:space="preserve"> to </w:t>
      </w:r>
      <w:r w:rsidR="002A1B05">
        <w:t>obtain and use such information</w:t>
      </w:r>
      <w:r w:rsidR="0046262C">
        <w:t>.</w:t>
      </w:r>
      <w:r w:rsidR="000C5EB4">
        <w:t xml:space="preserve"> This </w:t>
      </w:r>
      <w:r w:rsidR="0067709E">
        <w:t xml:space="preserve">could be used as an argument </w:t>
      </w:r>
      <w:r w:rsidR="0044496F">
        <w:t>against</w:t>
      </w:r>
      <w:r w:rsidR="000C5EB4">
        <w:t xml:space="preserve"> </w:t>
      </w:r>
      <w:r w:rsidR="000C5EB4" w:rsidRPr="002A1B05">
        <w:rPr>
          <w:i/>
          <w:iCs/>
        </w:rPr>
        <w:t>Maryland v. King</w:t>
      </w:r>
      <w:r w:rsidR="000C5EB4">
        <w:t xml:space="preserve">, </w:t>
      </w:r>
      <w:r w:rsidR="00111EBC">
        <w:t>where the Court</w:t>
      </w:r>
      <w:r w:rsidR="000C5EB4">
        <w:t xml:space="preserve"> held that </w:t>
      </w:r>
      <w:r w:rsidR="00D117C2">
        <w:t xml:space="preserve">obtaining </w:t>
      </w:r>
      <w:r w:rsidR="000C5EB4">
        <w:t xml:space="preserve">a </w:t>
      </w:r>
      <w:r w:rsidR="00650D65">
        <w:t xml:space="preserve">suspect’s </w:t>
      </w:r>
      <w:r w:rsidR="000C5EB4">
        <w:t xml:space="preserve">cheek swab for DNA </w:t>
      </w:r>
      <w:r w:rsidR="0005269A">
        <w:t xml:space="preserve">during booking procedures was not a violation of </w:t>
      </w:r>
      <w:r w:rsidR="00650D65">
        <w:t>his</w:t>
      </w:r>
      <w:r w:rsidR="0005269A">
        <w:t xml:space="preserve"> Fourth Amendment rights</w:t>
      </w:r>
      <w:r w:rsidR="00BD33B1">
        <w:t>.</w:t>
      </w:r>
      <w:r w:rsidR="000C5EB4" w:rsidRPr="002A4234">
        <w:rPr>
          <w:rStyle w:val="FootnoteReference"/>
        </w:rPr>
        <w:footnoteReference w:id="418"/>
      </w:r>
    </w:p>
    <w:p w14:paraId="2D569072" w14:textId="2F06414E" w:rsidR="00C91D4D" w:rsidRDefault="0067709E" w:rsidP="00713D74">
      <w:pPr>
        <w:pStyle w:val="BodyText"/>
      </w:pPr>
      <w:r>
        <w:t xml:space="preserve">Because </w:t>
      </w:r>
      <w:r>
        <w:rPr>
          <w:i/>
          <w:iCs/>
        </w:rPr>
        <w:t>King</w:t>
      </w:r>
      <w:r>
        <w:t xml:space="preserve"> involved a physical intrusion</w:t>
      </w:r>
      <w:r w:rsidR="00EC0472">
        <w:t xml:space="preserve">, more </w:t>
      </w:r>
      <w:r w:rsidR="00EB55AA">
        <w:t xml:space="preserve">traditional common-law principles could </w:t>
      </w:r>
      <w:r w:rsidR="00713D74">
        <w:t xml:space="preserve">support a ruling for the defendant. But privacy concepts </w:t>
      </w:r>
      <w:r w:rsidR="00EC0472">
        <w:t>would be</w:t>
      </w:r>
      <w:r w:rsidR="00713D74">
        <w:t xml:space="preserve"> necessary in situations involving improper usage and disclosure of genetic information. </w:t>
      </w:r>
      <w:r w:rsidR="00750877">
        <w:t xml:space="preserve">For example, a San Francisco woman was recently prosecuted because </w:t>
      </w:r>
      <w:r w:rsidR="00750877">
        <w:lastRenderedPageBreak/>
        <w:t xml:space="preserve">crime-scene DNA matched DNA that the government had previously collected from her rape kit when she was </w:t>
      </w:r>
      <w:r w:rsidR="00403B50">
        <w:t xml:space="preserve">a </w:t>
      </w:r>
      <w:r w:rsidR="00750877">
        <w:t>victim</w:t>
      </w:r>
      <w:r w:rsidR="00403B50">
        <w:t xml:space="preserve"> of sexual assault</w:t>
      </w:r>
      <w:r w:rsidR="00FB5587">
        <w:t>.</w:t>
      </w:r>
      <w:r w:rsidR="00834904" w:rsidRPr="002A4234">
        <w:rPr>
          <w:rStyle w:val="FootnoteReference"/>
        </w:rPr>
        <w:footnoteReference w:id="419"/>
      </w:r>
      <w:r w:rsidR="00FB5587">
        <w:t xml:space="preserve"> While she arguably consented to the collection of her DNA in the context of finding and prosecuting her rapist, </w:t>
      </w:r>
      <w:r w:rsidR="009401A2">
        <w:t xml:space="preserve">it is doubtful </w:t>
      </w:r>
      <w:r w:rsidR="007B68F2">
        <w:t xml:space="preserve">that </w:t>
      </w:r>
      <w:r w:rsidR="009401A2">
        <w:t xml:space="preserve">that </w:t>
      </w:r>
      <w:r w:rsidR="007B68F2">
        <w:t>consent extend</w:t>
      </w:r>
      <w:r w:rsidR="009401A2">
        <w:t>ed</w:t>
      </w:r>
      <w:r w:rsidR="007B68F2">
        <w:t xml:space="preserve"> to indefinite use</w:t>
      </w:r>
      <w:r w:rsidR="00713D74">
        <w:t xml:space="preserve"> and disclosure </w:t>
      </w:r>
      <w:r w:rsidR="007B68F2">
        <w:t xml:space="preserve">for </w:t>
      </w:r>
      <w:r w:rsidR="00713D74">
        <w:t xml:space="preserve">other </w:t>
      </w:r>
      <w:r w:rsidR="007B68F2">
        <w:t>purposes</w:t>
      </w:r>
      <w:r w:rsidR="00C7562B">
        <w:t>.</w:t>
      </w:r>
    </w:p>
    <w:p w14:paraId="1D4701CA" w14:textId="6CB49636" w:rsidR="008D3E16" w:rsidRPr="004E2422" w:rsidRDefault="008D3E16" w:rsidP="004E2422">
      <w:pPr>
        <w:pStyle w:val="BodyText"/>
      </w:pPr>
      <w:r>
        <w:t xml:space="preserve">The </w:t>
      </w:r>
      <w:r w:rsidR="00B349E9">
        <w:t xml:space="preserve">general law of public disclosure of private facts </w:t>
      </w:r>
      <w:r w:rsidR="00A350F9">
        <w:t>m</w:t>
      </w:r>
      <w:r w:rsidR="00F13983">
        <w:t>ight</w:t>
      </w:r>
      <w:r w:rsidR="00B349E9">
        <w:t xml:space="preserve"> also </w:t>
      </w:r>
      <w:r w:rsidR="00A350F9">
        <w:t>suggest</w:t>
      </w:r>
      <w:r w:rsidR="00B349E9">
        <w:t xml:space="preserve"> a different result</w:t>
      </w:r>
      <w:r w:rsidR="00AA4569">
        <w:t>, as exhibited by</w:t>
      </w:r>
      <w:r w:rsidR="00B349E9">
        <w:t xml:space="preserve"> </w:t>
      </w:r>
      <w:r w:rsidR="00A350F9">
        <w:rPr>
          <w:i/>
          <w:iCs/>
        </w:rPr>
        <w:t>United States v. Miller</w:t>
      </w:r>
      <w:r w:rsidR="00B349E9">
        <w:t>.</w:t>
      </w:r>
      <w:r w:rsidR="00A350F9" w:rsidRPr="002A4234">
        <w:rPr>
          <w:rStyle w:val="FootnoteReference"/>
        </w:rPr>
        <w:footnoteReference w:id="420"/>
      </w:r>
      <w:r w:rsidR="00B349E9">
        <w:t xml:space="preserve"> There, the Court held that </w:t>
      </w:r>
      <w:r w:rsidR="00C05FCE">
        <w:t>defendants have no reasonable expectation of privacy in their bank records</w:t>
      </w:r>
      <w:r w:rsidR="00DE58A0">
        <w:t>.</w:t>
      </w:r>
      <w:r w:rsidR="00510CCF">
        <w:rPr>
          <w:rStyle w:val="FootnoteReference"/>
        </w:rPr>
        <w:footnoteReference w:id="421"/>
      </w:r>
      <w:r w:rsidR="00DE58A0">
        <w:t xml:space="preserve"> </w:t>
      </w:r>
      <w:r w:rsidR="0083128A">
        <w:t xml:space="preserve">Today, </w:t>
      </w:r>
      <w:r w:rsidR="006F3578">
        <w:t>however</w:t>
      </w:r>
      <w:r w:rsidR="0083128A">
        <w:t>,</w:t>
      </w:r>
      <w:r w:rsidR="00DE58A0">
        <w:t xml:space="preserve"> positive law largely prohibits the disclosure of such financial </w:t>
      </w:r>
      <w:r w:rsidR="00B17AD9">
        <w:t xml:space="preserve">information. </w:t>
      </w:r>
      <w:r w:rsidR="00DF36A4">
        <w:t>An</w:t>
      </w:r>
      <w:r w:rsidR="00954ED5">
        <w:t>d</w:t>
      </w:r>
      <w:r w:rsidR="00DF36A4">
        <w:t xml:space="preserve"> at</w:t>
      </w:r>
      <w:r w:rsidR="00B17AD9">
        <w:t xml:space="preserve"> common law,</w:t>
      </w:r>
      <w:r w:rsidR="00480C49">
        <w:t xml:space="preserve"> non-newsworthy disclosure of financial information </w:t>
      </w:r>
      <w:r w:rsidR="00DB0E76">
        <w:t>has been</w:t>
      </w:r>
      <w:r w:rsidR="00480C49">
        <w:t xml:space="preserve"> understood to violate the right to privacy.</w:t>
      </w:r>
      <w:r w:rsidR="00480C49" w:rsidRPr="002A4234">
        <w:rPr>
          <w:rStyle w:val="FootnoteReference"/>
        </w:rPr>
        <w:footnoteReference w:id="422"/>
      </w:r>
      <w:r w:rsidR="00EE70B5">
        <w:t xml:space="preserve"> Moreover,</w:t>
      </w:r>
      <w:r w:rsidR="00EE70B5">
        <w:rPr>
          <w:i/>
        </w:rPr>
        <w:t xml:space="preserve"> </w:t>
      </w:r>
      <w:r w:rsidR="0095438C">
        <w:rPr>
          <w:i/>
          <w:iCs/>
        </w:rPr>
        <w:t>Miller</w:t>
      </w:r>
      <w:r w:rsidR="00CE605F">
        <w:t>, we</w:t>
      </w:r>
      <w:r w:rsidR="002051EB">
        <w:t xml:space="preserve"> woul</w:t>
      </w:r>
      <w:r w:rsidR="00CE605F">
        <w:t>d posit, strongly</w:t>
      </w:r>
      <w:r w:rsidR="00EE70B5">
        <w:t xml:space="preserve"> </w:t>
      </w:r>
      <w:r w:rsidR="00C277F9">
        <w:t xml:space="preserve">contravenes </w:t>
      </w:r>
      <w:r w:rsidR="00AA730C">
        <w:t xml:space="preserve">most people’s actual </w:t>
      </w:r>
      <w:r w:rsidR="00CE605F">
        <w:t>expectations</w:t>
      </w:r>
      <w:r w:rsidR="000902D1">
        <w:t>.</w:t>
      </w:r>
      <w:r w:rsidR="00427997" w:rsidRPr="002A4234">
        <w:rPr>
          <w:rStyle w:val="FootnoteReference"/>
        </w:rPr>
        <w:footnoteReference w:id="423"/>
      </w:r>
      <w:r w:rsidR="000902D1">
        <w:t xml:space="preserve"> </w:t>
      </w:r>
      <w:r w:rsidR="00D959F9">
        <w:t xml:space="preserve">A court applying the general law could consider all these </w:t>
      </w:r>
      <w:r w:rsidR="00E060E6">
        <w:t>data points</w:t>
      </w:r>
      <w:r w:rsidR="00D959F9">
        <w:t xml:space="preserve"> as evidence that the disclosure of banking information without a warrant</w:t>
      </w:r>
      <w:r w:rsidR="001F5234">
        <w:t xml:space="preserve"> violate</w:t>
      </w:r>
      <w:r w:rsidR="002D3173">
        <w:t>s</w:t>
      </w:r>
      <w:r w:rsidR="001F5234">
        <w:t xml:space="preserve"> general law</w:t>
      </w:r>
      <w:r w:rsidR="002D3173">
        <w:t xml:space="preserve"> today</w:t>
      </w:r>
      <w:r w:rsidR="00D959F9">
        <w:t xml:space="preserve">. </w:t>
      </w:r>
    </w:p>
    <w:p w14:paraId="0267FD74" w14:textId="0C076B94" w:rsidR="00971179" w:rsidRDefault="00FC396F" w:rsidP="001473CA">
      <w:pPr>
        <w:pStyle w:val="BodyText"/>
      </w:pPr>
      <w:r>
        <w:t>T</w:t>
      </w:r>
      <w:r w:rsidR="00603168">
        <w:t>he general</w:t>
      </w:r>
      <w:r>
        <w:t>-</w:t>
      </w:r>
      <w:r w:rsidR="00603168">
        <w:t xml:space="preserve">law </w:t>
      </w:r>
      <w:r>
        <w:t xml:space="preserve">approach </w:t>
      </w:r>
      <w:r w:rsidR="00270235">
        <w:t>need</w:t>
      </w:r>
      <w:r>
        <w:t xml:space="preserve"> not question the result in </w:t>
      </w:r>
      <w:r>
        <w:rPr>
          <w:i/>
          <w:iCs/>
        </w:rPr>
        <w:t>Carpenter</w:t>
      </w:r>
      <w:r>
        <w:t>, but it would suggest different reasoning.</w:t>
      </w:r>
      <w:r w:rsidR="00603168">
        <w:t xml:space="preserve"> </w:t>
      </w:r>
      <w:r w:rsidR="006341B8">
        <w:t xml:space="preserve">A court </w:t>
      </w:r>
      <w:r w:rsidR="00542FD0">
        <w:t xml:space="preserve">could </w:t>
      </w:r>
      <w:r w:rsidR="006341B8">
        <w:t xml:space="preserve">treat </w:t>
      </w:r>
      <w:r w:rsidR="00EC0A78">
        <w:t xml:space="preserve">the </w:t>
      </w:r>
      <w:r w:rsidR="00483391">
        <w:t>government</w:t>
      </w:r>
      <w:r w:rsidR="00EC0A78">
        <w:t>’s acquisition of</w:t>
      </w:r>
      <w:r w:rsidR="00483391">
        <w:t xml:space="preserve"> cell-site location information as </w:t>
      </w:r>
      <w:r w:rsidR="00EC0A78">
        <w:t>an intrusion into the</w:t>
      </w:r>
      <w:r w:rsidR="00542FD0">
        <w:t xml:space="preserve"> security in one’s “person”</w:t>
      </w:r>
      <w:r w:rsidR="00EC0A78">
        <w:t>; or one could see it as an intrusion into one’s “effects” (to wit, one’s cellphone)</w:t>
      </w:r>
      <w:r w:rsidR="001473CA">
        <w:t xml:space="preserve">. </w:t>
      </w:r>
      <w:r w:rsidR="006341B8">
        <w:t>The</w:t>
      </w:r>
      <w:r w:rsidR="00345C4C">
        <w:t xml:space="preserve"> court would </w:t>
      </w:r>
      <w:r w:rsidR="00542FD0">
        <w:t>then</w:t>
      </w:r>
      <w:r w:rsidR="00F8747F">
        <w:t xml:space="preserve"> </w:t>
      </w:r>
      <w:r w:rsidR="00345C4C">
        <w:t xml:space="preserve">ask whether </w:t>
      </w:r>
      <w:r w:rsidR="00713D74">
        <w:t xml:space="preserve">publicly </w:t>
      </w:r>
      <w:r w:rsidR="009C4BE4">
        <w:t>disclosing</w:t>
      </w:r>
      <w:r w:rsidR="00F8747F">
        <w:t xml:space="preserve"> </w:t>
      </w:r>
      <w:r w:rsidR="00345C4C">
        <w:t>cell</w:t>
      </w:r>
      <w:r w:rsidR="009C4BE4">
        <w:t>-</w:t>
      </w:r>
      <w:r w:rsidR="00345C4C">
        <w:t>site location data,</w:t>
      </w:r>
      <w:r w:rsidR="009C4BE4">
        <w:t xml:space="preserve"> thereby</w:t>
      </w:r>
      <w:r w:rsidR="00345C4C">
        <w:t xml:space="preserve"> reveal</w:t>
      </w:r>
      <w:r w:rsidR="009C4BE4">
        <w:t>ing</w:t>
      </w:r>
      <w:r w:rsidR="00345C4C">
        <w:t xml:space="preserve"> the </w:t>
      </w:r>
      <w:r w:rsidR="00F8747F">
        <w:t>whereabouts</w:t>
      </w:r>
      <w:r w:rsidR="00345C4C">
        <w:t xml:space="preserve"> of a person’s cellphone at all times</w:t>
      </w:r>
      <w:r w:rsidR="00F8747F">
        <w:t xml:space="preserve">, would be highly offensive to a reasonable person. </w:t>
      </w:r>
      <w:r w:rsidR="00D708C4">
        <w:t>Here, the answer would almost certainly be yes</w:t>
      </w:r>
      <w:r w:rsidR="006F3578">
        <w:t>: i</w:t>
      </w:r>
      <w:r w:rsidR="00E901CA">
        <w:t xml:space="preserve">t is not our social custom to broadcast our </w:t>
      </w:r>
      <w:r w:rsidR="00E34AD8">
        <w:t>location</w:t>
      </w:r>
      <w:r w:rsidR="00186B02">
        <w:t>,</w:t>
      </w:r>
      <w:r w:rsidR="00E34AD8">
        <w:t xml:space="preserve"> and many people</w:t>
      </w:r>
      <w:r w:rsidR="006F3578">
        <w:t xml:space="preserve"> in fact do</w:t>
      </w:r>
      <w:r w:rsidR="00E34AD8">
        <w:t xml:space="preserve"> try to keep their addresses private</w:t>
      </w:r>
      <w:r w:rsidR="00D708C4">
        <w:t xml:space="preserve">. </w:t>
      </w:r>
      <w:r w:rsidR="005174D5">
        <w:t>The next inquiry would be whether that information was somehow newsworthy</w:t>
      </w:r>
      <w:r w:rsidR="00713D74">
        <w:t>,</w:t>
      </w:r>
      <w:r w:rsidR="00D708C4">
        <w:t xml:space="preserve"> </w:t>
      </w:r>
      <w:r w:rsidR="004A192C">
        <w:t xml:space="preserve">thus justifying its </w:t>
      </w:r>
      <w:r w:rsidR="00713D74">
        <w:t>disclosure</w:t>
      </w:r>
      <w:r w:rsidR="004A192C">
        <w:t xml:space="preserve">. Again, the answer </w:t>
      </w:r>
      <w:r w:rsidR="00D4371D">
        <w:t xml:space="preserve">would </w:t>
      </w:r>
      <w:r w:rsidR="004A192C">
        <w:t>generally be no.</w:t>
      </w:r>
      <w:r w:rsidR="00D708C4">
        <w:t xml:space="preserve"> </w:t>
      </w:r>
      <w:r w:rsidR="00713D74">
        <w:t>Given a strong argument that public disclosure of private information about a person’s movements obtained from their cellphone violates general</w:t>
      </w:r>
      <w:r w:rsidR="00B77D68">
        <w:t xml:space="preserve"> </w:t>
      </w:r>
      <w:r w:rsidR="00713D74">
        <w:t xml:space="preserve">law, </w:t>
      </w:r>
      <w:r w:rsidR="00FB2706">
        <w:t xml:space="preserve">a court applying </w:t>
      </w:r>
      <w:r w:rsidR="00713D74">
        <w:t>our test should</w:t>
      </w:r>
      <w:r w:rsidR="00FB2706">
        <w:t xml:space="preserve"> find that law enforcement has no right to access that information without a warrant.</w:t>
      </w:r>
    </w:p>
    <w:p w14:paraId="13407B00" w14:textId="683D5FF8" w:rsidR="00F60473" w:rsidRPr="004E2422" w:rsidRDefault="009F7C1B" w:rsidP="001473CA">
      <w:pPr>
        <w:pStyle w:val="BodyText"/>
      </w:pPr>
      <w:r>
        <w:t>It m</w:t>
      </w:r>
      <w:r w:rsidR="006F3578">
        <w:t>ight</w:t>
      </w:r>
      <w:r>
        <w:t xml:space="preserve"> be tempting for law enforcement to claim that they do not need a warrant for </w:t>
      </w:r>
      <w:r w:rsidR="00B561B7">
        <w:t xml:space="preserve">information such as cell-site location data </w:t>
      </w:r>
      <w:r w:rsidR="003156AA">
        <w:t>on the theory that</w:t>
      </w:r>
      <w:r w:rsidR="00B561B7">
        <w:t xml:space="preserve"> </w:t>
      </w:r>
      <w:r w:rsidR="00CF4F55">
        <w:t xml:space="preserve">individuals have already waived their right of privacy in their contracts with their </w:t>
      </w:r>
      <w:r w:rsidR="005D1370">
        <w:t xml:space="preserve">service provider. </w:t>
      </w:r>
      <w:r w:rsidR="00AA2360">
        <w:t xml:space="preserve">After all, </w:t>
      </w:r>
      <w:r w:rsidR="006C7102">
        <w:t xml:space="preserve">the terms to which most consumers must consent as a condition for </w:t>
      </w:r>
      <w:r w:rsidR="000A6EF9">
        <w:t xml:space="preserve">cellular and internet service permits service providers to </w:t>
      </w:r>
      <w:r w:rsidR="00801858">
        <w:t>use their data, includ</w:t>
      </w:r>
      <w:r w:rsidR="00801858">
        <w:lastRenderedPageBreak/>
        <w:t xml:space="preserve">ing location and browsing data, for commercial purposes. </w:t>
      </w:r>
      <w:r w:rsidR="007827BF">
        <w:t xml:space="preserve">But </w:t>
      </w:r>
      <w:r w:rsidR="00D32DFD">
        <w:t xml:space="preserve">disclosure of information for a particular purpose, even a commercial one, is not the same as waiving all privacy interests in that information. </w:t>
      </w:r>
      <w:r w:rsidR="00306A5F">
        <w:t>The tort of public disclosure of private facts hinges on giving publicity to private information</w:t>
      </w:r>
      <w:r w:rsidR="007D3033">
        <w:t>,</w:t>
      </w:r>
      <w:r w:rsidR="003156AA">
        <w:t xml:space="preserve"> not on</w:t>
      </w:r>
      <w:r w:rsidR="007D3033">
        <w:t xml:space="preserve"> whether that information was </w:t>
      </w:r>
      <w:r w:rsidR="00C94BC3">
        <w:t xml:space="preserve">completely secret. </w:t>
      </w:r>
      <w:r w:rsidR="00F50D48">
        <w:t>For this reason</w:t>
      </w:r>
      <w:r w:rsidR="007A42ED">
        <w:t>, the privacy waivers in service contract</w:t>
      </w:r>
      <w:r w:rsidR="00F812CC">
        <w:t>s</w:t>
      </w:r>
      <w:r w:rsidR="007A42ED">
        <w:t xml:space="preserve"> should not </w:t>
      </w:r>
      <w:r w:rsidR="00F07448">
        <w:t>necessarily</w:t>
      </w:r>
      <w:r w:rsidR="007A42ED">
        <w:t xml:space="preserve"> defeat the warrant requirement without </w:t>
      </w:r>
      <w:r w:rsidR="00691193">
        <w:t>some greater showing that the information sought was already public.</w:t>
      </w:r>
    </w:p>
    <w:p w14:paraId="70ABC639" w14:textId="353B0B96" w:rsidR="00026BEF" w:rsidRDefault="00026BEF" w:rsidP="00382899">
      <w:pPr>
        <w:pStyle w:val="Heading3"/>
      </w:pPr>
      <w:bookmarkStart w:id="92" w:name="_Toc111723692"/>
      <w:bookmarkStart w:id="93" w:name="_Hlk96459766"/>
      <w:bookmarkStart w:id="94" w:name="OLE_LINK1"/>
      <w:r>
        <w:t>Breach of Confidentiality</w:t>
      </w:r>
      <w:bookmarkEnd w:id="92"/>
    </w:p>
    <w:p w14:paraId="1BC2241F" w14:textId="45E2F6A9" w:rsidR="00026BEF" w:rsidRPr="00CA6AE8" w:rsidRDefault="00026BEF" w:rsidP="00CA6AE8">
      <w:pPr>
        <w:pStyle w:val="BodyText"/>
      </w:pPr>
      <w:r>
        <w:t xml:space="preserve">The relatively new tort of breach </w:t>
      </w:r>
      <w:r w:rsidR="00B043B6">
        <w:t xml:space="preserve">of </w:t>
      </w:r>
      <w:r>
        <w:t xml:space="preserve">confidentiality </w:t>
      </w:r>
      <w:r w:rsidR="00AE7EA4">
        <w:t>could also provide useful guidance</w:t>
      </w:r>
      <w:r w:rsidR="00B94FA1">
        <w:t>.</w:t>
      </w:r>
      <w:r w:rsidR="00284C98">
        <w:t xml:space="preserve"> </w:t>
      </w:r>
      <w:r>
        <w:t>Beginning in the 1980’s, commentators noted that courts were increasingly recognizing “an adequate common law remedy for unconsented disclosures of personal information in breach of confidence,” separate from invasion of privacy.</w:t>
      </w:r>
      <w:bookmarkStart w:id="95" w:name="_Ref113025135"/>
      <w:r w:rsidRPr="002A4234">
        <w:rPr>
          <w:rStyle w:val="FootnoteReference"/>
        </w:rPr>
        <w:footnoteReference w:id="424"/>
      </w:r>
      <w:bookmarkEnd w:id="95"/>
      <w:r>
        <w:t xml:space="preserve"> Many of these cases involved violations of professional duties of confidence such as </w:t>
      </w:r>
      <w:r w:rsidR="00302B1F">
        <w:t xml:space="preserve">those held by </w:t>
      </w:r>
      <w:r>
        <w:t>doctors, lawyers, and banks.</w:t>
      </w:r>
      <w:bookmarkStart w:id="96" w:name="_Ref113025263"/>
      <w:r w:rsidRPr="002A4234">
        <w:rPr>
          <w:rStyle w:val="FootnoteReference"/>
        </w:rPr>
        <w:footnoteReference w:id="425"/>
      </w:r>
      <w:bookmarkEnd w:id="96"/>
      <w:r w:rsidRPr="000903E5">
        <w:rPr>
          <w:color w:val="000000"/>
          <w:shd w:val="clear" w:color="auto" w:fill="FFFFFF"/>
        </w:rPr>
        <w:t xml:space="preserve"> </w:t>
      </w:r>
      <w:r>
        <w:rPr>
          <w:color w:val="000000"/>
          <w:shd w:val="clear" w:color="auto" w:fill="FFFFFF"/>
        </w:rPr>
        <w:t>The purpose</w:t>
      </w:r>
      <w:r w:rsidR="009F58F8">
        <w:rPr>
          <w:color w:val="000000"/>
          <w:shd w:val="clear" w:color="auto" w:fill="FFFFFF"/>
        </w:rPr>
        <w:t>s</w:t>
      </w:r>
      <w:r>
        <w:rPr>
          <w:color w:val="000000"/>
          <w:shd w:val="clear" w:color="auto" w:fill="FFFFFF"/>
        </w:rPr>
        <w:t xml:space="preserve"> of such confidentiality obligations </w:t>
      </w:r>
      <w:r w:rsidR="00B11528">
        <w:rPr>
          <w:color w:val="000000"/>
          <w:shd w:val="clear" w:color="auto" w:fill="FFFFFF"/>
        </w:rPr>
        <w:t>include</w:t>
      </w:r>
      <w:r>
        <w:rPr>
          <w:color w:val="000000"/>
          <w:shd w:val="clear" w:color="auto" w:fill="FFFFFF"/>
        </w:rPr>
        <w:t xml:space="preserve"> foster</w:t>
      </w:r>
      <w:r w:rsidR="00B11528">
        <w:rPr>
          <w:color w:val="000000"/>
          <w:shd w:val="clear" w:color="auto" w:fill="FFFFFF"/>
        </w:rPr>
        <w:t>ing</w:t>
      </w:r>
      <w:r>
        <w:rPr>
          <w:color w:val="000000"/>
          <w:shd w:val="clear" w:color="auto" w:fill="FFFFFF"/>
        </w:rPr>
        <w:t xml:space="preserve"> candor,</w:t>
      </w:r>
      <w:r w:rsidRPr="002A4234">
        <w:rPr>
          <w:rStyle w:val="FootnoteReference"/>
        </w:rPr>
        <w:footnoteReference w:id="426"/>
      </w:r>
      <w:r>
        <w:rPr>
          <w:color w:val="000000"/>
          <w:shd w:val="clear" w:color="auto" w:fill="FFFFFF"/>
        </w:rPr>
        <w:t xml:space="preserve"> protect</w:t>
      </w:r>
      <w:r w:rsidR="00B11528">
        <w:rPr>
          <w:color w:val="000000"/>
          <w:shd w:val="clear" w:color="auto" w:fill="FFFFFF"/>
        </w:rPr>
        <w:t>ing</w:t>
      </w:r>
      <w:r>
        <w:rPr>
          <w:color w:val="000000"/>
          <w:shd w:val="clear" w:color="auto" w:fill="FFFFFF"/>
        </w:rPr>
        <w:t xml:space="preserve"> the intimacy of the family,</w:t>
      </w:r>
      <w:r w:rsidRPr="002A4234">
        <w:rPr>
          <w:rStyle w:val="FootnoteReference"/>
        </w:rPr>
        <w:footnoteReference w:id="427"/>
      </w:r>
      <w:r>
        <w:rPr>
          <w:color w:val="000000"/>
          <w:shd w:val="clear" w:color="auto" w:fill="FFFFFF"/>
        </w:rPr>
        <w:t xml:space="preserve"> and</w:t>
      </w:r>
      <w:r w:rsidR="00980EE5">
        <w:rPr>
          <w:color w:val="000000"/>
          <w:shd w:val="clear" w:color="auto" w:fill="FFFFFF"/>
        </w:rPr>
        <w:t xml:space="preserve"> guard</w:t>
      </w:r>
      <w:r w:rsidR="00B11528">
        <w:rPr>
          <w:color w:val="000000"/>
          <w:shd w:val="clear" w:color="auto" w:fill="FFFFFF"/>
        </w:rPr>
        <w:t>ing against</w:t>
      </w:r>
      <w:r>
        <w:rPr>
          <w:color w:val="000000"/>
          <w:shd w:val="clear" w:color="auto" w:fill="FFFFFF"/>
        </w:rPr>
        <w:t xml:space="preserve"> embarrassment. These </w:t>
      </w:r>
      <w:r w:rsidR="00980EE5">
        <w:rPr>
          <w:color w:val="000000"/>
          <w:shd w:val="clear" w:color="auto" w:fill="FFFFFF"/>
        </w:rPr>
        <w:t>values</w:t>
      </w:r>
      <w:r>
        <w:rPr>
          <w:color w:val="000000"/>
          <w:shd w:val="clear" w:color="auto" w:fill="FFFFFF"/>
        </w:rPr>
        <w:t xml:space="preserve"> </w:t>
      </w:r>
      <w:r w:rsidR="004C2146">
        <w:rPr>
          <w:color w:val="000000"/>
          <w:shd w:val="clear" w:color="auto" w:fill="FFFFFF"/>
        </w:rPr>
        <w:t>line up well with those the</w:t>
      </w:r>
      <w:r>
        <w:rPr>
          <w:color w:val="000000"/>
          <w:shd w:val="clear" w:color="auto" w:fill="FFFFFF"/>
        </w:rPr>
        <w:t xml:space="preserve"> Fourth Amendment</w:t>
      </w:r>
      <w:r w:rsidR="004C2146">
        <w:rPr>
          <w:color w:val="000000"/>
          <w:shd w:val="clear" w:color="auto" w:fill="FFFFFF"/>
        </w:rPr>
        <w:t xml:space="preserve"> seeks to protect</w:t>
      </w:r>
      <w:r>
        <w:rPr>
          <w:color w:val="000000"/>
          <w:shd w:val="clear" w:color="auto" w:fill="FFFFFF"/>
        </w:rPr>
        <w:t>.</w:t>
      </w:r>
    </w:p>
    <w:p w14:paraId="4C2F7D92" w14:textId="4E967A82" w:rsidR="00026BEF" w:rsidRDefault="00026BEF" w:rsidP="008A7CC5">
      <w:pPr>
        <w:pStyle w:val="BodyText"/>
        <w:rPr>
          <w:shd w:val="clear" w:color="auto" w:fill="FFFFFF"/>
        </w:rPr>
      </w:pPr>
      <w:r>
        <w:rPr>
          <w:shd w:val="clear" w:color="auto" w:fill="FFFFFF"/>
        </w:rPr>
        <w:t>Confidentiality</w:t>
      </w:r>
      <w:r w:rsidR="008A7CC5">
        <w:rPr>
          <w:shd w:val="clear" w:color="auto" w:fill="FFFFFF"/>
        </w:rPr>
        <w:t>,</w:t>
      </w:r>
      <w:r>
        <w:rPr>
          <w:shd w:val="clear" w:color="auto" w:fill="FFFFFF"/>
        </w:rPr>
        <w:t xml:space="preserve"> then</w:t>
      </w:r>
      <w:r w:rsidR="008A7CC5">
        <w:rPr>
          <w:shd w:val="clear" w:color="auto" w:fill="FFFFFF"/>
        </w:rPr>
        <w:t>,</w:t>
      </w:r>
      <w:r>
        <w:rPr>
          <w:shd w:val="clear" w:color="auto" w:fill="FFFFFF"/>
        </w:rPr>
        <w:t xml:space="preserve"> </w:t>
      </w:r>
      <w:r w:rsidR="00B94FA1">
        <w:rPr>
          <w:shd w:val="clear" w:color="auto" w:fill="FFFFFF"/>
        </w:rPr>
        <w:t>might</w:t>
      </w:r>
      <w:r w:rsidR="004C2146">
        <w:rPr>
          <w:shd w:val="clear" w:color="auto" w:fill="FFFFFF"/>
        </w:rPr>
        <w:t xml:space="preserve"> provide</w:t>
      </w:r>
      <w:r>
        <w:rPr>
          <w:shd w:val="clear" w:color="auto" w:fill="FFFFFF"/>
        </w:rPr>
        <w:t xml:space="preserve"> an additional basis on which a court applying a general</w:t>
      </w:r>
      <w:r w:rsidR="008A7CC5">
        <w:rPr>
          <w:shd w:val="clear" w:color="auto" w:fill="FFFFFF"/>
        </w:rPr>
        <w:t>-</w:t>
      </w:r>
      <w:r>
        <w:rPr>
          <w:shd w:val="clear" w:color="auto" w:fill="FFFFFF"/>
        </w:rPr>
        <w:t>law approach might reach a different result in a case like</w:t>
      </w:r>
      <w:r w:rsidRPr="008A7CC5">
        <w:rPr>
          <w:i/>
          <w:iCs/>
          <w:shd w:val="clear" w:color="auto" w:fill="FFFFFF"/>
        </w:rPr>
        <w:t xml:space="preserve"> Miller.</w:t>
      </w:r>
      <w:r>
        <w:rPr>
          <w:shd w:val="clear" w:color="auto" w:fill="FFFFFF"/>
        </w:rPr>
        <w:t xml:space="preserve"> </w:t>
      </w:r>
      <w:r w:rsidR="00244DE6">
        <w:rPr>
          <w:shd w:val="clear" w:color="auto" w:fill="FFFFFF"/>
        </w:rPr>
        <w:t>If general law recognizes that a bank has</w:t>
      </w:r>
      <w:r>
        <w:rPr>
          <w:shd w:val="clear" w:color="auto" w:fill="FFFFFF"/>
        </w:rPr>
        <w:t xml:space="preserve"> an obligation to keep information confidential, </w:t>
      </w:r>
      <w:r w:rsidR="004C2146">
        <w:rPr>
          <w:shd w:val="clear" w:color="auto" w:fill="FFFFFF"/>
        </w:rPr>
        <w:t xml:space="preserve">the government </w:t>
      </w:r>
      <w:r w:rsidR="00244DE6">
        <w:rPr>
          <w:shd w:val="clear" w:color="auto" w:fill="FFFFFF"/>
        </w:rPr>
        <w:t>would</w:t>
      </w:r>
      <w:r w:rsidR="004C2146">
        <w:rPr>
          <w:shd w:val="clear" w:color="auto" w:fill="FFFFFF"/>
        </w:rPr>
        <w:t xml:space="preserve"> unreasonably search or seize </w:t>
      </w:r>
      <w:r w:rsidR="00CA0BDB">
        <w:rPr>
          <w:shd w:val="clear" w:color="auto" w:fill="FFFFFF"/>
        </w:rPr>
        <w:t>bank records by demanding that the bank violate those confidentiality obligations</w:t>
      </w:r>
      <w:r>
        <w:rPr>
          <w:shd w:val="clear" w:color="auto" w:fill="FFFFFF"/>
        </w:rPr>
        <w:t xml:space="preserve">. </w:t>
      </w:r>
      <w:r w:rsidR="00CA0BDB">
        <w:rPr>
          <w:shd w:val="clear" w:color="auto" w:fill="FFFFFF"/>
        </w:rPr>
        <w:t>A similar analysis would apply to</w:t>
      </w:r>
      <w:r>
        <w:rPr>
          <w:shd w:val="clear" w:color="auto" w:fill="FFFFFF"/>
        </w:rPr>
        <w:t xml:space="preserve"> information held by doctors, lawyers, and other professionals generally bound </w:t>
      </w:r>
      <w:r w:rsidR="00FE5100">
        <w:rPr>
          <w:shd w:val="clear" w:color="auto" w:fill="FFFFFF"/>
        </w:rPr>
        <w:t>by</w:t>
      </w:r>
      <w:r>
        <w:rPr>
          <w:shd w:val="clear" w:color="auto" w:fill="FFFFFF"/>
        </w:rPr>
        <w:t xml:space="preserve"> confidentiality</w:t>
      </w:r>
      <w:r w:rsidR="00FE5100">
        <w:rPr>
          <w:shd w:val="clear" w:color="auto" w:fill="FFFFFF"/>
        </w:rPr>
        <w:t xml:space="preserve"> obligations as fiduciaries</w:t>
      </w:r>
      <w:r>
        <w:rPr>
          <w:shd w:val="clear" w:color="auto" w:fill="FFFFFF"/>
        </w:rPr>
        <w:t>.</w:t>
      </w:r>
    </w:p>
    <w:p w14:paraId="0DC76709" w14:textId="3B885158" w:rsidR="00244DE6" w:rsidRPr="00026BEF" w:rsidRDefault="00E21646" w:rsidP="008A7CC5">
      <w:pPr>
        <w:pStyle w:val="BodyText"/>
        <w:rPr>
          <w:shd w:val="clear" w:color="auto" w:fill="FFFFFF"/>
        </w:rPr>
      </w:pPr>
      <w:r>
        <w:rPr>
          <w:shd w:val="clear" w:color="auto" w:fill="FFFFFF"/>
        </w:rPr>
        <w:t>T</w:t>
      </w:r>
      <w:r w:rsidR="00244DE6">
        <w:rPr>
          <w:shd w:val="clear" w:color="auto" w:fill="FFFFFF"/>
        </w:rPr>
        <w:t>he common law of confidential</w:t>
      </w:r>
      <w:r>
        <w:rPr>
          <w:shd w:val="clear" w:color="auto" w:fill="FFFFFF"/>
        </w:rPr>
        <w:t>ity</w:t>
      </w:r>
      <w:r w:rsidR="00244DE6">
        <w:rPr>
          <w:shd w:val="clear" w:color="auto" w:fill="FFFFFF"/>
        </w:rPr>
        <w:t xml:space="preserve"> is </w:t>
      </w:r>
      <w:r>
        <w:rPr>
          <w:shd w:val="clear" w:color="auto" w:fill="FFFFFF"/>
        </w:rPr>
        <w:t>concededly</w:t>
      </w:r>
      <w:r w:rsidR="00244DE6">
        <w:rPr>
          <w:shd w:val="clear" w:color="auto" w:fill="FFFFFF"/>
        </w:rPr>
        <w:t xml:space="preserve"> nascent</w:t>
      </w:r>
      <w:r w:rsidR="00912783">
        <w:rPr>
          <w:shd w:val="clear" w:color="auto" w:fill="FFFFFF"/>
        </w:rPr>
        <w:t xml:space="preserve"> outside of the fiduciary context, and so it is unclear how much guidance the general law here would provide in situations without a fiduciary relationship. Th</w:t>
      </w:r>
      <w:r w:rsidR="009E1646">
        <w:rPr>
          <w:shd w:val="clear" w:color="auto" w:fill="FFFFFF"/>
        </w:rPr>
        <w:t xml:space="preserve">e general-law approach would, however, empower courts to explicate </w:t>
      </w:r>
      <w:r w:rsidR="0074059B">
        <w:rPr>
          <w:shd w:val="clear" w:color="auto" w:fill="FFFFFF"/>
        </w:rPr>
        <w:t xml:space="preserve">and develop the law of confidentiality, and in so doing they could </w:t>
      </w:r>
      <w:r w:rsidR="00034D13">
        <w:rPr>
          <w:shd w:val="clear" w:color="auto" w:fill="FFFFFF"/>
        </w:rPr>
        <w:t>protect privacy in ways that current doctrine does not.</w:t>
      </w:r>
    </w:p>
    <w:p w14:paraId="423D97F4" w14:textId="725637E8" w:rsidR="00497943" w:rsidRPr="00497943" w:rsidRDefault="00497943" w:rsidP="00497943">
      <w:pPr>
        <w:pStyle w:val="Heading2"/>
        <w:rPr>
          <w:i/>
          <w:iCs/>
        </w:rPr>
      </w:pPr>
      <w:bookmarkStart w:id="97" w:name="_Toc111723693"/>
      <w:r w:rsidRPr="00497943">
        <w:rPr>
          <w:i/>
          <w:iCs/>
        </w:rPr>
        <w:lastRenderedPageBreak/>
        <w:t>Additional Issues</w:t>
      </w:r>
      <w:bookmarkEnd w:id="97"/>
    </w:p>
    <w:p w14:paraId="1BAC3DC6" w14:textId="5B9ED70B" w:rsidR="00497943" w:rsidRDefault="00497943" w:rsidP="001C75EC">
      <w:pPr>
        <w:pStyle w:val="Heading3"/>
      </w:pPr>
      <w:bookmarkStart w:id="98" w:name="_Toc111723694"/>
      <w:r w:rsidRPr="001C75EC">
        <w:t>Seizures of the Person</w:t>
      </w:r>
      <w:bookmarkEnd w:id="98"/>
    </w:p>
    <w:p w14:paraId="4F0CD43B" w14:textId="2EC87210" w:rsidR="005809B2" w:rsidRDefault="006F2C3D" w:rsidP="005809B2">
      <w:pPr>
        <w:pStyle w:val="BodyText"/>
        <w:rPr>
          <w:lang w:eastAsia="ja-JP"/>
        </w:rPr>
      </w:pPr>
      <w:r>
        <w:rPr>
          <w:lang w:eastAsia="ja-JP"/>
        </w:rPr>
        <w:t xml:space="preserve">A significant question is how </w:t>
      </w:r>
      <w:r w:rsidR="00D34E75">
        <w:rPr>
          <w:lang w:eastAsia="ja-JP"/>
        </w:rPr>
        <w:t>our approach would deal with seizures of the person</w:t>
      </w:r>
      <w:r w:rsidR="006107F7">
        <w:rPr>
          <w:lang w:eastAsia="ja-JP"/>
        </w:rPr>
        <w:t xml:space="preserve"> such as arrests or </w:t>
      </w:r>
      <w:r w:rsidR="006107F7">
        <w:rPr>
          <w:i/>
          <w:iCs/>
          <w:lang w:eastAsia="ja-JP"/>
        </w:rPr>
        <w:t>Terry</w:t>
      </w:r>
      <w:r w:rsidR="006107F7">
        <w:rPr>
          <w:lang w:eastAsia="ja-JP"/>
        </w:rPr>
        <w:t xml:space="preserve"> stops. This issue is challenging. Although there is a rich common-law background governing </w:t>
      </w:r>
      <w:r w:rsidR="00C407D8">
        <w:rPr>
          <w:lang w:eastAsia="ja-JP"/>
        </w:rPr>
        <w:t xml:space="preserve">the permissibility of arrests that predates the Fourth Amendment, </w:t>
      </w:r>
      <w:r w:rsidR="00F90394">
        <w:rPr>
          <w:lang w:eastAsia="ja-JP"/>
        </w:rPr>
        <w:t>it is somewhat rare</w:t>
      </w:r>
      <w:r w:rsidR="00C407D8">
        <w:rPr>
          <w:lang w:eastAsia="ja-JP"/>
        </w:rPr>
        <w:t xml:space="preserve"> for courts to explicate the general law of seizures in recent times. That</w:t>
      </w:r>
      <w:r w:rsidR="008965B9">
        <w:rPr>
          <w:lang w:eastAsia="ja-JP"/>
        </w:rPr>
        <w:t xml:space="preserve"> i</w:t>
      </w:r>
      <w:r w:rsidR="00C407D8">
        <w:rPr>
          <w:lang w:eastAsia="ja-JP"/>
        </w:rPr>
        <w:t>s because</w:t>
      </w:r>
      <w:r w:rsidR="00F26E07">
        <w:rPr>
          <w:lang w:eastAsia="ja-JP"/>
        </w:rPr>
        <w:t xml:space="preserve"> </w:t>
      </w:r>
      <w:r w:rsidR="00D5433B">
        <w:rPr>
          <w:lang w:eastAsia="ja-JP"/>
        </w:rPr>
        <w:t xml:space="preserve">the rise of professionalized law enforcement means that </w:t>
      </w:r>
      <w:r w:rsidR="00AA1D05">
        <w:rPr>
          <w:lang w:eastAsia="ja-JP"/>
        </w:rPr>
        <w:t xml:space="preserve">“citizen’s arrests” by private actors are much less common than they were in a pre-1791 world, though such arrests are still </w:t>
      </w:r>
      <w:r w:rsidR="001B26C4">
        <w:rPr>
          <w:lang w:eastAsia="ja-JP"/>
        </w:rPr>
        <w:t>legally</w:t>
      </w:r>
      <w:r w:rsidR="00AA1D05">
        <w:rPr>
          <w:lang w:eastAsia="ja-JP"/>
        </w:rPr>
        <w:t xml:space="preserve"> authorized </w:t>
      </w:r>
      <w:r w:rsidR="00EA639A">
        <w:rPr>
          <w:lang w:eastAsia="ja-JP"/>
        </w:rPr>
        <w:t>across the country.</w:t>
      </w:r>
      <w:r w:rsidR="00AA1D05" w:rsidRPr="002A4234">
        <w:rPr>
          <w:rStyle w:val="FootnoteReference"/>
        </w:rPr>
        <w:footnoteReference w:id="428"/>
      </w:r>
    </w:p>
    <w:p w14:paraId="56216DE7" w14:textId="4B7CF918" w:rsidR="001B1B28" w:rsidRDefault="000B224B" w:rsidP="005809B2">
      <w:pPr>
        <w:pStyle w:val="BodyText"/>
        <w:rPr>
          <w:lang w:eastAsia="ja-JP"/>
        </w:rPr>
      </w:pPr>
      <w:bookmarkStart w:id="99" w:name="_Toc96093559"/>
      <w:r>
        <w:rPr>
          <w:lang w:eastAsia="ja-JP"/>
        </w:rPr>
        <w:t>Why is this a problem</w:t>
      </w:r>
      <w:r w:rsidR="00CC104C">
        <w:rPr>
          <w:lang w:eastAsia="ja-JP"/>
        </w:rPr>
        <w:t xml:space="preserve"> for the general-law approach? The risk is that in explicating </w:t>
      </w:r>
      <w:r w:rsidR="00B9442E">
        <w:rPr>
          <w:lang w:eastAsia="ja-JP"/>
        </w:rPr>
        <w:t>the</w:t>
      </w:r>
      <w:r w:rsidR="00CC104C">
        <w:rPr>
          <w:lang w:eastAsia="ja-JP"/>
        </w:rPr>
        <w:t xml:space="preserve"> general law of seizures, a court would </w:t>
      </w:r>
      <w:r w:rsidR="00D52800">
        <w:rPr>
          <w:lang w:eastAsia="ja-JP"/>
        </w:rPr>
        <w:t>not look to the customs</w:t>
      </w:r>
      <w:r w:rsidR="00C4233D">
        <w:rPr>
          <w:lang w:eastAsia="ja-JP"/>
        </w:rPr>
        <w:t xml:space="preserve">, </w:t>
      </w:r>
      <w:r w:rsidR="00D52800">
        <w:rPr>
          <w:lang w:eastAsia="ja-JP"/>
        </w:rPr>
        <w:t>practices</w:t>
      </w:r>
      <w:r w:rsidR="00C4233D">
        <w:rPr>
          <w:lang w:eastAsia="ja-JP"/>
        </w:rPr>
        <w:t>, and expectations</w:t>
      </w:r>
      <w:r w:rsidR="00D52800">
        <w:rPr>
          <w:lang w:eastAsia="ja-JP"/>
        </w:rPr>
        <w:t xml:space="preserve"> of society generally; it would merely mak</w:t>
      </w:r>
      <w:r w:rsidR="00A146A5">
        <w:rPr>
          <w:lang w:eastAsia="ja-JP"/>
        </w:rPr>
        <w:t>e</w:t>
      </w:r>
      <w:r w:rsidR="00D52800">
        <w:rPr>
          <w:lang w:eastAsia="ja-JP"/>
        </w:rPr>
        <w:t xml:space="preserve"> rules that in practice exclusively </w:t>
      </w:r>
      <w:r w:rsidR="0036179E">
        <w:rPr>
          <w:lang w:eastAsia="ja-JP"/>
        </w:rPr>
        <w:t>govern</w:t>
      </w:r>
      <w:r w:rsidR="00D52800">
        <w:rPr>
          <w:lang w:eastAsia="ja-JP"/>
        </w:rPr>
        <w:t xml:space="preserve"> law enforcement. </w:t>
      </w:r>
      <w:r w:rsidR="00CD0A35">
        <w:rPr>
          <w:lang w:eastAsia="ja-JP"/>
        </w:rPr>
        <w:t xml:space="preserve">And that could lead to rules that are insufficiently protective of Fourth Amendment values. </w:t>
      </w:r>
      <w:r w:rsidR="00402210">
        <w:rPr>
          <w:lang w:eastAsia="ja-JP"/>
        </w:rPr>
        <w:t xml:space="preserve">Part of the appeal of the general-law approach is that it asks courts </w:t>
      </w:r>
      <w:r w:rsidR="00101C35">
        <w:rPr>
          <w:lang w:eastAsia="ja-JP"/>
        </w:rPr>
        <w:t xml:space="preserve">to ground Fourth Amendment reasonableness in a source of law that governs </w:t>
      </w:r>
      <w:r w:rsidR="008070AB">
        <w:rPr>
          <w:lang w:eastAsia="ja-JP"/>
        </w:rPr>
        <w:t>society generally</w:t>
      </w:r>
      <w:r w:rsidR="007A2458">
        <w:rPr>
          <w:lang w:eastAsia="ja-JP"/>
        </w:rPr>
        <w:t>, rather than a set of ad hoc rules to govern policing.</w:t>
      </w:r>
    </w:p>
    <w:p w14:paraId="371F91E3" w14:textId="65F3F0F1" w:rsidR="00310D8D" w:rsidRPr="00D52800" w:rsidRDefault="00C4233D" w:rsidP="0016589A">
      <w:pPr>
        <w:pStyle w:val="BodyText"/>
        <w:rPr>
          <w:lang w:eastAsia="ja-JP"/>
        </w:rPr>
      </w:pPr>
      <w:r>
        <w:rPr>
          <w:lang w:eastAsia="ja-JP"/>
        </w:rPr>
        <w:t xml:space="preserve">This problem is not entirely unavoidable, </w:t>
      </w:r>
      <w:r w:rsidR="00C835B6">
        <w:rPr>
          <w:lang w:eastAsia="ja-JP"/>
        </w:rPr>
        <w:t>al</w:t>
      </w:r>
      <w:r w:rsidR="00447129">
        <w:rPr>
          <w:lang w:eastAsia="ja-JP"/>
        </w:rPr>
        <w:t>th</w:t>
      </w:r>
      <w:r w:rsidR="00A6654B">
        <w:rPr>
          <w:lang w:eastAsia="ja-JP"/>
        </w:rPr>
        <w:t>ough</w:t>
      </w:r>
      <w:r w:rsidR="00447129">
        <w:rPr>
          <w:lang w:eastAsia="ja-JP"/>
        </w:rPr>
        <w:t xml:space="preserve"> </w:t>
      </w:r>
      <w:r w:rsidR="0016589A">
        <w:rPr>
          <w:lang w:eastAsia="ja-JP"/>
        </w:rPr>
        <w:t>it</w:t>
      </w:r>
      <w:r w:rsidR="00447129">
        <w:rPr>
          <w:lang w:eastAsia="ja-JP"/>
        </w:rPr>
        <w:t xml:space="preserve"> deserves </w:t>
      </w:r>
      <w:r w:rsidR="0016589A">
        <w:rPr>
          <w:lang w:eastAsia="ja-JP"/>
        </w:rPr>
        <w:t xml:space="preserve">longer treatment than we are able to provide here. Nonetheless, we have some tentative thoughts on how to minimize the problem. </w:t>
      </w:r>
      <w:r w:rsidR="00421B4D">
        <w:rPr>
          <w:lang w:eastAsia="ja-JP"/>
        </w:rPr>
        <w:t xml:space="preserve">First, </w:t>
      </w:r>
      <w:r w:rsidR="005E58CC">
        <w:rPr>
          <w:lang w:eastAsia="ja-JP"/>
        </w:rPr>
        <w:t xml:space="preserve">there is a </w:t>
      </w:r>
      <w:r w:rsidR="00324C67">
        <w:rPr>
          <w:lang w:eastAsia="ja-JP"/>
        </w:rPr>
        <w:t xml:space="preserve">longstanding </w:t>
      </w:r>
      <w:r w:rsidR="005E58CC">
        <w:rPr>
          <w:lang w:eastAsia="ja-JP"/>
        </w:rPr>
        <w:t>core of common-law rules governing arrests and seizures</w:t>
      </w:r>
      <w:r w:rsidR="00A10116">
        <w:rPr>
          <w:lang w:eastAsia="ja-JP"/>
        </w:rPr>
        <w:t>;</w:t>
      </w:r>
      <w:r w:rsidR="005E58CC">
        <w:rPr>
          <w:lang w:eastAsia="ja-JP"/>
        </w:rPr>
        <w:t xml:space="preserve"> that core should</w:t>
      </w:r>
      <w:r w:rsidR="007B68FD">
        <w:rPr>
          <w:lang w:eastAsia="ja-JP"/>
        </w:rPr>
        <w:t xml:space="preserve"> (</w:t>
      </w:r>
      <w:r w:rsidR="005E58CC">
        <w:rPr>
          <w:lang w:eastAsia="ja-JP"/>
        </w:rPr>
        <w:t>as it currently does</w:t>
      </w:r>
      <w:r w:rsidR="00B06D54">
        <w:rPr>
          <w:lang w:eastAsia="ja-JP"/>
        </w:rPr>
        <w:t>)</w:t>
      </w:r>
      <w:r w:rsidR="009D611C">
        <w:rPr>
          <w:lang w:eastAsia="ja-JP"/>
        </w:rPr>
        <w:t xml:space="preserve"> </w:t>
      </w:r>
      <w:r w:rsidR="005E58CC">
        <w:rPr>
          <w:lang w:eastAsia="ja-JP"/>
        </w:rPr>
        <w:t xml:space="preserve">serve as the foundation for </w:t>
      </w:r>
      <w:r w:rsidR="0011585E">
        <w:rPr>
          <w:lang w:eastAsia="ja-JP"/>
        </w:rPr>
        <w:t xml:space="preserve">the general-law rules governing seizures. </w:t>
      </w:r>
      <w:r w:rsidR="0036179E">
        <w:rPr>
          <w:lang w:eastAsia="ja-JP"/>
        </w:rPr>
        <w:t>And g</w:t>
      </w:r>
      <w:r w:rsidR="00324C67">
        <w:rPr>
          <w:lang w:eastAsia="ja-JP"/>
        </w:rPr>
        <w:t xml:space="preserve">iven </w:t>
      </w:r>
      <w:r w:rsidR="00AC10BA">
        <w:rPr>
          <w:lang w:eastAsia="ja-JP"/>
        </w:rPr>
        <w:t>limited</w:t>
      </w:r>
      <w:r w:rsidR="00324C67">
        <w:rPr>
          <w:lang w:eastAsia="ja-JP"/>
        </w:rPr>
        <w:t xml:space="preserve"> guidance </w:t>
      </w:r>
      <w:r w:rsidR="00F14FA1">
        <w:rPr>
          <w:lang w:eastAsia="ja-JP"/>
        </w:rPr>
        <w:t xml:space="preserve">elsewhere in the </w:t>
      </w:r>
      <w:r w:rsidR="00BE4357">
        <w:rPr>
          <w:lang w:eastAsia="ja-JP"/>
        </w:rPr>
        <w:t xml:space="preserve">law </w:t>
      </w:r>
      <w:r w:rsidR="007C0401">
        <w:rPr>
          <w:lang w:eastAsia="ja-JP"/>
        </w:rPr>
        <w:t>and in social practices</w:t>
      </w:r>
      <w:r w:rsidR="00BE4357">
        <w:rPr>
          <w:lang w:eastAsia="ja-JP"/>
        </w:rPr>
        <w:t xml:space="preserve">, courts should </w:t>
      </w:r>
      <w:r w:rsidR="001D5662">
        <w:rPr>
          <w:lang w:eastAsia="ja-JP"/>
        </w:rPr>
        <w:t xml:space="preserve">change </w:t>
      </w:r>
      <w:r w:rsidR="006851EE">
        <w:rPr>
          <w:lang w:eastAsia="ja-JP"/>
        </w:rPr>
        <w:t>t</w:t>
      </w:r>
      <w:r w:rsidR="00B85E46">
        <w:rPr>
          <w:lang w:eastAsia="ja-JP"/>
        </w:rPr>
        <w:t>hose rules</w:t>
      </w:r>
      <w:r w:rsidR="001D5662">
        <w:rPr>
          <w:lang w:eastAsia="ja-JP"/>
        </w:rPr>
        <w:t xml:space="preserve"> </w:t>
      </w:r>
      <w:r w:rsidR="00F14FA1">
        <w:rPr>
          <w:lang w:eastAsia="ja-JP"/>
        </w:rPr>
        <w:t xml:space="preserve">only </w:t>
      </w:r>
      <w:r w:rsidR="001D5662">
        <w:rPr>
          <w:lang w:eastAsia="ja-JP"/>
        </w:rPr>
        <w:t>when</w:t>
      </w:r>
      <w:r w:rsidR="00B85E46">
        <w:rPr>
          <w:lang w:eastAsia="ja-JP"/>
        </w:rPr>
        <w:t xml:space="preserve"> they </w:t>
      </w:r>
      <w:r w:rsidR="001D5662">
        <w:rPr>
          <w:lang w:eastAsia="ja-JP"/>
        </w:rPr>
        <w:t xml:space="preserve">can </w:t>
      </w:r>
      <w:r w:rsidR="00465F42">
        <w:rPr>
          <w:lang w:eastAsia="ja-JP"/>
        </w:rPr>
        <w:t>provide</w:t>
      </w:r>
      <w:r w:rsidR="00AC10BA">
        <w:rPr>
          <w:lang w:eastAsia="ja-JP"/>
        </w:rPr>
        <w:t xml:space="preserve"> strong reasons </w:t>
      </w:r>
      <w:r w:rsidR="001E416C">
        <w:rPr>
          <w:lang w:eastAsia="ja-JP"/>
        </w:rPr>
        <w:t xml:space="preserve">in support of their </w:t>
      </w:r>
      <w:r w:rsidR="00AC10BA">
        <w:rPr>
          <w:lang w:eastAsia="ja-JP"/>
        </w:rPr>
        <w:t>conclu</w:t>
      </w:r>
      <w:r w:rsidR="001E416C">
        <w:rPr>
          <w:lang w:eastAsia="ja-JP"/>
        </w:rPr>
        <w:t>sion</w:t>
      </w:r>
      <w:r w:rsidR="00AC10BA">
        <w:rPr>
          <w:lang w:eastAsia="ja-JP"/>
        </w:rPr>
        <w:t xml:space="preserve"> that</w:t>
      </w:r>
      <w:r w:rsidR="00B85E46">
        <w:rPr>
          <w:lang w:eastAsia="ja-JP"/>
        </w:rPr>
        <w:t xml:space="preserve"> </w:t>
      </w:r>
      <w:r w:rsidR="00260944">
        <w:rPr>
          <w:lang w:eastAsia="ja-JP"/>
        </w:rPr>
        <w:t xml:space="preserve">conditions </w:t>
      </w:r>
      <w:r w:rsidR="001D5662">
        <w:rPr>
          <w:lang w:eastAsia="ja-JP"/>
        </w:rPr>
        <w:t>have</w:t>
      </w:r>
      <w:r w:rsidR="00B85E46">
        <w:rPr>
          <w:lang w:eastAsia="ja-JP"/>
        </w:rPr>
        <w:t xml:space="preserve"> chang</w:t>
      </w:r>
      <w:r w:rsidR="001D5662">
        <w:rPr>
          <w:lang w:eastAsia="ja-JP"/>
        </w:rPr>
        <w:t>ed</w:t>
      </w:r>
      <w:r w:rsidR="00C83998">
        <w:rPr>
          <w:lang w:eastAsia="ja-JP"/>
        </w:rPr>
        <w:t>,</w:t>
      </w:r>
      <w:r w:rsidR="00B85E46">
        <w:rPr>
          <w:lang w:eastAsia="ja-JP"/>
        </w:rPr>
        <w:t xml:space="preserve"> such that </w:t>
      </w:r>
      <w:r w:rsidR="000C11D5">
        <w:rPr>
          <w:lang w:eastAsia="ja-JP"/>
        </w:rPr>
        <w:t xml:space="preserve">the general law </w:t>
      </w:r>
      <w:r w:rsidR="005378A7">
        <w:rPr>
          <w:lang w:eastAsia="ja-JP"/>
        </w:rPr>
        <w:t>has</w:t>
      </w:r>
      <w:r w:rsidR="000C11D5">
        <w:rPr>
          <w:lang w:eastAsia="ja-JP"/>
        </w:rPr>
        <w:t xml:space="preserve"> </w:t>
      </w:r>
      <w:r w:rsidR="00625602">
        <w:rPr>
          <w:lang w:eastAsia="ja-JP"/>
        </w:rPr>
        <w:t xml:space="preserve">also </w:t>
      </w:r>
      <w:r w:rsidR="000C11D5">
        <w:rPr>
          <w:lang w:eastAsia="ja-JP"/>
        </w:rPr>
        <w:t>change</w:t>
      </w:r>
      <w:r w:rsidR="005378A7">
        <w:rPr>
          <w:lang w:eastAsia="ja-JP"/>
        </w:rPr>
        <w:t>d</w:t>
      </w:r>
      <w:r w:rsidR="00824CDB">
        <w:rPr>
          <w:lang w:eastAsia="ja-JP"/>
        </w:rPr>
        <w:t>.</w:t>
      </w:r>
      <w:r w:rsidR="00346B63">
        <w:rPr>
          <w:lang w:eastAsia="ja-JP"/>
        </w:rPr>
        <w:t xml:space="preserve"> That is, in the contexts there has been no opportunity for the general law to evolve since </w:t>
      </w:r>
      <w:r w:rsidR="00F1653B">
        <w:rPr>
          <w:lang w:eastAsia="ja-JP"/>
        </w:rPr>
        <w:t>the Founding</w:t>
      </w:r>
      <w:r w:rsidR="00346B63">
        <w:rPr>
          <w:lang w:eastAsia="ja-JP"/>
        </w:rPr>
        <w:t xml:space="preserve">, the general-law approach may in practice </w:t>
      </w:r>
      <w:r w:rsidR="00F1653B">
        <w:rPr>
          <w:lang w:eastAsia="ja-JP"/>
        </w:rPr>
        <w:t xml:space="preserve">turn on the content of 1791 common law more than it does elsewhere. </w:t>
      </w:r>
    </w:p>
    <w:p w14:paraId="2A78273C" w14:textId="12F1BCBB" w:rsidR="00D8203C" w:rsidRPr="00B820F8" w:rsidRDefault="007853E3" w:rsidP="00787307">
      <w:pPr>
        <w:pStyle w:val="BodyText"/>
        <w:rPr>
          <w:lang w:eastAsia="ja-JP"/>
        </w:rPr>
      </w:pPr>
      <w:r>
        <w:rPr>
          <w:lang w:eastAsia="ja-JP"/>
        </w:rPr>
        <w:t>T</w:t>
      </w:r>
      <w:r w:rsidR="002F2A15">
        <w:rPr>
          <w:lang w:eastAsia="ja-JP"/>
        </w:rPr>
        <w:t>he Cour</w:t>
      </w:r>
      <w:r w:rsidR="002E656B">
        <w:rPr>
          <w:lang w:eastAsia="ja-JP"/>
        </w:rPr>
        <w:t xml:space="preserve">t’s </w:t>
      </w:r>
      <w:r w:rsidR="00F013F9">
        <w:rPr>
          <w:lang w:eastAsia="ja-JP"/>
        </w:rPr>
        <w:t>approach</w:t>
      </w:r>
      <w:r w:rsidR="002E656B">
        <w:rPr>
          <w:lang w:eastAsia="ja-JP"/>
        </w:rPr>
        <w:t xml:space="preserve"> in seizure cases</w:t>
      </w:r>
      <w:r w:rsidR="00365C28">
        <w:rPr>
          <w:lang w:eastAsia="ja-JP"/>
        </w:rPr>
        <w:t>, which often stress traditional common-law rules,</w:t>
      </w:r>
      <w:r w:rsidR="0032624E">
        <w:rPr>
          <w:lang w:eastAsia="ja-JP"/>
        </w:rPr>
        <w:t xml:space="preserve"> is </w:t>
      </w:r>
      <w:r>
        <w:rPr>
          <w:lang w:eastAsia="ja-JP"/>
        </w:rPr>
        <w:t xml:space="preserve">largely </w:t>
      </w:r>
      <w:r w:rsidR="0032624E">
        <w:rPr>
          <w:lang w:eastAsia="ja-JP"/>
        </w:rPr>
        <w:t xml:space="preserve">consistent with </w:t>
      </w:r>
      <w:r w:rsidR="0056016D">
        <w:rPr>
          <w:lang w:eastAsia="ja-JP"/>
        </w:rPr>
        <w:t>this suggested approach</w:t>
      </w:r>
      <w:r w:rsidR="00DA3779">
        <w:rPr>
          <w:lang w:eastAsia="ja-JP"/>
        </w:rPr>
        <w:t xml:space="preserve">. </w:t>
      </w:r>
      <w:r w:rsidR="00B820F8">
        <w:rPr>
          <w:i/>
          <w:iCs/>
          <w:lang w:eastAsia="ja-JP"/>
        </w:rPr>
        <w:t>Atwater v. City of Lago Vista</w:t>
      </w:r>
      <w:r w:rsidR="00B820F8">
        <w:rPr>
          <w:lang w:eastAsia="ja-JP"/>
        </w:rPr>
        <w:t>,</w:t>
      </w:r>
      <w:r w:rsidR="00CD3E39" w:rsidRPr="002A4234">
        <w:rPr>
          <w:rStyle w:val="FootnoteReference"/>
        </w:rPr>
        <w:footnoteReference w:id="429"/>
      </w:r>
      <w:r w:rsidR="00B820F8">
        <w:rPr>
          <w:lang w:eastAsia="ja-JP"/>
        </w:rPr>
        <w:t xml:space="preserve"> </w:t>
      </w:r>
      <w:r w:rsidR="00DA3779">
        <w:rPr>
          <w:lang w:eastAsia="ja-JP"/>
        </w:rPr>
        <w:t xml:space="preserve">for example, refused to limit police power to </w:t>
      </w:r>
      <w:r w:rsidR="003B2870">
        <w:rPr>
          <w:lang w:eastAsia="ja-JP"/>
        </w:rPr>
        <w:t>make warrantless misdemeanor arrests</w:t>
      </w:r>
      <w:r w:rsidR="00697010">
        <w:rPr>
          <w:lang w:eastAsia="ja-JP"/>
        </w:rPr>
        <w:t xml:space="preserve">. The Court </w:t>
      </w:r>
      <w:r w:rsidR="001A6096">
        <w:rPr>
          <w:lang w:eastAsia="ja-JP"/>
        </w:rPr>
        <w:t xml:space="preserve">stressed that its reading of the history suggested that </w:t>
      </w:r>
      <w:r w:rsidR="0081550C">
        <w:rPr>
          <w:lang w:eastAsia="ja-JP"/>
        </w:rPr>
        <w:t xml:space="preserve">the </w:t>
      </w:r>
      <w:r w:rsidR="003E3C32">
        <w:rPr>
          <w:lang w:eastAsia="ja-JP"/>
        </w:rPr>
        <w:t xml:space="preserve">common law </w:t>
      </w:r>
      <w:r w:rsidR="0081550C">
        <w:rPr>
          <w:lang w:eastAsia="ja-JP"/>
        </w:rPr>
        <w:t>did not restrict the misdemeanor arrest power. And it also looked at post-ratification evidence</w:t>
      </w:r>
      <w:r w:rsidR="0028264C">
        <w:rPr>
          <w:lang w:eastAsia="ja-JP"/>
        </w:rPr>
        <w:t>, such as state laws and the views of commentators.</w:t>
      </w:r>
      <w:r w:rsidR="00263BC7" w:rsidRPr="002A4234">
        <w:rPr>
          <w:rStyle w:val="FootnoteReference"/>
        </w:rPr>
        <w:footnoteReference w:id="430"/>
      </w:r>
      <w:r w:rsidR="00F013F9">
        <w:rPr>
          <w:lang w:eastAsia="ja-JP"/>
        </w:rPr>
        <w:t xml:space="preserve"> </w:t>
      </w:r>
      <w:r w:rsidR="00365C28">
        <w:rPr>
          <w:lang w:eastAsia="ja-JP"/>
        </w:rPr>
        <w:lastRenderedPageBreak/>
        <w:t xml:space="preserve">An inquiry that starts with historical </w:t>
      </w:r>
      <w:r w:rsidR="00763273">
        <w:rPr>
          <w:lang w:eastAsia="ja-JP"/>
        </w:rPr>
        <w:t>background</w:t>
      </w:r>
      <w:r w:rsidR="00365C28">
        <w:rPr>
          <w:lang w:eastAsia="ja-JP"/>
        </w:rPr>
        <w:t xml:space="preserve"> and looks for evidence of change is </w:t>
      </w:r>
      <w:r w:rsidR="00763273">
        <w:rPr>
          <w:lang w:eastAsia="ja-JP"/>
        </w:rPr>
        <w:t>the essence of the general-law</w:t>
      </w:r>
      <w:r w:rsidR="00365C28">
        <w:rPr>
          <w:lang w:eastAsia="ja-JP"/>
        </w:rPr>
        <w:t xml:space="preserve"> approach.</w:t>
      </w:r>
    </w:p>
    <w:p w14:paraId="51373818" w14:textId="527CE11A" w:rsidR="00414C24" w:rsidRDefault="00133FB1" w:rsidP="00414C24">
      <w:pPr>
        <w:pStyle w:val="BodyText"/>
        <w:rPr>
          <w:lang w:eastAsia="ja-JP"/>
        </w:rPr>
      </w:pPr>
      <w:r>
        <w:rPr>
          <w:i/>
          <w:iCs/>
          <w:lang w:eastAsia="ja-JP"/>
        </w:rPr>
        <w:t>Terry v. Ohio</w:t>
      </w:r>
      <w:r w:rsidR="00365C28">
        <w:rPr>
          <w:lang w:eastAsia="ja-JP"/>
        </w:rPr>
        <w:t>,</w:t>
      </w:r>
      <w:r w:rsidR="00E92C10" w:rsidRPr="002A4234">
        <w:rPr>
          <w:rStyle w:val="FootnoteReference"/>
        </w:rPr>
        <w:footnoteReference w:id="431"/>
      </w:r>
      <w:r w:rsidR="00365C28">
        <w:rPr>
          <w:lang w:eastAsia="ja-JP"/>
        </w:rPr>
        <w:t xml:space="preserve"> which permit</w:t>
      </w:r>
      <w:r w:rsidR="00EB7022">
        <w:rPr>
          <w:lang w:eastAsia="ja-JP"/>
        </w:rPr>
        <w:t>s</w:t>
      </w:r>
      <w:r w:rsidR="00365C28">
        <w:rPr>
          <w:lang w:eastAsia="ja-JP"/>
        </w:rPr>
        <w:t xml:space="preserve"> </w:t>
      </w:r>
      <w:r w:rsidR="00E92C10">
        <w:rPr>
          <w:lang w:eastAsia="ja-JP"/>
        </w:rPr>
        <w:t xml:space="preserve">police to detain individuals for questioning based on “reasonable suspicion” rather than probable cause, </w:t>
      </w:r>
      <w:r w:rsidR="00367B42">
        <w:rPr>
          <w:lang w:eastAsia="ja-JP"/>
        </w:rPr>
        <w:t xml:space="preserve">might be seen as an exception. The Court certainly made no effort to </w:t>
      </w:r>
      <w:r w:rsidR="007F20EB">
        <w:rPr>
          <w:lang w:eastAsia="ja-JP"/>
        </w:rPr>
        <w:t xml:space="preserve">justify its </w:t>
      </w:r>
      <w:r w:rsidR="00C90EBF">
        <w:rPr>
          <w:lang w:eastAsia="ja-JP"/>
        </w:rPr>
        <w:t>holding</w:t>
      </w:r>
      <w:r w:rsidR="007F20EB">
        <w:rPr>
          <w:lang w:eastAsia="ja-JP"/>
        </w:rPr>
        <w:t xml:space="preserve"> </w:t>
      </w:r>
      <w:r w:rsidR="005E2A62">
        <w:rPr>
          <w:lang w:eastAsia="ja-JP"/>
        </w:rPr>
        <w:t xml:space="preserve">under </w:t>
      </w:r>
      <w:r w:rsidR="00C90EBF">
        <w:rPr>
          <w:lang w:eastAsia="ja-JP"/>
        </w:rPr>
        <w:t>common-law rules</w:t>
      </w:r>
      <w:r w:rsidR="00AE0C50">
        <w:rPr>
          <w:lang w:eastAsia="ja-JP"/>
        </w:rPr>
        <w:t>—</w:t>
      </w:r>
      <w:r w:rsidR="00A30BE3">
        <w:rPr>
          <w:lang w:eastAsia="ja-JP"/>
        </w:rPr>
        <w:t xml:space="preserve">a point that </w:t>
      </w:r>
      <w:r w:rsidR="00AE0C50">
        <w:rPr>
          <w:lang w:eastAsia="ja-JP"/>
        </w:rPr>
        <w:t>Justice Douglas stressed in his heated dissent</w:t>
      </w:r>
      <w:r w:rsidR="00C90EBF">
        <w:rPr>
          <w:lang w:eastAsia="ja-JP"/>
        </w:rPr>
        <w:t>.</w:t>
      </w:r>
      <w:r w:rsidR="00176D49" w:rsidRPr="002A4234">
        <w:rPr>
          <w:rStyle w:val="FootnoteReference"/>
        </w:rPr>
        <w:footnoteReference w:id="432"/>
      </w:r>
      <w:r w:rsidR="00C90EBF">
        <w:rPr>
          <w:lang w:eastAsia="ja-JP"/>
        </w:rPr>
        <w:t xml:space="preserve"> Nonetheless, there </w:t>
      </w:r>
      <w:r w:rsidR="00C90EBF">
        <w:rPr>
          <w:i/>
          <w:iCs/>
          <w:lang w:eastAsia="ja-JP"/>
        </w:rPr>
        <w:t>was</w:t>
      </w:r>
      <w:r w:rsidR="00C90EBF">
        <w:rPr>
          <w:lang w:eastAsia="ja-JP"/>
        </w:rPr>
        <w:t xml:space="preserve"> potential support to be found:</w:t>
      </w:r>
      <w:r w:rsidR="00D3107F">
        <w:rPr>
          <w:lang w:eastAsia="ja-JP"/>
        </w:rPr>
        <w:t xml:space="preserve"> </w:t>
      </w:r>
      <w:r w:rsidR="00B9305D">
        <w:rPr>
          <w:lang w:eastAsia="ja-JP"/>
        </w:rPr>
        <w:t>a</w:t>
      </w:r>
      <w:r w:rsidR="00D3107F">
        <w:rPr>
          <w:lang w:eastAsia="ja-JP"/>
        </w:rPr>
        <w:t xml:space="preserve">s the Court has recognized elsewhere, </w:t>
      </w:r>
      <w:r w:rsidR="00134ED6">
        <w:rPr>
          <w:lang w:eastAsia="ja-JP"/>
        </w:rPr>
        <w:t xml:space="preserve">the common law recognized </w:t>
      </w:r>
      <w:r w:rsidR="007031B2">
        <w:rPr>
          <w:lang w:eastAsia="ja-JP"/>
        </w:rPr>
        <w:t>the</w:t>
      </w:r>
      <w:r w:rsidR="00134ED6">
        <w:rPr>
          <w:lang w:eastAsia="ja-JP"/>
        </w:rPr>
        <w:t xml:space="preserve"> </w:t>
      </w:r>
      <w:r w:rsidR="007031B2">
        <w:rPr>
          <w:lang w:eastAsia="ja-JP"/>
        </w:rPr>
        <w:t>“</w:t>
      </w:r>
      <w:r w:rsidR="007031B2" w:rsidRPr="007031B2">
        <w:rPr>
          <w:lang w:eastAsia="ja-JP"/>
        </w:rPr>
        <w:t xml:space="preserve">rights of private persons to </w:t>
      </w:r>
      <w:r w:rsidR="007031B2">
        <w:rPr>
          <w:lang w:eastAsia="ja-JP"/>
        </w:rPr>
        <w:t>‘</w:t>
      </w:r>
      <w:r w:rsidR="007031B2" w:rsidRPr="007031B2">
        <w:rPr>
          <w:lang w:eastAsia="ja-JP"/>
        </w:rPr>
        <w:t>arrest any suspicious night-walker, and detain him till he give a good account of himself.</w:t>
      </w:r>
      <w:r w:rsidR="007031B2">
        <w:rPr>
          <w:lang w:eastAsia="ja-JP"/>
        </w:rPr>
        <w:t>’”</w:t>
      </w:r>
      <w:r w:rsidR="007031B2" w:rsidRPr="002A4234">
        <w:rPr>
          <w:rStyle w:val="FootnoteReference"/>
        </w:rPr>
        <w:footnoteReference w:id="433"/>
      </w:r>
      <w:r w:rsidR="007031B2" w:rsidRPr="007031B2">
        <w:rPr>
          <w:lang w:eastAsia="ja-JP"/>
        </w:rPr>
        <w:t xml:space="preserve"> </w:t>
      </w:r>
      <w:r w:rsidR="00AE0C50">
        <w:rPr>
          <w:lang w:eastAsia="ja-JP"/>
        </w:rPr>
        <w:t>That</w:t>
      </w:r>
      <w:r w:rsidR="00FA64E5">
        <w:rPr>
          <w:lang w:eastAsia="ja-JP"/>
        </w:rPr>
        <w:t xml:space="preserve"> rule </w:t>
      </w:r>
      <w:r w:rsidR="00AE0C50">
        <w:rPr>
          <w:lang w:eastAsia="ja-JP"/>
        </w:rPr>
        <w:t>might</w:t>
      </w:r>
      <w:r w:rsidR="00FA64E5">
        <w:rPr>
          <w:lang w:eastAsia="ja-JP"/>
        </w:rPr>
        <w:t xml:space="preserve"> have </w:t>
      </w:r>
      <w:r w:rsidR="00AE0C50">
        <w:rPr>
          <w:lang w:eastAsia="ja-JP"/>
        </w:rPr>
        <w:t xml:space="preserve">been used to ground </w:t>
      </w:r>
      <w:r w:rsidR="00BB1B06">
        <w:rPr>
          <w:i/>
          <w:iCs/>
          <w:lang w:eastAsia="ja-JP"/>
        </w:rPr>
        <w:t>Terry</w:t>
      </w:r>
      <w:r w:rsidR="00876DA1">
        <w:rPr>
          <w:lang w:eastAsia="ja-JP"/>
        </w:rPr>
        <w:t xml:space="preserve"> in general law</w:t>
      </w:r>
      <w:r w:rsidR="00414C24">
        <w:rPr>
          <w:lang w:eastAsia="ja-JP"/>
        </w:rPr>
        <w:t>.</w:t>
      </w:r>
      <w:r w:rsidR="00262258">
        <w:rPr>
          <w:lang w:eastAsia="ja-JP"/>
        </w:rPr>
        <w:t xml:space="preserve"> But it might also suggest that </w:t>
      </w:r>
      <w:r w:rsidR="00262258">
        <w:rPr>
          <w:i/>
          <w:iCs/>
          <w:lang w:eastAsia="ja-JP"/>
        </w:rPr>
        <w:t>Terry</w:t>
      </w:r>
      <w:r w:rsidR="00262258">
        <w:rPr>
          <w:lang w:eastAsia="ja-JP"/>
        </w:rPr>
        <w:t xml:space="preserve"> went too far: </w:t>
      </w:r>
      <w:r w:rsidR="008415FD">
        <w:rPr>
          <w:lang w:eastAsia="ja-JP"/>
        </w:rPr>
        <w:t>i</w:t>
      </w:r>
      <w:r w:rsidR="00262258">
        <w:rPr>
          <w:lang w:eastAsia="ja-JP"/>
        </w:rPr>
        <w:t xml:space="preserve">n his concurrence in </w:t>
      </w:r>
      <w:r w:rsidR="00262258">
        <w:rPr>
          <w:i/>
          <w:iCs/>
          <w:lang w:eastAsia="ja-JP"/>
        </w:rPr>
        <w:t>Minnesota v. Dickerson</w:t>
      </w:r>
      <w:r w:rsidR="00262258">
        <w:rPr>
          <w:lang w:eastAsia="ja-JP"/>
        </w:rPr>
        <w:t>,</w:t>
      </w:r>
      <w:r w:rsidR="00414C24">
        <w:rPr>
          <w:lang w:eastAsia="ja-JP"/>
        </w:rPr>
        <w:t xml:space="preserve"> Justice Scalia suggested that </w:t>
      </w:r>
      <w:r w:rsidR="00262258">
        <w:rPr>
          <w:lang w:eastAsia="ja-JP"/>
        </w:rPr>
        <w:t xml:space="preserve">this common-law background may justify </w:t>
      </w:r>
      <w:r w:rsidR="00262258">
        <w:rPr>
          <w:i/>
          <w:iCs/>
          <w:lang w:eastAsia="ja-JP"/>
        </w:rPr>
        <w:t>Terry</w:t>
      </w:r>
      <w:r w:rsidR="00262258">
        <w:rPr>
          <w:lang w:eastAsia="ja-JP"/>
        </w:rPr>
        <w:t xml:space="preserve"> stops, but </w:t>
      </w:r>
      <w:r w:rsidR="00E86CC0">
        <w:rPr>
          <w:lang w:eastAsia="ja-JP"/>
        </w:rPr>
        <w:t>perhaps not</w:t>
      </w:r>
      <w:r w:rsidR="00262258">
        <w:rPr>
          <w:lang w:eastAsia="ja-JP"/>
        </w:rPr>
        <w:t xml:space="preserve"> </w:t>
      </w:r>
      <w:r w:rsidR="00E86CC0">
        <w:rPr>
          <w:i/>
          <w:iCs/>
          <w:lang w:eastAsia="ja-JP"/>
        </w:rPr>
        <w:t>Terry</w:t>
      </w:r>
      <w:r w:rsidR="00E86CC0">
        <w:rPr>
          <w:lang w:eastAsia="ja-JP"/>
        </w:rPr>
        <w:t xml:space="preserve"> frisks</w:t>
      </w:r>
      <w:r w:rsidR="00876DA1">
        <w:rPr>
          <w:lang w:eastAsia="ja-JP"/>
        </w:rPr>
        <w:t>.</w:t>
      </w:r>
      <w:r w:rsidR="00414C24" w:rsidRPr="002A4234">
        <w:rPr>
          <w:rStyle w:val="FootnoteReference"/>
        </w:rPr>
        <w:footnoteReference w:id="434"/>
      </w:r>
    </w:p>
    <w:p w14:paraId="3C59C8F7" w14:textId="31273B8E" w:rsidR="006A0046" w:rsidRPr="00D52800" w:rsidRDefault="00CC6DCD" w:rsidP="00414C24">
      <w:pPr>
        <w:pStyle w:val="BodyText"/>
        <w:rPr>
          <w:lang w:eastAsia="ja-JP"/>
        </w:rPr>
      </w:pPr>
      <w:r>
        <w:rPr>
          <w:lang w:eastAsia="ja-JP"/>
        </w:rPr>
        <w:t xml:space="preserve">None of this is to say that </w:t>
      </w:r>
      <w:r>
        <w:rPr>
          <w:i/>
          <w:iCs/>
          <w:lang w:eastAsia="ja-JP"/>
        </w:rPr>
        <w:t>Atwater</w:t>
      </w:r>
      <w:r>
        <w:rPr>
          <w:lang w:eastAsia="ja-JP"/>
        </w:rPr>
        <w:t xml:space="preserve">, </w:t>
      </w:r>
      <w:r>
        <w:rPr>
          <w:i/>
          <w:iCs/>
          <w:lang w:eastAsia="ja-JP"/>
        </w:rPr>
        <w:t>Terry</w:t>
      </w:r>
      <w:r>
        <w:rPr>
          <w:lang w:eastAsia="ja-JP"/>
        </w:rPr>
        <w:t>, and other seizure cases are clearly correct</w:t>
      </w:r>
      <w:r w:rsidR="00E97794">
        <w:rPr>
          <w:lang w:eastAsia="ja-JP"/>
        </w:rPr>
        <w:t xml:space="preserve">. Instead, our </w:t>
      </w:r>
      <w:r w:rsidR="00E83BC8">
        <w:rPr>
          <w:lang w:eastAsia="ja-JP"/>
        </w:rPr>
        <w:t xml:space="preserve">modest </w:t>
      </w:r>
      <w:r w:rsidR="00E97794">
        <w:rPr>
          <w:lang w:eastAsia="ja-JP"/>
        </w:rPr>
        <w:t>claim is only</w:t>
      </w:r>
      <w:r w:rsidR="009039AB">
        <w:rPr>
          <w:lang w:eastAsia="ja-JP"/>
        </w:rPr>
        <w:t xml:space="preserve"> that </w:t>
      </w:r>
      <w:r w:rsidR="00527465">
        <w:rPr>
          <w:lang w:eastAsia="ja-JP"/>
        </w:rPr>
        <w:t xml:space="preserve">the general-law approach </w:t>
      </w:r>
      <w:r w:rsidR="00D63D8B">
        <w:rPr>
          <w:lang w:eastAsia="ja-JP"/>
        </w:rPr>
        <w:t xml:space="preserve">might </w:t>
      </w:r>
      <w:r w:rsidR="00527465">
        <w:rPr>
          <w:lang w:eastAsia="ja-JP"/>
        </w:rPr>
        <w:t>provide guidance in such cases.</w:t>
      </w:r>
      <w:r w:rsidR="00E83BC8">
        <w:rPr>
          <w:lang w:eastAsia="ja-JP"/>
        </w:rPr>
        <w:t xml:space="preserve"> F</w:t>
      </w:r>
      <w:r w:rsidR="0056016D">
        <w:rPr>
          <w:lang w:eastAsia="ja-JP"/>
        </w:rPr>
        <w:t>urther</w:t>
      </w:r>
      <w:r w:rsidR="00E97794">
        <w:rPr>
          <w:lang w:eastAsia="ja-JP"/>
        </w:rPr>
        <w:t xml:space="preserve"> development of </w:t>
      </w:r>
      <w:r w:rsidR="00E17474">
        <w:rPr>
          <w:lang w:eastAsia="ja-JP"/>
        </w:rPr>
        <w:t xml:space="preserve">the </w:t>
      </w:r>
      <w:r w:rsidR="00F53861">
        <w:rPr>
          <w:lang w:eastAsia="ja-JP"/>
        </w:rPr>
        <w:t xml:space="preserve">implications of the </w:t>
      </w:r>
      <w:r w:rsidR="00E17474">
        <w:rPr>
          <w:lang w:eastAsia="ja-JP"/>
        </w:rPr>
        <w:t xml:space="preserve">general-law </w:t>
      </w:r>
      <w:r w:rsidR="00E97794">
        <w:rPr>
          <w:lang w:eastAsia="ja-JP"/>
        </w:rPr>
        <w:t>approach for seizure cases must await future work.</w:t>
      </w:r>
    </w:p>
    <w:p w14:paraId="1E36AC8B" w14:textId="516E9DE5" w:rsidR="00902731" w:rsidRPr="001C75EC" w:rsidRDefault="00E12AD8" w:rsidP="001C75EC">
      <w:pPr>
        <w:pStyle w:val="Heading3"/>
      </w:pPr>
      <w:bookmarkStart w:id="100" w:name="_Toc111723695"/>
      <w:bookmarkStart w:id="101" w:name="_Hlk96461489"/>
      <w:bookmarkEnd w:id="93"/>
      <w:bookmarkEnd w:id="94"/>
      <w:r w:rsidRPr="001C75EC">
        <w:t xml:space="preserve">The </w:t>
      </w:r>
      <w:r w:rsidR="00A22C46" w:rsidRPr="001C75EC">
        <w:t>Role of War</w:t>
      </w:r>
      <w:r w:rsidR="00AB76DE" w:rsidRPr="001C75EC">
        <w:t>rants</w:t>
      </w:r>
      <w:bookmarkEnd w:id="99"/>
      <w:bookmarkEnd w:id="100"/>
    </w:p>
    <w:p w14:paraId="6DE70F5F" w14:textId="6F3C373B" w:rsidR="00062DA9" w:rsidRPr="00062DA9" w:rsidRDefault="00062DA9" w:rsidP="00062DA9">
      <w:pPr>
        <w:pStyle w:val="BodyText"/>
        <w:rPr>
          <w:lang w:eastAsia="ja-JP"/>
        </w:rPr>
      </w:pPr>
      <w:r>
        <w:rPr>
          <w:lang w:eastAsia="ja-JP"/>
        </w:rPr>
        <w:t xml:space="preserve">Having explained how the general-law approach would </w:t>
      </w:r>
      <w:r w:rsidR="00BE10FA">
        <w:rPr>
          <w:lang w:eastAsia="ja-JP"/>
        </w:rPr>
        <w:t>apply to various questions of the Fourth Amendment’s scope, we must also explain</w:t>
      </w:r>
      <w:r>
        <w:rPr>
          <w:lang w:eastAsia="ja-JP"/>
        </w:rPr>
        <w:t xml:space="preserve"> </w:t>
      </w:r>
      <w:r w:rsidR="0081493D">
        <w:rPr>
          <w:lang w:eastAsia="ja-JP"/>
        </w:rPr>
        <w:t xml:space="preserve">how warrants fit into our analysis. Under current doctrine, </w:t>
      </w:r>
      <w:r w:rsidR="00024B5A">
        <w:rPr>
          <w:lang w:eastAsia="ja-JP"/>
        </w:rPr>
        <w:t>there is a general “warrant requirement”</w:t>
      </w:r>
      <w:r w:rsidR="0066487C">
        <w:rPr>
          <w:lang w:eastAsia="ja-JP"/>
        </w:rPr>
        <w:t xml:space="preserve"> but also a number of “exceptions” where</w:t>
      </w:r>
      <w:r w:rsidR="00024B5A">
        <w:rPr>
          <w:lang w:eastAsia="ja-JP"/>
        </w:rPr>
        <w:t xml:space="preserve"> </w:t>
      </w:r>
      <w:r w:rsidR="00947501">
        <w:rPr>
          <w:lang w:eastAsia="ja-JP"/>
        </w:rPr>
        <w:t>a warrant that would otherwise be necessary is not required.</w:t>
      </w:r>
      <w:r w:rsidR="002969D4" w:rsidRPr="002A4234">
        <w:rPr>
          <w:rStyle w:val="FootnoteReference"/>
        </w:rPr>
        <w:footnoteReference w:id="435"/>
      </w:r>
      <w:r w:rsidR="00D76ECC">
        <w:rPr>
          <w:lang w:eastAsia="ja-JP"/>
        </w:rPr>
        <w:t xml:space="preserve"> As noted earlier, </w:t>
      </w:r>
      <w:r w:rsidR="00937C1D">
        <w:rPr>
          <w:lang w:eastAsia="ja-JP"/>
        </w:rPr>
        <w:t xml:space="preserve">the general-law approach understands the Warrant Clause differently. </w:t>
      </w:r>
      <w:r w:rsidR="008139F2">
        <w:rPr>
          <w:lang w:eastAsia="ja-JP"/>
        </w:rPr>
        <w:t>Rather than requiring warrants, it merely limits their use, as the effect of a warrant is to immunize a</w:t>
      </w:r>
      <w:r w:rsidR="00C81589">
        <w:rPr>
          <w:lang w:eastAsia="ja-JP"/>
        </w:rPr>
        <w:t>n otherwise “unreasonable”</w:t>
      </w:r>
      <w:r w:rsidR="008139F2">
        <w:rPr>
          <w:lang w:eastAsia="ja-JP"/>
        </w:rPr>
        <w:t xml:space="preserve"> search or seizure</w:t>
      </w:r>
      <w:r w:rsidR="00C81589">
        <w:rPr>
          <w:lang w:eastAsia="ja-JP"/>
        </w:rPr>
        <w:t>.</w:t>
      </w:r>
    </w:p>
    <w:p w14:paraId="1E01B62E" w14:textId="7A57F78A" w:rsidR="002969D4" w:rsidRDefault="00C81589" w:rsidP="00062DA9">
      <w:pPr>
        <w:pStyle w:val="BodyText"/>
        <w:rPr>
          <w:lang w:eastAsia="ja-JP"/>
        </w:rPr>
      </w:pPr>
      <w:r>
        <w:rPr>
          <w:lang w:eastAsia="ja-JP"/>
        </w:rPr>
        <w:t xml:space="preserve">How does this make sense of existing doctrine, which permits police to search and seize without a warrant </w:t>
      </w:r>
      <w:r w:rsidR="00C0736C">
        <w:rPr>
          <w:lang w:eastAsia="ja-JP"/>
        </w:rPr>
        <w:t xml:space="preserve">under various exceptions? As we see it, </w:t>
      </w:r>
      <w:r w:rsidR="005F7A88">
        <w:rPr>
          <w:lang w:eastAsia="ja-JP"/>
        </w:rPr>
        <w:t>several</w:t>
      </w:r>
      <w:r w:rsidR="002969D4">
        <w:rPr>
          <w:lang w:eastAsia="ja-JP"/>
        </w:rPr>
        <w:t xml:space="preserve"> so-called exceptions to the warrant requirement can be understood as situations where government conduct </w:t>
      </w:r>
      <w:r w:rsidR="002969D4" w:rsidRPr="00C0736C">
        <w:rPr>
          <w:i/>
          <w:lang w:eastAsia="ja-JP"/>
        </w:rPr>
        <w:t>does not violate the general law</w:t>
      </w:r>
      <w:r w:rsidR="00CB648D">
        <w:rPr>
          <w:lang w:eastAsia="ja-JP"/>
        </w:rPr>
        <w:t xml:space="preserve"> in the first place</w:t>
      </w:r>
      <w:r w:rsidR="002969D4">
        <w:rPr>
          <w:lang w:eastAsia="ja-JP"/>
        </w:rPr>
        <w:t xml:space="preserve">. </w:t>
      </w:r>
      <w:r w:rsidR="00CB648D">
        <w:rPr>
          <w:lang w:eastAsia="ja-JP"/>
        </w:rPr>
        <w:t xml:space="preserve">That is, </w:t>
      </w:r>
      <w:r w:rsidR="00EF4E9B">
        <w:rPr>
          <w:lang w:eastAsia="ja-JP"/>
        </w:rPr>
        <w:t>such searches or conduct are not “unreasonable,” meaning there is no need for a warrant to immunize them.</w:t>
      </w:r>
      <w:r w:rsidR="002969D4">
        <w:rPr>
          <w:lang w:eastAsia="ja-JP"/>
        </w:rPr>
        <w:t xml:space="preserve"> </w:t>
      </w:r>
      <w:r w:rsidR="00C0736C">
        <w:rPr>
          <w:lang w:eastAsia="ja-JP"/>
        </w:rPr>
        <w:t xml:space="preserve">Consider </w:t>
      </w:r>
      <w:r w:rsidR="004C7C51">
        <w:rPr>
          <w:lang w:eastAsia="ja-JP"/>
        </w:rPr>
        <w:t xml:space="preserve">the following </w:t>
      </w:r>
      <w:r w:rsidR="00C0736C">
        <w:rPr>
          <w:lang w:eastAsia="ja-JP"/>
        </w:rPr>
        <w:t>examples.</w:t>
      </w:r>
    </w:p>
    <w:p w14:paraId="666A8B3D" w14:textId="0B9FDCF1" w:rsidR="00C0736C" w:rsidRDefault="00C0736C" w:rsidP="00062DA9">
      <w:pPr>
        <w:pStyle w:val="BodyText"/>
        <w:rPr>
          <w:lang w:eastAsia="ja-JP"/>
        </w:rPr>
      </w:pPr>
      <w:r>
        <w:rPr>
          <w:lang w:eastAsia="ja-JP"/>
        </w:rPr>
        <w:t>First, the consent</w:t>
      </w:r>
      <w:r w:rsidR="005E0312">
        <w:rPr>
          <w:lang w:eastAsia="ja-JP"/>
        </w:rPr>
        <w:t>-</w:t>
      </w:r>
      <w:r>
        <w:rPr>
          <w:lang w:eastAsia="ja-JP"/>
        </w:rPr>
        <w:t xml:space="preserve">search doctrine. </w:t>
      </w:r>
      <w:r w:rsidR="00D577AA">
        <w:rPr>
          <w:lang w:eastAsia="ja-JP"/>
        </w:rPr>
        <w:t>The Court has held that</w:t>
      </w:r>
      <w:r w:rsidR="00B313B8">
        <w:rPr>
          <w:lang w:eastAsia="ja-JP"/>
        </w:rPr>
        <w:t xml:space="preserve"> an otherwise unreasonable warrantless search </w:t>
      </w:r>
      <w:r w:rsidR="00ED68DA">
        <w:rPr>
          <w:lang w:eastAsia="ja-JP"/>
        </w:rPr>
        <w:t xml:space="preserve">may be permissible where </w:t>
      </w:r>
      <w:r w:rsidR="00A46941">
        <w:rPr>
          <w:lang w:eastAsia="ja-JP"/>
        </w:rPr>
        <w:t xml:space="preserve">someone with authority </w:t>
      </w:r>
      <w:r w:rsidR="00A46941">
        <w:rPr>
          <w:lang w:eastAsia="ja-JP"/>
        </w:rPr>
        <w:lastRenderedPageBreak/>
        <w:t>over</w:t>
      </w:r>
      <w:r w:rsidR="00ED68DA">
        <w:rPr>
          <w:lang w:eastAsia="ja-JP"/>
        </w:rPr>
        <w:t xml:space="preserve"> the </w:t>
      </w:r>
      <w:r w:rsidR="00A46941">
        <w:rPr>
          <w:lang w:eastAsia="ja-JP"/>
        </w:rPr>
        <w:t xml:space="preserve">place or thing in question </w:t>
      </w:r>
      <w:r w:rsidR="00ED68DA">
        <w:rPr>
          <w:lang w:eastAsia="ja-JP"/>
        </w:rPr>
        <w:t>consents</w:t>
      </w:r>
      <w:r w:rsidR="00F50D40">
        <w:rPr>
          <w:lang w:eastAsia="ja-JP"/>
        </w:rPr>
        <w:t xml:space="preserve"> to the search</w:t>
      </w:r>
      <w:r w:rsidR="005B6746">
        <w:rPr>
          <w:lang w:eastAsia="ja-JP"/>
        </w:rPr>
        <w:t>.</w:t>
      </w:r>
      <w:r w:rsidR="00066681">
        <w:rPr>
          <w:rStyle w:val="FootnoteReference"/>
          <w:lang w:eastAsia="ja-JP"/>
        </w:rPr>
        <w:footnoteReference w:id="436"/>
      </w:r>
      <w:r w:rsidR="005B6746">
        <w:rPr>
          <w:lang w:eastAsia="ja-JP"/>
        </w:rPr>
        <w:t xml:space="preserve"> </w:t>
      </w:r>
      <w:r w:rsidR="0023021F">
        <w:rPr>
          <w:lang w:eastAsia="ja-JP"/>
        </w:rPr>
        <w:t xml:space="preserve">As described above, this doctrine is best understood </w:t>
      </w:r>
      <w:r w:rsidR="00E3238A">
        <w:rPr>
          <w:lang w:eastAsia="ja-JP"/>
        </w:rPr>
        <w:t>within</w:t>
      </w:r>
      <w:r w:rsidR="0023021F">
        <w:rPr>
          <w:lang w:eastAsia="ja-JP"/>
        </w:rPr>
        <w:t xml:space="preserve"> the </w:t>
      </w:r>
      <w:r w:rsidR="00E3238A">
        <w:rPr>
          <w:lang w:eastAsia="ja-JP"/>
        </w:rPr>
        <w:t>boundaries of common law. Consent is a defense to trespass</w:t>
      </w:r>
      <w:r w:rsidR="002843C6">
        <w:rPr>
          <w:lang w:eastAsia="ja-JP"/>
        </w:rPr>
        <w:t xml:space="preserve">, </w:t>
      </w:r>
      <w:r w:rsidR="00376321">
        <w:rPr>
          <w:lang w:eastAsia="ja-JP"/>
        </w:rPr>
        <w:t xml:space="preserve">which </w:t>
      </w:r>
      <w:r w:rsidR="002843C6">
        <w:rPr>
          <w:lang w:eastAsia="ja-JP"/>
        </w:rPr>
        <w:t>mean</w:t>
      </w:r>
      <w:r w:rsidR="00376321">
        <w:rPr>
          <w:lang w:eastAsia="ja-JP"/>
        </w:rPr>
        <w:t>s</w:t>
      </w:r>
      <w:r w:rsidR="002843C6">
        <w:rPr>
          <w:lang w:eastAsia="ja-JP"/>
        </w:rPr>
        <w:t xml:space="preserve"> that a consensual entry does not violate the general law. </w:t>
      </w:r>
      <w:r w:rsidR="00BC4E4B">
        <w:rPr>
          <w:lang w:eastAsia="ja-JP"/>
        </w:rPr>
        <w:t>The trespass understanding also supports a controversial aspect of consent doctrine</w:t>
      </w:r>
      <w:r w:rsidR="00623DA0">
        <w:rPr>
          <w:lang w:eastAsia="ja-JP"/>
        </w:rPr>
        <w:t xml:space="preserve">—namely, </w:t>
      </w:r>
      <w:r w:rsidR="00BC4E4B">
        <w:rPr>
          <w:lang w:eastAsia="ja-JP"/>
        </w:rPr>
        <w:t xml:space="preserve">that police may rely on </w:t>
      </w:r>
      <w:r w:rsidR="00BC4E4B" w:rsidRPr="001F0DCD">
        <w:rPr>
          <w:lang w:eastAsia="ja-JP"/>
        </w:rPr>
        <w:t>the</w:t>
      </w:r>
      <w:r w:rsidR="00BC4E4B">
        <w:rPr>
          <w:lang w:eastAsia="ja-JP"/>
        </w:rPr>
        <w:t xml:space="preserve"> consent of someone </w:t>
      </w:r>
      <w:r w:rsidR="00BC4E4B" w:rsidRPr="001F0DCD">
        <w:rPr>
          <w:lang w:eastAsia="ja-JP"/>
        </w:rPr>
        <w:t>apparently</w:t>
      </w:r>
      <w:r w:rsidR="00BC4E4B">
        <w:rPr>
          <w:lang w:eastAsia="ja-JP"/>
        </w:rPr>
        <w:t xml:space="preserve"> authorized to give it, even if that person does not </w:t>
      </w:r>
      <w:r w:rsidR="00BC4E4B" w:rsidRPr="001F0DCD">
        <w:rPr>
          <w:lang w:eastAsia="ja-JP"/>
        </w:rPr>
        <w:t>actually</w:t>
      </w:r>
      <w:r w:rsidR="00BC4E4B">
        <w:rPr>
          <w:lang w:eastAsia="ja-JP"/>
        </w:rPr>
        <w:t xml:space="preserve"> possess</w:t>
      </w:r>
      <w:r w:rsidR="001F0DCD">
        <w:rPr>
          <w:lang w:eastAsia="ja-JP"/>
        </w:rPr>
        <w:t xml:space="preserve"> that</w:t>
      </w:r>
      <w:r w:rsidR="00BC4E4B">
        <w:rPr>
          <w:lang w:eastAsia="ja-JP"/>
        </w:rPr>
        <w:t xml:space="preserve"> authority</w:t>
      </w:r>
      <w:r w:rsidR="001F0DCD">
        <w:rPr>
          <w:lang w:eastAsia="ja-JP"/>
        </w:rPr>
        <w:t xml:space="preserve"> </w:t>
      </w:r>
      <w:r w:rsidR="00BC4E4B">
        <w:rPr>
          <w:lang w:eastAsia="ja-JP"/>
        </w:rPr>
        <w:t xml:space="preserve">(because, for example, she </w:t>
      </w:r>
      <w:r w:rsidR="001F0DCD">
        <w:rPr>
          <w:lang w:eastAsia="ja-JP"/>
        </w:rPr>
        <w:t>does not actually reside at the property</w:t>
      </w:r>
      <w:r w:rsidR="00BC4E4B">
        <w:rPr>
          <w:lang w:eastAsia="ja-JP"/>
        </w:rPr>
        <w:t>).</w:t>
      </w:r>
      <w:r w:rsidR="001F0DCD" w:rsidRPr="002A4234">
        <w:rPr>
          <w:rStyle w:val="FootnoteReference"/>
        </w:rPr>
        <w:footnoteReference w:id="437"/>
      </w:r>
      <w:r w:rsidR="00BC4E4B">
        <w:rPr>
          <w:lang w:eastAsia="ja-JP"/>
        </w:rPr>
        <w:t xml:space="preserve"> </w:t>
      </w:r>
      <w:r w:rsidR="00943B7F">
        <w:rPr>
          <w:lang w:eastAsia="ja-JP"/>
        </w:rPr>
        <w:t xml:space="preserve">Under common law, </w:t>
      </w:r>
      <w:r w:rsidR="000B429F">
        <w:rPr>
          <w:lang w:eastAsia="ja-JP"/>
        </w:rPr>
        <w:t xml:space="preserve">trespass law does not forbid entry where someone with </w:t>
      </w:r>
      <w:r w:rsidR="000B429F">
        <w:rPr>
          <w:i/>
          <w:iCs/>
          <w:lang w:eastAsia="ja-JP"/>
        </w:rPr>
        <w:t>apparent—</w:t>
      </w:r>
      <w:r w:rsidR="000B429F">
        <w:rPr>
          <w:lang w:eastAsia="ja-JP"/>
        </w:rPr>
        <w:t xml:space="preserve">and not merely </w:t>
      </w:r>
      <w:r w:rsidR="000B429F" w:rsidRPr="001F0DCD">
        <w:rPr>
          <w:i/>
          <w:iCs/>
          <w:lang w:eastAsia="ja-JP"/>
        </w:rPr>
        <w:t>actual</w:t>
      </w:r>
      <w:r w:rsidR="000B429F">
        <w:rPr>
          <w:lang w:eastAsia="ja-JP"/>
        </w:rPr>
        <w:t>—authority has provided the would-be trespasser with consent.</w:t>
      </w:r>
      <w:r w:rsidR="00E5538D" w:rsidRPr="002A4234">
        <w:rPr>
          <w:rStyle w:val="FootnoteReference"/>
        </w:rPr>
        <w:footnoteReference w:id="438"/>
      </w:r>
      <w:r w:rsidR="000B429F">
        <w:rPr>
          <w:lang w:eastAsia="ja-JP"/>
        </w:rPr>
        <w:t xml:space="preserve"> </w:t>
      </w:r>
      <w:r w:rsidR="00087515">
        <w:rPr>
          <w:lang w:eastAsia="ja-JP"/>
        </w:rPr>
        <w:t xml:space="preserve">The general law thus should be understood to permit consent searches. </w:t>
      </w:r>
    </w:p>
    <w:p w14:paraId="2E73B3BB" w14:textId="3AB4C4A5" w:rsidR="00160E66" w:rsidRDefault="00160E66" w:rsidP="00062DA9">
      <w:pPr>
        <w:pStyle w:val="BodyText"/>
        <w:rPr>
          <w:lang w:eastAsia="ja-JP"/>
        </w:rPr>
      </w:pPr>
      <w:r>
        <w:rPr>
          <w:lang w:eastAsia="ja-JP"/>
        </w:rPr>
        <w:t>Next, consider the exigent</w:t>
      </w:r>
      <w:r w:rsidR="00040BDB">
        <w:rPr>
          <w:lang w:eastAsia="ja-JP"/>
        </w:rPr>
        <w:t>-</w:t>
      </w:r>
      <w:r>
        <w:rPr>
          <w:lang w:eastAsia="ja-JP"/>
        </w:rPr>
        <w:t xml:space="preserve">circumstances doctrine. </w:t>
      </w:r>
      <w:r w:rsidR="003B3DC8">
        <w:rPr>
          <w:lang w:eastAsia="ja-JP"/>
        </w:rPr>
        <w:t>Police may invade an otherwise protected space</w:t>
      </w:r>
      <w:r w:rsidR="00466A00">
        <w:rPr>
          <w:lang w:eastAsia="ja-JP"/>
        </w:rPr>
        <w:t xml:space="preserve"> if exigencies of the situation</w:t>
      </w:r>
      <w:r w:rsidR="00073E9B">
        <w:rPr>
          <w:lang w:eastAsia="ja-JP"/>
        </w:rPr>
        <w:t>—such as the need to pursue a fleeing felon</w:t>
      </w:r>
      <w:r w:rsidR="00C3742E">
        <w:rPr>
          <w:lang w:eastAsia="ja-JP"/>
        </w:rPr>
        <w:t>, to protect the public, or to prevent destruction of evidence—</w:t>
      </w:r>
      <w:r w:rsidR="00466A00">
        <w:rPr>
          <w:lang w:eastAsia="ja-JP"/>
        </w:rPr>
        <w:t>require</w:t>
      </w:r>
      <w:r w:rsidR="00B10BDE">
        <w:rPr>
          <w:lang w:eastAsia="ja-JP"/>
        </w:rPr>
        <w:t xml:space="preserve"> it.</w:t>
      </w:r>
      <w:r w:rsidR="00C83C15">
        <w:rPr>
          <w:rStyle w:val="FootnoteReference"/>
          <w:lang w:eastAsia="ja-JP"/>
        </w:rPr>
        <w:footnoteReference w:id="439"/>
      </w:r>
      <w:r w:rsidR="00B10BDE">
        <w:rPr>
          <w:lang w:eastAsia="ja-JP"/>
        </w:rPr>
        <w:t xml:space="preserve"> </w:t>
      </w:r>
      <w:r w:rsidR="00414982">
        <w:rPr>
          <w:lang w:eastAsia="ja-JP"/>
        </w:rPr>
        <w:t>Here, again, common-law principles provide strong support for such rules</w:t>
      </w:r>
      <w:r w:rsidR="00D33F0C">
        <w:rPr>
          <w:lang w:eastAsia="ja-JP"/>
        </w:rPr>
        <w:t>—for example, the familiar principle that necessity can justify entry that would otherwise be a trespass</w:t>
      </w:r>
      <w:r w:rsidR="00414982">
        <w:rPr>
          <w:lang w:eastAsia="ja-JP"/>
        </w:rPr>
        <w:t>.</w:t>
      </w:r>
      <w:r w:rsidR="00A54102" w:rsidRPr="002A4234">
        <w:rPr>
          <w:rStyle w:val="FootnoteReference"/>
        </w:rPr>
        <w:footnoteReference w:id="440"/>
      </w:r>
    </w:p>
    <w:p w14:paraId="4761CB05" w14:textId="1BD5A915" w:rsidR="00762338" w:rsidRDefault="00644260" w:rsidP="00762338">
      <w:pPr>
        <w:pStyle w:val="BodyText"/>
        <w:rPr>
          <w:lang w:eastAsia="ja-JP"/>
        </w:rPr>
      </w:pPr>
      <w:r>
        <w:rPr>
          <w:lang w:eastAsia="ja-JP"/>
        </w:rPr>
        <w:t>Now consider the plain</w:t>
      </w:r>
      <w:r w:rsidR="00087515">
        <w:rPr>
          <w:lang w:eastAsia="ja-JP"/>
        </w:rPr>
        <w:t>-</w:t>
      </w:r>
      <w:r>
        <w:rPr>
          <w:lang w:eastAsia="ja-JP"/>
        </w:rPr>
        <w:t xml:space="preserve">view doctrine. </w:t>
      </w:r>
      <w:r w:rsidR="00E25A46">
        <w:rPr>
          <w:lang w:eastAsia="ja-JP"/>
        </w:rPr>
        <w:t xml:space="preserve">When </w:t>
      </w:r>
      <w:r w:rsidR="004536D7">
        <w:rPr>
          <w:lang w:eastAsia="ja-JP"/>
        </w:rPr>
        <w:t xml:space="preserve">police </w:t>
      </w:r>
      <w:r w:rsidR="00F16240">
        <w:rPr>
          <w:lang w:eastAsia="ja-JP"/>
        </w:rPr>
        <w:t>have permission to be</w:t>
      </w:r>
      <w:r w:rsidR="00E25A46">
        <w:rPr>
          <w:lang w:eastAsia="ja-JP"/>
        </w:rPr>
        <w:t xml:space="preserve"> in a place, </w:t>
      </w:r>
      <w:r w:rsidR="004536D7">
        <w:rPr>
          <w:lang w:eastAsia="ja-JP"/>
        </w:rPr>
        <w:t xml:space="preserve">they </w:t>
      </w:r>
      <w:r w:rsidR="00E25A46">
        <w:rPr>
          <w:lang w:eastAsia="ja-JP"/>
        </w:rPr>
        <w:t xml:space="preserve">may seize </w:t>
      </w:r>
      <w:r w:rsidR="00066D88">
        <w:rPr>
          <w:lang w:eastAsia="ja-JP"/>
        </w:rPr>
        <w:t>an item without a warrant</w:t>
      </w:r>
      <w:r w:rsidR="00B56EDC">
        <w:rPr>
          <w:lang w:eastAsia="ja-JP"/>
        </w:rPr>
        <w:t xml:space="preserve"> if they have probable cause to believe </w:t>
      </w:r>
      <w:r w:rsidR="00066D88">
        <w:rPr>
          <w:lang w:eastAsia="ja-JP"/>
        </w:rPr>
        <w:t>it</w:t>
      </w:r>
      <w:r w:rsidR="00946A41">
        <w:rPr>
          <w:lang w:eastAsia="ja-JP"/>
        </w:rPr>
        <w:t xml:space="preserve"> i</w:t>
      </w:r>
      <w:r w:rsidR="00066D88">
        <w:rPr>
          <w:lang w:eastAsia="ja-JP"/>
        </w:rPr>
        <w:t>s evidence or contraband.</w:t>
      </w:r>
      <w:r w:rsidR="004F5E0E" w:rsidRPr="002A4234">
        <w:rPr>
          <w:rStyle w:val="FootnoteReference"/>
        </w:rPr>
        <w:footnoteReference w:id="441"/>
      </w:r>
      <w:r w:rsidR="00066D88">
        <w:rPr>
          <w:lang w:eastAsia="ja-JP"/>
        </w:rPr>
        <w:t xml:space="preserve"> </w:t>
      </w:r>
      <w:r w:rsidR="00856740">
        <w:rPr>
          <w:lang w:eastAsia="ja-JP"/>
        </w:rPr>
        <w:t>Here, too, this rule has strong general-law roots.</w:t>
      </w:r>
      <w:r w:rsidR="00E71157">
        <w:rPr>
          <w:lang w:eastAsia="ja-JP"/>
        </w:rPr>
        <w:t xml:space="preserve"> For example, </w:t>
      </w:r>
      <w:r w:rsidR="006126DF">
        <w:rPr>
          <w:lang w:eastAsia="ja-JP"/>
        </w:rPr>
        <w:t>while it is normally</w:t>
      </w:r>
      <w:r w:rsidR="00E71157">
        <w:rPr>
          <w:lang w:eastAsia="ja-JP"/>
        </w:rPr>
        <w:t xml:space="preserve"> trespass </w:t>
      </w:r>
      <w:r w:rsidR="006126DF">
        <w:rPr>
          <w:lang w:eastAsia="ja-JP"/>
        </w:rPr>
        <w:t>to enter</w:t>
      </w:r>
      <w:r w:rsidR="00E71157">
        <w:rPr>
          <w:lang w:eastAsia="ja-JP"/>
        </w:rPr>
        <w:t xml:space="preserve"> the </w:t>
      </w:r>
      <w:r w:rsidR="006126DF">
        <w:rPr>
          <w:lang w:eastAsia="ja-JP"/>
        </w:rPr>
        <w:t xml:space="preserve">property of another without permission, </w:t>
      </w:r>
      <w:r w:rsidR="009B6F8D">
        <w:rPr>
          <w:lang w:eastAsia="ja-JP"/>
        </w:rPr>
        <w:t>there is a privilege to entry</w:t>
      </w:r>
      <w:r w:rsidR="006126DF">
        <w:rPr>
          <w:lang w:eastAsia="ja-JP"/>
        </w:rPr>
        <w:t xml:space="preserve"> to retrieve </w:t>
      </w:r>
      <w:r w:rsidR="009B6F8D">
        <w:rPr>
          <w:lang w:eastAsia="ja-JP"/>
        </w:rPr>
        <w:t>one’s own property</w:t>
      </w:r>
      <w:r w:rsidR="006D5FD5">
        <w:rPr>
          <w:lang w:eastAsia="ja-JP"/>
        </w:rPr>
        <w:t>,</w:t>
      </w:r>
      <w:r w:rsidR="009B6F8D" w:rsidRPr="002A4234">
        <w:rPr>
          <w:rStyle w:val="FootnoteReference"/>
        </w:rPr>
        <w:footnoteReference w:id="442"/>
      </w:r>
      <w:r w:rsidR="006D5FD5">
        <w:rPr>
          <w:lang w:eastAsia="ja-JP"/>
        </w:rPr>
        <w:t xml:space="preserve"> that is nevertheless limited by the policy against self-help</w:t>
      </w:r>
      <w:r w:rsidR="00A23352">
        <w:rPr>
          <w:lang w:eastAsia="ja-JP"/>
        </w:rPr>
        <w:t>.</w:t>
      </w:r>
      <w:r w:rsidR="009B6F8D" w:rsidRPr="002A4234">
        <w:rPr>
          <w:rStyle w:val="FootnoteReference"/>
        </w:rPr>
        <w:footnoteReference w:id="443"/>
      </w:r>
      <w:r w:rsidR="00A23352">
        <w:rPr>
          <w:lang w:eastAsia="ja-JP"/>
        </w:rPr>
        <w:t xml:space="preserve"> In situations where police seize</w:t>
      </w:r>
      <w:r w:rsidR="0051798B">
        <w:rPr>
          <w:lang w:eastAsia="ja-JP"/>
        </w:rPr>
        <w:t xml:space="preserve"> property they have probable cause to believe is stolen, they </w:t>
      </w:r>
      <w:r w:rsidR="00DC6E66">
        <w:rPr>
          <w:lang w:eastAsia="ja-JP"/>
        </w:rPr>
        <w:t>can be seen as</w:t>
      </w:r>
      <w:r w:rsidR="0051798B">
        <w:rPr>
          <w:lang w:eastAsia="ja-JP"/>
        </w:rPr>
        <w:t xml:space="preserve"> acting </w:t>
      </w:r>
      <w:r w:rsidR="008241FE">
        <w:rPr>
          <w:lang w:eastAsia="ja-JP"/>
        </w:rPr>
        <w:t xml:space="preserve">on behalf of the true owner, </w:t>
      </w:r>
      <w:r w:rsidR="007348D2">
        <w:rPr>
          <w:lang w:eastAsia="ja-JP"/>
        </w:rPr>
        <w:t>negating a</w:t>
      </w:r>
      <w:r w:rsidR="008241FE">
        <w:rPr>
          <w:lang w:eastAsia="ja-JP"/>
        </w:rPr>
        <w:t xml:space="preserve"> trespass.</w:t>
      </w:r>
      <w:r w:rsidR="007A70A5" w:rsidRPr="002A4234">
        <w:rPr>
          <w:rStyle w:val="FootnoteReference"/>
        </w:rPr>
        <w:footnoteReference w:id="444"/>
      </w:r>
      <w:r w:rsidR="00E32E62">
        <w:rPr>
          <w:lang w:eastAsia="ja-JP"/>
        </w:rPr>
        <w:t xml:space="preserve"> </w:t>
      </w:r>
      <w:r w:rsidR="00762338">
        <w:rPr>
          <w:lang w:eastAsia="ja-JP"/>
        </w:rPr>
        <w:t>The plain-view seizure of contraband can also be grounded in common-law property concepts.</w:t>
      </w:r>
      <w:r w:rsidR="00762338" w:rsidRPr="002A4234">
        <w:rPr>
          <w:rStyle w:val="FootnoteReference"/>
        </w:rPr>
        <w:footnoteReference w:id="445"/>
      </w:r>
    </w:p>
    <w:p w14:paraId="1AE38067" w14:textId="65ADFF80" w:rsidR="00D45579" w:rsidRPr="001A7FDB" w:rsidRDefault="00A736F4" w:rsidP="001A7FDB">
      <w:pPr>
        <w:pStyle w:val="BodyText"/>
        <w:rPr>
          <w:lang w:eastAsia="ja-JP"/>
        </w:rPr>
      </w:pPr>
      <w:r>
        <w:rPr>
          <w:lang w:eastAsia="ja-JP"/>
        </w:rPr>
        <w:t>The s</w:t>
      </w:r>
      <w:r w:rsidR="00CA1B75">
        <w:rPr>
          <w:lang w:eastAsia="ja-JP"/>
        </w:rPr>
        <w:t>earch incident to arrest</w:t>
      </w:r>
      <w:r w:rsidR="00FC71AD">
        <w:rPr>
          <w:lang w:eastAsia="ja-JP"/>
        </w:rPr>
        <w:t xml:space="preserve"> </w:t>
      </w:r>
      <w:r>
        <w:rPr>
          <w:lang w:eastAsia="ja-JP"/>
        </w:rPr>
        <w:t>exception</w:t>
      </w:r>
      <w:r w:rsidR="00FC71AD">
        <w:rPr>
          <w:lang w:eastAsia="ja-JP"/>
        </w:rPr>
        <w:t>, too, m</w:t>
      </w:r>
      <w:r w:rsidR="00087515">
        <w:rPr>
          <w:lang w:eastAsia="ja-JP"/>
        </w:rPr>
        <w:t>ight</w:t>
      </w:r>
      <w:r w:rsidR="00FC71AD">
        <w:rPr>
          <w:lang w:eastAsia="ja-JP"/>
        </w:rPr>
        <w:t xml:space="preserve"> find </w:t>
      </w:r>
      <w:r w:rsidR="001F0DCD">
        <w:rPr>
          <w:lang w:eastAsia="ja-JP"/>
        </w:rPr>
        <w:t>support in general law</w:t>
      </w:r>
      <w:r w:rsidR="00B30A0D">
        <w:rPr>
          <w:lang w:eastAsia="ja-JP"/>
        </w:rPr>
        <w:t xml:space="preserve">. </w:t>
      </w:r>
      <w:r w:rsidR="00E121E5">
        <w:rPr>
          <w:i/>
          <w:iCs/>
          <w:lang w:eastAsia="ja-JP"/>
        </w:rPr>
        <w:t>United States v.</w:t>
      </w:r>
      <w:r w:rsidR="00B30A0D">
        <w:rPr>
          <w:i/>
          <w:lang w:eastAsia="ja-JP"/>
        </w:rPr>
        <w:t xml:space="preserve"> </w:t>
      </w:r>
      <w:r w:rsidR="00F07A66">
        <w:rPr>
          <w:i/>
          <w:iCs/>
          <w:lang w:eastAsia="ja-JP"/>
        </w:rPr>
        <w:t xml:space="preserve">Robinson </w:t>
      </w:r>
      <w:r w:rsidR="00F07A66">
        <w:rPr>
          <w:lang w:eastAsia="ja-JP"/>
        </w:rPr>
        <w:t xml:space="preserve">pointed to </w:t>
      </w:r>
      <w:r w:rsidR="002A1427">
        <w:rPr>
          <w:lang w:eastAsia="ja-JP"/>
        </w:rPr>
        <w:t>postratification historical sources to establish a tradition of permitting such searches</w:t>
      </w:r>
      <w:r w:rsidR="009F5191">
        <w:rPr>
          <w:lang w:eastAsia="ja-JP"/>
        </w:rPr>
        <w:t xml:space="preserve">, though it conceded that the record was </w:t>
      </w:r>
      <w:r w:rsidR="009F5191">
        <w:rPr>
          <w:lang w:eastAsia="ja-JP"/>
        </w:rPr>
        <w:lastRenderedPageBreak/>
        <w:t>“sketchy.”</w:t>
      </w:r>
      <w:r w:rsidR="002A1427" w:rsidRPr="002A4234">
        <w:rPr>
          <w:rStyle w:val="FootnoteReference"/>
        </w:rPr>
        <w:footnoteReference w:id="446"/>
      </w:r>
      <w:r w:rsidR="002A1427">
        <w:rPr>
          <w:lang w:eastAsia="ja-JP"/>
        </w:rPr>
        <w:t xml:space="preserve"> </w:t>
      </w:r>
      <w:r w:rsidR="007D19EB">
        <w:rPr>
          <w:lang w:eastAsia="ja-JP"/>
        </w:rPr>
        <w:t>Along similar lines, consider</w:t>
      </w:r>
      <w:r w:rsidR="006437BD">
        <w:rPr>
          <w:lang w:eastAsia="ja-JP"/>
        </w:rPr>
        <w:t xml:space="preserve"> the automobile exception, under which police may search a</w:t>
      </w:r>
      <w:r w:rsidR="00324084">
        <w:rPr>
          <w:lang w:eastAsia="ja-JP"/>
        </w:rPr>
        <w:t xml:space="preserve"> vehicle</w:t>
      </w:r>
      <w:r w:rsidR="006437BD">
        <w:rPr>
          <w:lang w:eastAsia="ja-JP"/>
        </w:rPr>
        <w:t xml:space="preserve"> and its contents without a warrant so l</w:t>
      </w:r>
      <w:r w:rsidR="008117E3">
        <w:rPr>
          <w:lang w:eastAsia="ja-JP"/>
        </w:rPr>
        <w:t>ong as they have probable cause to believe it contains evidence of crime.</w:t>
      </w:r>
      <w:r w:rsidR="006437BD">
        <w:rPr>
          <w:lang w:eastAsia="ja-JP"/>
        </w:rPr>
        <w:t xml:space="preserve"> </w:t>
      </w:r>
      <w:r w:rsidR="007D19EB">
        <w:rPr>
          <w:lang w:eastAsia="ja-JP"/>
        </w:rPr>
        <w:t xml:space="preserve">In </w:t>
      </w:r>
      <w:r w:rsidR="00727452">
        <w:rPr>
          <w:lang w:eastAsia="ja-JP"/>
        </w:rPr>
        <w:t xml:space="preserve">first </w:t>
      </w:r>
      <w:r w:rsidR="007D19EB">
        <w:rPr>
          <w:lang w:eastAsia="ja-JP"/>
        </w:rPr>
        <w:t xml:space="preserve">recognizing this exception, </w:t>
      </w:r>
      <w:r w:rsidR="00727452">
        <w:rPr>
          <w:lang w:eastAsia="ja-JP"/>
        </w:rPr>
        <w:t xml:space="preserve">the Court stressed a historical tradition in which </w:t>
      </w:r>
      <w:r w:rsidR="00E5325A">
        <w:rPr>
          <w:lang w:eastAsia="ja-JP"/>
        </w:rPr>
        <w:t xml:space="preserve">customs officials were permitted to search boats and vehicles </w:t>
      </w:r>
      <w:r w:rsidR="00585F45">
        <w:rPr>
          <w:lang w:eastAsia="ja-JP"/>
        </w:rPr>
        <w:t>without a warrant for smuggled goods.</w:t>
      </w:r>
      <w:r w:rsidR="00585F45" w:rsidRPr="002A4234">
        <w:rPr>
          <w:rStyle w:val="FootnoteReference"/>
        </w:rPr>
        <w:footnoteReference w:id="447"/>
      </w:r>
      <w:r w:rsidR="00E5325A">
        <w:rPr>
          <w:lang w:eastAsia="ja-JP"/>
        </w:rPr>
        <w:t xml:space="preserve"> </w:t>
      </w:r>
      <w:r w:rsidR="00585F45">
        <w:rPr>
          <w:lang w:eastAsia="ja-JP"/>
        </w:rPr>
        <w:t xml:space="preserve">The Court later sought to ground the exception in </w:t>
      </w:r>
      <w:r w:rsidR="00A16E6C">
        <w:rPr>
          <w:lang w:eastAsia="ja-JP"/>
        </w:rPr>
        <w:t xml:space="preserve">the “pervasive regulation </w:t>
      </w:r>
      <w:r w:rsidR="00164AC3" w:rsidRPr="00164AC3">
        <w:rPr>
          <w:lang w:eastAsia="ja-JP"/>
        </w:rPr>
        <w:t>of vehicles capable of traveling on the public highways</w:t>
      </w:r>
      <w:r w:rsidR="00164AC3">
        <w:rPr>
          <w:lang w:eastAsia="ja-JP"/>
        </w:rPr>
        <w:t>.”</w:t>
      </w:r>
      <w:r w:rsidR="00164AC3" w:rsidRPr="002A4234">
        <w:rPr>
          <w:rStyle w:val="FootnoteReference"/>
        </w:rPr>
        <w:footnoteReference w:id="448"/>
      </w:r>
      <w:r w:rsidR="00164AC3">
        <w:rPr>
          <w:lang w:eastAsia="ja-JP"/>
        </w:rPr>
        <w:t xml:space="preserve"> Though the Court stressed this fact as relevant to </w:t>
      </w:r>
      <w:r w:rsidR="000D4572">
        <w:rPr>
          <w:lang w:eastAsia="ja-JP"/>
        </w:rPr>
        <w:t xml:space="preserve">drivers’ expectations of privacy, it could also bear on </w:t>
      </w:r>
      <w:r w:rsidR="00FD64A3">
        <w:rPr>
          <w:lang w:eastAsia="ja-JP"/>
        </w:rPr>
        <w:t xml:space="preserve">the customs and social </w:t>
      </w:r>
      <w:r w:rsidR="00ED33BC">
        <w:rPr>
          <w:lang w:eastAsia="ja-JP"/>
        </w:rPr>
        <w:t>understandings</w:t>
      </w:r>
      <w:r w:rsidR="00FD64A3">
        <w:rPr>
          <w:lang w:eastAsia="ja-JP"/>
        </w:rPr>
        <w:t xml:space="preserve"> </w:t>
      </w:r>
      <w:r w:rsidR="00397C9A">
        <w:rPr>
          <w:lang w:eastAsia="ja-JP"/>
        </w:rPr>
        <w:t xml:space="preserve">to which the general-law approach looks. </w:t>
      </w:r>
    </w:p>
    <w:p w14:paraId="4DAA6569" w14:textId="77777777" w:rsidR="005F1D4F" w:rsidRDefault="005F1D4F" w:rsidP="005F1D4F">
      <w:pPr>
        <w:pStyle w:val="Heading3"/>
      </w:pPr>
      <w:bookmarkStart w:id="103" w:name="_Toc111723696"/>
      <w:r>
        <w:t>Racialized Policing</w:t>
      </w:r>
      <w:bookmarkEnd w:id="103"/>
    </w:p>
    <w:p w14:paraId="1D013AEC" w14:textId="1A2D1E20" w:rsidR="005F1D4F" w:rsidRDefault="005F1D4F" w:rsidP="005F1D4F">
      <w:pPr>
        <w:pStyle w:val="BodyText"/>
        <w:rPr>
          <w:lang w:eastAsia="ja-JP"/>
        </w:rPr>
      </w:pPr>
      <w:r>
        <w:rPr>
          <w:lang w:eastAsia="ja-JP"/>
        </w:rPr>
        <w:t>One of the most powerful critiques of contemporary Fourth Amendment doctrine is its utter failure to grapple with the reality of racialized policing, in which police often rely on racial profiling in determining investigatory targets.</w:t>
      </w:r>
      <w:r w:rsidRPr="002A4234">
        <w:rPr>
          <w:rStyle w:val="FootnoteReference"/>
        </w:rPr>
        <w:footnoteReference w:id="449"/>
      </w:r>
      <w:r>
        <w:rPr>
          <w:lang w:eastAsia="ja-JP"/>
        </w:rPr>
        <w:t xml:space="preserve"> The Court in </w:t>
      </w:r>
      <w:r>
        <w:rPr>
          <w:i/>
          <w:iCs/>
          <w:lang w:eastAsia="ja-JP"/>
        </w:rPr>
        <w:t>Whren v. United States</w:t>
      </w:r>
      <w:r>
        <w:rPr>
          <w:lang w:eastAsia="ja-JP"/>
        </w:rPr>
        <w:t>,</w:t>
      </w:r>
      <w:r w:rsidRPr="002A4234">
        <w:rPr>
          <w:rStyle w:val="FootnoteReference"/>
        </w:rPr>
        <w:footnoteReference w:id="450"/>
      </w:r>
      <w:r>
        <w:rPr>
          <w:lang w:eastAsia="ja-JP"/>
        </w:rPr>
        <w:t xml:space="preserve"> for example, held that a pretextual traffic stop does not violate the Fourth Amendment, </w:t>
      </w:r>
      <w:r w:rsidR="00617F84">
        <w:rPr>
          <w:lang w:eastAsia="ja-JP"/>
        </w:rPr>
        <w:t>regardless of</w:t>
      </w:r>
      <w:r>
        <w:rPr>
          <w:lang w:eastAsia="ja-JP"/>
        </w:rPr>
        <w:t xml:space="preserve"> the officer’s subjective motivations. Despite the opprobrium it has generated, </w:t>
      </w:r>
      <w:r>
        <w:rPr>
          <w:i/>
          <w:iCs/>
          <w:lang w:eastAsia="ja-JP"/>
        </w:rPr>
        <w:t xml:space="preserve">Whren </w:t>
      </w:r>
      <w:r>
        <w:rPr>
          <w:lang w:eastAsia="ja-JP"/>
        </w:rPr>
        <w:t>was surprisingly uncontroversial on the Court</w:t>
      </w:r>
      <w:r w:rsidR="00C460F7">
        <w:rPr>
          <w:lang w:eastAsia="ja-JP"/>
        </w:rPr>
        <w:t xml:space="preserve"> as it produced </w:t>
      </w:r>
      <w:r>
        <w:rPr>
          <w:lang w:eastAsia="ja-JP"/>
        </w:rPr>
        <w:t>a 9-0 decision.</w:t>
      </w:r>
    </w:p>
    <w:p w14:paraId="533E380A" w14:textId="482FDBE0" w:rsidR="005F1D4F" w:rsidRDefault="005F1D4F" w:rsidP="005F1D4F">
      <w:pPr>
        <w:pStyle w:val="BodyText"/>
        <w:rPr>
          <w:lang w:eastAsia="ja-JP"/>
        </w:rPr>
      </w:pPr>
      <w:r>
        <w:rPr>
          <w:lang w:eastAsia="ja-JP"/>
        </w:rPr>
        <w:t xml:space="preserve">Given prevailing doctrinal approaches, the outcome in </w:t>
      </w:r>
      <w:r>
        <w:rPr>
          <w:i/>
          <w:iCs/>
          <w:lang w:eastAsia="ja-JP"/>
        </w:rPr>
        <w:t xml:space="preserve">Whren </w:t>
      </w:r>
      <w:r>
        <w:rPr>
          <w:lang w:eastAsia="ja-JP"/>
        </w:rPr>
        <w:t xml:space="preserve">is perhaps unsurprising. Devotees of </w:t>
      </w:r>
      <w:r>
        <w:rPr>
          <w:i/>
          <w:iCs/>
          <w:lang w:eastAsia="ja-JP"/>
        </w:rPr>
        <w:t>Katz</w:t>
      </w:r>
      <w:r>
        <w:rPr>
          <w:lang w:eastAsia="ja-JP"/>
        </w:rPr>
        <w:t xml:space="preserve"> m</w:t>
      </w:r>
      <w:r w:rsidR="007362A5">
        <w:rPr>
          <w:lang w:eastAsia="ja-JP"/>
        </w:rPr>
        <w:t>ight</w:t>
      </w:r>
      <w:r>
        <w:rPr>
          <w:lang w:eastAsia="ja-JP"/>
        </w:rPr>
        <w:t xml:space="preserve"> struggle to justify a rule against pretextual searches</w:t>
      </w:r>
      <w:r w:rsidR="00E814D9">
        <w:rPr>
          <w:lang w:eastAsia="ja-JP"/>
        </w:rPr>
        <w:t>-</w:t>
      </w:r>
      <w:r>
        <w:rPr>
          <w:lang w:eastAsia="ja-JP"/>
        </w:rPr>
        <w:t>and</w:t>
      </w:r>
      <w:r w:rsidR="00E814D9">
        <w:rPr>
          <w:lang w:eastAsia="ja-JP"/>
        </w:rPr>
        <w:t>-</w:t>
      </w:r>
      <w:r>
        <w:rPr>
          <w:lang w:eastAsia="ja-JP"/>
        </w:rPr>
        <w:t xml:space="preserve">seizures. How does an officer’s motivation bear on a person’s expectations of privacy? Those who believe that the Fourth Amendment crystallizes 1791 law, too, </w:t>
      </w:r>
      <w:r w:rsidR="00BE0B72">
        <w:rPr>
          <w:lang w:eastAsia="ja-JP"/>
        </w:rPr>
        <w:t xml:space="preserve">might </w:t>
      </w:r>
      <w:r>
        <w:rPr>
          <w:lang w:eastAsia="ja-JP"/>
        </w:rPr>
        <w:t xml:space="preserve">rest on the notion that there was no such antidiscrimination norm </w:t>
      </w:r>
      <w:r w:rsidR="00AC4CEF">
        <w:rPr>
          <w:lang w:eastAsia="ja-JP"/>
        </w:rPr>
        <w:t xml:space="preserve">found </w:t>
      </w:r>
      <w:r>
        <w:rPr>
          <w:lang w:eastAsia="ja-JP"/>
        </w:rPr>
        <w:t>in search-and-</w:t>
      </w:r>
      <w:r w:rsidR="00AC4CEF">
        <w:rPr>
          <w:lang w:eastAsia="ja-JP"/>
        </w:rPr>
        <w:t>seizure</w:t>
      </w:r>
      <w:r>
        <w:rPr>
          <w:lang w:eastAsia="ja-JP"/>
        </w:rPr>
        <w:t xml:space="preserve"> law two centuries ago.</w:t>
      </w:r>
    </w:p>
    <w:p w14:paraId="7B148B42" w14:textId="24A6AB90" w:rsidR="005F1D4F" w:rsidRPr="001A7FDB" w:rsidRDefault="005F1D4F" w:rsidP="001A7FDB">
      <w:pPr>
        <w:pStyle w:val="BodyText"/>
        <w:rPr>
          <w:lang w:eastAsia="ja-JP"/>
        </w:rPr>
      </w:pPr>
      <w:r>
        <w:rPr>
          <w:lang w:eastAsia="ja-JP"/>
        </w:rPr>
        <w:t xml:space="preserve">Can the general-law approach do better? </w:t>
      </w:r>
      <w:r w:rsidR="005E56D1">
        <w:rPr>
          <w:lang w:eastAsia="ja-JP"/>
        </w:rPr>
        <w:t>Perhaps</w:t>
      </w:r>
      <w:r>
        <w:rPr>
          <w:lang w:eastAsia="ja-JP"/>
        </w:rPr>
        <w:t xml:space="preserve">. In determining reasonableness, our approach </w:t>
      </w:r>
      <w:r w:rsidR="00D675C2">
        <w:rPr>
          <w:lang w:eastAsia="ja-JP"/>
        </w:rPr>
        <w:t>permits</w:t>
      </w:r>
      <w:r>
        <w:rPr>
          <w:lang w:eastAsia="ja-JP"/>
        </w:rPr>
        <w:t xml:space="preserve"> courts to </w:t>
      </w:r>
      <w:r w:rsidR="00D675C2">
        <w:rPr>
          <w:lang w:eastAsia="ja-JP"/>
        </w:rPr>
        <w:t xml:space="preserve">look to </w:t>
      </w:r>
      <w:r w:rsidR="00DE25FF">
        <w:rPr>
          <w:lang w:eastAsia="ja-JP"/>
        </w:rPr>
        <w:t xml:space="preserve">modern developments and conditions. </w:t>
      </w:r>
      <w:r w:rsidR="00EE1583">
        <w:rPr>
          <w:lang w:eastAsia="ja-JP"/>
        </w:rPr>
        <w:t>Our approach also</w:t>
      </w:r>
      <w:r w:rsidR="00DE25FF">
        <w:rPr>
          <w:lang w:eastAsia="ja-JP"/>
        </w:rPr>
        <w:t xml:space="preserve"> permits them to consider a wider range of considerations than a narrow focus on privacy. </w:t>
      </w:r>
      <w:r>
        <w:rPr>
          <w:lang w:eastAsia="ja-JP"/>
        </w:rPr>
        <w:t xml:space="preserve"> </w:t>
      </w:r>
      <w:r w:rsidR="000E275E">
        <w:rPr>
          <w:lang w:eastAsia="ja-JP"/>
        </w:rPr>
        <w:t xml:space="preserve">In determining whether there was an emerging general-law norm against </w:t>
      </w:r>
      <w:r w:rsidR="002D06B1">
        <w:rPr>
          <w:lang w:eastAsia="ja-JP"/>
        </w:rPr>
        <w:t xml:space="preserve">discriminatory </w:t>
      </w:r>
      <w:r w:rsidR="00BF5658">
        <w:rPr>
          <w:lang w:eastAsia="ja-JP"/>
        </w:rPr>
        <w:t xml:space="preserve">searches and seizures, a court could look to developing </w:t>
      </w:r>
      <w:r w:rsidR="00075A37">
        <w:rPr>
          <w:lang w:eastAsia="ja-JP"/>
        </w:rPr>
        <w:t xml:space="preserve">statutory </w:t>
      </w:r>
      <w:r w:rsidR="00BF5658">
        <w:rPr>
          <w:lang w:eastAsia="ja-JP"/>
        </w:rPr>
        <w:t>law</w:t>
      </w:r>
      <w:r w:rsidR="00A174A2">
        <w:rPr>
          <w:lang w:eastAsia="ja-JP"/>
        </w:rPr>
        <w:t>, norms,</w:t>
      </w:r>
      <w:r w:rsidR="00BF5658">
        <w:rPr>
          <w:lang w:eastAsia="ja-JP"/>
        </w:rPr>
        <w:t xml:space="preserve"> and social practices </w:t>
      </w:r>
      <w:r w:rsidR="00192CEF">
        <w:rPr>
          <w:lang w:eastAsia="ja-JP"/>
        </w:rPr>
        <w:t>forbidding various forms of discrimination, racial and otherwise</w:t>
      </w:r>
      <w:r w:rsidR="000F1272">
        <w:rPr>
          <w:lang w:eastAsia="ja-JP"/>
        </w:rPr>
        <w:t>, by private parties</w:t>
      </w:r>
      <w:r w:rsidR="00192CEF">
        <w:rPr>
          <w:lang w:eastAsia="ja-JP"/>
        </w:rPr>
        <w:t>.</w:t>
      </w:r>
      <w:r w:rsidR="000F1272">
        <w:rPr>
          <w:lang w:eastAsia="ja-JP"/>
        </w:rPr>
        <w:t xml:space="preserve"> </w:t>
      </w:r>
      <w:r w:rsidR="00EB4CBC">
        <w:rPr>
          <w:lang w:eastAsia="ja-JP"/>
        </w:rPr>
        <w:t>We</w:t>
      </w:r>
      <w:r w:rsidR="000F3418">
        <w:rPr>
          <w:lang w:eastAsia="ja-JP"/>
        </w:rPr>
        <w:t xml:space="preserve"> </w:t>
      </w:r>
      <w:r w:rsidR="000A778E">
        <w:rPr>
          <w:lang w:eastAsia="ja-JP"/>
        </w:rPr>
        <w:t xml:space="preserve">do not attempt </w:t>
      </w:r>
      <w:r w:rsidR="003C37F7">
        <w:rPr>
          <w:lang w:eastAsia="ja-JP"/>
        </w:rPr>
        <w:t>here</w:t>
      </w:r>
      <w:r w:rsidR="000A778E">
        <w:rPr>
          <w:lang w:eastAsia="ja-JP"/>
        </w:rPr>
        <w:t xml:space="preserve"> </w:t>
      </w:r>
      <w:r w:rsidR="00472AE1">
        <w:rPr>
          <w:lang w:eastAsia="ja-JP"/>
        </w:rPr>
        <w:t xml:space="preserve">to resolve whether the general-law approach would lead to a different result in </w:t>
      </w:r>
      <w:r w:rsidR="00472AE1">
        <w:rPr>
          <w:i/>
          <w:iCs/>
          <w:lang w:eastAsia="ja-JP"/>
        </w:rPr>
        <w:lastRenderedPageBreak/>
        <w:t>Whren</w:t>
      </w:r>
      <w:r w:rsidR="00EB4CBC">
        <w:rPr>
          <w:lang w:eastAsia="ja-JP"/>
        </w:rPr>
        <w:t>. But our approach</w:t>
      </w:r>
      <w:r w:rsidR="00472AE1">
        <w:rPr>
          <w:lang w:eastAsia="ja-JP"/>
        </w:rPr>
        <w:t xml:space="preserve"> at least provides courts with better tools </w:t>
      </w:r>
      <w:r w:rsidR="00EB4CBC">
        <w:rPr>
          <w:lang w:eastAsia="ja-JP"/>
        </w:rPr>
        <w:t>for addressing the issue than competing theories.</w:t>
      </w:r>
      <w:r w:rsidR="00192CEF">
        <w:rPr>
          <w:lang w:eastAsia="ja-JP"/>
        </w:rPr>
        <w:t xml:space="preserve"> </w:t>
      </w:r>
    </w:p>
    <w:p w14:paraId="0E86383F" w14:textId="68781216" w:rsidR="00C87C82" w:rsidRPr="00C87C82" w:rsidRDefault="00C87C82" w:rsidP="00C87C82">
      <w:pPr>
        <w:pStyle w:val="IntroConclusion"/>
      </w:pPr>
      <w:bookmarkStart w:id="104" w:name="_Toc96093560"/>
      <w:bookmarkStart w:id="105" w:name="_Toc111723697"/>
      <w:bookmarkEnd w:id="101"/>
      <w:r>
        <w:t>CONCLUSION</w:t>
      </w:r>
      <w:bookmarkEnd w:id="104"/>
      <w:bookmarkEnd w:id="105"/>
    </w:p>
    <w:p w14:paraId="11A79A21" w14:textId="23C8BEC0" w:rsidR="00802F02" w:rsidRDefault="005F2B6D" w:rsidP="0050036D">
      <w:pPr>
        <w:pStyle w:val="BodyText"/>
        <w:rPr>
          <w:lang w:eastAsia="ja-JP"/>
        </w:rPr>
      </w:pPr>
      <w:r>
        <w:rPr>
          <w:lang w:eastAsia="ja-JP"/>
        </w:rPr>
        <w:t>The general</w:t>
      </w:r>
      <w:r w:rsidR="003538D4">
        <w:rPr>
          <w:lang w:eastAsia="ja-JP"/>
        </w:rPr>
        <w:t xml:space="preserve">-law approach provides the best way to make sense of the Fourth Amendment. </w:t>
      </w:r>
      <w:r w:rsidR="005001B1">
        <w:rPr>
          <w:lang w:eastAsia="ja-JP"/>
        </w:rPr>
        <w:t xml:space="preserve">It offers </w:t>
      </w:r>
      <w:r w:rsidR="00F7219F">
        <w:rPr>
          <w:lang w:eastAsia="ja-JP"/>
        </w:rPr>
        <w:t>an</w:t>
      </w:r>
      <w:r w:rsidR="005001B1">
        <w:rPr>
          <w:lang w:eastAsia="ja-JP"/>
        </w:rPr>
        <w:t xml:space="preserve"> ideal balance between flexibility and constrain</w:t>
      </w:r>
      <w:r w:rsidR="00F7219F">
        <w:rPr>
          <w:lang w:eastAsia="ja-JP"/>
        </w:rPr>
        <w:t>t</w:t>
      </w:r>
      <w:r w:rsidR="005001B1">
        <w:rPr>
          <w:lang w:eastAsia="ja-JP"/>
        </w:rPr>
        <w:t xml:space="preserve">, giving judges the tools they need to resolve new questions </w:t>
      </w:r>
      <w:r w:rsidR="001933CC">
        <w:rPr>
          <w:lang w:eastAsia="ja-JP"/>
        </w:rPr>
        <w:t xml:space="preserve">without letting </w:t>
      </w:r>
      <w:r w:rsidR="00EC747D">
        <w:rPr>
          <w:lang w:eastAsia="ja-JP"/>
        </w:rPr>
        <w:t>them</w:t>
      </w:r>
      <w:r w:rsidR="001933CC">
        <w:rPr>
          <w:lang w:eastAsia="ja-JP"/>
        </w:rPr>
        <w:t xml:space="preserve"> shape law to their own whims. </w:t>
      </w:r>
      <w:r w:rsidR="008859B6">
        <w:rPr>
          <w:lang w:eastAsia="ja-JP"/>
        </w:rPr>
        <w:t xml:space="preserve">It has great promise in helping courts resolve many hard </w:t>
      </w:r>
      <w:r w:rsidR="00A243F1">
        <w:rPr>
          <w:lang w:eastAsia="ja-JP"/>
        </w:rPr>
        <w:t>cases</w:t>
      </w:r>
      <w:r w:rsidR="00A11C18">
        <w:rPr>
          <w:lang w:eastAsia="ja-JP"/>
        </w:rPr>
        <w:t xml:space="preserve">. </w:t>
      </w:r>
      <w:r w:rsidR="00FF1FC0">
        <w:rPr>
          <w:lang w:eastAsia="ja-JP"/>
        </w:rPr>
        <w:t>With time, scholars and—we hope—courts can</w:t>
      </w:r>
      <w:r w:rsidR="00B96B29">
        <w:rPr>
          <w:lang w:eastAsia="ja-JP"/>
        </w:rPr>
        <w:t xml:space="preserve"> more fully</w:t>
      </w:r>
      <w:r w:rsidR="00FF1FC0">
        <w:rPr>
          <w:lang w:eastAsia="ja-JP"/>
        </w:rPr>
        <w:t xml:space="preserve"> </w:t>
      </w:r>
      <w:r w:rsidR="00B96B29">
        <w:rPr>
          <w:lang w:eastAsia="ja-JP"/>
        </w:rPr>
        <w:t xml:space="preserve">work out the theory’s implications for many Fourth Amendment questions. </w:t>
      </w:r>
      <w:r w:rsidR="00DB3EF6">
        <w:rPr>
          <w:lang w:eastAsia="ja-JP"/>
        </w:rPr>
        <w:t>For example, t</w:t>
      </w:r>
      <w:r w:rsidR="00E00AF0">
        <w:rPr>
          <w:lang w:eastAsia="ja-JP"/>
        </w:rPr>
        <w:t xml:space="preserve">o the extent the general law </w:t>
      </w:r>
      <w:r w:rsidR="00DB3EF6">
        <w:rPr>
          <w:lang w:eastAsia="ja-JP"/>
        </w:rPr>
        <w:t>informs not merely the scope of</w:t>
      </w:r>
      <w:r w:rsidR="00E00AF0">
        <w:rPr>
          <w:lang w:eastAsia="ja-JP"/>
        </w:rPr>
        <w:t xml:space="preserve"> substantive rights</w:t>
      </w:r>
      <w:r w:rsidR="004D025B">
        <w:rPr>
          <w:lang w:eastAsia="ja-JP"/>
        </w:rPr>
        <w:t xml:space="preserve"> but also </w:t>
      </w:r>
      <w:r w:rsidR="00DB3EF6">
        <w:rPr>
          <w:lang w:eastAsia="ja-JP"/>
        </w:rPr>
        <w:t xml:space="preserve">the proper </w:t>
      </w:r>
      <w:r w:rsidR="00DB3EF6">
        <w:rPr>
          <w:i/>
          <w:iCs/>
          <w:lang w:eastAsia="ja-JP"/>
        </w:rPr>
        <w:t>remedies</w:t>
      </w:r>
      <w:r w:rsidR="00DB3EF6">
        <w:rPr>
          <w:lang w:eastAsia="ja-JP"/>
        </w:rPr>
        <w:t xml:space="preserve"> for violations of </w:t>
      </w:r>
      <w:r w:rsidR="00483A98">
        <w:rPr>
          <w:lang w:eastAsia="ja-JP"/>
        </w:rPr>
        <w:t xml:space="preserve">those </w:t>
      </w:r>
      <w:r w:rsidR="00DB3EF6">
        <w:rPr>
          <w:lang w:eastAsia="ja-JP"/>
        </w:rPr>
        <w:t xml:space="preserve">rights, our theory could </w:t>
      </w:r>
      <w:r w:rsidR="006D2121">
        <w:rPr>
          <w:lang w:eastAsia="ja-JP"/>
        </w:rPr>
        <w:t>inform</w:t>
      </w:r>
      <w:r w:rsidR="00DB3EF6">
        <w:rPr>
          <w:lang w:eastAsia="ja-JP"/>
        </w:rPr>
        <w:t xml:space="preserve"> debates about the exclusionary rule</w:t>
      </w:r>
      <w:r w:rsidR="00642BF5">
        <w:rPr>
          <w:lang w:eastAsia="ja-JP"/>
        </w:rPr>
        <w:t xml:space="preserve"> and</w:t>
      </w:r>
      <w:r w:rsidR="00DB3EF6">
        <w:rPr>
          <w:lang w:eastAsia="ja-JP"/>
        </w:rPr>
        <w:t xml:space="preserve"> qualified immunity</w:t>
      </w:r>
      <w:r w:rsidR="00642BF5">
        <w:rPr>
          <w:lang w:eastAsia="ja-JP"/>
        </w:rPr>
        <w:t>.</w:t>
      </w:r>
    </w:p>
    <w:p w14:paraId="2577AD3C" w14:textId="3F8A2AA6" w:rsidR="0046219D" w:rsidRPr="0046219D" w:rsidRDefault="006D2121" w:rsidP="006C3425">
      <w:pPr>
        <w:pStyle w:val="BodyText"/>
        <w:rPr>
          <w:lang w:eastAsia="ja-JP"/>
        </w:rPr>
      </w:pPr>
      <w:r>
        <w:rPr>
          <w:lang w:eastAsia="ja-JP"/>
        </w:rPr>
        <w:t>T</w:t>
      </w:r>
      <w:r w:rsidR="001E738F">
        <w:rPr>
          <w:lang w:eastAsia="ja-JP"/>
        </w:rPr>
        <w:t>he general-law approa</w:t>
      </w:r>
      <w:r w:rsidR="001D5114">
        <w:rPr>
          <w:lang w:eastAsia="ja-JP"/>
        </w:rPr>
        <w:t xml:space="preserve">ch’s </w:t>
      </w:r>
      <w:r w:rsidR="00A11C18">
        <w:rPr>
          <w:lang w:eastAsia="ja-JP"/>
        </w:rPr>
        <w:t xml:space="preserve">benefits </w:t>
      </w:r>
      <w:r w:rsidR="001D5114">
        <w:rPr>
          <w:lang w:eastAsia="ja-JP"/>
        </w:rPr>
        <w:t xml:space="preserve">extend </w:t>
      </w:r>
      <w:r w:rsidR="00E77961">
        <w:rPr>
          <w:lang w:eastAsia="ja-JP"/>
        </w:rPr>
        <w:t xml:space="preserve">beyond </w:t>
      </w:r>
      <w:r w:rsidR="00A11C18">
        <w:rPr>
          <w:lang w:eastAsia="ja-JP"/>
        </w:rPr>
        <w:t xml:space="preserve">the Fourth Amendment. </w:t>
      </w:r>
      <w:r w:rsidR="00B3067F">
        <w:rPr>
          <w:lang w:eastAsia="ja-JP"/>
        </w:rPr>
        <w:t xml:space="preserve">Other areas of constitutional law might </w:t>
      </w:r>
      <w:r w:rsidR="00F06A39">
        <w:rPr>
          <w:lang w:eastAsia="ja-JP"/>
        </w:rPr>
        <w:t>find</w:t>
      </w:r>
      <w:r w:rsidR="00B3067F">
        <w:rPr>
          <w:lang w:eastAsia="ja-JP"/>
        </w:rPr>
        <w:t xml:space="preserve"> a general-law approach</w:t>
      </w:r>
      <w:r w:rsidR="00F06A39">
        <w:rPr>
          <w:lang w:eastAsia="ja-JP"/>
        </w:rPr>
        <w:t xml:space="preserve"> helpful</w:t>
      </w:r>
      <w:r w:rsidR="00B3067F">
        <w:rPr>
          <w:lang w:eastAsia="ja-JP"/>
        </w:rPr>
        <w:t xml:space="preserve">. Takings Clause doctrine, for example, </w:t>
      </w:r>
      <w:r w:rsidR="00F1415F">
        <w:rPr>
          <w:lang w:eastAsia="ja-JP"/>
        </w:rPr>
        <w:t>might be understood as</w:t>
      </w:r>
      <w:r w:rsidR="0099203E">
        <w:rPr>
          <w:lang w:eastAsia="ja-JP"/>
        </w:rPr>
        <w:t xml:space="preserve"> </w:t>
      </w:r>
      <w:r w:rsidR="00F1415F">
        <w:rPr>
          <w:lang w:eastAsia="ja-JP"/>
        </w:rPr>
        <w:t xml:space="preserve">sometimes drawing on general-law property concepts to </w:t>
      </w:r>
      <w:r w:rsidR="00556610">
        <w:rPr>
          <w:lang w:eastAsia="ja-JP"/>
        </w:rPr>
        <w:t xml:space="preserve">ensure that states cannot </w:t>
      </w:r>
      <w:r w:rsidR="005E5DC2">
        <w:rPr>
          <w:lang w:eastAsia="ja-JP"/>
        </w:rPr>
        <w:t xml:space="preserve">deprive individuals of rights by manipulating positive law. The private law, too, </w:t>
      </w:r>
      <w:r w:rsidR="00F06A39">
        <w:rPr>
          <w:lang w:eastAsia="ja-JP"/>
        </w:rPr>
        <w:t>stands to gain</w:t>
      </w:r>
      <w:r w:rsidR="005E5DC2">
        <w:rPr>
          <w:lang w:eastAsia="ja-JP"/>
        </w:rPr>
        <w:t xml:space="preserve">. </w:t>
      </w:r>
      <w:r w:rsidR="00F05716">
        <w:rPr>
          <w:lang w:eastAsia="ja-JP"/>
        </w:rPr>
        <w:t xml:space="preserve">Although </w:t>
      </w:r>
      <w:r>
        <w:rPr>
          <w:lang w:eastAsia="ja-JP"/>
        </w:rPr>
        <w:t>state courts</w:t>
      </w:r>
      <w:r w:rsidR="00F05716">
        <w:rPr>
          <w:lang w:eastAsia="ja-JP"/>
        </w:rPr>
        <w:t xml:space="preserve"> are the highest authority on questions of common law, </w:t>
      </w:r>
      <w:r>
        <w:rPr>
          <w:lang w:eastAsia="ja-JP"/>
        </w:rPr>
        <w:t>they</w:t>
      </w:r>
      <w:r w:rsidR="00F05716">
        <w:rPr>
          <w:lang w:eastAsia="ja-JP"/>
        </w:rPr>
        <w:t xml:space="preserve"> rarely hear certain common</w:t>
      </w:r>
      <w:r>
        <w:rPr>
          <w:lang w:eastAsia="ja-JP"/>
        </w:rPr>
        <w:t>-</w:t>
      </w:r>
      <w:r w:rsidR="00F05716">
        <w:rPr>
          <w:lang w:eastAsia="ja-JP"/>
        </w:rPr>
        <w:t>law claims due to persistent access</w:t>
      </w:r>
      <w:r w:rsidR="000C4E9B">
        <w:rPr>
          <w:lang w:eastAsia="ja-JP"/>
        </w:rPr>
        <w:t>-</w:t>
      </w:r>
      <w:r w:rsidR="00F05716">
        <w:rPr>
          <w:lang w:eastAsia="ja-JP"/>
        </w:rPr>
        <w:t>to</w:t>
      </w:r>
      <w:r w:rsidR="000C4E9B">
        <w:rPr>
          <w:lang w:eastAsia="ja-JP"/>
        </w:rPr>
        <w:t>-</w:t>
      </w:r>
      <w:r w:rsidR="00F05716">
        <w:rPr>
          <w:lang w:eastAsia="ja-JP"/>
        </w:rPr>
        <w:t>justice problems, arbitration, and waiver.</w:t>
      </w:r>
      <w:r w:rsidR="00F05716" w:rsidRPr="002A4234">
        <w:rPr>
          <w:rStyle w:val="FootnoteReference"/>
        </w:rPr>
        <w:footnoteReference w:id="451"/>
      </w:r>
      <w:r w:rsidR="00F05716">
        <w:rPr>
          <w:lang w:eastAsia="ja-JP"/>
        </w:rPr>
        <w:t xml:space="preserve"> </w:t>
      </w:r>
      <w:r w:rsidR="00A11C18">
        <w:rPr>
          <w:lang w:eastAsia="ja-JP"/>
        </w:rPr>
        <w:t xml:space="preserve">Courts applying the </w:t>
      </w:r>
      <w:r w:rsidR="00F05716">
        <w:rPr>
          <w:lang w:eastAsia="ja-JP"/>
        </w:rPr>
        <w:t>general</w:t>
      </w:r>
      <w:r w:rsidR="00A11C18">
        <w:rPr>
          <w:lang w:eastAsia="ja-JP"/>
        </w:rPr>
        <w:t>-</w:t>
      </w:r>
      <w:r w:rsidR="00F05716">
        <w:rPr>
          <w:lang w:eastAsia="ja-JP"/>
        </w:rPr>
        <w:t xml:space="preserve">law </w:t>
      </w:r>
      <w:r w:rsidR="00A11C18">
        <w:rPr>
          <w:lang w:eastAsia="ja-JP"/>
        </w:rPr>
        <w:t>approach</w:t>
      </w:r>
      <w:r w:rsidR="00F06A39">
        <w:rPr>
          <w:lang w:eastAsia="ja-JP"/>
        </w:rPr>
        <w:t xml:space="preserve"> in Fourth Amendment cases</w:t>
      </w:r>
      <w:r w:rsidR="00A11C18">
        <w:rPr>
          <w:lang w:eastAsia="ja-JP"/>
        </w:rPr>
        <w:t xml:space="preserve"> could produce</w:t>
      </w:r>
      <w:r w:rsidR="00F05716">
        <w:rPr>
          <w:lang w:eastAsia="ja-JP"/>
        </w:rPr>
        <w:t xml:space="preserve"> a rich font of new ideas waiting to be adopted—or, just as meaningfully, rejected—by state </w:t>
      </w:r>
      <w:r w:rsidR="00A11C18">
        <w:rPr>
          <w:lang w:eastAsia="ja-JP"/>
        </w:rPr>
        <w:t>common-law</w:t>
      </w:r>
      <w:r w:rsidR="00F05716">
        <w:rPr>
          <w:lang w:eastAsia="ja-JP"/>
        </w:rPr>
        <w:t xml:space="preserve"> courts</w:t>
      </w:r>
      <w:r w:rsidR="00A11C18">
        <w:rPr>
          <w:lang w:eastAsia="ja-JP"/>
        </w:rPr>
        <w:t>.</w:t>
      </w:r>
    </w:p>
    <w:p w14:paraId="4B045204" w14:textId="3292F507" w:rsidR="00407EAE" w:rsidRPr="0050036D" w:rsidRDefault="00334FA1" w:rsidP="00C94577">
      <w:pPr>
        <w:pStyle w:val="BodyText"/>
        <w:rPr>
          <w:lang w:eastAsia="ja-JP"/>
        </w:rPr>
      </w:pPr>
      <w:r>
        <w:rPr>
          <w:lang w:eastAsia="ja-JP"/>
        </w:rPr>
        <w:t xml:space="preserve">In their seminal article, </w:t>
      </w:r>
      <w:r w:rsidR="006C3425">
        <w:rPr>
          <w:lang w:eastAsia="ja-JP"/>
        </w:rPr>
        <w:t>Warren and Brandeis argued that</w:t>
      </w:r>
      <w:r w:rsidR="00276B49">
        <w:rPr>
          <w:lang w:eastAsia="ja-JP"/>
        </w:rPr>
        <w:t xml:space="preserve"> for</w:t>
      </w:r>
      <w:r w:rsidR="006C3425">
        <w:rPr>
          <w:lang w:eastAsia="ja-JP"/>
        </w:rPr>
        <w:t xml:space="preserve"> </w:t>
      </w:r>
      <w:r w:rsidR="00276B49">
        <w:rPr>
          <w:lang w:eastAsia="ja-JP"/>
        </w:rPr>
        <w:t>a man defending his privacy</w:t>
      </w:r>
      <w:r w:rsidR="00642BF5">
        <w:rPr>
          <w:lang w:eastAsia="ja-JP"/>
        </w:rPr>
        <w:t>,</w:t>
      </w:r>
      <w:r w:rsidR="00276B49">
        <w:rPr>
          <w:lang w:eastAsia="ja-JP"/>
        </w:rPr>
        <w:t xml:space="preserve"> </w:t>
      </w:r>
      <w:r w:rsidR="0046219D" w:rsidRPr="0046219D">
        <w:rPr>
          <w:lang w:eastAsia="ja-JP"/>
        </w:rPr>
        <w:t>“the common law provides him with [a weapon], forged in the slow fire of the centuries, and to-day fitly tempered to his hand.”</w:t>
      </w:r>
      <w:r w:rsidR="0046219D" w:rsidRPr="002A4234">
        <w:rPr>
          <w:rStyle w:val="FootnoteReference"/>
        </w:rPr>
        <w:footnoteReference w:id="452"/>
      </w:r>
      <w:r w:rsidR="00642BF5">
        <w:rPr>
          <w:lang w:eastAsia="ja-JP"/>
        </w:rPr>
        <w:t xml:space="preserve"> </w:t>
      </w:r>
      <w:r w:rsidR="00A14160">
        <w:rPr>
          <w:lang w:eastAsia="ja-JP"/>
        </w:rPr>
        <w:t>More than a century later, that</w:t>
      </w:r>
      <w:r w:rsidR="00FE6617">
        <w:rPr>
          <w:lang w:eastAsia="ja-JP"/>
        </w:rPr>
        <w:t xml:space="preserve"> weapon </w:t>
      </w:r>
      <w:r w:rsidR="00A14160">
        <w:rPr>
          <w:lang w:eastAsia="ja-JP"/>
        </w:rPr>
        <w:t>is no less powerful</w:t>
      </w:r>
      <w:r w:rsidR="00483A98">
        <w:rPr>
          <w:lang w:eastAsia="ja-JP"/>
        </w:rPr>
        <w:t xml:space="preserve">. Wielded properly, it offers the best </w:t>
      </w:r>
      <w:r w:rsidR="004861A7">
        <w:rPr>
          <w:lang w:eastAsia="ja-JP"/>
        </w:rPr>
        <w:t>safeguard</w:t>
      </w:r>
      <w:r w:rsidR="00483A98">
        <w:rPr>
          <w:lang w:eastAsia="ja-JP"/>
        </w:rPr>
        <w:t xml:space="preserve"> for the important values the Fourth Amendment seeks to protect.</w:t>
      </w:r>
    </w:p>
    <w:sectPr w:rsidR="00407EAE" w:rsidRPr="0050036D" w:rsidSect="00B70168">
      <w:headerReference w:type="even" r:id="rId18"/>
      <w:headerReference w:type="default" r:id="rId19"/>
      <w:footerReference w:type="first" r:id="rId20"/>
      <w:pgSz w:w="12240" w:h="15840" w:code="1"/>
      <w:pgMar w:top="1800" w:right="2160" w:bottom="1800" w:left="2160" w:header="1080" w:footer="1080" w:gutter="0"/>
      <w:pgNumType w:start="1"/>
      <w:cols w:space="720"/>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FD8FD" w14:textId="77777777" w:rsidR="00A35578" w:rsidRDefault="00A35578">
      <w:r>
        <w:separator/>
      </w:r>
    </w:p>
    <w:p w14:paraId="48343D06" w14:textId="77777777" w:rsidR="00A35578" w:rsidRDefault="00A35578"/>
  </w:endnote>
  <w:endnote w:type="continuationSeparator" w:id="0">
    <w:p w14:paraId="3DE13EC4" w14:textId="77777777" w:rsidR="00A35578" w:rsidRDefault="00A35578">
      <w:r>
        <w:continuationSeparator/>
      </w:r>
    </w:p>
    <w:p w14:paraId="0531B9CD" w14:textId="77777777" w:rsidR="00A35578" w:rsidRDefault="00A35578"/>
  </w:endnote>
  <w:endnote w:type="continuationNotice" w:id="1">
    <w:p w14:paraId="3CE2B72A" w14:textId="77777777" w:rsidR="00A35578" w:rsidRDefault="00A355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Premr Pro Capt">
    <w:altName w:val="Cambria"/>
    <w:panose1 w:val="020B0604020202020204"/>
    <w:charset w:val="00"/>
    <w:family w:val="roman"/>
    <w:notTrueType/>
    <w:pitch w:val="variable"/>
    <w:sig w:usb0="60000287" w:usb1="00000001"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OldStyle 7">
    <w:altName w:val="Calibri"/>
    <w:panose1 w:val="020B0604020202020204"/>
    <w:charset w:val="4D"/>
    <w:family w:val="auto"/>
    <w:pitch w:val="variable"/>
    <w:sig w:usb0="800000AF" w:usb1="40000048" w:usb2="00000000" w:usb3="00000000" w:csb0="00000001" w:csb1="00000000"/>
  </w:font>
  <w:font w:name="Baskerville">
    <w:panose1 w:val="02020502070401020303"/>
    <w:charset w:val="00"/>
    <w:family w:val="roman"/>
    <w:pitch w:val="variable"/>
    <w:sig w:usb0="80000067" w:usb1="02000000"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 w:name="Garamond Premr Pro">
    <w:altName w:val="Times New Roman"/>
    <w:panose1 w:val="020B0604020202020204"/>
    <w:charset w:val="00"/>
    <w:family w:val="roman"/>
    <w:notTrueType/>
    <w:pitch w:val="variable"/>
    <w:sig w:usb0="60000287" w:usb1="00000001" w:usb2="00000000" w:usb3="00000000" w:csb0="0000019F" w:csb1="00000000"/>
  </w:font>
  <w:font w:name="Century Schoolbook BT">
    <w:altName w:val="Cambria"/>
    <w:panose1 w:val="020B06040202020202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2" w:usb2="00000000" w:usb3="00000000" w:csb0="0000009F" w:csb1="00000000"/>
  </w:font>
  <w:font w:name="Old Style 7">
    <w:altName w:val="Calibri"/>
    <w:panose1 w:val="020B0604020202020204"/>
    <w:charset w:val="4D"/>
    <w:family w:val="auto"/>
    <w:pitch w:val="variable"/>
    <w:sig w:usb0="800000AF" w:usb1="40000048" w:usb2="00000000" w:usb3="00000000" w:csb0="00000001" w:csb1="00000000"/>
  </w:font>
  <w:font w:name="Times">
    <w:altName w:val="Times New Roman"/>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YaleNew">
    <w:panose1 w:val="020B0604020202020204"/>
    <w:charset w:val="4D"/>
    <w:family w:val="auto"/>
    <w:notTrueType/>
    <w:pitch w:val="variable"/>
    <w:sig w:usb0="800000AF" w:usb1="5000407B" w:usb2="00000000" w:usb3="00000000" w:csb0="00000003" w:csb1="00000000"/>
  </w:font>
  <w:font w:name="Arial">
    <w:panose1 w:val="020B0604020202020204"/>
    <w:charset w:val="00"/>
    <w:family w:val="swiss"/>
    <w:pitch w:val="variable"/>
    <w:sig w:usb0="E0002EFF" w:usb1="C000785B"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 w:name="EB Garamond">
    <w:panose1 w:val="00000500000000000000"/>
    <w:charset w:val="00"/>
    <w:family w:val="auto"/>
    <w:pitch w:val="variable"/>
    <w:sig w:usb0="E00002FF" w:usb1="020004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EA2F8" w14:textId="6805BE70" w:rsidR="008B2994" w:rsidRDefault="008B2994" w:rsidP="00D3393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A5CE4">
      <w:rPr>
        <w:rStyle w:val="PageNumber"/>
        <w:noProof/>
      </w:rPr>
      <w:t>ii</w:t>
    </w:r>
    <w:r>
      <w:rPr>
        <w:rStyle w:val="PageNumber"/>
      </w:rPr>
      <w:fldChar w:fldCharType="end"/>
    </w:r>
  </w:p>
  <w:p w14:paraId="73D7412D" w14:textId="77777777" w:rsidR="008B2994" w:rsidRDefault="008B2994" w:rsidP="00627707">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68612" w14:textId="3F67CD64" w:rsidR="008B2994" w:rsidRPr="006E55CF" w:rsidRDefault="008B2994" w:rsidP="00D3393A">
    <w:pPr>
      <w:pStyle w:val="Footer"/>
      <w:framePr w:wrap="none" w:vAnchor="text" w:hAnchor="margin" w:xAlign="center" w:y="1"/>
      <w:rPr>
        <w:rStyle w:val="PageNumber"/>
        <w:sz w:val="22"/>
        <w:szCs w:val="22"/>
      </w:rPr>
    </w:pPr>
    <w:r w:rsidRPr="006E55CF">
      <w:rPr>
        <w:rStyle w:val="PageNumber"/>
        <w:sz w:val="22"/>
        <w:szCs w:val="22"/>
      </w:rPr>
      <w:fldChar w:fldCharType="begin"/>
    </w:r>
    <w:r w:rsidRPr="006E55CF">
      <w:rPr>
        <w:rStyle w:val="PageNumber"/>
        <w:sz w:val="22"/>
        <w:szCs w:val="22"/>
      </w:rPr>
      <w:instrText xml:space="preserve">PAGE  </w:instrText>
    </w:r>
    <w:r w:rsidRPr="006E55CF">
      <w:rPr>
        <w:rStyle w:val="PageNumber"/>
        <w:sz w:val="22"/>
        <w:szCs w:val="22"/>
      </w:rPr>
      <w:fldChar w:fldCharType="separate"/>
    </w:r>
    <w:r w:rsidR="00214745">
      <w:rPr>
        <w:rStyle w:val="PageNumber"/>
        <w:noProof/>
        <w:sz w:val="22"/>
        <w:szCs w:val="22"/>
      </w:rPr>
      <w:t>53</w:t>
    </w:r>
    <w:r w:rsidRPr="006E55CF">
      <w:rPr>
        <w:rStyle w:val="PageNumber"/>
        <w:sz w:val="22"/>
        <w:szCs w:val="22"/>
      </w:rPr>
      <w:fldChar w:fldCharType="end"/>
    </w:r>
  </w:p>
  <w:p w14:paraId="0CD047EA" w14:textId="02AEF3AB" w:rsidR="008B2994" w:rsidRPr="00311BE6" w:rsidRDefault="008B2994" w:rsidP="00CA6BC7">
    <w:pPr>
      <w:pStyle w:val="Footer"/>
      <w:jc w:val="center"/>
      <w:rPr>
        <w:rFonts w:ascii="Garamond" w:hAnsi="Garamond"/>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D3998" w14:textId="77777777" w:rsidR="008B2994" w:rsidRDefault="008B2994" w:rsidP="001E61B7">
    <w:pPr>
      <w:pStyle w:val="Footer"/>
    </w:pPr>
    <w:r>
      <w:t>___________________________________</w:t>
    </w:r>
  </w:p>
  <w:p w14:paraId="19F95F7E" w14:textId="02F58EFA" w:rsidR="00737705" w:rsidRDefault="008B2994" w:rsidP="001E61B7">
    <w:pPr>
      <w:pStyle w:val="Footer"/>
    </w:pPr>
    <w:r>
      <w:t xml:space="preserve">* </w:t>
    </w:r>
    <w:r w:rsidR="003C760D">
      <w:t xml:space="preserve">Associate </w:t>
    </w:r>
    <w:r w:rsidR="00737705">
      <w:t>Professor of Law, Washington University in St. Louis</w:t>
    </w:r>
    <w:r w:rsidR="00EA0BEE">
      <w:t>.</w:t>
    </w:r>
  </w:p>
  <w:p w14:paraId="4B92FCE3" w14:textId="5D6774DB" w:rsidR="008B2994" w:rsidRPr="001E61B7" w:rsidRDefault="00737705" w:rsidP="001E61B7">
    <w:pPr>
      <w:pStyle w:val="Footer"/>
    </w:pPr>
    <w:r>
      <w:t>**</w:t>
    </w:r>
    <w:r w:rsidR="008B2994">
      <w:t xml:space="preserve"> </w:t>
    </w:r>
    <w:r w:rsidR="00A25E09">
      <w:t>Treiman</w:t>
    </w:r>
    <w:r w:rsidR="00A90DEE">
      <w:t xml:space="preserve"> </w:t>
    </w:r>
    <w:r w:rsidR="008B2994">
      <w:t xml:space="preserve">Professor of Law, Washington University in St. Louis. </w:t>
    </w:r>
    <w:r w:rsidR="008368A5">
      <w:t xml:space="preserve">For helpful conversations and comments, we are grateful to </w:t>
    </w:r>
    <w:r w:rsidR="001E1A6A">
      <w:t>Will Baude,</w:t>
    </w:r>
    <w:r w:rsidR="00CB6DB1">
      <w:t xml:space="preserve"> </w:t>
    </w:r>
    <w:r w:rsidR="00AD31A6">
      <w:t xml:space="preserve">Jeff Bellin, </w:t>
    </w:r>
    <w:r w:rsidR="001B7DE3">
      <w:t xml:space="preserve">Molly Brady, </w:t>
    </w:r>
    <w:r w:rsidR="00CB6DB1">
      <w:t>Sam Bray,</w:t>
    </w:r>
    <w:r w:rsidR="0006373C">
      <w:t xml:space="preserve"> Christian Burset,</w:t>
    </w:r>
    <w:r w:rsidR="00520809">
      <w:t xml:space="preserve"> </w:t>
    </w:r>
    <w:r w:rsidR="001C5BED">
      <w:t xml:space="preserve">Andrew Ferguson, </w:t>
    </w:r>
    <w:r w:rsidR="00520809">
      <w:t>Chad Flanders,</w:t>
    </w:r>
    <w:r w:rsidR="001E1A6A">
      <w:t xml:space="preserve"> </w:t>
    </w:r>
    <w:r w:rsidR="008368A5">
      <w:t>Jack Goldsmith,</w:t>
    </w:r>
    <w:r w:rsidR="000B3BA1">
      <w:t xml:space="preserve"> Orin Kerr,</w:t>
    </w:r>
    <w:r w:rsidR="008368A5">
      <w:t xml:space="preserve"> </w:t>
    </w:r>
    <w:r w:rsidR="001C5BED">
      <w:t xml:space="preserve">Michael Mannheimer, </w:t>
    </w:r>
    <w:r w:rsidR="005C2AE1">
      <w:t xml:space="preserve">Richard Re, </w:t>
    </w:r>
    <w:r w:rsidR="00F618B4">
      <w:t xml:space="preserve">Neil Richards, </w:t>
    </w:r>
    <w:r w:rsidR="00AD31A6">
      <w:t xml:space="preserve">David Sklansky, </w:t>
    </w:r>
    <w:r w:rsidR="008368A5">
      <w:t xml:space="preserve">James Stern, </w:t>
    </w:r>
    <w:r w:rsidR="00134BEB">
      <w:t xml:space="preserve">and </w:t>
    </w:r>
    <w:r w:rsidR="005C2AE1">
      <w:t>Matt Tokson</w:t>
    </w:r>
    <w:r w:rsidR="00134BEB">
      <w:t xml:space="preserve">; </w:t>
    </w:r>
    <w:r w:rsidR="008368A5">
      <w:t>participants in</w:t>
    </w:r>
    <w:r w:rsidR="005C2AE1">
      <w:t xml:space="preserve"> </w:t>
    </w:r>
    <w:r w:rsidR="008368A5">
      <w:t>workshop</w:t>
    </w:r>
    <w:r w:rsidR="005C2AE1">
      <w:t>s</w:t>
    </w:r>
    <w:r w:rsidR="008368A5">
      <w:t xml:space="preserve"> at Washington University </w:t>
    </w:r>
    <w:r w:rsidR="008349FC">
      <w:t>School of Law</w:t>
    </w:r>
    <w:r w:rsidR="002C224A">
      <w:t xml:space="preserve"> and at the South</w:t>
    </w:r>
    <w:r w:rsidR="008C2A43">
      <w:t>west Criminal Law conference</w:t>
    </w:r>
    <w:r w:rsidR="00134BEB">
      <w:t xml:space="preserve">; and the editors of the </w:t>
    </w:r>
    <w:r w:rsidR="00134BEB">
      <w:rPr>
        <w:i/>
        <w:iCs/>
      </w:rPr>
      <w:t>Yale Law Journal</w:t>
    </w:r>
    <w:r w:rsidR="008368A5">
      <w:t xml:space="preserve">. </w:t>
    </w:r>
    <w:r w:rsidR="001B5E76">
      <w:t xml:space="preserve">Samantha Kobor and Allison Walter provided excellent research assistance.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0706C" w14:textId="7AF1378B" w:rsidR="008B2994" w:rsidRDefault="008B29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237A03" w14:textId="77777777" w:rsidR="00A35578" w:rsidRDefault="00A35578">
      <w:r>
        <w:separator/>
      </w:r>
    </w:p>
    <w:p w14:paraId="010C7B44" w14:textId="77777777" w:rsidR="00A35578" w:rsidRDefault="00A35578"/>
  </w:footnote>
  <w:footnote w:type="continuationSeparator" w:id="0">
    <w:p w14:paraId="28B827CA" w14:textId="77777777" w:rsidR="00A35578" w:rsidRDefault="00A35578">
      <w:r>
        <w:continuationSeparator/>
      </w:r>
    </w:p>
    <w:p w14:paraId="3BDB3132" w14:textId="77777777" w:rsidR="00A35578" w:rsidRDefault="00A35578"/>
  </w:footnote>
  <w:footnote w:type="continuationNotice" w:id="1">
    <w:p w14:paraId="5876C125" w14:textId="77777777" w:rsidR="00A35578" w:rsidRDefault="00A35578"/>
  </w:footnote>
  <w:footnote w:id="2">
    <w:p w14:paraId="27193B0A" w14:textId="200BBEF1" w:rsidR="00FC200B" w:rsidRPr="003D22E3" w:rsidRDefault="00FC200B" w:rsidP="003D22E3">
      <w:pPr>
        <w:pStyle w:val="FootnoteText"/>
      </w:pPr>
      <w:r w:rsidRPr="002A4234">
        <w:rPr>
          <w:rStyle w:val="FootnoteReference"/>
        </w:rPr>
        <w:footnoteRef/>
      </w:r>
      <w:r>
        <w:t xml:space="preserve"> </w:t>
      </w:r>
      <w:r w:rsidR="00202F2A">
        <w:t>389 U.S. 347 (1967)</w:t>
      </w:r>
      <w:r w:rsidR="00757B90">
        <w:t xml:space="preserve">; </w:t>
      </w:r>
      <w:r w:rsidR="00757B90">
        <w:rPr>
          <w:i/>
          <w:iCs/>
        </w:rPr>
        <w:t>see, e.g.</w:t>
      </w:r>
      <w:r w:rsidR="00757B90">
        <w:t xml:space="preserve">, </w:t>
      </w:r>
      <w:r w:rsidR="003D22E3">
        <w:t xml:space="preserve">Kiel Brennan-Marquez, </w:t>
      </w:r>
      <w:r w:rsidR="003D22E3" w:rsidRPr="003D22E3">
        <w:rPr>
          <w:i/>
          <w:iCs/>
        </w:rPr>
        <w:t>Outsourced Law Enforcement</w:t>
      </w:r>
      <w:r w:rsidR="003D22E3">
        <w:t xml:space="preserve">, 18 </w:t>
      </w:r>
      <w:r w:rsidR="003D22E3" w:rsidRPr="003D22E3">
        <w:rPr>
          <w:smallCaps/>
        </w:rPr>
        <w:t xml:space="preserve">U. Pa. J. Const. L. </w:t>
      </w:r>
      <w:r w:rsidR="003D22E3">
        <w:t xml:space="preserve">797, 801 (2016) (noting that </w:t>
      </w:r>
      <w:r w:rsidR="003D22E3">
        <w:rPr>
          <w:i/>
          <w:iCs/>
        </w:rPr>
        <w:t>Katz</w:t>
      </w:r>
      <w:r w:rsidR="003D22E3">
        <w:t xml:space="preserve"> “</w:t>
      </w:r>
      <w:r w:rsidR="003D22E3" w:rsidRPr="003D22E3">
        <w:t>ushered in the modern era of Fourth Amendment law</w:t>
      </w:r>
      <w:r w:rsidR="003D22E3">
        <w:t>”).</w:t>
      </w:r>
    </w:p>
  </w:footnote>
  <w:footnote w:id="3">
    <w:p w14:paraId="368C8B50" w14:textId="68FCDB4F" w:rsidR="00202F2A" w:rsidRPr="002771AE" w:rsidRDefault="00202F2A">
      <w:pPr>
        <w:pStyle w:val="FootnoteText"/>
      </w:pPr>
      <w:r w:rsidRPr="002A4234">
        <w:rPr>
          <w:rStyle w:val="FootnoteReference"/>
        </w:rPr>
        <w:footnoteRef/>
      </w:r>
      <w:r>
        <w:t xml:space="preserve"> </w:t>
      </w:r>
      <w:r w:rsidR="003F4848">
        <w:rPr>
          <w:i/>
          <w:iCs/>
        </w:rPr>
        <w:t xml:space="preserve">See </w:t>
      </w:r>
      <w:r w:rsidR="002771AE">
        <w:rPr>
          <w:i/>
          <w:iCs/>
        </w:rPr>
        <w:t>Katz</w:t>
      </w:r>
      <w:r w:rsidR="002771AE">
        <w:t>, 389 U.S. at</w:t>
      </w:r>
      <w:r w:rsidR="003F4848">
        <w:t xml:space="preserve"> 36</w:t>
      </w:r>
      <w:r w:rsidR="00C77C71">
        <w:t>0-</w:t>
      </w:r>
      <w:r w:rsidR="00422F4E">
        <w:t>62</w:t>
      </w:r>
      <w:r w:rsidR="003F4848">
        <w:t xml:space="preserve"> (Harlan, J., concurring)</w:t>
      </w:r>
      <w:r w:rsidR="0070537E">
        <w:t>.</w:t>
      </w:r>
    </w:p>
  </w:footnote>
  <w:footnote w:id="4">
    <w:p w14:paraId="2FE3CEA6" w14:textId="631139F7" w:rsidR="00DE5D44" w:rsidRPr="00617164" w:rsidRDefault="00DE5D44">
      <w:pPr>
        <w:pStyle w:val="FootnoteText"/>
      </w:pPr>
      <w:r w:rsidRPr="002A4234">
        <w:rPr>
          <w:rStyle w:val="FootnoteReference"/>
        </w:rPr>
        <w:footnoteRef/>
      </w:r>
      <w:r>
        <w:t xml:space="preserve"> </w:t>
      </w:r>
      <w:r>
        <w:rPr>
          <w:i/>
          <w:iCs/>
        </w:rPr>
        <w:t>See</w:t>
      </w:r>
      <w:r w:rsidR="00460CD2">
        <w:rPr>
          <w:i/>
          <w:iCs/>
        </w:rPr>
        <w:t xml:space="preserve"> </w:t>
      </w:r>
      <w:r w:rsidR="00460CD2">
        <w:t>United States v.</w:t>
      </w:r>
      <w:r>
        <w:t xml:space="preserve"> </w:t>
      </w:r>
      <w:r w:rsidR="004F1B4F">
        <w:t>Jones,</w:t>
      </w:r>
      <w:r w:rsidR="00460CD2">
        <w:t xml:space="preserve"> </w:t>
      </w:r>
      <w:r w:rsidR="00460CD2" w:rsidRPr="00460CD2">
        <w:t>565 U.S. 400</w:t>
      </w:r>
      <w:r w:rsidR="00460CD2">
        <w:t xml:space="preserve"> (2012);</w:t>
      </w:r>
      <w:r w:rsidR="004F1B4F">
        <w:t xml:space="preserve"> </w:t>
      </w:r>
      <w:r w:rsidR="00E81C26" w:rsidRPr="00E81C26">
        <w:t>Florida v. Jardines, 569 U.S. 1 (2013)</w:t>
      </w:r>
      <w:r w:rsidR="00E81C26">
        <w:t>;</w:t>
      </w:r>
      <w:r w:rsidR="004F1B4F">
        <w:t xml:space="preserve"> Carpenter</w:t>
      </w:r>
      <w:r w:rsidR="00E81C26">
        <w:t xml:space="preserve"> v. United States, </w:t>
      </w:r>
      <w:r w:rsidR="00E81C26" w:rsidRPr="00E81C26">
        <w:t>138 S.</w:t>
      </w:r>
      <w:r w:rsidR="00E81C26">
        <w:t xml:space="preserve"> </w:t>
      </w:r>
      <w:r w:rsidR="00E81C26" w:rsidRPr="00E81C26">
        <w:t>Ct. 2206</w:t>
      </w:r>
      <w:r w:rsidR="001639F7">
        <w:t>, 2261</w:t>
      </w:r>
      <w:r w:rsidR="00E81C26" w:rsidRPr="00E81C26">
        <w:t xml:space="preserve"> (2018)</w:t>
      </w:r>
      <w:r w:rsidR="001639F7">
        <w:t xml:space="preserve"> (Gorsuch, J., dissenting)</w:t>
      </w:r>
      <w:r w:rsidR="00617164">
        <w:t xml:space="preserve">; </w:t>
      </w:r>
      <w:r w:rsidR="00617164">
        <w:rPr>
          <w:i/>
          <w:iCs/>
        </w:rPr>
        <w:t xml:space="preserve">see also </w:t>
      </w:r>
      <w:r w:rsidR="007A47C8" w:rsidRPr="007A47C8">
        <w:rPr>
          <w:i/>
          <w:iCs/>
        </w:rPr>
        <w:t>Carpenter</w:t>
      </w:r>
      <w:r w:rsidR="007A47C8">
        <w:t xml:space="preserve">, </w:t>
      </w:r>
      <w:r w:rsidR="00043622">
        <w:t>138 S. Ct.</w:t>
      </w:r>
      <w:r w:rsidR="00617164">
        <w:t xml:space="preserve"> at 2224 (Kennedy, J., dissenting) (“[T]</w:t>
      </w:r>
      <w:r w:rsidR="00617164" w:rsidRPr="00617164">
        <w:t>he Court unhinges Fourth Amendment doctrine from the property-based concepts that have long grounded the analytic framework that pertains in these cases</w:t>
      </w:r>
      <w:r w:rsidR="00617164">
        <w:t>.”)</w:t>
      </w:r>
      <w:r w:rsidR="0070537E">
        <w:t>.</w:t>
      </w:r>
    </w:p>
  </w:footnote>
  <w:footnote w:id="5">
    <w:p w14:paraId="26AC4A9F" w14:textId="6F12EAB4" w:rsidR="00010A88" w:rsidRDefault="00010A88">
      <w:pPr>
        <w:pStyle w:val="FootnoteText"/>
      </w:pPr>
      <w:r w:rsidRPr="002A4234">
        <w:rPr>
          <w:rStyle w:val="FootnoteReference"/>
        </w:rPr>
        <w:footnoteRef/>
      </w:r>
      <w:r>
        <w:t xml:space="preserve"> </w:t>
      </w:r>
      <w:r w:rsidR="00222C08">
        <w:rPr>
          <w:i/>
          <w:iCs/>
        </w:rPr>
        <w:t xml:space="preserve">See generally </w:t>
      </w:r>
      <w:r w:rsidR="00222C08">
        <w:t xml:space="preserve">William Baude &amp; James Y. Stern, </w:t>
      </w:r>
      <w:r w:rsidR="00222C08">
        <w:rPr>
          <w:i/>
          <w:iCs/>
        </w:rPr>
        <w:t>The Positive Law Model of the Fourth Amendment</w:t>
      </w:r>
      <w:r w:rsidR="00222C08">
        <w:t xml:space="preserve">, 129 </w:t>
      </w:r>
      <w:r w:rsidR="00222C08" w:rsidRPr="00F422A8">
        <w:rPr>
          <w:smallCaps/>
        </w:rPr>
        <w:t>Harv. L. Rev.</w:t>
      </w:r>
      <w:r w:rsidR="00222C08">
        <w:t xml:space="preserve"> 1821</w:t>
      </w:r>
      <w:r w:rsidR="00FA0FD4">
        <w:t xml:space="preserve">, 1825 </w:t>
      </w:r>
      <w:r w:rsidR="00222C08">
        <w:t xml:space="preserve"> (2016)</w:t>
      </w:r>
      <w:r w:rsidR="006341B8">
        <w:t xml:space="preserve"> (arguing </w:t>
      </w:r>
      <w:r w:rsidR="00FA0FD4">
        <w:t>courts should resolve questions about Fourth Amendment searches by asking “</w:t>
      </w:r>
      <w:r w:rsidR="00FA0FD4" w:rsidRPr="00FA0FD4">
        <w:t>whether government officials have engaged in an investigative act that would be unlawful for a similarly situated private actor to perform</w:t>
      </w:r>
      <w:r w:rsidR="00FA0FD4">
        <w:t>”)</w:t>
      </w:r>
      <w:r w:rsidR="006341B8">
        <w:t xml:space="preserve"> </w:t>
      </w:r>
      <w:r w:rsidR="0067531E">
        <w:t xml:space="preserve">; </w:t>
      </w:r>
      <w:r w:rsidR="0067531E">
        <w:rPr>
          <w:i/>
          <w:iCs/>
        </w:rPr>
        <w:t>see also</w:t>
      </w:r>
      <w:r w:rsidR="0067531E">
        <w:t xml:space="preserve"> Note,</w:t>
      </w:r>
      <w:r>
        <w:t xml:space="preserve"> </w:t>
      </w:r>
      <w:r w:rsidR="00F74E68">
        <w:rPr>
          <w:i/>
          <w:iCs/>
        </w:rPr>
        <w:t>The Fourth Amendment’s Third Way</w:t>
      </w:r>
      <w:r w:rsidR="00F74E68">
        <w:t xml:space="preserve">, 120 </w:t>
      </w:r>
      <w:r w:rsidR="00F74E68" w:rsidRPr="00F422A8">
        <w:rPr>
          <w:smallCaps/>
        </w:rPr>
        <w:t>Harv. L. Rev</w:t>
      </w:r>
      <w:r w:rsidR="00F74E68">
        <w:t>. 1627</w:t>
      </w:r>
      <w:r w:rsidR="00703774">
        <w:t>, 1627</w:t>
      </w:r>
      <w:r w:rsidR="00F74E68">
        <w:t xml:space="preserve"> (2007)</w:t>
      </w:r>
      <w:r w:rsidR="00703774">
        <w:t xml:space="preserve"> (arguing that the Fourth Amendment “</w:t>
      </w:r>
      <w:r w:rsidR="00703774" w:rsidRPr="00703774">
        <w:t>should be interpreted as dynamically incorporating state law</w:t>
      </w:r>
      <w:r w:rsidR="00703774">
        <w:t>”)</w:t>
      </w:r>
      <w:r w:rsidR="00747962">
        <w:t>;</w:t>
      </w:r>
      <w:r>
        <w:t xml:space="preserve"> </w:t>
      </w:r>
      <w:r w:rsidR="00E5531B">
        <w:t>O</w:t>
      </w:r>
      <w:r w:rsidR="00E5531B" w:rsidRPr="00E5116B">
        <w:t xml:space="preserve">rin S. Kerr, </w:t>
      </w:r>
      <w:r w:rsidR="00E5531B" w:rsidRPr="00E5116B">
        <w:rPr>
          <w:i/>
          <w:iCs/>
        </w:rPr>
        <w:t>Four Models of Fourth Amendment Protection</w:t>
      </w:r>
      <w:r w:rsidR="00E5531B" w:rsidRPr="00E5116B">
        <w:t xml:space="preserve">, 60 </w:t>
      </w:r>
      <w:r w:rsidR="00E5531B" w:rsidRPr="00E5116B">
        <w:rPr>
          <w:smallCaps/>
        </w:rPr>
        <w:t>Stan. L. Rev.</w:t>
      </w:r>
      <w:r w:rsidR="00E5531B" w:rsidRPr="00E5116B">
        <w:t xml:space="preserve"> 503, 532</w:t>
      </w:r>
      <w:r w:rsidR="004954A4">
        <w:t>-</w:t>
      </w:r>
      <w:r w:rsidR="00E5531B" w:rsidRPr="00E5116B">
        <w:t>34 (2007)</w:t>
      </w:r>
      <w:r w:rsidR="00DD6ED1">
        <w:t xml:space="preserve"> (discussing the </w:t>
      </w:r>
      <w:r w:rsidR="00A92385">
        <w:t>benefits and drawbacks of looking to positive law in Fourth Amendment analysis)</w:t>
      </w:r>
      <w:r w:rsidR="00E5531B" w:rsidRPr="00E5116B">
        <w:t xml:space="preserve">; Richard M. Re, </w:t>
      </w:r>
      <w:r w:rsidR="00E5531B" w:rsidRPr="00E5116B">
        <w:rPr>
          <w:i/>
          <w:iCs/>
        </w:rPr>
        <w:t>The Positive Law Floor</w:t>
      </w:r>
      <w:r w:rsidR="00E5531B" w:rsidRPr="00E5116B">
        <w:t xml:space="preserve">, 129 </w:t>
      </w:r>
      <w:r w:rsidR="00E5531B" w:rsidRPr="00E5116B">
        <w:rPr>
          <w:smallCaps/>
        </w:rPr>
        <w:t>Harv. L. Rev. F.</w:t>
      </w:r>
      <w:r w:rsidR="00E5531B" w:rsidRPr="00E5116B">
        <w:t xml:space="preserve"> 313</w:t>
      </w:r>
      <w:r w:rsidR="00544C1B">
        <w:t>, 314</w:t>
      </w:r>
      <w:r w:rsidR="00E5531B" w:rsidRPr="00E5116B">
        <w:t xml:space="preserve"> (2016)</w:t>
      </w:r>
      <w:r w:rsidR="00544C1B">
        <w:t xml:space="preserve"> (arguing that courts should “</w:t>
      </w:r>
      <w:r w:rsidR="00544C1B" w:rsidRPr="00544C1B">
        <w:t>view privacy-related measures applicable to private parties as presumptively triggering the Fourth Amendment's prohibition on unreasonable searches</w:t>
      </w:r>
      <w:r w:rsidR="00544C1B">
        <w:t>”)</w:t>
      </w:r>
      <w:r w:rsidR="00E5531B" w:rsidRPr="00E5116B">
        <w:t xml:space="preserve">; Daniel B. Yeager, </w:t>
      </w:r>
      <w:r w:rsidR="00E5531B" w:rsidRPr="00E5116B">
        <w:rPr>
          <w:i/>
          <w:iCs/>
        </w:rPr>
        <w:t>Search, Seizure and the Positive Law: Expectations of Privacy Outside the Fourth Amendment</w:t>
      </w:r>
      <w:r w:rsidR="00E5531B" w:rsidRPr="00E5116B">
        <w:t xml:space="preserve">, 84 </w:t>
      </w:r>
      <w:r w:rsidR="00E5531B" w:rsidRPr="00E5116B">
        <w:rPr>
          <w:smallCaps/>
        </w:rPr>
        <w:t>J. Crim. L. &amp; Criminology</w:t>
      </w:r>
      <w:r w:rsidR="00E5531B" w:rsidRPr="00E5116B">
        <w:t xml:space="preserve"> 249</w:t>
      </w:r>
      <w:r w:rsidR="005A4F60">
        <w:t>, 251</w:t>
      </w:r>
      <w:r w:rsidR="00E5531B" w:rsidRPr="00E5116B">
        <w:t xml:space="preserve"> (1993)</w:t>
      </w:r>
      <w:r w:rsidR="005A4F60">
        <w:t xml:space="preserve"> (arguing that </w:t>
      </w:r>
      <w:r w:rsidR="00813AC9">
        <w:t xml:space="preserve">for courts interpreting the Fourth Amendment, </w:t>
      </w:r>
      <w:r w:rsidR="005A4F60">
        <w:t>“</w:t>
      </w:r>
      <w:r w:rsidR="005A4F60" w:rsidRPr="005A4F60">
        <w:t xml:space="preserve">the positive law </w:t>
      </w:r>
      <w:r w:rsidR="005A4F60">
        <w:t>[cav]</w:t>
      </w:r>
      <w:r w:rsidR="005A4F60" w:rsidRPr="005A4F60">
        <w:t xml:space="preserve"> provide a co</w:t>
      </w:r>
      <w:r w:rsidR="005A4F60">
        <w:t>n</w:t>
      </w:r>
      <w:r w:rsidR="005A4F60" w:rsidRPr="005A4F60">
        <w:t>crete inventory of expectations drawn from local property, tort, contract, and criminal laws</w:t>
      </w:r>
      <w:r w:rsidR="005A4F60">
        <w:t>”)</w:t>
      </w:r>
      <w:r w:rsidR="00C15A11">
        <w:t>.</w:t>
      </w:r>
    </w:p>
  </w:footnote>
  <w:footnote w:id="6">
    <w:p w14:paraId="457A61EB" w14:textId="294E8E4E" w:rsidR="00F72AA6" w:rsidRDefault="00F72AA6">
      <w:pPr>
        <w:pStyle w:val="FootnoteText"/>
      </w:pPr>
      <w:r w:rsidRPr="002A4234">
        <w:rPr>
          <w:rStyle w:val="FootnoteReference"/>
        </w:rPr>
        <w:footnoteRef/>
      </w:r>
      <w:r>
        <w:t xml:space="preserve"> </w:t>
      </w:r>
      <w:r>
        <w:fldChar w:fldCharType="begin"/>
      </w:r>
      <w:r w:rsidR="00E5116B">
        <w:instrText xml:space="preserve"> ADDIN ZOTERO_ITEM CSL_CITATION {"citationID":"mugSVVg9","properties":{"formattedCitation":"Baude &amp; Stern, {\\i{}supra} note 4, at 1825","plainCitation":"Baude &amp; Stern, supra note 4, at 1825","noteIndex":5},"citationItems":[{"id":2966,"uris":["http://zotero.org/groups/2816150/items/J6IBBYF4"],"uri":["http://zotero.org/groups/2816150/items/J6IBBYF4"],"itemData":{"id":2966,"type":"article-journal","container-title":"Harvard Law Review","journalAbbreviation":"Harv. L. Rev.","language":"eng","page":"1821-1889","source":"HeinOnline","title":"The Positive Law Model of the Fourth Amendment","volume":"129","author":[{"family":"Baude","given":"William"},{"family":"Stern","given":"James Y."}],"issued":{"date-parts":[["2016"]]}},"locator":"1825","label":"page"}],"schema":"https://github.com/citation-style-language/schema/raw/master/csl-citation.json"} </w:instrText>
      </w:r>
      <w:r>
        <w:fldChar w:fldCharType="separate"/>
      </w:r>
      <w:r w:rsidR="00E5116B" w:rsidRPr="00E5116B">
        <w:t xml:space="preserve">Baude &amp; Stern, </w:t>
      </w:r>
      <w:r w:rsidR="00E5116B" w:rsidRPr="00E5116B">
        <w:rPr>
          <w:i/>
          <w:iCs/>
        </w:rPr>
        <w:t>supra</w:t>
      </w:r>
      <w:r w:rsidR="00E5116B" w:rsidRPr="00E5116B">
        <w:t xml:space="preserve"> note </w:t>
      </w:r>
      <w:r w:rsidR="003E5CFA">
        <w:fldChar w:fldCharType="begin"/>
      </w:r>
      <w:r w:rsidR="003E5CFA">
        <w:instrText xml:space="preserve"> NOTEREF _Ref113024660 \h </w:instrText>
      </w:r>
      <w:r w:rsidR="003E5CFA">
        <w:fldChar w:fldCharType="separate"/>
      </w:r>
      <w:r w:rsidR="00405D69">
        <w:t>4</w:t>
      </w:r>
      <w:r w:rsidR="003E5CFA">
        <w:fldChar w:fldCharType="end"/>
      </w:r>
      <w:r w:rsidR="00E5116B" w:rsidRPr="00E5116B">
        <w:t>, at 1825</w:t>
      </w:r>
      <w:r>
        <w:fldChar w:fldCharType="end"/>
      </w:r>
      <w:r w:rsidR="00E5116B">
        <w:t>.</w:t>
      </w:r>
    </w:p>
  </w:footnote>
  <w:footnote w:id="7">
    <w:p w14:paraId="03E09804" w14:textId="21A629C8" w:rsidR="00FE45CF" w:rsidRDefault="00FE45CF">
      <w:pPr>
        <w:pStyle w:val="FootnoteText"/>
      </w:pPr>
      <w:r w:rsidRPr="002A4234">
        <w:rPr>
          <w:rStyle w:val="FootnoteReference"/>
        </w:rPr>
        <w:footnoteRef/>
      </w:r>
      <w:r>
        <w:t xml:space="preserve"> </w:t>
      </w:r>
      <w:r w:rsidRPr="00FE45CF">
        <w:t>138 S. Ct. 2206</w:t>
      </w:r>
      <w:r>
        <w:t xml:space="preserve"> (2018).</w:t>
      </w:r>
    </w:p>
  </w:footnote>
  <w:footnote w:id="8">
    <w:p w14:paraId="2480EA06" w14:textId="1FB7ED3A" w:rsidR="00FE45CF" w:rsidRPr="00FE45CF" w:rsidRDefault="00FE45CF">
      <w:pPr>
        <w:pStyle w:val="FootnoteText"/>
      </w:pPr>
      <w:r w:rsidRPr="002A4234">
        <w:rPr>
          <w:rStyle w:val="FootnoteReference"/>
        </w:rPr>
        <w:footnoteRef/>
      </w:r>
      <w:r>
        <w:t xml:space="preserve"> </w:t>
      </w:r>
      <w:r>
        <w:rPr>
          <w:i/>
          <w:iCs/>
        </w:rPr>
        <w:t>Id.</w:t>
      </w:r>
      <w:r>
        <w:t xml:space="preserve"> at 2268.</w:t>
      </w:r>
    </w:p>
  </w:footnote>
  <w:footnote w:id="9">
    <w:p w14:paraId="6CF7E716" w14:textId="24B82CAB" w:rsidR="002A3A0F" w:rsidRDefault="002A3A0F">
      <w:pPr>
        <w:pStyle w:val="FootnoteText"/>
      </w:pPr>
      <w:r w:rsidRPr="002A4234">
        <w:rPr>
          <w:rStyle w:val="FootnoteReference"/>
        </w:rPr>
        <w:footnoteRef/>
      </w:r>
      <w:r>
        <w:t xml:space="preserve"> </w:t>
      </w:r>
      <w:r>
        <w:fldChar w:fldCharType="begin"/>
      </w:r>
      <w:r w:rsidR="00E5116B">
        <w:instrText xml:space="preserve"> ADDIN ZOTERO_ITEM CSL_CITATION {"citationID":"iSyEJl7o","properties":{"formattedCitation":"{\\i{}See} Akhil Reed Amar, {\\i{}Fourth Amendment First Principles}, 107 {\\scaps Harv. L. Rev.} 757, 818 (1994)","plainCitation":"See Akhil Reed Amar, Fourth Amendment First Principles, 107 Harv. L. Rev. 757, 818 (1994)","noteIndex":8},"citationItems":[{"id":2964,"uris":["http://zotero.org/groups/2816150/items/LLINRXLZ"],"uri":["http://zotero.org/groups/2816150/items/LLINRXLZ"],"itemData":{"id":2964,"type":"article-journal","container-title":"Harvard Law Review","journalAbbreviation":"Harv. L. Rev.","page":"757","title":"Fourth Amendment First Principles","volume":"107","author":[{"family":"Amar","given":"Akhil Reed"}],"issued":{"date-parts":[["1994"]]}},"locator":"818","label":"page","prefix":"&lt;i&gt;See&lt;/i&gt; "}],"schema":"https://github.com/citation-style-language/schema/raw/master/csl-citation.json"} </w:instrText>
      </w:r>
      <w:r>
        <w:fldChar w:fldCharType="separate"/>
      </w:r>
      <w:r w:rsidR="00E5116B" w:rsidRPr="00E5116B">
        <w:rPr>
          <w:i/>
          <w:iCs/>
        </w:rPr>
        <w:t>See</w:t>
      </w:r>
      <w:r w:rsidR="00E5116B" w:rsidRPr="00E5116B">
        <w:t xml:space="preserve"> Akhil Reed Amar, </w:t>
      </w:r>
      <w:r w:rsidR="00E5116B" w:rsidRPr="00E5116B">
        <w:rPr>
          <w:i/>
          <w:iCs/>
        </w:rPr>
        <w:t>Fourth Amendment First Principles</w:t>
      </w:r>
      <w:r w:rsidR="00E5116B" w:rsidRPr="00E5116B">
        <w:t xml:space="preserve">, 107 </w:t>
      </w:r>
      <w:r w:rsidR="00E5116B" w:rsidRPr="00E5116B">
        <w:rPr>
          <w:smallCaps/>
        </w:rPr>
        <w:t>Harv. L. Rev.</w:t>
      </w:r>
      <w:r w:rsidR="00E5116B" w:rsidRPr="00E5116B">
        <w:t xml:space="preserve"> 757, 818 (1994)</w:t>
      </w:r>
      <w:r>
        <w:fldChar w:fldCharType="end"/>
      </w:r>
      <w:r w:rsidR="00E5116B">
        <w:t>.</w:t>
      </w:r>
    </w:p>
  </w:footnote>
  <w:footnote w:id="10">
    <w:p w14:paraId="7744CB10" w14:textId="220E96B4" w:rsidR="00CA4784" w:rsidRDefault="00CA4784">
      <w:pPr>
        <w:pStyle w:val="FootnoteText"/>
      </w:pPr>
      <w:r w:rsidRPr="002A4234">
        <w:rPr>
          <w:rStyle w:val="FootnoteReference"/>
        </w:rPr>
        <w:footnoteRef/>
      </w:r>
      <w:r>
        <w:t xml:space="preserve"> </w:t>
      </w:r>
      <w:r>
        <w:fldChar w:fldCharType="begin"/>
      </w:r>
      <w:r w:rsidR="00E5116B">
        <w:instrText xml:space="preserve"> ADDIN ZOTERO_ITEM CSL_CITATION {"citationID":"6GdLZyXy","properties":{"formattedCitation":"Caleb Nelson, {\\i{}The Persistence of General Law}, 106 {\\scaps Colum. L. Rev.} 503, 505 (2006)","plainCitation":"Caleb Nelson, The Persistence of General Law, 106 Colum. L. Rev. 503, 505 (2006)","noteIndex":9},"citationItems":[{"id":2933,"uris":["http://zotero.org/groups/2816150/items/NGIGT4FH"],"uri":["http://zotero.org/groups/2816150/items/NGIGT4FH"],"itemData":{"id":2933,"type":"article-journal","container-title":"Columbia Law Review","issue":"3","journalAbbreviation":"Colum. L. Rev.","language":"eng","page":"503-568","source":"HeinOnline","title":"The Persistence of General Law","volume":"106","author":[{"family":"Nelson","given":"Caleb"}],"issued":{"date-parts":[["2006"]]}},"locator":"505","label":"page"}],"schema":"https://github.com/citation-style-language/schema/raw/master/csl-citation.json"} </w:instrText>
      </w:r>
      <w:r>
        <w:fldChar w:fldCharType="separate"/>
      </w:r>
      <w:r w:rsidR="00E5116B" w:rsidRPr="00E5116B">
        <w:t xml:space="preserve">Caleb Nelson, </w:t>
      </w:r>
      <w:r w:rsidR="00E5116B" w:rsidRPr="00E5116B">
        <w:rPr>
          <w:i/>
          <w:iCs/>
        </w:rPr>
        <w:t>The Persistence of General Law</w:t>
      </w:r>
      <w:r w:rsidR="00E5116B" w:rsidRPr="00E5116B">
        <w:t xml:space="preserve">, 106 </w:t>
      </w:r>
      <w:r w:rsidR="00E5116B" w:rsidRPr="00E5116B">
        <w:rPr>
          <w:smallCaps/>
        </w:rPr>
        <w:t>Colum. L. Rev.</w:t>
      </w:r>
      <w:r w:rsidR="00E5116B" w:rsidRPr="00E5116B">
        <w:t xml:space="preserve"> 503, 505 (2006)</w:t>
      </w:r>
      <w:r>
        <w:fldChar w:fldCharType="end"/>
      </w:r>
      <w:r w:rsidR="00E5116B">
        <w:t>.</w:t>
      </w:r>
    </w:p>
  </w:footnote>
  <w:footnote w:id="11">
    <w:p w14:paraId="12C4A2A7" w14:textId="10D2628B" w:rsidR="003E4E99" w:rsidRPr="003E4E99" w:rsidRDefault="003E4E99">
      <w:pPr>
        <w:pStyle w:val="FootnoteText"/>
      </w:pPr>
      <w:r w:rsidRPr="002A4234">
        <w:rPr>
          <w:rStyle w:val="FootnoteReference"/>
        </w:rPr>
        <w:footnoteRef/>
      </w:r>
      <w:r>
        <w:t xml:space="preserve"> </w:t>
      </w:r>
      <w:r>
        <w:rPr>
          <w:i/>
          <w:iCs/>
        </w:rPr>
        <w:t>See infra</w:t>
      </w:r>
      <w:r>
        <w:t xml:space="preserve"> </w:t>
      </w:r>
      <w:r w:rsidR="009867EC">
        <w:t>Section II.C.1</w:t>
      </w:r>
      <w:r>
        <w:t>.</w:t>
      </w:r>
    </w:p>
  </w:footnote>
  <w:footnote w:id="12">
    <w:p w14:paraId="6B3EED3E" w14:textId="6AC12509" w:rsidR="00D601E7" w:rsidRPr="00D601E7" w:rsidRDefault="00D601E7">
      <w:pPr>
        <w:pStyle w:val="FootnoteText"/>
        <w:rPr>
          <w:smallCaps/>
        </w:rPr>
      </w:pPr>
      <w:r w:rsidRPr="002A4234">
        <w:rPr>
          <w:rStyle w:val="FootnoteReference"/>
        </w:rPr>
        <w:footnoteRef/>
      </w:r>
      <w:r>
        <w:t xml:space="preserve"> </w:t>
      </w:r>
      <w:r>
        <w:rPr>
          <w:smallCaps/>
        </w:rPr>
        <w:t xml:space="preserve">U.S. Const. </w:t>
      </w:r>
      <w:r w:rsidR="009656E7" w:rsidRPr="009656E7">
        <w:t>amend.</w:t>
      </w:r>
      <w:r w:rsidR="009656E7">
        <w:rPr>
          <w:smallCaps/>
        </w:rPr>
        <w:t xml:space="preserve"> IV.</w:t>
      </w:r>
    </w:p>
  </w:footnote>
  <w:footnote w:id="13">
    <w:p w14:paraId="698E9703" w14:textId="15D6606D" w:rsidR="00A017C6" w:rsidRPr="00AC26F5" w:rsidRDefault="00A017C6">
      <w:pPr>
        <w:pStyle w:val="FootnoteText"/>
      </w:pPr>
      <w:r w:rsidRPr="002A4234">
        <w:rPr>
          <w:rStyle w:val="FootnoteReference"/>
        </w:rPr>
        <w:footnoteRef/>
      </w:r>
      <w:r>
        <w:t xml:space="preserve"> </w:t>
      </w:r>
      <w:r>
        <w:rPr>
          <w:i/>
          <w:iCs/>
        </w:rPr>
        <w:t>See</w:t>
      </w:r>
      <w:r w:rsidR="001304C6">
        <w:rPr>
          <w:i/>
          <w:iCs/>
        </w:rPr>
        <w:t xml:space="preserve"> generally</w:t>
      </w:r>
      <w:r>
        <w:t xml:space="preserve"> </w:t>
      </w:r>
      <w:r w:rsidR="0070537E">
        <w:fldChar w:fldCharType="begin"/>
      </w:r>
      <w:r w:rsidR="00E5116B">
        <w:instrText xml:space="preserve"> ADDIN ZOTERO_ITEM CSL_CITATION {"citationID":"k8l6KIhR","properties":{"formattedCitation":"Danielle D\\uc0\\u8217{}Onfro, {\\i{}The New Bailments}, 97 {\\scaps Wash. L. Rev.} __ (forthcoming 2022)","plainCitation":"Danielle D’Onfro, The New Bailments, 97 Wash. L. Rev. __ (forthcoming 2022)","noteIndex":12},"citationItems":[{"id":3243,"uris":["http://zotero.org/groups/2816150/items/S6DUJKA2"],"uri":["http://zotero.org/groups/2816150/items/S6DUJKA2"],"itemData":{"id":3243,"type":"article-journal","abstract":"The rise of cloud computing has dramatically changed how consumers and firms store their belongings. Property that owners once managed directly now exists primarily on infrastruc-ture maintained by intermediaries. Consumers entrust their photos to Apple instead of scrap-books; businesses put their documents on Amazon’s servers instead of in file cabinets; seemingly everything runs in the cloud. Were these belongings tangible, the relationship between owner and intermediary would be governed by the common-law doctrine of bailment. Bailments are mandatory relationships formed when one party entrusts their property to another. Within this relationship, the bailees owe the bailors a duty of care and may be liable if they failed to return the property. The parties can use contract to customize the relationship but not to disclaim entirely. Tracing the law of bailment relationships from its ancient roots to the present, this Article argues that cloud storage should be understood as creating a bailment relationship. The law of bailment, though developed in the Middle Ages, provides a robust framework for govern-ing twenty-first century electronic intermediaries. Though the kind of stored property has changed, the parties’ expectations and incentives have not. Yet the decline of litigation, the rise of arbitration, federal diversity jurisdiction, and the ever-growing dominance of contract has thus far prevented courts from applying the law of bailments to these new services. Recognizing cloud storage as a bailment would have significant implications. Most immedi-ately, it would suggest that important provisions in many cloud storage services’ contracts are unenforceable. A hand-collected dataset of 61 cloud storage contracts, reveals that most have include general disclaimers for any liability for lost data. These disclaimers are inconsistent with the duty of care that is the foundation of the law of bailment. In addition, understand-ing cloud storage as a bailment would have important implications for both the law of con-sumer protection and Fourth Amendment protections.","container-title":"Washington University Law Review","DOI":"10.2139/ssrn.3785711","journalAbbreviation":"Wash. L. Rev.","language":"en","page":"__","source":"papers.ssrn.com","title":"The New Bailments","volume":"97","author":[{"family":"D'Onfro","given":"Danielle"}],"issued":{"date-parts":[["2022"]],"season":"forthcoming"}}}],"schema":"https://github.com/citation-style-language/schema/raw/master/csl-citation.json"} </w:instrText>
      </w:r>
      <w:r w:rsidR="0070537E">
        <w:fldChar w:fldCharType="separate"/>
      </w:r>
      <w:r w:rsidR="00E5116B" w:rsidRPr="00E5116B">
        <w:t xml:space="preserve">Danielle D’Onfro, </w:t>
      </w:r>
      <w:r w:rsidR="00E5116B" w:rsidRPr="00E5116B">
        <w:rPr>
          <w:i/>
          <w:iCs/>
        </w:rPr>
        <w:t>The New Bailments</w:t>
      </w:r>
      <w:r w:rsidR="00E5116B" w:rsidRPr="00E5116B">
        <w:t xml:space="preserve">, 97 </w:t>
      </w:r>
      <w:r w:rsidR="00E5116B" w:rsidRPr="00E5116B">
        <w:rPr>
          <w:smallCaps/>
        </w:rPr>
        <w:t>Wash. L. Rev.</w:t>
      </w:r>
      <w:r w:rsidR="00E5116B" w:rsidRPr="00E5116B">
        <w:t xml:space="preserve"> </w:t>
      </w:r>
      <w:r w:rsidR="000B5911">
        <w:t>97</w:t>
      </w:r>
      <w:r w:rsidR="007912A3" w:rsidRPr="00E5116B">
        <w:t xml:space="preserve"> (</w:t>
      </w:r>
      <w:r w:rsidR="00E5116B" w:rsidRPr="00E5116B">
        <w:t>2022)</w:t>
      </w:r>
      <w:r w:rsidR="0070537E">
        <w:fldChar w:fldCharType="end"/>
      </w:r>
      <w:r w:rsidR="00D6737D">
        <w:t xml:space="preserve"> (arguing that cloud storage could create a bailment relationship)</w:t>
      </w:r>
      <w:r w:rsidR="00E5116B">
        <w:t>.</w:t>
      </w:r>
    </w:p>
  </w:footnote>
  <w:footnote w:id="14">
    <w:p w14:paraId="52973797" w14:textId="298BC30C" w:rsidR="00C75F86" w:rsidRPr="00C75F86" w:rsidRDefault="00C75F86">
      <w:pPr>
        <w:pStyle w:val="FootnoteText"/>
      </w:pPr>
      <w:r w:rsidRPr="002A4234">
        <w:rPr>
          <w:rStyle w:val="FootnoteReference"/>
        </w:rPr>
        <w:footnoteRef/>
      </w:r>
      <w:r>
        <w:t xml:space="preserve"> </w:t>
      </w:r>
      <w:r>
        <w:rPr>
          <w:i/>
          <w:iCs/>
        </w:rPr>
        <w:t>See</w:t>
      </w:r>
      <w:r>
        <w:t xml:space="preserve"> California v. Greenwood, </w:t>
      </w:r>
      <w:r w:rsidR="00C04B76">
        <w:t>486 U.S. 35 (19</w:t>
      </w:r>
      <w:r w:rsidR="00FF2D44">
        <w:t>8</w:t>
      </w:r>
      <w:r w:rsidR="00C04B76">
        <w:t>8).</w:t>
      </w:r>
    </w:p>
  </w:footnote>
  <w:footnote w:id="15">
    <w:p w14:paraId="425F0A3F" w14:textId="717FC7DF" w:rsidR="00BD719A" w:rsidRDefault="00BD719A">
      <w:pPr>
        <w:pStyle w:val="FootnoteText"/>
      </w:pPr>
      <w:r w:rsidRPr="002A4234">
        <w:rPr>
          <w:rStyle w:val="FootnoteReference"/>
        </w:rPr>
        <w:footnoteRef/>
      </w:r>
      <w:r>
        <w:t xml:space="preserve"> </w:t>
      </w:r>
      <w:r w:rsidRPr="00BD719A">
        <w:t>304 U.S. 64, 78 (1938).</w:t>
      </w:r>
    </w:p>
  </w:footnote>
  <w:footnote w:id="16">
    <w:p w14:paraId="68536DB7" w14:textId="20998795" w:rsidR="00AE0F8A" w:rsidRDefault="00AE0F8A">
      <w:pPr>
        <w:pStyle w:val="FootnoteText"/>
      </w:pPr>
      <w:r w:rsidRPr="002A4234">
        <w:rPr>
          <w:rStyle w:val="FootnoteReference"/>
        </w:rPr>
        <w:footnoteRef/>
      </w:r>
      <w:r>
        <w:t xml:space="preserve"> </w:t>
      </w:r>
      <w:r>
        <w:fldChar w:fldCharType="begin"/>
      </w:r>
      <w:r w:rsidR="00E5116B">
        <w:instrText xml:space="preserve"> ADDIN ZOTERO_ITEM CSL_CITATION {"citationID":"D0jBUtDV","properties":{"formattedCitation":"{\\i{}See} Anthony J. Jr. Bellia &amp; Bradford R. Clark, {\\i{}General Law in Federal Court}, 54 {\\scaps Wm. &amp; Mary L. Rev.} 655, 662 (2013)","plainCitation":"See Anthony J. Jr. Bellia &amp; Bradford R. Clark, General Law in Federal Court, 54 Wm. &amp; Mary L. Rev. 655, 662 (2013)","noteIndex":15},"citationItems":[{"id":2924,"uris":["http://zotero.org/groups/2816150/items/LY5HZDGJ"],"uri":["http://zotero.org/groups/2816150/items/LY5HZDGJ"],"itemData":{"id":2924,"type":"article-journal","container-title":"William &amp; Mary Law Review","issue":"3","journalAbbreviation":"Wm. &amp; Mary L. Rev.","language":"eng","page":"655-724","source":"HeinOnline","title":"General Law in Federal Court","volume":"54","author":[{"family":"Bellia","given":"Anthony J. Jr."},{"family":"Clark","given":"Bradford R."}],"issued":{"date-parts":[["2013"]]}},"locator":"662","label":"page","prefix":"&lt;i&gt;See&lt;/i&gt; "}],"schema":"https://github.com/citation-style-language/schema/raw/master/csl-citation.json"} </w:instrText>
      </w:r>
      <w:r>
        <w:fldChar w:fldCharType="separate"/>
      </w:r>
      <w:r w:rsidR="00E5116B" w:rsidRPr="00E5116B">
        <w:rPr>
          <w:i/>
          <w:iCs/>
        </w:rPr>
        <w:t>See</w:t>
      </w:r>
      <w:r w:rsidR="00E5116B" w:rsidRPr="00E5116B">
        <w:t xml:space="preserve"> Anthony J. Bellia </w:t>
      </w:r>
      <w:r w:rsidR="00481760" w:rsidRPr="00E5116B">
        <w:t xml:space="preserve">Jr. </w:t>
      </w:r>
      <w:r w:rsidR="00E5116B" w:rsidRPr="00E5116B">
        <w:t xml:space="preserve">&amp; Bradford R. Clark, </w:t>
      </w:r>
      <w:r w:rsidR="00E5116B" w:rsidRPr="00E5116B">
        <w:rPr>
          <w:i/>
          <w:iCs/>
        </w:rPr>
        <w:t>General Law in Federal Court</w:t>
      </w:r>
      <w:r w:rsidR="00E5116B" w:rsidRPr="00E5116B">
        <w:t xml:space="preserve">, 54 </w:t>
      </w:r>
      <w:r w:rsidR="00E5116B" w:rsidRPr="00E5116B">
        <w:rPr>
          <w:smallCaps/>
        </w:rPr>
        <w:t>Wm. &amp; Mary L. Rev.</w:t>
      </w:r>
      <w:r w:rsidR="00E5116B" w:rsidRPr="00E5116B">
        <w:t xml:space="preserve"> 655, 662 (2013)</w:t>
      </w:r>
      <w:r>
        <w:fldChar w:fldCharType="end"/>
      </w:r>
      <w:r w:rsidR="00E5116B">
        <w:t>.</w:t>
      </w:r>
    </w:p>
  </w:footnote>
  <w:footnote w:id="17">
    <w:p w14:paraId="168BFD1E" w14:textId="3CF32BEE" w:rsidR="00A13B01" w:rsidRDefault="00A13B01">
      <w:pPr>
        <w:pStyle w:val="FootnoteText"/>
      </w:pPr>
      <w:r w:rsidRPr="002A4234">
        <w:rPr>
          <w:rStyle w:val="FootnoteReference"/>
        </w:rPr>
        <w:footnoteRef/>
      </w:r>
      <w:r>
        <w:t xml:space="preserve"> </w:t>
      </w:r>
      <w:r w:rsidR="00260104">
        <w:t>Cordula v. Dietrich, 101 N.W.2d 126, 127 (</w:t>
      </w:r>
      <w:r w:rsidR="0026193A">
        <w:t xml:space="preserve">Wis. </w:t>
      </w:r>
      <w:r w:rsidR="00260104">
        <w:t>1960) (</w:t>
      </w:r>
      <w:r w:rsidR="007705A7">
        <w:t xml:space="preserve">noting that </w:t>
      </w:r>
      <w:r w:rsidR="00260104">
        <w:t xml:space="preserve">social guests are licensees, not invitees); </w:t>
      </w:r>
      <w:r w:rsidR="00AC1D7C">
        <w:fldChar w:fldCharType="begin"/>
      </w:r>
      <w:r w:rsidR="00E5116B">
        <w:instrText xml:space="preserve"> ADDIN ZOTERO_ITEM CSL_CITATION {"citationID":"HVakN5Xk","properties":{"formattedCitation":"{\\scaps Restatement (Second) of Torts} \\uc0\\u167{} 330 (Am. L. Inst. 1965)","plainCitation":"Restatement (Second) of Torts § 330 (Am. L. Inst. 1965)","noteIndex":16},"citationItems":[{"id":3235,"uris":["http://zotero.org/groups/2816150/items/LZ9KP39U"],"uri":["http://zotero.org/groups/2816150/items/LZ9KP39U"],"itemData":{"id":3235,"type":"book","publisher":"Am. L. Inst.","title":"Restatement (Second) of Torts","issued":{"date-parts":[["1965"]]}},"locator":"330","label":"section"}],"schema":"https://github.com/citation-style-language/schema/raw/master/csl-citation.json"} </w:instrText>
      </w:r>
      <w:r w:rsidR="00AC1D7C">
        <w:fldChar w:fldCharType="separate"/>
      </w:r>
      <w:r w:rsidR="00E5116B" w:rsidRPr="00E5116B">
        <w:rPr>
          <w:smallCaps/>
        </w:rPr>
        <w:t>Restatement (Second) of Torts</w:t>
      </w:r>
      <w:r w:rsidR="00E5116B" w:rsidRPr="00E5116B">
        <w:t xml:space="preserve"> §</w:t>
      </w:r>
      <w:r w:rsidR="005E7F12">
        <w:t> </w:t>
      </w:r>
      <w:r w:rsidR="00E5116B" w:rsidRPr="00E5116B">
        <w:t>330 (Am. L. Inst. 1965)</w:t>
      </w:r>
      <w:r w:rsidR="00AC1D7C">
        <w:fldChar w:fldCharType="end"/>
      </w:r>
      <w:r w:rsidR="00325F3C">
        <w:t xml:space="preserve"> </w:t>
      </w:r>
      <w:r w:rsidR="00502184">
        <w:t>(“</w:t>
      </w:r>
      <w:r w:rsidR="00502184" w:rsidRPr="00502184">
        <w:t>A licensee is a person who is privileged to enter or remain on land only by virtue of the possessor</w:t>
      </w:r>
      <w:r w:rsidR="00AC1D7C">
        <w:t>’</w:t>
      </w:r>
      <w:r w:rsidR="00502184" w:rsidRPr="00502184">
        <w:t>s consent.</w:t>
      </w:r>
      <w:r w:rsidR="00502184">
        <w:t>”).</w:t>
      </w:r>
    </w:p>
  </w:footnote>
  <w:footnote w:id="18">
    <w:p w14:paraId="33AFC0E8" w14:textId="799C5CF9" w:rsidR="00304EDA" w:rsidRPr="00976189" w:rsidRDefault="00304EDA">
      <w:pPr>
        <w:pStyle w:val="FootnoteText"/>
      </w:pPr>
      <w:r w:rsidRPr="002A4234">
        <w:rPr>
          <w:rStyle w:val="FootnoteReference"/>
        </w:rPr>
        <w:footnoteRef/>
      </w:r>
      <w:r>
        <w:t xml:space="preserve"> </w:t>
      </w:r>
      <w:r w:rsidR="00976189">
        <w:rPr>
          <w:i/>
          <w:iCs/>
        </w:rPr>
        <w:t>See</w:t>
      </w:r>
      <w:r w:rsidR="00976189">
        <w:t xml:space="preserve"> </w:t>
      </w:r>
      <w:r w:rsidR="00976189" w:rsidRPr="00976189">
        <w:t>Minnesota v. Olson, 495 U.S. 91</w:t>
      </w:r>
      <w:r w:rsidR="00633DDE">
        <w:t>, 93</w:t>
      </w:r>
      <w:r w:rsidR="00976189" w:rsidRPr="00976189">
        <w:t xml:space="preserve"> (1990)</w:t>
      </w:r>
      <w:r w:rsidR="00976189">
        <w:t xml:space="preserve">; </w:t>
      </w:r>
      <w:r w:rsidR="00976189">
        <w:rPr>
          <w:i/>
          <w:iCs/>
        </w:rPr>
        <w:t>see also</w:t>
      </w:r>
      <w:r w:rsidR="00976189">
        <w:t xml:space="preserve"> </w:t>
      </w:r>
      <w:bookmarkStart w:id="11" w:name="_Hlk85715760"/>
      <w:r w:rsidR="00976189">
        <w:t xml:space="preserve">Minnesota v. Carter, 525 U.S. 83, </w:t>
      </w:r>
      <w:r w:rsidR="00A017C6">
        <w:t>96</w:t>
      </w:r>
      <w:r w:rsidR="00395282">
        <w:t>-</w:t>
      </w:r>
      <w:r w:rsidR="00A017C6">
        <w:t>97 (1998) (Scalia, J., concurring</w:t>
      </w:r>
      <w:bookmarkEnd w:id="11"/>
      <w:r w:rsidR="00A017C6">
        <w:t>)</w:t>
      </w:r>
      <w:r w:rsidR="00862A6F">
        <w:t xml:space="preserve"> (question</w:t>
      </w:r>
      <w:r w:rsidR="003507A7">
        <w:t xml:space="preserve">ing </w:t>
      </w:r>
      <w:r w:rsidR="005669AB">
        <w:t xml:space="preserve">the Court’s decision in </w:t>
      </w:r>
      <w:r w:rsidR="005669AB">
        <w:rPr>
          <w:i/>
          <w:iCs/>
        </w:rPr>
        <w:t>Olson</w:t>
      </w:r>
      <w:r w:rsidR="005669AB">
        <w:t xml:space="preserve"> to extend </w:t>
      </w:r>
      <w:r w:rsidR="00FA7F88">
        <w:t xml:space="preserve">Fourth Amendment protections </w:t>
      </w:r>
      <w:r w:rsidR="008B3F64">
        <w:t>to “a mere overnight guest”)</w:t>
      </w:r>
      <w:r w:rsidR="00A017C6">
        <w:t>.</w:t>
      </w:r>
    </w:p>
  </w:footnote>
  <w:footnote w:id="19">
    <w:p w14:paraId="56DBF800" w14:textId="7EA7B444" w:rsidR="00A13B01" w:rsidRPr="00E5116B" w:rsidRDefault="00A13B01">
      <w:pPr>
        <w:pStyle w:val="FootnoteText"/>
      </w:pPr>
      <w:r w:rsidRPr="002A4234">
        <w:rPr>
          <w:rStyle w:val="FootnoteReference"/>
        </w:rPr>
        <w:footnoteRef/>
      </w:r>
      <w:r>
        <w:t xml:space="preserve"> </w:t>
      </w:r>
      <w:r>
        <w:rPr>
          <w:i/>
          <w:iCs/>
        </w:rPr>
        <w:t xml:space="preserve">See </w:t>
      </w:r>
      <w:r w:rsidR="000A5B0C">
        <w:rPr>
          <w:i/>
          <w:iCs/>
        </w:rPr>
        <w:fldChar w:fldCharType="begin"/>
      </w:r>
      <w:r w:rsidR="00E5116B">
        <w:rPr>
          <w:i/>
          <w:iCs/>
        </w:rPr>
        <w:instrText xml:space="preserve"> ADDIN ZOTERO_ITEM CSL_CITATION {"citationID":"qrIOdrQ7","properties":{"formattedCitation":"D\\uc0\\u8217{}Onfro, {\\i{}supra} note 12","plainCitation":"D’Onfro, supra note 12","noteIndex":18},"citationItems":[{"id":3243,"uris":["http://zotero.org/groups/2816150/items/S6DUJKA2"],"uri":["http://zotero.org/groups/2816150/items/S6DUJKA2"],"itemData":{"id":3243,"type":"article-journal","abstract":"The rise of cloud computing has dramatically changed how consumers and firms store their belongings. Property that owners once managed directly now exists primarily on infrastruc-ture maintained by intermediaries. Consumers entrust their photos to Apple instead of scrap-books; businesses put their documents on Amazon’s servers instead of in file cabinets; seemingly everything runs in the cloud. Were these belongings tangible, the relationship between owner and intermediary would be governed by the common-law doctrine of bailment. Bailments are mandatory relationships formed when one party entrusts their property to another. Within this relationship, the bailees owe the bailors a duty of care and may be liable if they failed to return the property. The parties can use contract to customize the relationship but not to disclaim entirely. Tracing the law of bailment relationships from its ancient roots to the present, this Article argues that cloud storage should be understood as creating a bailment relationship. The law of bailment, though developed in the Middle Ages, provides a robust framework for govern-ing twenty-first century electronic intermediaries. Though the kind of stored property has changed, the parties’ expectations and incentives have not. Yet the decline of litigation, the rise of arbitration, federal diversity jurisdiction, and the ever-growing dominance of contract has thus far prevented courts from applying the law of bailments to these new services. Recognizing cloud storage as a bailment would have significant implications. Most immedi-ately, it would suggest that important provisions in many cloud storage services’ contracts are unenforceable. A hand-collected dataset of 61 cloud storage contracts, reveals that most have include general disclaimers for any liability for lost data. These disclaimers are inconsistent with the duty of care that is the foundation of the law of bailment. In addition, understand-ing cloud storage as a bailment would have important implications for both the law of con-sumer protection and Fourth Amendment protections.","container-title":"Washington University Law Review","DOI":"10.2139/ssrn.3785711","journalAbbreviation":"Wash. L. Rev.","language":"en","page":"__","source":"papers.ssrn.com","title":"The New Bailments","volume":"97","author":[{"family":"D'Onfro","given":"Danielle"}],"issued":{"date-parts":[["2022"]],"season":"forthcoming"}}}],"schema":"https://github.com/citation-style-language/schema/raw/master/csl-citation.json"} </w:instrText>
      </w:r>
      <w:r w:rsidR="000A5B0C">
        <w:rPr>
          <w:i/>
          <w:iCs/>
        </w:rPr>
        <w:fldChar w:fldCharType="separate"/>
      </w:r>
      <w:r w:rsidR="00E5116B" w:rsidRPr="00E5116B">
        <w:t xml:space="preserve">D’Onfro, </w:t>
      </w:r>
      <w:r w:rsidR="00E5116B" w:rsidRPr="00E5116B">
        <w:rPr>
          <w:i/>
          <w:iCs/>
        </w:rPr>
        <w:t>supra</w:t>
      </w:r>
      <w:r w:rsidR="00E5116B" w:rsidRPr="00E5116B">
        <w:t xml:space="preserve"> note </w:t>
      </w:r>
      <w:r w:rsidR="007352F8">
        <w:fldChar w:fldCharType="begin"/>
      </w:r>
      <w:r w:rsidR="007352F8">
        <w:instrText xml:space="preserve"> NOTEREF _Ref114085953 \h </w:instrText>
      </w:r>
      <w:r w:rsidR="007352F8">
        <w:fldChar w:fldCharType="separate"/>
      </w:r>
      <w:r w:rsidR="00405D69">
        <w:t>12</w:t>
      </w:r>
      <w:r w:rsidR="007352F8">
        <w:fldChar w:fldCharType="end"/>
      </w:r>
      <w:r w:rsidR="000A5B0C">
        <w:rPr>
          <w:i/>
          <w:iCs/>
        </w:rPr>
        <w:fldChar w:fldCharType="end"/>
      </w:r>
      <w:r w:rsidR="00774CFB">
        <w:t xml:space="preserve">, at </w:t>
      </w:r>
      <w:r w:rsidR="00C718E7">
        <w:t>126-34</w:t>
      </w:r>
      <w:r w:rsidR="00E5116B">
        <w:t>.</w:t>
      </w:r>
    </w:p>
  </w:footnote>
  <w:footnote w:id="20">
    <w:p w14:paraId="500BADDC" w14:textId="45659402" w:rsidR="00A13B01" w:rsidRPr="00DA699C" w:rsidRDefault="00A13B01">
      <w:pPr>
        <w:pStyle w:val="FootnoteText"/>
      </w:pPr>
      <w:r w:rsidRPr="002A4234">
        <w:rPr>
          <w:rStyle w:val="FootnoteReference"/>
        </w:rPr>
        <w:footnoteRef/>
      </w:r>
      <w:r>
        <w:t xml:space="preserve"> </w:t>
      </w:r>
      <w:r w:rsidR="00DA699C">
        <w:rPr>
          <w:i/>
          <w:iCs/>
        </w:rPr>
        <w:t>See infra</w:t>
      </w:r>
      <w:r w:rsidR="00DA699C">
        <w:t xml:space="preserve"> Section III.A.</w:t>
      </w:r>
      <w:r w:rsidR="00FA0AB8">
        <w:t>1</w:t>
      </w:r>
      <w:r w:rsidR="00DA699C">
        <w:t>.</w:t>
      </w:r>
    </w:p>
  </w:footnote>
  <w:footnote w:id="21">
    <w:p w14:paraId="5C5CBE87" w14:textId="16AFC5DF" w:rsidR="002620ED" w:rsidRDefault="002620ED">
      <w:pPr>
        <w:pStyle w:val="FootnoteText"/>
      </w:pPr>
      <w:r w:rsidRPr="002A4234">
        <w:rPr>
          <w:rStyle w:val="FootnoteReference"/>
        </w:rPr>
        <w:footnoteRef/>
      </w:r>
      <w:r>
        <w:t xml:space="preserve"> </w:t>
      </w:r>
      <w:r>
        <w:fldChar w:fldCharType="begin"/>
      </w:r>
      <w:r w:rsidR="00E5116B">
        <w:instrText xml:space="preserve"> ADDIN ZOTERO_ITEM CSL_CITATION {"citationID":"HxacMmhj","properties":{"formattedCitation":"{\\i{}See, e.g.}, Matthew R. Koerner, {\\i{}Drones and the Fourth Amendment: Redefining Expectations of Privacy}, 64 {\\scaps Duke L.J.} 1129 (2015); Andrew B. Talai, {\\i{}Drones and {\\i0{}Jones}: The Fourth Amendment and Police Discretion in the Digital Age}, 102 {\\scaps Calif. L. Rev.} 729 (2014)","plainCitation":"See, e.g., Matthew R. Koerner, Drones and the Fourth Amendment: Redefining Expectations of Privacy, 64 Duke L.J. 1129 (2015); Andrew B. Talai, Drones and Jones: The Fourth Amendment and Police Discretion in the Digital Age, 102 Calif. L. Rev. 729 (2014)","noteIndex":20},"citationItems":[{"id":2927,"uris":["http://zotero.org/groups/2816150/items/5JGF7RTR"],"uri":["http://zotero.org/groups/2816150/items/5JGF7RTR"],"itemData":{"id":2927,"type":"article-journal","container-title":"Duke Law Journal","issue":"6","journalAbbreviation":"Duke L.J.","language":"eng","page":"1129-1172","source":"HeinOnline","title":"Drones and the Fourth Amendment: Redefining Expectations of Privacy","title-short":"Drones and the Fourth Amendment","volume":"64","author":[{"family":"Koerner","given":"Matthew R."}],"issued":{"date-parts":[["2015"]]}},"label":"page","prefix":"&lt;i&gt;See, e.g.&lt;/i&gt;, "},{"id":2926,"uris":["http://zotero.org/groups/2816150/items/K4VPPTJL"],"uri":["http://zotero.org/groups/2816150/items/K4VPPTJL"],"itemData":{"id":2926,"type":"article-journal","container-title":"California Law Review","issue":"3","journalAbbreviation":"Calif. L. Rev.","language":"eng","page":"729","source":"HeinOnline","title":"Drones and &lt;i&gt;Jones&lt;/i&gt;: The Fourth Amendment and Police Discretion in the Digital Age","title-short":"Drones and Jones","volume":"102","author":[{"family":"Talai","given":"Andrew B."}],"issued":{"date-parts":[["2014"]]}},"label":"page"}],"schema":"https://github.com/citation-style-language/schema/raw/master/csl-citation.json"} </w:instrText>
      </w:r>
      <w:r>
        <w:fldChar w:fldCharType="separate"/>
      </w:r>
      <w:r w:rsidR="00E5116B" w:rsidRPr="00E5116B">
        <w:rPr>
          <w:i/>
          <w:iCs/>
        </w:rPr>
        <w:t>See, e.g.</w:t>
      </w:r>
      <w:r w:rsidR="00E5116B" w:rsidRPr="00E5116B">
        <w:t xml:space="preserve">, Matthew R. Koerner, </w:t>
      </w:r>
      <w:r w:rsidR="00E5116B" w:rsidRPr="00E5116B">
        <w:rPr>
          <w:i/>
          <w:iCs/>
        </w:rPr>
        <w:t>Drones and the Fourth Amendment: Redefining Expectations of Privacy</w:t>
      </w:r>
      <w:r w:rsidR="00E5116B" w:rsidRPr="00E5116B">
        <w:t xml:space="preserve">, 64 </w:t>
      </w:r>
      <w:r w:rsidR="00E5116B" w:rsidRPr="00E5116B">
        <w:rPr>
          <w:smallCaps/>
        </w:rPr>
        <w:t>Duke L.J.</w:t>
      </w:r>
      <w:r w:rsidR="00E5116B" w:rsidRPr="00E5116B">
        <w:t xml:space="preserve"> 1129 (2015); Andrew B. Talai, </w:t>
      </w:r>
      <w:r w:rsidR="00E5116B" w:rsidRPr="00E5116B">
        <w:rPr>
          <w:i/>
          <w:iCs/>
        </w:rPr>
        <w:t xml:space="preserve">Drones and </w:t>
      </w:r>
      <w:r w:rsidR="00E5116B" w:rsidRPr="00E5116B">
        <w:t>Jones</w:t>
      </w:r>
      <w:r w:rsidR="00E5116B" w:rsidRPr="00E5116B">
        <w:rPr>
          <w:i/>
          <w:iCs/>
        </w:rPr>
        <w:t>: The Fourth Amendment and Police Discretion in the Digital Age</w:t>
      </w:r>
      <w:r w:rsidR="00E5116B" w:rsidRPr="00E5116B">
        <w:t xml:space="preserve">, 102 </w:t>
      </w:r>
      <w:r w:rsidR="00E5116B" w:rsidRPr="00E5116B">
        <w:rPr>
          <w:smallCaps/>
        </w:rPr>
        <w:t>Calif. L. Rev.</w:t>
      </w:r>
      <w:r w:rsidR="00E5116B" w:rsidRPr="00E5116B">
        <w:t xml:space="preserve"> </w:t>
      </w:r>
      <w:r w:rsidR="007912A3" w:rsidRPr="00E5116B">
        <w:t>729</w:t>
      </w:r>
      <w:r w:rsidR="00E5116B" w:rsidRPr="00E5116B">
        <w:t xml:space="preserve"> (2014)</w:t>
      </w:r>
      <w:r>
        <w:fldChar w:fldCharType="end"/>
      </w:r>
      <w:r w:rsidR="00E5116B">
        <w:t>.</w:t>
      </w:r>
    </w:p>
  </w:footnote>
  <w:footnote w:id="22">
    <w:p w14:paraId="25E407DC" w14:textId="69015A22" w:rsidR="00AA140D" w:rsidRPr="00AA140D" w:rsidRDefault="00AA140D" w:rsidP="00814F48">
      <w:pPr>
        <w:pStyle w:val="FootnoteText"/>
      </w:pPr>
      <w:r>
        <w:rPr>
          <w:rStyle w:val="FootnoteReference"/>
        </w:rPr>
        <w:footnoteRef/>
      </w:r>
      <w:r>
        <w:t xml:space="preserve"> </w:t>
      </w:r>
      <w:r>
        <w:rPr>
          <w:i/>
          <w:iCs/>
        </w:rPr>
        <w:t>See, e.g.</w:t>
      </w:r>
      <w:r>
        <w:t xml:space="preserve">, </w:t>
      </w:r>
      <w:r w:rsidR="00814F48">
        <w:t xml:space="preserve">Kentucky v. King, 563 U.S. 452, 459 (2011) (noting that “the warrant requirement is subject to certain reasonable exceptions”). </w:t>
      </w:r>
    </w:p>
  </w:footnote>
  <w:footnote w:id="23">
    <w:p w14:paraId="3C03F551" w14:textId="34C75D8F" w:rsidR="00EB6B1B" w:rsidRPr="00EB6B1B" w:rsidRDefault="00EB6B1B">
      <w:pPr>
        <w:pStyle w:val="FootnoteText"/>
      </w:pPr>
      <w:r>
        <w:rPr>
          <w:rStyle w:val="FootnoteReference"/>
        </w:rPr>
        <w:footnoteRef/>
      </w:r>
      <w:r>
        <w:t xml:space="preserve"> </w:t>
      </w:r>
      <w:r>
        <w:rPr>
          <w:i/>
          <w:iCs/>
        </w:rPr>
        <w:t xml:space="preserve">See infra </w:t>
      </w:r>
      <w:r>
        <w:t>Section II.C.3.</w:t>
      </w:r>
    </w:p>
  </w:footnote>
  <w:footnote w:id="24">
    <w:p w14:paraId="6EA40656" w14:textId="7C261401" w:rsidR="004D41CC" w:rsidRPr="004D41CC" w:rsidRDefault="004D41CC" w:rsidP="00BC6B17">
      <w:pPr>
        <w:pStyle w:val="FootnoteText"/>
      </w:pPr>
      <w:r w:rsidRPr="002A4234">
        <w:rPr>
          <w:rStyle w:val="FootnoteReference"/>
        </w:rPr>
        <w:footnoteRef/>
      </w:r>
      <w:r>
        <w:t xml:space="preserve"> </w:t>
      </w:r>
      <w:r>
        <w:rPr>
          <w:i/>
          <w:iCs/>
        </w:rPr>
        <w:t xml:space="preserve">See </w:t>
      </w:r>
      <w:r>
        <w:t xml:space="preserve">J. Maria Glover, </w:t>
      </w:r>
      <w:r w:rsidR="00BC6B17" w:rsidRPr="00BC6B17">
        <w:rPr>
          <w:i/>
          <w:iCs/>
        </w:rPr>
        <w:t>Disappearing Claims and the Erosion of Substantive Law</w:t>
      </w:r>
      <w:r w:rsidR="00BC6B17">
        <w:t xml:space="preserve">, </w:t>
      </w:r>
      <w:r w:rsidR="00BC6B17" w:rsidRPr="00BC6B17">
        <w:t xml:space="preserve">124 </w:t>
      </w:r>
      <w:r w:rsidR="00BC6B17" w:rsidRPr="00BC6B17">
        <w:rPr>
          <w:smallCaps/>
        </w:rPr>
        <w:t xml:space="preserve">Yale L.J. </w:t>
      </w:r>
      <w:r w:rsidR="00BC6B17" w:rsidRPr="00BC6B17">
        <w:t>3052 (2015)</w:t>
      </w:r>
      <w:r w:rsidR="00BC177E">
        <w:t>;</w:t>
      </w:r>
      <w:r w:rsidR="009A3DF0">
        <w:t xml:space="preserve"> </w:t>
      </w:r>
      <w:r w:rsidR="009A3DF0">
        <w:fldChar w:fldCharType="begin"/>
      </w:r>
      <w:r w:rsidR="00E5116B">
        <w:instrText xml:space="preserve"> ADDIN ZOTERO_ITEM CSL_CITATION {"citationID":"Ac5QtS5y","properties":{"formattedCitation":"Ryan Martins et al., {\\i{}Contract\\uc0\\u8217{}s Revenge: The Waiver Society and the Death of Tort}, 41 {\\scaps Cardozo L. Rev.} 1265 (2020)","plainCitation":"Ryan Martins et al., Contract’s Revenge: The Waiver Society and the Death of Tort, 41 Cardozo L. Rev. 1265 (2020)","noteIndex":21},"citationItems":[{"id":3247,"uris":["http://zotero.org/groups/2816150/items/SLKPJAXD"],"uri":["http://zotero.org/groups/2816150/items/SLKPJAXD"],"itemData":{"id":3247,"type":"article-journal","container-title":"Cardozo Law Review","issue":"4","journalAbbreviation":"Cardozo L. Rev.","language":"eng","page":"1265-1300","source":"HeinOnline","title":"Contract's Revenge: The Waiver Society and the Death of Tort","title-short":"Contract's Revenge","volume":"41","author":[{"family":"Martins","given":"Ryan"},{"family":"Price","given":"Shannon"},{"family":"Witt","given":"John Fabian"}],"issued":{"date-parts":[["2020"]]}}}],"schema":"https://github.com/citation-style-language/schema/raw/master/csl-citation.json"} </w:instrText>
      </w:r>
      <w:r w:rsidR="009A3DF0">
        <w:fldChar w:fldCharType="separate"/>
      </w:r>
      <w:r w:rsidR="00E5116B" w:rsidRPr="00E5116B">
        <w:t xml:space="preserve">Ryan Martins, </w:t>
      </w:r>
      <w:r w:rsidR="00E5116B" w:rsidRPr="00E5116B">
        <w:rPr>
          <w:i/>
          <w:iCs/>
        </w:rPr>
        <w:t>Contract’s Revenge: The Waiver Society and the Death of Tort</w:t>
      </w:r>
      <w:r w:rsidR="00E5116B" w:rsidRPr="00E5116B">
        <w:t xml:space="preserve">, 41 </w:t>
      </w:r>
      <w:r w:rsidR="00E5116B" w:rsidRPr="00E5116B">
        <w:rPr>
          <w:smallCaps/>
        </w:rPr>
        <w:t>Cardozo L. Rev.</w:t>
      </w:r>
      <w:r w:rsidR="00E5116B" w:rsidRPr="00E5116B">
        <w:t xml:space="preserve"> 1265 (2020)</w:t>
      </w:r>
      <w:r w:rsidR="009A3DF0">
        <w:fldChar w:fldCharType="end"/>
      </w:r>
      <w:r w:rsidR="00E5116B">
        <w:t>.</w:t>
      </w:r>
    </w:p>
  </w:footnote>
  <w:footnote w:id="25">
    <w:p w14:paraId="463AC47E" w14:textId="5BDA59A1" w:rsidR="000826F8" w:rsidRPr="000826F8" w:rsidRDefault="000826F8">
      <w:pPr>
        <w:pStyle w:val="FootnoteText"/>
      </w:pPr>
      <w:r w:rsidRPr="002A4234">
        <w:rPr>
          <w:rStyle w:val="FootnoteReference"/>
        </w:rPr>
        <w:footnoteRef/>
      </w:r>
      <w:r>
        <w:t xml:space="preserve"> </w:t>
      </w:r>
      <w:r>
        <w:rPr>
          <w:i/>
          <w:iCs/>
        </w:rPr>
        <w:t>See infra</w:t>
      </w:r>
      <w:r>
        <w:t xml:space="preserve"> Section I</w:t>
      </w:r>
      <w:r w:rsidR="00ED453B">
        <w:t>I</w:t>
      </w:r>
      <w:r w:rsidR="006258AA">
        <w:t>.</w:t>
      </w:r>
      <w:r w:rsidR="00ED453B">
        <w:t>C.1</w:t>
      </w:r>
      <w:r w:rsidR="006258AA">
        <w:t>.</w:t>
      </w:r>
    </w:p>
  </w:footnote>
  <w:footnote w:id="26">
    <w:p w14:paraId="5C46B2CE" w14:textId="11377A0E" w:rsidR="002F7CC5" w:rsidRDefault="002F7CC5">
      <w:pPr>
        <w:pStyle w:val="FootnoteText"/>
      </w:pPr>
      <w:r w:rsidRPr="002A4234">
        <w:rPr>
          <w:rStyle w:val="FootnoteReference"/>
        </w:rPr>
        <w:footnoteRef/>
      </w:r>
      <w:r>
        <w:t xml:space="preserve"> </w:t>
      </w:r>
      <w:r>
        <w:fldChar w:fldCharType="begin"/>
      </w:r>
      <w:r w:rsidR="00E5116B">
        <w:instrText xml:space="preserve"> ADDIN ZOTERO_ITEM CSL_CITATION {"citationID":"OD0Hm3V9","properties":{"formattedCitation":"David A. Sklansky, {\\i{}The Fourth Amendment and Common Law}, 100 {\\scaps Colum. L. Rev.} 1739, 1744 (2000)","plainCitation":"David A. Sklansky, The Fourth Amendment and Common Law, 100 Colum. L. Rev. 1739, 1744 (2000)","noteIndex":23},"citationItems":[{"id":2977,"uris":["http://zotero.org/groups/2816150/items/PD4ANHYI"],"uri":["http://zotero.org/groups/2816150/items/PD4ANHYI"],"itemData":{"id":2977,"type":"article-journal","container-title":"Columbia Law Review","journalAbbreviation":"Colum. L. Rev.","page":"1739–1814","source":"Google Scholar","title":"The Fourth Amendment and Common Law","volume":"100","author":[{"family":"Sklansky","given":"David A."}],"issued":{"date-parts":[["2000"]]}},"locator":"1744","label":"page"}],"schema":"https://github.com/citation-style-language/schema/raw/master/csl-citation.json"} </w:instrText>
      </w:r>
      <w:r>
        <w:fldChar w:fldCharType="separate"/>
      </w:r>
      <w:r w:rsidR="00E5116B" w:rsidRPr="00E5116B">
        <w:t xml:space="preserve">David A. Sklansky, </w:t>
      </w:r>
      <w:r w:rsidR="00E5116B" w:rsidRPr="00E5116B">
        <w:rPr>
          <w:i/>
          <w:iCs/>
        </w:rPr>
        <w:t>The Fourth Amendment and Common Law</w:t>
      </w:r>
      <w:r w:rsidR="00E5116B" w:rsidRPr="00E5116B">
        <w:t xml:space="preserve">, 100 </w:t>
      </w:r>
      <w:r w:rsidR="00E5116B" w:rsidRPr="00E5116B">
        <w:rPr>
          <w:smallCaps/>
        </w:rPr>
        <w:t>Colum. L. Rev.</w:t>
      </w:r>
      <w:r w:rsidR="00E5116B" w:rsidRPr="00E5116B">
        <w:t xml:space="preserve"> 1739, 1744 (2000)</w:t>
      </w:r>
      <w:r>
        <w:fldChar w:fldCharType="end"/>
      </w:r>
      <w:r w:rsidR="00E5116B">
        <w:t>.</w:t>
      </w:r>
    </w:p>
  </w:footnote>
  <w:footnote w:id="27">
    <w:p w14:paraId="1CAF551B" w14:textId="62AD6BA6" w:rsidR="00186D84" w:rsidRDefault="00186D84" w:rsidP="00186D84">
      <w:pPr>
        <w:pStyle w:val="FootnoteText"/>
      </w:pPr>
      <w:r w:rsidRPr="002A4234">
        <w:rPr>
          <w:rStyle w:val="FootnoteReference"/>
        </w:rPr>
        <w:footnoteRef/>
      </w:r>
      <w:r>
        <w:t xml:space="preserve"> </w:t>
      </w:r>
      <w:r w:rsidR="00DE4983">
        <w:t xml:space="preserve">The general law is </w:t>
      </w:r>
      <w:r w:rsidR="000721DD">
        <w:t>as constrained as the common law method more generally</w:t>
      </w:r>
      <w:r w:rsidR="00AB701D">
        <w:t xml:space="preserve">. </w:t>
      </w:r>
      <w:r w:rsidR="00AB701D">
        <w:rPr>
          <w:i/>
          <w:iCs/>
        </w:rPr>
        <w:t xml:space="preserve">See </w:t>
      </w:r>
      <w:r w:rsidR="00522190">
        <w:rPr>
          <w:i/>
          <w:iCs/>
        </w:rPr>
        <w:fldChar w:fldCharType="begin"/>
      </w:r>
      <w:r w:rsidR="00E5116B">
        <w:rPr>
          <w:i/>
          <w:iCs/>
        </w:rPr>
        <w:instrText xml:space="preserve"> ADDIN ZOTERO_ITEM CSL_CITATION {"citationID":"ygjZBotY","properties":{"formattedCitation":"Oliver Wendell Holmes, {\\i{}The Path of the Law}, 10 {\\scaps Harv. L. Rev.} 457, 465\\uc0\\u8211{}69 (1897)","plainCitation":"Oliver Wendell Holmes, The Path of the Law, 10 Harv. L. Rev. 457, 465–69 (1897)","noteIndex":24},"citationItems":[{"id":3232,"uris":["http://zotero.org/groups/2816150/items/9FG4HZGF"],"uri":["http://zotero.org/groups/2816150/items/9FG4HZGF"],"itemData":{"id":3232,"type":"article-journal","container-title":"Harvard Law Review","issue":"8","journalAbbreviation":"Harv. L. Rev.","language":"eng","page":"457-478","source":"HeinOnline","title":"The Path of the Law","volume":"10","author":[{"family":"Holmes","given":"Oliver Wendell"}],"issued":{"date-parts":[["1897"]]}},"locator":"465-69","label":"page"}],"schema":"https://github.com/citation-style-language/schema/raw/master/csl-citation.json"} </w:instrText>
      </w:r>
      <w:r w:rsidR="00522190">
        <w:rPr>
          <w:i/>
          <w:iCs/>
        </w:rPr>
        <w:fldChar w:fldCharType="separate"/>
      </w:r>
      <w:r w:rsidR="00E5116B" w:rsidRPr="00E5116B">
        <w:t xml:space="preserve">Oliver Wendell Holmes, </w:t>
      </w:r>
      <w:r w:rsidR="00E5116B" w:rsidRPr="00E5116B">
        <w:rPr>
          <w:i/>
          <w:iCs/>
        </w:rPr>
        <w:t>The Path of the Law</w:t>
      </w:r>
      <w:r w:rsidR="00E5116B" w:rsidRPr="00E5116B">
        <w:t xml:space="preserve">, 10 </w:t>
      </w:r>
      <w:r w:rsidR="00E5116B" w:rsidRPr="00E5116B">
        <w:rPr>
          <w:smallCaps/>
        </w:rPr>
        <w:t>Harv. L. Rev.</w:t>
      </w:r>
      <w:r w:rsidR="00E5116B" w:rsidRPr="00E5116B">
        <w:t xml:space="preserve"> 457, 465</w:t>
      </w:r>
      <w:r w:rsidR="00517AC4">
        <w:t>-</w:t>
      </w:r>
      <w:r w:rsidR="00E5116B" w:rsidRPr="00E5116B">
        <w:t>69 (1897)</w:t>
      </w:r>
      <w:r w:rsidR="00522190">
        <w:rPr>
          <w:i/>
          <w:iCs/>
        </w:rPr>
        <w:fldChar w:fldCharType="end"/>
      </w:r>
      <w:r>
        <w:t xml:space="preserve"> </w:t>
      </w:r>
      <w:r w:rsidR="002F3C88">
        <w:t>(</w:t>
      </w:r>
      <w:r w:rsidR="00244849">
        <w:t>rooting the common law in tradition).</w:t>
      </w:r>
    </w:p>
  </w:footnote>
  <w:footnote w:id="28">
    <w:p w14:paraId="7EEADB9A" w14:textId="112B5075" w:rsidR="00E95D00" w:rsidRPr="00E95D00" w:rsidRDefault="00E95D00">
      <w:pPr>
        <w:pStyle w:val="FootnoteText"/>
      </w:pPr>
      <w:r>
        <w:rPr>
          <w:rStyle w:val="FootnoteReference"/>
        </w:rPr>
        <w:footnoteRef/>
      </w:r>
      <w:r>
        <w:t xml:space="preserve"> </w:t>
      </w:r>
      <w:r>
        <w:rPr>
          <w:i/>
          <w:iCs/>
        </w:rPr>
        <w:t xml:space="preserve">See infra </w:t>
      </w:r>
      <w:r>
        <w:t>Section II.</w:t>
      </w:r>
      <w:r w:rsidR="00DA522D">
        <w:t xml:space="preserve">II.C.1. </w:t>
      </w:r>
    </w:p>
  </w:footnote>
  <w:footnote w:id="29">
    <w:p w14:paraId="6916C709" w14:textId="4A6BBB9D" w:rsidR="00FC228E" w:rsidRDefault="00FC228E">
      <w:pPr>
        <w:pStyle w:val="FootnoteText"/>
      </w:pPr>
      <w:r w:rsidRPr="002A4234">
        <w:rPr>
          <w:rStyle w:val="FootnoteReference"/>
        </w:rPr>
        <w:footnoteRef/>
      </w:r>
      <w:r>
        <w:t xml:space="preserve"> </w:t>
      </w:r>
      <w:r w:rsidR="00B5378A">
        <w:t>Erie Railroad Co. v. Tompkins</w:t>
      </w:r>
      <w:r w:rsidR="004161C2">
        <w:t>,</w:t>
      </w:r>
      <w:r>
        <w:t xml:space="preserve"> 304 U.S. </w:t>
      </w:r>
      <w:r w:rsidR="004161C2">
        <w:t xml:space="preserve">64, </w:t>
      </w:r>
      <w:r w:rsidR="00ED1216">
        <w:t>78</w:t>
      </w:r>
      <w:r w:rsidR="004161C2">
        <w:t xml:space="preserve"> (1938)</w:t>
      </w:r>
      <w:r w:rsidR="00ED1216">
        <w:t>.</w:t>
      </w:r>
    </w:p>
  </w:footnote>
  <w:footnote w:id="30">
    <w:p w14:paraId="51F942DE" w14:textId="0D6628FE" w:rsidR="00016F8C" w:rsidRDefault="00016F8C">
      <w:pPr>
        <w:pStyle w:val="FootnoteText"/>
      </w:pPr>
      <w:r w:rsidRPr="002A4234">
        <w:rPr>
          <w:rStyle w:val="FootnoteReference"/>
        </w:rPr>
        <w:footnoteRef/>
      </w:r>
      <w:r>
        <w:t xml:space="preserve"> </w:t>
      </w:r>
      <w:r w:rsidR="007A1F0C">
        <w:t>In part, this is because state governments were responsible for most law-enforcement activity while the Amendment originally applied only to the federal government.</w:t>
      </w:r>
      <w:r>
        <w:t xml:space="preserve"> </w:t>
      </w:r>
      <w:r w:rsidRPr="00016F8C">
        <w:t xml:space="preserve">David E. Steinberg, </w:t>
      </w:r>
      <w:r w:rsidRPr="00016F8C">
        <w:rPr>
          <w:i/>
          <w:iCs/>
        </w:rPr>
        <w:t>An Original Misunderstanding: Akhil Amar and Fourth Amendment History</w:t>
      </w:r>
      <w:r w:rsidRPr="00016F8C">
        <w:t xml:space="preserve">, 42 </w:t>
      </w:r>
      <w:r w:rsidRPr="00016F8C">
        <w:rPr>
          <w:smallCaps/>
        </w:rPr>
        <w:t>S.D. L. Rev.</w:t>
      </w:r>
      <w:r w:rsidRPr="00016F8C">
        <w:t xml:space="preserve"> 227, 247 (2005)</w:t>
      </w:r>
      <w:r>
        <w:t>.</w:t>
      </w:r>
      <w:r w:rsidR="00B23145">
        <w:t xml:space="preserve"> Moreover, even in cases involving federal officials and federal prosecutions, the Supreme Court did not recognize the exclusionary rule until the twentieth century.</w:t>
      </w:r>
    </w:p>
  </w:footnote>
  <w:footnote w:id="31">
    <w:p w14:paraId="092E068D" w14:textId="104E1DDC" w:rsidR="00F833B5" w:rsidRDefault="00F833B5">
      <w:pPr>
        <w:pStyle w:val="FootnoteText"/>
      </w:pPr>
      <w:r w:rsidRPr="002A4234">
        <w:rPr>
          <w:rStyle w:val="FootnoteReference"/>
        </w:rPr>
        <w:footnoteRef/>
      </w:r>
      <w:r>
        <w:t xml:space="preserve"> 116 U.S. 616 (1886).</w:t>
      </w:r>
    </w:p>
  </w:footnote>
  <w:footnote w:id="32">
    <w:p w14:paraId="6E1F455E" w14:textId="5E03DC87" w:rsidR="002C3E4E" w:rsidRDefault="002C3E4E">
      <w:pPr>
        <w:pStyle w:val="FootnoteText"/>
      </w:pPr>
      <w:r w:rsidRPr="002A4234">
        <w:rPr>
          <w:rStyle w:val="FootnoteReference"/>
        </w:rPr>
        <w:footnoteRef/>
      </w:r>
      <w:r>
        <w:t xml:space="preserve"> </w:t>
      </w:r>
      <w:r w:rsidR="00122A34">
        <w:rPr>
          <w:i/>
          <w:iCs/>
        </w:rPr>
        <w:t xml:space="preserve">See </w:t>
      </w:r>
      <w:r w:rsidR="00122A34" w:rsidRPr="003130AC">
        <w:t>Weeks v. United States</w:t>
      </w:r>
      <w:r w:rsidR="00122A34">
        <w:t xml:space="preserve">, </w:t>
      </w:r>
      <w:r w:rsidR="00236EC0">
        <w:t>2</w:t>
      </w:r>
      <w:r w:rsidR="00E87EB0">
        <w:t>3</w:t>
      </w:r>
      <w:r w:rsidR="00236EC0">
        <w:t>2 U.S. 383 (1914)</w:t>
      </w:r>
      <w:r w:rsidR="00122A34">
        <w:t xml:space="preserve"> (holding that evidence obtained through unreasonable searches or seizures by federal agents was inadmissible in federal court); </w:t>
      </w:r>
      <w:r w:rsidR="00122A34" w:rsidRPr="003130AC">
        <w:t>Silverthorne Lumber</w:t>
      </w:r>
      <w:r w:rsidR="00122A34" w:rsidRPr="00122A34">
        <w:t xml:space="preserve"> </w:t>
      </w:r>
      <w:r w:rsidR="00122A34" w:rsidRPr="003130AC">
        <w:t>Co. v. United States</w:t>
      </w:r>
      <w:r w:rsidR="00122A34">
        <w:t>, 251 U.S. 385 (1920) (extend</w:t>
      </w:r>
      <w:r w:rsidR="00D1036F">
        <w:t>ing exclusion remedy</w:t>
      </w:r>
      <w:r w:rsidR="00122A34">
        <w:t xml:space="preserve"> to indirect use of illegally seized evidence)</w:t>
      </w:r>
      <w:r w:rsidR="00236EC0" w:rsidRPr="00122A34">
        <w:t>.</w:t>
      </w:r>
    </w:p>
  </w:footnote>
  <w:footnote w:id="33">
    <w:p w14:paraId="41F82030" w14:textId="5530071A" w:rsidR="00DB4EF1" w:rsidRPr="00DB4EF1" w:rsidRDefault="00DB4EF1">
      <w:pPr>
        <w:pStyle w:val="FootnoteText"/>
      </w:pPr>
      <w:r w:rsidRPr="002A4234">
        <w:rPr>
          <w:rStyle w:val="FootnoteReference"/>
        </w:rPr>
        <w:footnoteRef/>
      </w:r>
      <w:r>
        <w:t xml:space="preserve"> </w:t>
      </w:r>
      <w:r>
        <w:rPr>
          <w:i/>
          <w:iCs/>
        </w:rPr>
        <w:t>See, e.g.</w:t>
      </w:r>
      <w:r>
        <w:t xml:space="preserve">, Gouled v. United States, 255 U.S. </w:t>
      </w:r>
      <w:r w:rsidR="004B0A64">
        <w:t xml:space="preserve">298 (1921); </w:t>
      </w:r>
      <w:r w:rsidR="00680F1B" w:rsidRPr="00680F1B">
        <w:t>Amos v. United States, 255 U</w:t>
      </w:r>
      <w:r w:rsidR="00680F1B">
        <w:t>.</w:t>
      </w:r>
      <w:r w:rsidR="00680F1B" w:rsidRPr="00680F1B">
        <w:t>S</w:t>
      </w:r>
      <w:r w:rsidR="00680F1B">
        <w:t>.</w:t>
      </w:r>
      <w:r w:rsidR="00680F1B" w:rsidRPr="00680F1B">
        <w:t xml:space="preserve"> 313</w:t>
      </w:r>
      <w:r w:rsidR="00016835">
        <w:t xml:space="preserve"> (1921)</w:t>
      </w:r>
      <w:r w:rsidR="00CC6F7D">
        <w:t>; Agnello v. United States, 269 U.S. 20 (1925).</w:t>
      </w:r>
    </w:p>
  </w:footnote>
  <w:footnote w:id="34">
    <w:p w14:paraId="49E3A511" w14:textId="2E8D450A" w:rsidR="008A4A98" w:rsidRDefault="008A4A98">
      <w:pPr>
        <w:pStyle w:val="FootnoteText"/>
      </w:pPr>
      <w:r w:rsidRPr="002A4234">
        <w:rPr>
          <w:rStyle w:val="FootnoteReference"/>
        </w:rPr>
        <w:footnoteRef/>
      </w:r>
      <w:r>
        <w:t xml:space="preserve"> </w:t>
      </w:r>
      <w:r w:rsidR="002D255D">
        <w:t>277 U.S. 438 (1928).</w:t>
      </w:r>
    </w:p>
  </w:footnote>
  <w:footnote w:id="35">
    <w:p w14:paraId="77945629" w14:textId="73BB0D1A" w:rsidR="002D255D" w:rsidRPr="002D255D" w:rsidRDefault="002D255D">
      <w:pPr>
        <w:pStyle w:val="FootnoteText"/>
      </w:pPr>
      <w:r w:rsidRPr="002A4234">
        <w:rPr>
          <w:rStyle w:val="FootnoteReference"/>
        </w:rPr>
        <w:footnoteRef/>
      </w:r>
      <w:r>
        <w:t xml:space="preserve"> </w:t>
      </w:r>
      <w:r>
        <w:rPr>
          <w:i/>
          <w:iCs/>
        </w:rPr>
        <w:t>Id.</w:t>
      </w:r>
      <w:r>
        <w:t xml:space="preserve"> at 464.</w:t>
      </w:r>
    </w:p>
  </w:footnote>
  <w:footnote w:id="36">
    <w:p w14:paraId="61E51C2D" w14:textId="2FD8ECB3" w:rsidR="00A52B26" w:rsidRPr="00A52B26" w:rsidRDefault="00A52B26">
      <w:pPr>
        <w:pStyle w:val="FootnoteText"/>
      </w:pPr>
      <w:r w:rsidRPr="002A4234">
        <w:rPr>
          <w:rStyle w:val="FootnoteReference"/>
        </w:rPr>
        <w:footnoteRef/>
      </w:r>
      <w:r>
        <w:t xml:space="preserve"> </w:t>
      </w:r>
      <w:r>
        <w:rPr>
          <w:i/>
          <w:iCs/>
        </w:rPr>
        <w:t xml:space="preserve">Id. </w:t>
      </w:r>
      <w:r>
        <w:t>at 476 (Brandeis, J., dissenting).</w:t>
      </w:r>
    </w:p>
  </w:footnote>
  <w:footnote w:id="37">
    <w:p w14:paraId="487733BF" w14:textId="6EEA6DD1" w:rsidR="00BD1F60" w:rsidRPr="00BD1F60" w:rsidRDefault="00BD1F60">
      <w:pPr>
        <w:pStyle w:val="FootnoteText"/>
      </w:pPr>
      <w:r w:rsidRPr="002A4234">
        <w:rPr>
          <w:rStyle w:val="FootnoteReference"/>
        </w:rPr>
        <w:footnoteRef/>
      </w:r>
      <w:r>
        <w:t xml:space="preserve"> </w:t>
      </w:r>
      <w:r>
        <w:rPr>
          <w:i/>
          <w:iCs/>
        </w:rPr>
        <w:t xml:space="preserve">Id. </w:t>
      </w:r>
      <w:r>
        <w:t>at 478.</w:t>
      </w:r>
    </w:p>
  </w:footnote>
  <w:footnote w:id="38">
    <w:p w14:paraId="43403D90" w14:textId="30217B69" w:rsidR="006C073A" w:rsidRDefault="006C073A">
      <w:pPr>
        <w:pStyle w:val="FootnoteText"/>
      </w:pPr>
      <w:r w:rsidRPr="002A4234">
        <w:rPr>
          <w:rStyle w:val="FootnoteReference"/>
        </w:rPr>
        <w:footnoteRef/>
      </w:r>
      <w:r>
        <w:t xml:space="preserve"> 316 U.S. 129</w:t>
      </w:r>
      <w:r w:rsidR="009D32FB">
        <w:t>, 135-36</w:t>
      </w:r>
      <w:r>
        <w:t xml:space="preserve"> (1942) (holding that there was no constitutional violation when government agents used a “detectaphone” that enabled them to hear through a wall into a suspect’s office).</w:t>
      </w:r>
    </w:p>
  </w:footnote>
  <w:footnote w:id="39">
    <w:p w14:paraId="2294832E" w14:textId="7C9E6D3E" w:rsidR="006C073A" w:rsidRDefault="006C073A">
      <w:pPr>
        <w:pStyle w:val="FootnoteText"/>
      </w:pPr>
      <w:r w:rsidRPr="002A4234">
        <w:rPr>
          <w:rStyle w:val="FootnoteReference"/>
        </w:rPr>
        <w:footnoteRef/>
      </w:r>
      <w:r>
        <w:t xml:space="preserve"> 343 U.S. 747</w:t>
      </w:r>
      <w:r w:rsidR="00BB545C">
        <w:t>, 75</w:t>
      </w:r>
      <w:r w:rsidR="00773396">
        <w:t>2</w:t>
      </w:r>
      <w:r w:rsidR="00FA19AB">
        <w:t>-54</w:t>
      </w:r>
      <w:r>
        <w:t xml:space="preserve"> (1952) (holding that the use of an informant wearing a hidden wireless microphone was not a Fourth Amendment violation</w:t>
      </w:r>
      <w:r w:rsidR="00A93793">
        <w:t xml:space="preserve"> and </w:t>
      </w:r>
      <w:r>
        <w:t>rejecting the argument that the informant was a trespasser).</w:t>
      </w:r>
    </w:p>
  </w:footnote>
  <w:footnote w:id="40">
    <w:p w14:paraId="54472E78" w14:textId="6152F28C" w:rsidR="005803B5" w:rsidRDefault="005803B5">
      <w:pPr>
        <w:pStyle w:val="FootnoteText"/>
      </w:pPr>
      <w:r w:rsidRPr="002A4234">
        <w:rPr>
          <w:rStyle w:val="FootnoteReference"/>
        </w:rPr>
        <w:footnoteRef/>
      </w:r>
      <w:r>
        <w:t xml:space="preserve"> </w:t>
      </w:r>
      <w:r w:rsidRPr="005803B5">
        <w:t>365 U.S. 505 (1961)</w:t>
      </w:r>
      <w:r>
        <w:t>.</w:t>
      </w:r>
    </w:p>
  </w:footnote>
  <w:footnote w:id="41">
    <w:p w14:paraId="011EC6BA" w14:textId="7E48D875" w:rsidR="002F7E1B" w:rsidRPr="002F7E1B" w:rsidRDefault="002F7E1B">
      <w:pPr>
        <w:pStyle w:val="FootnoteText"/>
      </w:pPr>
      <w:r w:rsidRPr="002A4234">
        <w:rPr>
          <w:rStyle w:val="FootnoteReference"/>
        </w:rPr>
        <w:footnoteRef/>
      </w:r>
      <w:r>
        <w:t xml:space="preserve"> </w:t>
      </w:r>
      <w:r>
        <w:rPr>
          <w:i/>
          <w:iCs/>
        </w:rPr>
        <w:t xml:space="preserve">Id. </w:t>
      </w:r>
      <w:r>
        <w:t>at 5</w:t>
      </w:r>
      <w:r w:rsidR="001D2D5A">
        <w:t>11-12</w:t>
      </w:r>
      <w:r>
        <w:t>.</w:t>
      </w:r>
    </w:p>
  </w:footnote>
  <w:footnote w:id="42">
    <w:p w14:paraId="57C949FB" w14:textId="4BA50F04" w:rsidR="00B64B54" w:rsidRPr="00B64B54" w:rsidRDefault="00B64B54">
      <w:pPr>
        <w:pStyle w:val="FootnoteText"/>
      </w:pPr>
      <w:r w:rsidRPr="002A4234">
        <w:rPr>
          <w:rStyle w:val="FootnoteReference"/>
        </w:rPr>
        <w:footnoteRef/>
      </w:r>
      <w:r>
        <w:t xml:space="preserve"> </w:t>
      </w:r>
      <w:r>
        <w:rPr>
          <w:i/>
          <w:iCs/>
        </w:rPr>
        <w:t xml:space="preserve">Id. </w:t>
      </w:r>
      <w:r>
        <w:t>at 509.</w:t>
      </w:r>
    </w:p>
  </w:footnote>
  <w:footnote w:id="43">
    <w:p w14:paraId="3C7FA1CC" w14:textId="77777777" w:rsidR="00DA522D" w:rsidRDefault="00DA522D" w:rsidP="00DA522D">
      <w:pPr>
        <w:pStyle w:val="FootnoteText"/>
      </w:pPr>
      <w:r w:rsidRPr="002A4234">
        <w:rPr>
          <w:rStyle w:val="FootnoteReference"/>
        </w:rPr>
        <w:footnoteRef/>
      </w:r>
      <w:r>
        <w:t xml:space="preserve"> </w:t>
      </w:r>
      <w:r w:rsidRPr="00E55E0E">
        <w:t>367 U.S. 643</w:t>
      </w:r>
      <w:r>
        <w:t>, 659-60</w:t>
      </w:r>
      <w:r w:rsidRPr="00E55E0E">
        <w:t xml:space="preserve"> (1961)</w:t>
      </w:r>
      <w:r>
        <w:t>.</w:t>
      </w:r>
    </w:p>
  </w:footnote>
  <w:footnote w:id="44">
    <w:p w14:paraId="739220C8" w14:textId="4264019D" w:rsidR="00E55E0E" w:rsidRDefault="00E55E0E">
      <w:pPr>
        <w:pStyle w:val="FootnoteText"/>
      </w:pPr>
      <w:r w:rsidRPr="002A4234">
        <w:rPr>
          <w:rStyle w:val="FootnoteReference"/>
        </w:rPr>
        <w:footnoteRef/>
      </w:r>
      <w:r>
        <w:t xml:space="preserve"> </w:t>
      </w:r>
      <w:r w:rsidR="00BB5CCB">
        <w:t>389 U.S. 347</w:t>
      </w:r>
      <w:r w:rsidR="00226E27">
        <w:t>, 353</w:t>
      </w:r>
      <w:r w:rsidR="00BB5CCB">
        <w:t xml:space="preserve"> (1967).</w:t>
      </w:r>
    </w:p>
  </w:footnote>
  <w:footnote w:id="45">
    <w:p w14:paraId="6DF9E9DD" w14:textId="163DF8E1" w:rsidR="00BB5CCB" w:rsidRPr="00BB5CCB" w:rsidRDefault="00BB5CCB">
      <w:pPr>
        <w:pStyle w:val="FootnoteText"/>
      </w:pPr>
      <w:r w:rsidRPr="002A4234">
        <w:rPr>
          <w:rStyle w:val="FootnoteReference"/>
        </w:rPr>
        <w:footnoteRef/>
      </w:r>
      <w:r>
        <w:t xml:space="preserve"> </w:t>
      </w:r>
      <w:r>
        <w:rPr>
          <w:i/>
          <w:iCs/>
        </w:rPr>
        <w:t>Id.</w:t>
      </w:r>
    </w:p>
  </w:footnote>
  <w:footnote w:id="46">
    <w:p w14:paraId="735CB965" w14:textId="62817CD8" w:rsidR="0011250A" w:rsidRPr="0011250A" w:rsidRDefault="0011250A">
      <w:pPr>
        <w:pStyle w:val="FootnoteText"/>
      </w:pPr>
      <w:r w:rsidRPr="002A4234">
        <w:rPr>
          <w:rStyle w:val="FootnoteReference"/>
        </w:rPr>
        <w:footnoteRef/>
      </w:r>
      <w:r>
        <w:t xml:space="preserve"> </w:t>
      </w:r>
      <w:r>
        <w:rPr>
          <w:i/>
          <w:iCs/>
        </w:rPr>
        <w:t>Id.</w:t>
      </w:r>
      <w:r>
        <w:t xml:space="preserve"> at 361 (Harlan, J., concurring).</w:t>
      </w:r>
    </w:p>
  </w:footnote>
  <w:footnote w:id="47">
    <w:p w14:paraId="089EF685" w14:textId="270C055A" w:rsidR="00A42F31" w:rsidRPr="00A42F31" w:rsidRDefault="00A42F31">
      <w:pPr>
        <w:pStyle w:val="FootnoteText"/>
      </w:pPr>
      <w:r w:rsidRPr="002A4234">
        <w:rPr>
          <w:rStyle w:val="FootnoteReference"/>
        </w:rPr>
        <w:footnoteRef/>
      </w:r>
      <w:r>
        <w:t xml:space="preserve"> </w:t>
      </w:r>
      <w:r>
        <w:rPr>
          <w:i/>
          <w:iCs/>
        </w:rPr>
        <w:t>See</w:t>
      </w:r>
      <w:r w:rsidR="0065536C">
        <w:t xml:space="preserve"> </w:t>
      </w:r>
      <w:r w:rsidR="0065536C" w:rsidRPr="0065536C">
        <w:t>United States v. White, 401 U</w:t>
      </w:r>
      <w:r w:rsidR="0065536C">
        <w:t>.</w:t>
      </w:r>
      <w:r w:rsidR="0065536C" w:rsidRPr="0065536C">
        <w:t>S</w:t>
      </w:r>
      <w:r w:rsidR="0065536C">
        <w:t>.</w:t>
      </w:r>
      <w:r w:rsidR="0065536C" w:rsidRPr="0065536C">
        <w:t xml:space="preserve"> 745</w:t>
      </w:r>
      <w:r w:rsidR="0065536C">
        <w:t xml:space="preserve">, </w:t>
      </w:r>
      <w:r w:rsidR="00325EFA">
        <w:t>749</w:t>
      </w:r>
      <w:r w:rsidR="00F20027">
        <w:t>-</w:t>
      </w:r>
      <w:r w:rsidR="00325EFA">
        <w:t>54 (1971) (plurality op</w:t>
      </w:r>
      <w:r w:rsidR="00FA67F1">
        <w:t>inion</w:t>
      </w:r>
      <w:r w:rsidR="00325EFA">
        <w:t>)</w:t>
      </w:r>
      <w:r>
        <w:t>.</w:t>
      </w:r>
    </w:p>
  </w:footnote>
  <w:footnote w:id="48">
    <w:p w14:paraId="655EBB1B" w14:textId="13362271" w:rsidR="00D821F8" w:rsidRPr="00022CD0" w:rsidRDefault="00D821F8">
      <w:pPr>
        <w:pStyle w:val="FootnoteText"/>
      </w:pPr>
      <w:r w:rsidRPr="002A4234">
        <w:rPr>
          <w:rStyle w:val="FootnoteReference"/>
        </w:rPr>
        <w:footnoteRef/>
      </w:r>
      <w:r>
        <w:t xml:space="preserve"> </w:t>
      </w:r>
      <w:r w:rsidR="00022CD0">
        <w:rPr>
          <w:i/>
          <w:iCs/>
        </w:rPr>
        <w:t>See</w:t>
      </w:r>
      <w:r w:rsidR="00022CD0">
        <w:t xml:space="preserve"> </w:t>
      </w:r>
      <w:r w:rsidR="00022CD0" w:rsidRPr="00022CD0">
        <w:t>Minnesota v. Olson, 495 U.S. 91</w:t>
      </w:r>
      <w:r w:rsidR="00022CD0">
        <w:t>, 95</w:t>
      </w:r>
      <w:r w:rsidR="0087778D">
        <w:t>-</w:t>
      </w:r>
      <w:r w:rsidR="00022CD0">
        <w:t>100</w:t>
      </w:r>
      <w:r w:rsidR="00022CD0" w:rsidRPr="00022CD0">
        <w:t xml:space="preserve"> (1990).</w:t>
      </w:r>
    </w:p>
  </w:footnote>
  <w:footnote w:id="49">
    <w:p w14:paraId="6B1F1B1E" w14:textId="1ED40D3D" w:rsidR="000C4A42" w:rsidRPr="008E6C8E" w:rsidRDefault="000C4A42">
      <w:pPr>
        <w:pStyle w:val="FootnoteText"/>
      </w:pPr>
      <w:r w:rsidRPr="002A4234">
        <w:rPr>
          <w:rStyle w:val="FootnoteReference"/>
        </w:rPr>
        <w:footnoteRef/>
      </w:r>
      <w:r>
        <w:t xml:space="preserve"> </w:t>
      </w:r>
      <w:r w:rsidR="008E6C8E">
        <w:rPr>
          <w:i/>
          <w:iCs/>
        </w:rPr>
        <w:t>See</w:t>
      </w:r>
      <w:r w:rsidR="008E6C8E">
        <w:t xml:space="preserve"> </w:t>
      </w:r>
      <w:r w:rsidR="008E6C8E" w:rsidRPr="008E6C8E">
        <w:t>California v. Greenwood, 486 U.S. 35</w:t>
      </w:r>
      <w:r w:rsidR="00DA5850">
        <w:t>, 39</w:t>
      </w:r>
      <w:r w:rsidR="005C7DA0">
        <w:t>-</w:t>
      </w:r>
      <w:r w:rsidR="00DA5850">
        <w:t>43</w:t>
      </w:r>
      <w:r w:rsidR="008E6C8E" w:rsidRPr="008E6C8E">
        <w:t xml:space="preserve"> (1988)</w:t>
      </w:r>
      <w:r w:rsidR="008E6C8E">
        <w:t>.</w:t>
      </w:r>
    </w:p>
  </w:footnote>
  <w:footnote w:id="50">
    <w:p w14:paraId="5BA7A0C1" w14:textId="10E62A20" w:rsidR="000C4A42" w:rsidRPr="000C4A42" w:rsidRDefault="000C4A42">
      <w:pPr>
        <w:pStyle w:val="FootnoteText"/>
      </w:pPr>
      <w:r w:rsidRPr="002A4234">
        <w:rPr>
          <w:rStyle w:val="FootnoteReference"/>
        </w:rPr>
        <w:footnoteRef/>
      </w:r>
      <w:r>
        <w:t xml:space="preserve"> </w:t>
      </w:r>
      <w:r>
        <w:rPr>
          <w:i/>
          <w:iCs/>
        </w:rPr>
        <w:t>See</w:t>
      </w:r>
      <w:r>
        <w:t xml:space="preserve"> </w:t>
      </w:r>
      <w:r w:rsidR="008F23C9" w:rsidRPr="008F23C9">
        <w:t>United States v. Knotts, 460 U.S. 276</w:t>
      </w:r>
      <w:r w:rsidR="007E31DB">
        <w:t>, 28</w:t>
      </w:r>
      <w:r w:rsidR="009B5ED7">
        <w:t>0-</w:t>
      </w:r>
      <w:r w:rsidR="00313405">
        <w:t>8</w:t>
      </w:r>
      <w:r w:rsidR="00ED02B3">
        <w:t>5</w:t>
      </w:r>
      <w:r w:rsidR="008F23C9" w:rsidRPr="008F23C9">
        <w:t xml:space="preserve"> (1983)</w:t>
      </w:r>
      <w:r w:rsidR="008F23C9">
        <w:t xml:space="preserve">; </w:t>
      </w:r>
      <w:r w:rsidRPr="000C4A42">
        <w:t>United States v. Karo, 468 U.S. 705, 71</w:t>
      </w:r>
      <w:r w:rsidR="009F4608">
        <w:t>1</w:t>
      </w:r>
      <w:r w:rsidR="009B5ED7">
        <w:t>-</w:t>
      </w:r>
      <w:r w:rsidRPr="000C4A42">
        <w:t>13 (1984)</w:t>
      </w:r>
      <w:r w:rsidR="008F23C9">
        <w:t>.</w:t>
      </w:r>
    </w:p>
  </w:footnote>
  <w:footnote w:id="51">
    <w:p w14:paraId="0C73E923" w14:textId="2A146D7F" w:rsidR="00F02619" w:rsidRPr="004B3A06" w:rsidRDefault="00F02619">
      <w:pPr>
        <w:pStyle w:val="FootnoteText"/>
      </w:pPr>
      <w:r w:rsidRPr="002A4234">
        <w:rPr>
          <w:rStyle w:val="FootnoteReference"/>
        </w:rPr>
        <w:footnoteRef/>
      </w:r>
      <w:r>
        <w:t xml:space="preserve"> </w:t>
      </w:r>
      <w:r w:rsidR="004B3A06">
        <w:rPr>
          <w:i/>
          <w:iCs/>
        </w:rPr>
        <w:t>See</w:t>
      </w:r>
      <w:r w:rsidR="004B3A06">
        <w:t xml:space="preserve"> </w:t>
      </w:r>
      <w:r w:rsidR="00EC4FA6" w:rsidRPr="00EC4FA6">
        <w:t>California v. Ciraolo, 476 U.S. 207</w:t>
      </w:r>
      <w:r w:rsidR="00D20459">
        <w:t xml:space="preserve">, </w:t>
      </w:r>
      <w:r w:rsidR="004D2B5A">
        <w:t>211-15</w:t>
      </w:r>
      <w:r w:rsidR="00EC4FA6" w:rsidRPr="00EC4FA6">
        <w:t xml:space="preserve"> (1986)</w:t>
      </w:r>
      <w:r w:rsidR="00EC4FA6">
        <w:t xml:space="preserve">; </w:t>
      </w:r>
      <w:r w:rsidR="004B3A06" w:rsidRPr="004B3A06">
        <w:t>Florida v. Riley, 488 U.S. 445</w:t>
      </w:r>
      <w:r w:rsidR="004D2B5A">
        <w:t xml:space="preserve">, </w:t>
      </w:r>
      <w:r w:rsidR="005D6973">
        <w:t>449-52</w:t>
      </w:r>
      <w:r w:rsidR="004B3A06" w:rsidRPr="004B3A06">
        <w:t xml:space="preserve"> (1989)</w:t>
      </w:r>
      <w:r w:rsidR="004B3A06">
        <w:t>.</w:t>
      </w:r>
    </w:p>
  </w:footnote>
  <w:footnote w:id="52">
    <w:p w14:paraId="12DB4BF3" w14:textId="34F37D9D" w:rsidR="00B73971" w:rsidRPr="00B73971" w:rsidRDefault="00B73971">
      <w:pPr>
        <w:pStyle w:val="FootnoteText"/>
      </w:pPr>
      <w:r w:rsidRPr="002A4234">
        <w:rPr>
          <w:rStyle w:val="FootnoteReference"/>
        </w:rPr>
        <w:footnoteRef/>
      </w:r>
      <w:r>
        <w:t xml:space="preserve"> </w:t>
      </w:r>
      <w:r>
        <w:rPr>
          <w:i/>
          <w:iCs/>
        </w:rPr>
        <w:t>See</w:t>
      </w:r>
      <w:r w:rsidR="006C7927">
        <w:rPr>
          <w:i/>
          <w:iCs/>
        </w:rPr>
        <w:t>, e.g.</w:t>
      </w:r>
      <w:r w:rsidR="006C7927">
        <w:t>,</w:t>
      </w:r>
      <w:r>
        <w:t xml:space="preserve"> Carpenter v. United States,</w:t>
      </w:r>
      <w:r w:rsidR="006C4DDD">
        <w:t xml:space="preserve"> </w:t>
      </w:r>
      <w:r w:rsidR="006C4DDD" w:rsidRPr="006C4DDD">
        <w:t>138 S.</w:t>
      </w:r>
      <w:r w:rsidR="006C4DDD">
        <w:t xml:space="preserve"> </w:t>
      </w:r>
      <w:r w:rsidR="006C4DDD" w:rsidRPr="006C4DDD">
        <w:t>Ct. 2206</w:t>
      </w:r>
      <w:r w:rsidR="005E57A7">
        <w:t>, 221</w:t>
      </w:r>
      <w:r w:rsidR="00482B99">
        <w:t>6</w:t>
      </w:r>
      <w:r w:rsidR="00814F44">
        <w:t>-</w:t>
      </w:r>
      <w:r w:rsidR="005E57A7">
        <w:t>19</w:t>
      </w:r>
      <w:r w:rsidR="006C4DDD">
        <w:t xml:space="preserve"> (2018)</w:t>
      </w:r>
      <w:r w:rsidR="006C7927">
        <w:t xml:space="preserve"> (holding that obtaining cell-site location information from a cellphone </w:t>
      </w:r>
      <w:r w:rsidR="004B635C">
        <w:t>service provider</w:t>
      </w:r>
      <w:r w:rsidR="006C7927">
        <w:t xml:space="preserve"> in order to track the suspect for an extended period constituted a search)</w:t>
      </w:r>
      <w:r w:rsidR="00482B99">
        <w:t xml:space="preserve">; </w:t>
      </w:r>
      <w:r w:rsidR="00482B99">
        <w:rPr>
          <w:i/>
          <w:iCs/>
        </w:rPr>
        <w:t>see also id.</w:t>
      </w:r>
      <w:r w:rsidR="00482B99">
        <w:t xml:space="preserve"> at 221</w:t>
      </w:r>
      <w:r w:rsidR="007E280A">
        <w:t>7</w:t>
      </w:r>
      <w:r w:rsidR="00482B99">
        <w:t xml:space="preserve"> n.3</w:t>
      </w:r>
      <w:r w:rsidR="00CE189B">
        <w:t xml:space="preserve"> (“[W]</w:t>
      </w:r>
      <w:r w:rsidR="00CE189B" w:rsidRPr="00CE189B">
        <w:t>e need not decide whether there is a limited period for which the Government may obtain an individual</w:t>
      </w:r>
      <w:r w:rsidR="003200C9">
        <w:t>’</w:t>
      </w:r>
      <w:r w:rsidR="00CE189B" w:rsidRPr="00CE189B">
        <w:t>s historical CSLI free from Fourth Amendment scrutiny</w:t>
      </w:r>
      <w:r w:rsidR="003200C9">
        <w:t xml:space="preserve"> . . . . </w:t>
      </w:r>
      <w:r w:rsidR="00CE189B" w:rsidRPr="00CE189B">
        <w:t>It is sufficient for our purposes today to hold that accessing seven days of CSLI constitutes a Fourth Amendment search.</w:t>
      </w:r>
      <w:r w:rsidR="00CE189B">
        <w:t>”).</w:t>
      </w:r>
    </w:p>
  </w:footnote>
  <w:footnote w:id="53">
    <w:p w14:paraId="338F646C" w14:textId="43C2DC6C" w:rsidR="00CA78FA" w:rsidRDefault="00CA78FA" w:rsidP="00CA78FA">
      <w:pPr>
        <w:pStyle w:val="FootnoteText"/>
      </w:pPr>
      <w:r w:rsidRPr="002A4234">
        <w:rPr>
          <w:rStyle w:val="FootnoteReference"/>
        </w:rPr>
        <w:footnoteRef/>
      </w:r>
      <w:r>
        <w:t xml:space="preserve"> </w:t>
      </w:r>
      <w:r w:rsidR="00CD1927">
        <w:fldChar w:fldCharType="begin"/>
      </w:r>
      <w:r w:rsidR="00E5116B">
        <w:instrText xml:space="preserve"> ADDIN ZOTERO_ITEM CSL_CITATION {"citationID":"NmOIlqHT","properties":{"formattedCitation":"{\\i{}See, e.g.}, Baude &amp; Stern, {\\i{}supra} note 4, at 1825","plainCitation":"See, e.g., Baude &amp; Stern, supra note 4, at 1825","noteIndex":50},"citationItems":[{"id":2966,"uris":["http://zotero.org/groups/2816150/items/J6IBBYF4"],"uri":["http://zotero.org/groups/2816150/items/J6IBBYF4"],"itemData":{"id":2966,"type":"article-journal","container-title":"Harvard Law Review","journalAbbreviation":"Harv. L. Rev.","language":"eng","page":"1821-1889","source":"HeinOnline","title":"The Positive Law Model of the Fourth Amendment","volume":"129","author":[{"family":"Baude","given":"William"},{"family":"Stern","given":"James Y."}],"issued":{"date-parts":[["2016"]]}},"locator":"1825","label":"page","prefix":"&lt;i&gt;See, e.g.&lt;/i&gt;, "}],"schema":"https://github.com/citation-style-language/schema/raw/master/csl-citation.json"} </w:instrText>
      </w:r>
      <w:r w:rsidR="00CD1927">
        <w:fldChar w:fldCharType="separate"/>
      </w:r>
      <w:r w:rsidR="00E5116B" w:rsidRPr="00E5116B">
        <w:rPr>
          <w:i/>
          <w:iCs/>
        </w:rPr>
        <w:t>See, e.g.</w:t>
      </w:r>
      <w:r w:rsidR="00E5116B" w:rsidRPr="00E5116B">
        <w:t xml:space="preserve">, Baude &amp; Stern, </w:t>
      </w:r>
      <w:r w:rsidR="00E5116B" w:rsidRPr="00E5116B">
        <w:rPr>
          <w:i/>
          <w:iCs/>
        </w:rPr>
        <w:t>supra</w:t>
      </w:r>
      <w:r w:rsidR="00E5116B" w:rsidRPr="00E5116B">
        <w:t xml:space="preserve"> note </w:t>
      </w:r>
      <w:r w:rsidR="007352F8">
        <w:fldChar w:fldCharType="begin"/>
      </w:r>
      <w:r w:rsidR="007352F8">
        <w:instrText xml:space="preserve"> NOTEREF _Ref113024660 \h </w:instrText>
      </w:r>
      <w:r w:rsidR="007352F8">
        <w:fldChar w:fldCharType="separate"/>
      </w:r>
      <w:r w:rsidR="00405D69">
        <w:t>4</w:t>
      </w:r>
      <w:r w:rsidR="007352F8">
        <w:fldChar w:fldCharType="end"/>
      </w:r>
      <w:r w:rsidR="00E5116B" w:rsidRPr="00E5116B">
        <w:t>, at 1825</w:t>
      </w:r>
      <w:r w:rsidR="00CD1927">
        <w:fldChar w:fldCharType="end"/>
      </w:r>
      <w:r w:rsidR="00CD1927">
        <w:t xml:space="preserve"> (noting that criticisms of </w:t>
      </w:r>
      <w:r w:rsidR="00CD1927">
        <w:rPr>
          <w:i/>
          <w:iCs/>
        </w:rPr>
        <w:t xml:space="preserve">Katz </w:t>
      </w:r>
      <w:r w:rsidR="00CD1927">
        <w:t>“</w:t>
      </w:r>
      <w:r w:rsidR="00CD1927" w:rsidRPr="00CD1927">
        <w:t>have been exhaustively developed in Fourth Amendment scholarship over the last half-century</w:t>
      </w:r>
      <w:r w:rsidR="00CD1927">
        <w:t>”)</w:t>
      </w:r>
      <w:r w:rsidR="00C26F9C">
        <w:t xml:space="preserve">; </w:t>
      </w:r>
      <w:r w:rsidR="00C26F9C">
        <w:rPr>
          <w:i/>
          <w:iCs/>
        </w:rPr>
        <w:t>see also</w:t>
      </w:r>
      <w:r w:rsidR="00C26F9C" w:rsidRPr="00F15925">
        <w:rPr>
          <w:i/>
          <w:iCs/>
        </w:rPr>
        <w:t>,</w:t>
      </w:r>
      <w:r w:rsidR="00C26F9C">
        <w:t xml:space="preserve"> </w:t>
      </w:r>
      <w:r w:rsidR="00C26F9C">
        <w:rPr>
          <w:i/>
          <w:iCs/>
        </w:rPr>
        <w:t>e.g.</w:t>
      </w:r>
      <w:r w:rsidR="00C26F9C">
        <w:t>,</w:t>
      </w:r>
    </w:p>
  </w:footnote>
  <w:footnote w:id="54">
    <w:p w14:paraId="78284C9C" w14:textId="0E16FB1D" w:rsidR="00050CB8" w:rsidRDefault="00C26F9C" w:rsidP="007978DE">
      <w:pPr>
        <w:pStyle w:val="FootnoteText"/>
        <w:ind w:firstLine="0"/>
      </w:pPr>
      <w:r>
        <w:t xml:space="preserve">David Alan Sklansky, </w:t>
      </w:r>
      <w:r w:rsidR="00050CB8" w:rsidRPr="00F15925">
        <w:rPr>
          <w:i/>
          <w:iCs/>
        </w:rPr>
        <w:t>“</w:t>
      </w:r>
      <w:r w:rsidRPr="00F15925">
        <w:rPr>
          <w:i/>
          <w:iCs/>
        </w:rPr>
        <w:t>One Train May Hide Another</w:t>
      </w:r>
      <w:r w:rsidR="00050CB8" w:rsidRPr="00F15925">
        <w:rPr>
          <w:i/>
          <w:iCs/>
        </w:rPr>
        <w:t>”</w:t>
      </w:r>
      <w:r w:rsidRPr="00F15925">
        <w:rPr>
          <w:i/>
          <w:iCs/>
        </w:rPr>
        <w:t xml:space="preserve">: </w:t>
      </w:r>
      <w:r w:rsidRPr="00050CB8">
        <w:t>Katz</w:t>
      </w:r>
      <w:r w:rsidRPr="00F15925">
        <w:rPr>
          <w:i/>
          <w:iCs/>
        </w:rPr>
        <w:t>, Stonewall, and the Secret Subtext of Criminal Procedure,</w:t>
      </w:r>
      <w:r>
        <w:t xml:space="preserve"> 41 U</w:t>
      </w:r>
      <w:r w:rsidRPr="00F15925">
        <w:rPr>
          <w:smallCaps/>
        </w:rPr>
        <w:t xml:space="preserve">.C. Davis L. Rev. </w:t>
      </w:r>
      <w:r>
        <w:t>875, 883 (2008)</w:t>
      </w:r>
      <w:r w:rsidR="00050CB8">
        <w:t xml:space="preserve"> (“Among scholars Katz is widely viewed as something of a failure.”). </w:t>
      </w:r>
    </w:p>
    <w:p w14:paraId="76335D9D" w14:textId="0DD67A8E" w:rsidR="00FA3B43" w:rsidRDefault="00FA3B43" w:rsidP="00050CB8">
      <w:pPr>
        <w:pStyle w:val="FootnoteText"/>
      </w:pPr>
      <w:r w:rsidRPr="002A4234">
        <w:rPr>
          <w:rStyle w:val="FootnoteReference"/>
        </w:rPr>
        <w:footnoteRef/>
      </w:r>
      <w:r>
        <w:t xml:space="preserve"> Kyllo v. United States, </w:t>
      </w:r>
      <w:r w:rsidR="00602D69">
        <w:t>533 U.S. 27</w:t>
      </w:r>
      <w:r w:rsidR="00D57D60">
        <w:t>, 34</w:t>
      </w:r>
      <w:r w:rsidR="00602D69">
        <w:t xml:space="preserve"> (2001).</w:t>
      </w:r>
    </w:p>
  </w:footnote>
  <w:footnote w:id="55">
    <w:p w14:paraId="2AA2AC33" w14:textId="00F39390" w:rsidR="007F69E1" w:rsidRDefault="007F69E1">
      <w:pPr>
        <w:pStyle w:val="FootnoteText"/>
      </w:pPr>
      <w:r w:rsidRPr="002A4234">
        <w:rPr>
          <w:rStyle w:val="FootnoteReference"/>
        </w:rPr>
        <w:footnoteRef/>
      </w:r>
      <w:r>
        <w:t xml:space="preserve"> Minnesota v. Carter, 525 U.S. 83, 97 (1998)</w:t>
      </w:r>
      <w:r w:rsidR="005B57E5">
        <w:t xml:space="preserve"> (Scalia, J., concurring</w:t>
      </w:r>
      <w:r>
        <w:t>).</w:t>
      </w:r>
    </w:p>
  </w:footnote>
  <w:footnote w:id="56">
    <w:p w14:paraId="3A3443C8" w14:textId="341EF9D2" w:rsidR="006268FB" w:rsidRPr="00173C05" w:rsidRDefault="006268FB">
      <w:pPr>
        <w:pStyle w:val="FootnoteText"/>
      </w:pPr>
      <w:r w:rsidRPr="002A4234">
        <w:rPr>
          <w:rStyle w:val="FootnoteReference"/>
        </w:rPr>
        <w:footnoteRef/>
      </w:r>
      <w:r>
        <w:t xml:space="preserve"> </w:t>
      </w:r>
      <w:r w:rsidR="00173C05">
        <w:rPr>
          <w:i/>
          <w:iCs/>
        </w:rPr>
        <w:t>See id.</w:t>
      </w:r>
    </w:p>
  </w:footnote>
  <w:footnote w:id="57">
    <w:p w14:paraId="54E2BAC7" w14:textId="33FDEC7D" w:rsidR="00694AFB" w:rsidRPr="00BF7C93" w:rsidRDefault="00694AFB" w:rsidP="00694AFB">
      <w:pPr>
        <w:pStyle w:val="FootnoteText"/>
      </w:pPr>
      <w:r w:rsidRPr="002A4234">
        <w:rPr>
          <w:rStyle w:val="FootnoteReference"/>
        </w:rPr>
        <w:footnoteRef/>
      </w:r>
      <w:r w:rsidR="00E2621F">
        <w:t xml:space="preserve"> </w:t>
      </w:r>
      <w:r w:rsidR="00E2621F">
        <w:rPr>
          <w:i/>
          <w:iCs/>
        </w:rPr>
        <w:t>See, e.g.</w:t>
      </w:r>
      <w:r w:rsidR="00E2621F">
        <w:t xml:space="preserve">, </w:t>
      </w:r>
      <w:r w:rsidR="00E2621F" w:rsidRPr="009B126F">
        <w:rPr>
          <w:i/>
        </w:rPr>
        <w:t>Kyllo</w:t>
      </w:r>
      <w:r w:rsidR="009C775C">
        <w:t xml:space="preserve">, </w:t>
      </w:r>
      <w:r w:rsidRPr="00E32536">
        <w:t>533 U</w:t>
      </w:r>
      <w:r>
        <w:t>.</w:t>
      </w:r>
      <w:r w:rsidRPr="00E32536">
        <w:t>S</w:t>
      </w:r>
      <w:r>
        <w:t>.</w:t>
      </w:r>
      <w:r w:rsidRPr="00E32536">
        <w:t xml:space="preserve"> </w:t>
      </w:r>
      <w:r w:rsidR="00E76E48">
        <w:t>at</w:t>
      </w:r>
      <w:r>
        <w:t xml:space="preserve"> 31 </w:t>
      </w:r>
      <w:r w:rsidR="00E2621F">
        <w:t>(arguing that “</w:t>
      </w:r>
      <w:r w:rsidR="00E2621F" w:rsidRPr="005D4C66">
        <w:t>well into the 20th century, our Fourth Amendment jurisprudence was tied to common-law trespass</w:t>
      </w:r>
      <w:r w:rsidR="00E2621F">
        <w:t>”)</w:t>
      </w:r>
      <w:r w:rsidR="00BF7C93">
        <w:t>; Georgia v. Randolph, 547 U.S. 1</w:t>
      </w:r>
      <w:r w:rsidR="00535D37">
        <w:t>03, 143 (2006) (Scalia, J., dissenting) (“</w:t>
      </w:r>
      <w:r w:rsidR="00535D37" w:rsidRPr="00535D37">
        <w:t>From the date of its ratification until well into the 20th century, violation of the</w:t>
      </w:r>
      <w:r w:rsidR="00535D37">
        <w:t xml:space="preserve"> [Fourth]</w:t>
      </w:r>
      <w:r w:rsidR="00535D37" w:rsidRPr="00535D37">
        <w:t xml:space="preserve"> Amendment was tied to common-law trespass.</w:t>
      </w:r>
      <w:r w:rsidR="00535D37">
        <w:t>”).</w:t>
      </w:r>
    </w:p>
  </w:footnote>
  <w:footnote w:id="58">
    <w:p w14:paraId="1BD6FF3E" w14:textId="23F0DE31" w:rsidR="00105D99" w:rsidRDefault="00105D99">
      <w:pPr>
        <w:pStyle w:val="FootnoteText"/>
      </w:pPr>
      <w:r>
        <w:rPr>
          <w:rStyle w:val="FootnoteReference"/>
        </w:rPr>
        <w:footnoteRef/>
      </w:r>
      <w:r>
        <w:t xml:space="preserve"> </w:t>
      </w:r>
      <w:r w:rsidRPr="00105D99">
        <w:t>Katz v. United States, 389 U.S. 347, 353 (1967).</w:t>
      </w:r>
    </w:p>
  </w:footnote>
  <w:footnote w:id="59">
    <w:p w14:paraId="5E8F2051" w14:textId="56EF31BE" w:rsidR="007D10E0" w:rsidRDefault="007D10E0">
      <w:pPr>
        <w:pStyle w:val="FootnoteText"/>
      </w:pPr>
      <w:r w:rsidRPr="002A4234">
        <w:rPr>
          <w:rStyle w:val="FootnoteReference"/>
        </w:rPr>
        <w:footnoteRef/>
      </w:r>
      <w:r>
        <w:t xml:space="preserve"> </w:t>
      </w:r>
      <w:r>
        <w:rPr>
          <w:i/>
          <w:iCs/>
        </w:rPr>
        <w:t>See, e.g.</w:t>
      </w:r>
      <w:r>
        <w:t>, United States v. U.S. Dist. Ct., 407 U.S. 297, 313 (1972) (“</w:t>
      </w:r>
      <w:r w:rsidRPr="00382A19">
        <w:t xml:space="preserve">Our decision in </w:t>
      </w:r>
      <w:r w:rsidRPr="00382A19">
        <w:rPr>
          <w:i/>
          <w:iCs/>
        </w:rPr>
        <w:t>Katz</w:t>
      </w:r>
      <w:r w:rsidRPr="00382A19">
        <w:t xml:space="preserve"> refused to lock the Fourth Amendment into instances of actual physical trespass.</w:t>
      </w:r>
      <w:r>
        <w:t>”); Soldal v. Cook County, 506 U.S. 56, 64 (1992) (“</w:t>
      </w:r>
      <w:r w:rsidR="00C37E92" w:rsidRPr="00BE2429">
        <w:rPr>
          <w:i/>
          <w:iCs/>
        </w:rPr>
        <w:t>Katz</w:t>
      </w:r>
      <w:r w:rsidR="00C37E92">
        <w:t> </w:t>
      </w:r>
      <w:r w:rsidR="00C37E92" w:rsidRPr="00BE2429">
        <w:t>.</w:t>
      </w:r>
      <w:r w:rsidR="00C37E92">
        <w:t> </w:t>
      </w:r>
      <w:r w:rsidR="00C37E92" w:rsidRPr="00BE2429">
        <w:t>.</w:t>
      </w:r>
      <w:r w:rsidR="00C37E92">
        <w:t> </w:t>
      </w:r>
      <w:r w:rsidR="00C37E92" w:rsidRPr="00BE2429">
        <w:t>.</w:t>
      </w:r>
      <w:r w:rsidR="00C37E92">
        <w:t> </w:t>
      </w:r>
      <w:r w:rsidRPr="00BE2429">
        <w:t>effectively ended any lingering notions that the protection of privacy depended on trespass into a protected area.</w:t>
      </w:r>
      <w:r>
        <w:t>”);</w:t>
      </w:r>
      <w:r w:rsidR="005B3853">
        <w:t xml:space="preserve"> </w:t>
      </w:r>
      <w:r w:rsidR="005B3853">
        <w:rPr>
          <w:i/>
          <w:iCs/>
        </w:rPr>
        <w:t>see also</w:t>
      </w:r>
      <w:r>
        <w:t xml:space="preserve"> Dow Chem. Co. v. United States, 476 U.S. 227, 248 (1986) (Powell, J., concurring in part and dissenting in part) (arguing that “</w:t>
      </w:r>
      <w:r w:rsidRPr="008B0ED0">
        <w:t>physical trespass no longer functions as a reliable proxy for intrusion on privacy</w:t>
      </w:r>
      <w:r>
        <w:t>”); California v. Ciraolo, 476 U.S. 207, 219 (1986) (Powell, J., dissenting) (arguing that “</w:t>
      </w:r>
      <w:r w:rsidRPr="00F66382">
        <w:t>the Court in</w:t>
      </w:r>
      <w:r>
        <w:t xml:space="preserve"> </w:t>
      </w:r>
      <w:r>
        <w:rPr>
          <w:i/>
          <w:iCs/>
        </w:rPr>
        <w:t>Katz</w:t>
      </w:r>
      <w:r w:rsidRPr="00F66382">
        <w:t xml:space="preserve"> abandoned its inquiry into whether police had committed a physical trespass</w:t>
      </w:r>
      <w:r>
        <w:t>”).</w:t>
      </w:r>
    </w:p>
  </w:footnote>
  <w:footnote w:id="60">
    <w:p w14:paraId="5BF88948" w14:textId="1E2D7A04" w:rsidR="00D035BD" w:rsidRPr="00C00B2C" w:rsidRDefault="00D035BD" w:rsidP="00D035BD">
      <w:pPr>
        <w:pStyle w:val="FootnoteText"/>
      </w:pPr>
      <w:r w:rsidRPr="002A4234">
        <w:rPr>
          <w:rStyle w:val="FootnoteReference"/>
        </w:rPr>
        <w:footnoteRef/>
      </w:r>
      <w:r>
        <w:t xml:space="preserve"> </w:t>
      </w:r>
      <w:r>
        <w:rPr>
          <w:i/>
          <w:iCs/>
        </w:rPr>
        <w:t>See, e.g.</w:t>
      </w:r>
      <w:r>
        <w:t xml:space="preserve">, </w:t>
      </w:r>
      <w:r w:rsidRPr="00B56D3F">
        <w:t>Oliver v. United States, 466 U.S. 170, 183 (1984) (“The existence of a property right is but one element in determining whether expectations of privacy are legitimate.”); United States v. Karo, 468 U.S. 705, 712</w:t>
      </w:r>
      <w:r w:rsidR="009C3C30">
        <w:t>-</w:t>
      </w:r>
      <w:r w:rsidRPr="00B56D3F">
        <w:t xml:space="preserve">13 (1984) (“The existence of a physical trespass is only marginally relevant to the question of whether the Fourth Amendment has been </w:t>
      </w:r>
      <w:r w:rsidR="00882D06" w:rsidRPr="00B56D3F">
        <w:t>violated</w:t>
      </w:r>
      <w:r w:rsidR="00882D06">
        <w:t> </w:t>
      </w:r>
      <w:r w:rsidR="00882D06" w:rsidRPr="00B56D3F">
        <w:t>.</w:t>
      </w:r>
      <w:r w:rsidR="00882D06">
        <w:t> </w:t>
      </w:r>
      <w:r w:rsidR="00882D06" w:rsidRPr="00B56D3F">
        <w:t>.</w:t>
      </w:r>
      <w:r w:rsidR="00882D06">
        <w:t> </w:t>
      </w:r>
      <w:r w:rsidR="00882D06" w:rsidRPr="00B56D3F">
        <w:t>.</w:t>
      </w:r>
      <w:r w:rsidR="00882D06">
        <w:t> </w:t>
      </w:r>
      <w:r w:rsidRPr="00B56D3F">
        <w:t>for an actual trespass is neither necessary nor sufficient to establish a constitutional violation.”)</w:t>
      </w:r>
      <w:r>
        <w:t xml:space="preserve">; </w:t>
      </w:r>
      <w:r>
        <w:rPr>
          <w:i/>
          <w:iCs/>
        </w:rPr>
        <w:t>see also</w:t>
      </w:r>
      <w:r w:rsidR="0023366C">
        <w:t xml:space="preserve"> </w:t>
      </w:r>
      <w:r>
        <w:t xml:space="preserve">Warden v. Hayden, 387 U.S. 294, 305 (1967) (asserting, prior to </w:t>
      </w:r>
      <w:r>
        <w:rPr>
          <w:i/>
          <w:iCs/>
        </w:rPr>
        <w:t>Katz,</w:t>
      </w:r>
      <w:r>
        <w:t xml:space="preserve"> that “</w:t>
      </w:r>
      <w:r w:rsidRPr="00C00B2C">
        <w:t>an actual trespass under local property law is unnecessary to support a remediable violation of the Fourth Amendment</w:t>
      </w:r>
      <w:r>
        <w:t>”).</w:t>
      </w:r>
    </w:p>
  </w:footnote>
  <w:footnote w:id="61">
    <w:p w14:paraId="4AD11DD6" w14:textId="060B7E22" w:rsidR="003025D4" w:rsidRDefault="003025D4">
      <w:pPr>
        <w:pStyle w:val="FootnoteText"/>
      </w:pPr>
      <w:r w:rsidRPr="002A4234">
        <w:rPr>
          <w:rStyle w:val="FootnoteReference"/>
        </w:rPr>
        <w:footnoteRef/>
      </w:r>
      <w:r>
        <w:t xml:space="preserve"> </w:t>
      </w:r>
      <w:r w:rsidR="00753935">
        <w:t xml:space="preserve">In dissent in </w:t>
      </w:r>
      <w:r w:rsidR="00753935">
        <w:rPr>
          <w:i/>
          <w:iCs/>
        </w:rPr>
        <w:t>Katz</w:t>
      </w:r>
      <w:r w:rsidR="00753935">
        <w:t xml:space="preserve"> itself, Justice Black argued that </w:t>
      </w:r>
      <w:r w:rsidR="00753935">
        <w:rPr>
          <w:i/>
          <w:iCs/>
        </w:rPr>
        <w:t xml:space="preserve">Olmstead </w:t>
      </w:r>
      <w:r w:rsidR="00753935">
        <w:t xml:space="preserve">and </w:t>
      </w:r>
      <w:r w:rsidR="00753935">
        <w:rPr>
          <w:i/>
          <w:iCs/>
        </w:rPr>
        <w:t>Goldman</w:t>
      </w:r>
      <w:r w:rsidR="00753935">
        <w:t xml:space="preserve"> “were decided on the basis of the inapplicability of the wording of the Fourth Amendment to eavesdropping, and not on any trespass basis.”</w:t>
      </w:r>
      <w:r w:rsidR="00C84873">
        <w:t xml:space="preserve"> </w:t>
      </w:r>
      <w:r w:rsidR="00C84873" w:rsidRPr="00DA350E">
        <w:t>Katz v. United States, 389 U</w:t>
      </w:r>
      <w:r w:rsidR="00C84873">
        <w:t>.</w:t>
      </w:r>
      <w:r w:rsidR="00C84873" w:rsidRPr="00DA350E">
        <w:t>S</w:t>
      </w:r>
      <w:r w:rsidR="00C84873">
        <w:t>.</w:t>
      </w:r>
      <w:r w:rsidR="00C84873" w:rsidRPr="00DA350E">
        <w:t xml:space="preserve"> 347</w:t>
      </w:r>
      <w:r w:rsidR="00C84873">
        <w:t>, 369 (1967) (Black, J., dissenting).</w:t>
      </w:r>
      <w:r w:rsidR="00541278">
        <w:t xml:space="preserve"> More recently, Orin Kerr has argued that “[n]o historical trespass era existed” before </w:t>
      </w:r>
      <w:r w:rsidR="00541278">
        <w:rPr>
          <w:i/>
          <w:iCs/>
        </w:rPr>
        <w:t>Katz</w:t>
      </w:r>
      <w:r w:rsidR="00541278">
        <w:t>, meaning “</w:t>
      </w:r>
      <w:r w:rsidR="00541278" w:rsidRPr="00F43BC4">
        <w:t>there is no trespass test to restore</w:t>
      </w:r>
      <w:r w:rsidR="00541278">
        <w:t xml:space="preserve">.” </w:t>
      </w:r>
      <w:r w:rsidR="00541278">
        <w:fldChar w:fldCharType="begin"/>
      </w:r>
      <w:r w:rsidR="00E5116B">
        <w:instrText xml:space="preserve"> ADDIN ZOTERO_ITEM CSL_CITATION {"citationID":"3exkYko6","properties":{"formattedCitation":"Orin S. Kerr, {\\i{}The Curious History of Fourth Amendment Searches}, 2012 {\\scaps S. Ct. Rev.} 67, 69","plainCitation":"Orin S. Kerr, The Curious History of Fourth Amendment Searches, 2012 S. Ct. Rev. 67, 69","noteIndex":57},"citationItems":[{"id":2905,"uris":["http://zotero.org/groups/2816150/items/IK5WKJ8K"],"uri":["http://zotero.org/groups/2816150/items/IK5WKJ8K"],"itemData":{"id":2905,"type":"article-journal","container-title":"The Supreme Court Review","DOI":"10.1086/670228","ISSN":"0081-9557","journalAbbreviation":"S. Ct. Rev.","page":"67-97","source":"journals.uchicago.edu (Atypon)","title":"The Curious History of Fourth Amendment Searches","volume":"2012","author":[{"family":"Kerr","given":"Orin S."}]},"locator":"69","label":"page"}],"schema":"https://github.com/citation-style-language/schema/raw/master/csl-citation.json"} </w:instrText>
      </w:r>
      <w:r w:rsidR="00541278">
        <w:fldChar w:fldCharType="separate"/>
      </w:r>
      <w:r w:rsidR="00E5116B" w:rsidRPr="00E5116B">
        <w:t xml:space="preserve">Orin S. Kerr, </w:t>
      </w:r>
      <w:r w:rsidR="00E5116B" w:rsidRPr="00E5116B">
        <w:rPr>
          <w:i/>
          <w:iCs/>
        </w:rPr>
        <w:t>The Curious History of Fourth Amendment Searches</w:t>
      </w:r>
      <w:r w:rsidR="00E5116B" w:rsidRPr="00E5116B">
        <w:t xml:space="preserve">, 2012 </w:t>
      </w:r>
      <w:r w:rsidR="00E5116B" w:rsidRPr="00E5116B">
        <w:rPr>
          <w:smallCaps/>
        </w:rPr>
        <w:t>S</w:t>
      </w:r>
      <w:r w:rsidR="003E4607">
        <w:rPr>
          <w:smallCaps/>
        </w:rPr>
        <w:t>up</w:t>
      </w:r>
      <w:r w:rsidR="00E5116B" w:rsidRPr="00E5116B">
        <w:rPr>
          <w:smallCaps/>
        </w:rPr>
        <w:t>. Ct. Rev.</w:t>
      </w:r>
      <w:r w:rsidR="00E5116B" w:rsidRPr="00E5116B">
        <w:t xml:space="preserve"> 67, 69</w:t>
      </w:r>
      <w:r w:rsidR="00541278">
        <w:fldChar w:fldCharType="end"/>
      </w:r>
      <w:r w:rsidR="00E5116B">
        <w:t>.</w:t>
      </w:r>
    </w:p>
  </w:footnote>
  <w:footnote w:id="62">
    <w:p w14:paraId="2E10D7A8" w14:textId="69EB45DC" w:rsidR="00BF55E1" w:rsidRDefault="00BF55E1">
      <w:pPr>
        <w:pStyle w:val="FootnoteText"/>
      </w:pPr>
      <w:r w:rsidRPr="002A4234">
        <w:rPr>
          <w:rStyle w:val="FootnoteReference"/>
        </w:rPr>
        <w:footnoteRef/>
      </w:r>
      <w:r>
        <w:t xml:space="preserve"> 547 U.S. 103</w:t>
      </w:r>
      <w:r w:rsidR="002E3CF6">
        <w:t>, 142</w:t>
      </w:r>
      <w:r>
        <w:t xml:space="preserve"> (2006)</w:t>
      </w:r>
      <w:r w:rsidR="002E3CF6">
        <w:t xml:space="preserve"> (Scalia, J., dissenting</w:t>
      </w:r>
      <w:r>
        <w:t>).</w:t>
      </w:r>
    </w:p>
  </w:footnote>
  <w:footnote w:id="63">
    <w:p w14:paraId="2331BC94" w14:textId="75CE639A" w:rsidR="003D20E4" w:rsidRPr="00A72E25" w:rsidRDefault="003D20E4">
      <w:pPr>
        <w:pStyle w:val="FootnoteText"/>
      </w:pPr>
      <w:r w:rsidRPr="002A4234">
        <w:rPr>
          <w:rStyle w:val="FootnoteReference"/>
        </w:rPr>
        <w:footnoteRef/>
      </w:r>
      <w:r w:rsidRPr="003A2A95">
        <w:t xml:space="preserve"> </w:t>
      </w:r>
      <w:r w:rsidR="003A2A95">
        <w:rPr>
          <w:i/>
          <w:iCs/>
        </w:rPr>
        <w:t xml:space="preserve">Id. </w:t>
      </w:r>
      <w:r w:rsidR="003A2A95">
        <w:t>at 143 (Scalia, J., dissenting).</w:t>
      </w:r>
    </w:p>
  </w:footnote>
  <w:footnote w:id="64">
    <w:p w14:paraId="2C63BA5D" w14:textId="63A2EA7C" w:rsidR="00AC0310" w:rsidRDefault="00AC0310">
      <w:pPr>
        <w:pStyle w:val="FootnoteText"/>
      </w:pPr>
      <w:r w:rsidRPr="002A4234">
        <w:rPr>
          <w:rStyle w:val="FootnoteReference"/>
        </w:rPr>
        <w:footnoteRef/>
      </w:r>
      <w:r>
        <w:t xml:space="preserve"> 565 U.S. 400 (2012).</w:t>
      </w:r>
    </w:p>
  </w:footnote>
  <w:footnote w:id="65">
    <w:p w14:paraId="3381AD67" w14:textId="7C0A8783" w:rsidR="00DE7A7D" w:rsidRPr="00DE7A7D" w:rsidRDefault="00DE7A7D">
      <w:pPr>
        <w:pStyle w:val="FootnoteText"/>
      </w:pPr>
      <w:r w:rsidRPr="002A4234">
        <w:rPr>
          <w:rStyle w:val="FootnoteReference"/>
        </w:rPr>
        <w:footnoteRef/>
      </w:r>
      <w:r>
        <w:t xml:space="preserve"> </w:t>
      </w:r>
      <w:r>
        <w:rPr>
          <w:i/>
          <w:iCs/>
        </w:rPr>
        <w:t>Id.</w:t>
      </w:r>
      <w:r>
        <w:t xml:space="preserve"> at</w:t>
      </w:r>
      <w:r w:rsidR="00543EFE">
        <w:t xml:space="preserve"> 404</w:t>
      </w:r>
      <w:r w:rsidR="0023274B">
        <w:t>, 410</w:t>
      </w:r>
      <w:r>
        <w:t>.</w:t>
      </w:r>
    </w:p>
  </w:footnote>
  <w:footnote w:id="66">
    <w:p w14:paraId="5B84F3FF" w14:textId="3AFD9F15" w:rsidR="0058517E" w:rsidRDefault="0058517E">
      <w:pPr>
        <w:pStyle w:val="FootnoteText"/>
      </w:pPr>
      <w:r w:rsidRPr="002A4234">
        <w:rPr>
          <w:rStyle w:val="FootnoteReference"/>
        </w:rPr>
        <w:footnoteRef/>
      </w:r>
      <w:r>
        <w:t xml:space="preserve"> </w:t>
      </w:r>
      <w:r w:rsidR="002A1BA3" w:rsidRPr="002A1BA3">
        <w:t>569 U.S. 1</w:t>
      </w:r>
      <w:r w:rsidR="002A1BA3">
        <w:t xml:space="preserve"> (2013).</w:t>
      </w:r>
    </w:p>
  </w:footnote>
  <w:footnote w:id="67">
    <w:p w14:paraId="4DED7B4F" w14:textId="0FB0DA13" w:rsidR="0013085C" w:rsidRPr="0013085C" w:rsidRDefault="0013085C">
      <w:pPr>
        <w:pStyle w:val="FootnoteText"/>
      </w:pPr>
      <w:r w:rsidRPr="002A4234">
        <w:rPr>
          <w:rStyle w:val="FootnoteReference"/>
        </w:rPr>
        <w:footnoteRef/>
      </w:r>
      <w:r>
        <w:t xml:space="preserve"> </w:t>
      </w:r>
      <w:r>
        <w:rPr>
          <w:i/>
          <w:iCs/>
        </w:rPr>
        <w:t>Id.</w:t>
      </w:r>
      <w:r>
        <w:t xml:space="preserve"> at </w:t>
      </w:r>
      <w:r w:rsidR="00A74A88">
        <w:t>6.</w:t>
      </w:r>
    </w:p>
  </w:footnote>
  <w:footnote w:id="68">
    <w:p w14:paraId="024AFFC1" w14:textId="7DB26544" w:rsidR="00060D77" w:rsidRPr="00060D77" w:rsidRDefault="00060D77">
      <w:pPr>
        <w:pStyle w:val="FootnoteText"/>
      </w:pPr>
      <w:r w:rsidRPr="002A4234">
        <w:rPr>
          <w:rStyle w:val="FootnoteReference"/>
        </w:rPr>
        <w:footnoteRef/>
      </w:r>
      <w:r>
        <w:t xml:space="preserve"> </w:t>
      </w:r>
      <w:r>
        <w:rPr>
          <w:i/>
          <w:iCs/>
        </w:rPr>
        <w:t>Id.</w:t>
      </w:r>
      <w:r>
        <w:t xml:space="preserve"> at 8</w:t>
      </w:r>
      <w:r w:rsidR="006A4F6E">
        <w:t>-9</w:t>
      </w:r>
      <w:r>
        <w:t xml:space="preserve">. </w:t>
      </w:r>
    </w:p>
  </w:footnote>
  <w:footnote w:id="69">
    <w:p w14:paraId="73575217" w14:textId="3FE3DE76" w:rsidR="00E51D2D" w:rsidRDefault="00E51D2D">
      <w:pPr>
        <w:pStyle w:val="FootnoteText"/>
      </w:pPr>
      <w:r w:rsidRPr="002A4234">
        <w:rPr>
          <w:rStyle w:val="FootnoteReference"/>
        </w:rPr>
        <w:footnoteRef/>
      </w:r>
      <w:r>
        <w:t xml:space="preserve"> </w:t>
      </w:r>
      <w:r w:rsidR="0062022B">
        <w:t>138 S. Ct. 2206 (2018).</w:t>
      </w:r>
    </w:p>
  </w:footnote>
  <w:footnote w:id="70">
    <w:p w14:paraId="0D27C293" w14:textId="5737983D" w:rsidR="003D1D82" w:rsidRPr="003D1D82" w:rsidRDefault="003D1D82" w:rsidP="003D1D82">
      <w:pPr>
        <w:pStyle w:val="FootnoteText"/>
      </w:pPr>
      <w:r w:rsidRPr="002A4234">
        <w:rPr>
          <w:rStyle w:val="FootnoteReference"/>
        </w:rPr>
        <w:footnoteRef/>
      </w:r>
      <w:r>
        <w:t xml:space="preserve"> </w:t>
      </w:r>
      <w:r>
        <w:rPr>
          <w:i/>
          <w:iCs/>
        </w:rPr>
        <w:t>Id.</w:t>
      </w:r>
      <w:r>
        <w:t xml:space="preserve"> at 2217.</w:t>
      </w:r>
    </w:p>
  </w:footnote>
  <w:footnote w:id="71">
    <w:p w14:paraId="6DB7BAFD" w14:textId="75C925CE" w:rsidR="000666AA" w:rsidRPr="000666AA" w:rsidRDefault="000666AA">
      <w:pPr>
        <w:pStyle w:val="FootnoteText"/>
      </w:pPr>
      <w:r w:rsidRPr="002A4234">
        <w:rPr>
          <w:rStyle w:val="FootnoteReference"/>
        </w:rPr>
        <w:footnoteRef/>
      </w:r>
      <w:r>
        <w:t xml:space="preserve"> </w:t>
      </w:r>
      <w:r>
        <w:rPr>
          <w:i/>
          <w:iCs/>
        </w:rPr>
        <w:t>Id.</w:t>
      </w:r>
      <w:r>
        <w:t xml:space="preserve"> at 2267 (Gorsuch, J., dissenting).</w:t>
      </w:r>
    </w:p>
  </w:footnote>
  <w:footnote w:id="72">
    <w:p w14:paraId="6877D4F3" w14:textId="3E013F22" w:rsidR="009861BA" w:rsidRPr="009861BA" w:rsidRDefault="009861BA">
      <w:pPr>
        <w:pStyle w:val="FootnoteText"/>
      </w:pPr>
      <w:r w:rsidRPr="002A4234">
        <w:rPr>
          <w:rStyle w:val="FootnoteReference"/>
        </w:rPr>
        <w:footnoteRef/>
      </w:r>
      <w:r>
        <w:t xml:space="preserve"> </w:t>
      </w:r>
      <w:r>
        <w:rPr>
          <w:i/>
          <w:iCs/>
        </w:rPr>
        <w:t>Id.</w:t>
      </w:r>
      <w:r>
        <w:t xml:space="preserve"> at </w:t>
      </w:r>
      <w:r w:rsidR="006A547D">
        <w:t>2267</w:t>
      </w:r>
      <w:r w:rsidR="00DD586A">
        <w:t>-</w:t>
      </w:r>
      <w:r w:rsidR="006A547D">
        <w:t>68</w:t>
      </w:r>
      <w:r w:rsidR="009B3243">
        <w:t xml:space="preserve"> (emphasis omitted)</w:t>
      </w:r>
      <w:r w:rsidR="006A547D">
        <w:t>.</w:t>
      </w:r>
    </w:p>
  </w:footnote>
  <w:footnote w:id="73">
    <w:p w14:paraId="4A32ABF8" w14:textId="2806E671" w:rsidR="00ED4785" w:rsidRPr="00ED4785" w:rsidRDefault="00ED4785">
      <w:pPr>
        <w:pStyle w:val="FootnoteText"/>
      </w:pPr>
      <w:r w:rsidRPr="002A4234">
        <w:rPr>
          <w:rStyle w:val="FootnoteReference"/>
        </w:rPr>
        <w:footnoteRef/>
      </w:r>
      <w:r>
        <w:t xml:space="preserve"> </w:t>
      </w:r>
      <w:r>
        <w:rPr>
          <w:i/>
          <w:iCs/>
        </w:rPr>
        <w:t>Id.</w:t>
      </w:r>
      <w:r>
        <w:t xml:space="preserve"> at 2268.</w:t>
      </w:r>
    </w:p>
  </w:footnote>
  <w:footnote w:id="74">
    <w:p w14:paraId="2B742450" w14:textId="11C041D2" w:rsidR="00C71286" w:rsidRDefault="00C71286">
      <w:pPr>
        <w:pStyle w:val="FootnoteText"/>
      </w:pPr>
      <w:r w:rsidRPr="002A4234">
        <w:rPr>
          <w:rStyle w:val="FootnoteReference"/>
        </w:rPr>
        <w:footnoteRef/>
      </w:r>
      <w:r>
        <w:t xml:space="preserve"> </w:t>
      </w:r>
      <w:r w:rsidR="00EF7E44">
        <w:rPr>
          <w:i/>
          <w:iCs/>
        </w:rPr>
        <w:t xml:space="preserve">See </w:t>
      </w:r>
      <w:r w:rsidR="00EF7E44">
        <w:t xml:space="preserve">Baude and Stern, </w:t>
      </w:r>
      <w:r w:rsidR="00EF7E44">
        <w:rPr>
          <w:i/>
          <w:iCs/>
        </w:rPr>
        <w:t xml:space="preserve">supra </w:t>
      </w:r>
      <w:r w:rsidR="00EF7E44">
        <w:t xml:space="preserve">note 4. Baude and Stern’s work is one of the many that Justice Gorsuch cited in his dissenting opinion in </w:t>
      </w:r>
      <w:r w:rsidR="00EF7E44" w:rsidRPr="009B126F">
        <w:rPr>
          <w:i/>
          <w:iCs/>
        </w:rPr>
        <w:t>Carpenter</w:t>
      </w:r>
      <w:r w:rsidR="00EF7E44">
        <w:t xml:space="preserve">. </w:t>
      </w:r>
      <w:r w:rsidR="00EF7E44">
        <w:rPr>
          <w:i/>
          <w:iCs/>
        </w:rPr>
        <w:t xml:space="preserve">See </w:t>
      </w:r>
      <w:r w:rsidR="00DD586A">
        <w:t xml:space="preserve">Carpenter v. United States, 138 S. Ct. 2206, 2268 (2018) (citing </w:t>
      </w:r>
      <w:r w:rsidR="00DD586A">
        <w:fldChar w:fldCharType="begin"/>
      </w:r>
      <w:r w:rsidR="00DD586A">
        <w:instrText xml:space="preserve"> ADDIN ZOTERO_ITEM CSL_CITATION {"citationID":"o65WuAOI","properties":{"formattedCitation":"Baude &amp; Stern, {\\i{}supra} note 4","plainCitation":"Baude &amp; Stern, supra note 4","noteIndex":70},"citationItems":[{"id":2966,"uris":["http://zotero.org/groups/2816150/items/J6IBBYF4"],"uri":["http://zotero.org/groups/2816150/items/J6IBBYF4"],"itemData":{"id":2966,"type":"article-journal","container-title":"Harvard Law Review","journalAbbreviation":"Harv. L. Rev.","language":"eng","page":"1821-1889","source":"HeinOnline","title":"The Positive Law Model of the Fourth Amendment","volume":"129","author":[{"family":"Baude","given":"William"},{"family":"Stern","given":"James Y."}],"issued":{"date-parts":[["2016"]]}}}],"schema":"https://github.com/citation-style-language/schema/raw/master/csl-citation.json"} </w:instrText>
      </w:r>
      <w:r w:rsidR="00DD586A">
        <w:fldChar w:fldCharType="separate"/>
      </w:r>
      <w:r w:rsidR="00DD586A" w:rsidRPr="00E5116B">
        <w:t xml:space="preserve">Baude &amp; Stern, </w:t>
      </w:r>
      <w:r w:rsidR="00DD586A" w:rsidRPr="00E5116B">
        <w:rPr>
          <w:i/>
          <w:iCs/>
        </w:rPr>
        <w:t>supra</w:t>
      </w:r>
      <w:r w:rsidR="00DD586A" w:rsidRPr="00E5116B">
        <w:t xml:space="preserve"> note 4</w:t>
      </w:r>
      <w:r w:rsidR="00DD586A">
        <w:fldChar w:fldCharType="end"/>
      </w:r>
      <w:r w:rsidR="00DD586A">
        <w:t xml:space="preserve">). </w:t>
      </w:r>
      <w:r>
        <w:t>Th</w:t>
      </w:r>
      <w:r w:rsidR="00EF7E44">
        <w:t>e phrase “positive law model”</w:t>
      </w:r>
      <w:r>
        <w:t xml:space="preserve"> originates with Orin Kerr. </w:t>
      </w:r>
      <w:r>
        <w:fldChar w:fldCharType="begin"/>
      </w:r>
      <w:r w:rsidR="00E5116B">
        <w:instrText xml:space="preserve"> ADDIN ZOTERO_ITEM CSL_CITATION {"citationID":"REfLj0Yn","properties":{"formattedCitation":"{\\i{}See} Kerr, {\\i{}supra} note 4, at 516\\uc0\\u8211{}19","plainCitation":"See Kerr, supra note 4, at 516–19","noteIndex":71},"citationItems":[{"id":2952,"uris":["http://zotero.org/groups/2816150/items/2Z9TSVUG"],"uri":["http://zotero.org/groups/2816150/items/2Z9TSVUG"],"itemData":{"id":2952,"type":"article-journal","container-title":"Stanford Law Review","issue":"2","journalAbbreviation":"Stan. L. Rev.","language":"eng","page":"503-552","source":"HeinOnline","title":"Four Models of Fourth Amendment Protection","volume":"60","author":[{"family":"Kerr","given":"Orin S."}],"issued":{"date-parts":[["2007"]]}},"locator":"516-19","label":"page","prefix":"&lt;i&gt;See&lt;/i&gt; "}],"schema":"https://github.com/citation-style-language/schema/raw/master/csl-citation.json"} </w:instrText>
      </w:r>
      <w:r>
        <w:fldChar w:fldCharType="separate"/>
      </w:r>
      <w:r w:rsidR="00E5116B" w:rsidRPr="00E5116B">
        <w:rPr>
          <w:i/>
          <w:iCs/>
        </w:rPr>
        <w:t>See</w:t>
      </w:r>
      <w:r w:rsidR="00E5116B" w:rsidRPr="00E5116B">
        <w:t xml:space="preserve"> Kerr, </w:t>
      </w:r>
      <w:r w:rsidR="00E5116B" w:rsidRPr="00E5116B">
        <w:rPr>
          <w:i/>
          <w:iCs/>
        </w:rPr>
        <w:t>supra</w:t>
      </w:r>
      <w:r w:rsidR="00E5116B" w:rsidRPr="00E5116B">
        <w:t xml:space="preserve"> note </w:t>
      </w:r>
      <w:r w:rsidR="006153BD">
        <w:fldChar w:fldCharType="begin"/>
      </w:r>
      <w:r w:rsidR="006153BD">
        <w:instrText xml:space="preserve"> NOTEREF _Ref113024660 \h </w:instrText>
      </w:r>
      <w:r w:rsidR="006153BD">
        <w:fldChar w:fldCharType="separate"/>
      </w:r>
      <w:r w:rsidR="00405D69">
        <w:t>4</w:t>
      </w:r>
      <w:r w:rsidR="006153BD">
        <w:fldChar w:fldCharType="end"/>
      </w:r>
      <w:r w:rsidR="00E5116B" w:rsidRPr="00E5116B">
        <w:t>, at 516</w:t>
      </w:r>
      <w:r w:rsidR="00EF7E44">
        <w:t>-</w:t>
      </w:r>
      <w:r w:rsidR="00E5116B" w:rsidRPr="00E5116B">
        <w:t>19</w:t>
      </w:r>
      <w:r>
        <w:fldChar w:fldCharType="end"/>
      </w:r>
      <w:r w:rsidR="00E5116B">
        <w:t>.</w:t>
      </w:r>
      <w:r w:rsidR="00EF7E44">
        <w:t xml:space="preserve"> </w:t>
      </w:r>
    </w:p>
  </w:footnote>
  <w:footnote w:id="75">
    <w:p w14:paraId="5B1D26A7" w14:textId="17A9BD74" w:rsidR="00A81E53" w:rsidRDefault="00A81E53">
      <w:pPr>
        <w:pStyle w:val="FootnoteText"/>
      </w:pPr>
      <w:r w:rsidRPr="002A4234">
        <w:rPr>
          <w:rStyle w:val="FootnoteReference"/>
        </w:rPr>
        <w:footnoteRef/>
      </w:r>
      <w:r>
        <w:t xml:space="preserve"> </w:t>
      </w:r>
      <w:r w:rsidR="0070202B">
        <w:fldChar w:fldCharType="begin"/>
      </w:r>
      <w:r w:rsidR="00E5116B">
        <w:instrText xml:space="preserve"> ADDIN ZOTERO_ITEM CSL_CITATION {"citationID":"yFhig8e4","properties":{"formattedCitation":"Baude &amp; Stern, {\\i{}supra} note 4, at 1825","plainCitation":"Baude &amp; Stern, supra note 4, at 1825","noteIndex":72},"citationItems":[{"id":2966,"uris":["http://zotero.org/groups/2816150/items/J6IBBYF4"],"uri":["http://zotero.org/groups/2816150/items/J6IBBYF4"],"itemData":{"id":2966,"type":"article-journal","container-title":"Harvard Law Review","journalAbbreviation":"Harv. L. Rev.","language":"eng","page":"1821-1889","source":"HeinOnline","title":"The Positive Law Model of the Fourth Amendment","volume":"129","author":[{"family":"Baude","given":"William"},{"family":"Stern","given":"James Y."}],"issued":{"date-parts":[["2016"]]}},"locator":"1825","label":"page"}],"schema":"https://github.com/citation-style-language/schema/raw/master/csl-citation.json"} </w:instrText>
      </w:r>
      <w:r w:rsidR="0070202B">
        <w:fldChar w:fldCharType="separate"/>
      </w:r>
      <w:r w:rsidR="00E5116B" w:rsidRPr="00E5116B">
        <w:t xml:space="preserve">Baude &amp; Stern, </w:t>
      </w:r>
      <w:r w:rsidR="00E5116B" w:rsidRPr="00E5116B">
        <w:rPr>
          <w:i/>
          <w:iCs/>
        </w:rPr>
        <w:t>supra</w:t>
      </w:r>
      <w:r w:rsidR="00E5116B" w:rsidRPr="00E5116B">
        <w:t xml:space="preserve"> note </w:t>
      </w:r>
      <w:r w:rsidR="00F73CBF">
        <w:fldChar w:fldCharType="begin"/>
      </w:r>
      <w:r w:rsidR="00F73CBF">
        <w:instrText xml:space="preserve"> NOTEREF _Ref113024660 \h </w:instrText>
      </w:r>
      <w:r w:rsidR="00F73CBF">
        <w:fldChar w:fldCharType="separate"/>
      </w:r>
      <w:r w:rsidR="00405D69">
        <w:t>4</w:t>
      </w:r>
      <w:r w:rsidR="00F73CBF">
        <w:fldChar w:fldCharType="end"/>
      </w:r>
      <w:r w:rsidR="00E5116B" w:rsidRPr="00E5116B">
        <w:t>, at 1825</w:t>
      </w:r>
      <w:r w:rsidR="0070202B">
        <w:fldChar w:fldCharType="end"/>
      </w:r>
      <w:r w:rsidR="007D7D0E">
        <w:t>.</w:t>
      </w:r>
    </w:p>
  </w:footnote>
  <w:footnote w:id="76">
    <w:p w14:paraId="4CFBB421" w14:textId="424AA358" w:rsidR="00150F3B" w:rsidRDefault="00150F3B">
      <w:pPr>
        <w:pStyle w:val="FootnoteText"/>
      </w:pPr>
      <w:r w:rsidRPr="002A4234">
        <w:rPr>
          <w:rStyle w:val="FootnoteReference"/>
        </w:rPr>
        <w:footnoteRef/>
      </w:r>
      <w:r>
        <w:t xml:space="preserve"> </w:t>
      </w:r>
      <w:r w:rsidR="00C54A5C">
        <w:fldChar w:fldCharType="begin"/>
      </w:r>
      <w:r w:rsidR="00740267">
        <w:instrText xml:space="preserve"> ADDIN ZOTERO_ITEM CSL_CITATION {"citationID":"eYyfYrbn","properties":{"formattedCitation":"Michael J. Zydney Mannheimer, {\\i{}The Contingent Fourth Amendment}, 64 {\\scaps Emory L.J.} 1229, 1233 (2015)","plainCitation":"Michael J. Zydney Mannheimer, The Contingent Fourth Amendment, 64 Emory L.J. 1229, 1233 (2015)","noteIndex":73},"citationItems":[{"id":3215,"uris":["http://zotero.org/groups/2816150/items/VNEZN6NV"],"uri":["http://zotero.org/groups/2816150/items/VNEZN6NV"],"itemData":{"id":3215,"type":"article-journal","container-title":"Emory Law Journal","issue":"5","journalAbbreviation":"Emory L.J.","language":"eng","page":"1229-1292","source":"HeinOnline","title":"The Contingent Fourth Amendment","volume":"64","author":[{"family":"Mannheimer","given":"Michael J. Zydney"}],"issued":{"date-parts":[["2015"]]}},"locator":"1233","label":"page"}],"schema":"https://github.com/citation-style-language/schema/raw/master/csl-citation.json"} </w:instrText>
      </w:r>
      <w:r w:rsidR="00C54A5C">
        <w:fldChar w:fldCharType="separate"/>
      </w:r>
      <w:r w:rsidR="00740267" w:rsidRPr="00740267">
        <w:t xml:space="preserve">Michael J. Zydney Mannheimer, </w:t>
      </w:r>
      <w:r w:rsidR="00740267" w:rsidRPr="00740267">
        <w:rPr>
          <w:i/>
          <w:iCs/>
        </w:rPr>
        <w:t>The Contingent Fourth Amendment</w:t>
      </w:r>
      <w:r w:rsidR="00740267" w:rsidRPr="00740267">
        <w:t xml:space="preserve">, 64 </w:t>
      </w:r>
      <w:r w:rsidR="00740267" w:rsidRPr="00740267">
        <w:rPr>
          <w:smallCaps/>
        </w:rPr>
        <w:t>Emory L.J.</w:t>
      </w:r>
      <w:r w:rsidR="00740267" w:rsidRPr="00740267">
        <w:t xml:space="preserve"> 1229, 1233 (2015)</w:t>
      </w:r>
      <w:r w:rsidR="00C54A5C">
        <w:fldChar w:fldCharType="end"/>
      </w:r>
      <w:r w:rsidR="00740267">
        <w:t>.</w:t>
      </w:r>
    </w:p>
  </w:footnote>
  <w:footnote w:id="77">
    <w:p w14:paraId="55F4F1D8" w14:textId="67BB498D" w:rsidR="00C92008" w:rsidRDefault="00C92008">
      <w:pPr>
        <w:pStyle w:val="FootnoteText"/>
      </w:pPr>
      <w:r w:rsidRPr="002A4234">
        <w:rPr>
          <w:rStyle w:val="FootnoteReference"/>
        </w:rPr>
        <w:footnoteRef/>
      </w:r>
      <w:r>
        <w:t xml:space="preserve"> </w:t>
      </w:r>
      <w:r>
        <w:fldChar w:fldCharType="begin"/>
      </w:r>
      <w:r w:rsidR="00E5116B">
        <w:instrText xml:space="preserve"> ADDIN ZOTERO_ITEM CSL_CITATION {"citationID":"I6ulBMco","properties":{"formattedCitation":"{\\i{}The Fourth Amendment\\uc0\\u8217{}s Third Way}, {\\i{}supra} note 4, at 1627","plainCitation":"The Fourth Amendment’s Third Way, supra note 4, at 1627","noteIndex":74},"citationItems":[{"id":3006,"uris":["http://zotero.org/groups/2816150/items/CNGH7WJ5"],"uri":["http://zotero.org/groups/2816150/items/CNGH7WJ5"],"itemData":{"id":3006,"type":"article-journal","container-title":"Harvard Law Review","journalAbbreviation":"Harv. L. Rev.","page":"1627","title":"The Fourth Amendment's Third Way","volume":"120","issued":{"date-parts":[["2007"]]}},"locator":"1627","label":"page"}],"schema":"https://github.com/citation-style-language/schema/raw/master/csl-citation.json"} </w:instrText>
      </w:r>
      <w:r>
        <w:fldChar w:fldCharType="separate"/>
      </w:r>
      <w:r w:rsidR="00E5116B" w:rsidRPr="00E5116B">
        <w:rPr>
          <w:i/>
          <w:iCs/>
        </w:rPr>
        <w:t>The Fourth Amendment’s Third Way</w:t>
      </w:r>
      <w:r w:rsidR="00E5116B" w:rsidRPr="00E5116B">
        <w:t xml:space="preserve">, </w:t>
      </w:r>
      <w:r w:rsidR="00E5116B" w:rsidRPr="00E5116B">
        <w:rPr>
          <w:i/>
          <w:iCs/>
        </w:rPr>
        <w:t>supra</w:t>
      </w:r>
      <w:r w:rsidR="00E5116B" w:rsidRPr="00E5116B">
        <w:t xml:space="preserve"> note </w:t>
      </w:r>
      <w:r w:rsidR="005C1AB8">
        <w:fldChar w:fldCharType="begin"/>
      </w:r>
      <w:r w:rsidR="005C1AB8">
        <w:instrText xml:space="preserve"> NOTEREF _Ref113024660 \h </w:instrText>
      </w:r>
      <w:r w:rsidR="005C1AB8">
        <w:fldChar w:fldCharType="separate"/>
      </w:r>
      <w:r w:rsidR="00405D69">
        <w:t>4</w:t>
      </w:r>
      <w:r w:rsidR="005C1AB8">
        <w:fldChar w:fldCharType="end"/>
      </w:r>
      <w:r w:rsidR="00E5116B" w:rsidRPr="00E5116B">
        <w:t>, at 1627</w:t>
      </w:r>
      <w:r>
        <w:fldChar w:fldCharType="end"/>
      </w:r>
      <w:r w:rsidR="00C54A5C">
        <w:t>.</w:t>
      </w:r>
    </w:p>
  </w:footnote>
  <w:footnote w:id="78">
    <w:p w14:paraId="3FC27F22" w14:textId="20F0B2C0" w:rsidR="005E7E2A" w:rsidRDefault="005E7E2A">
      <w:pPr>
        <w:pStyle w:val="FootnoteText"/>
      </w:pPr>
      <w:r w:rsidRPr="002A4234">
        <w:rPr>
          <w:rStyle w:val="FootnoteReference"/>
        </w:rPr>
        <w:footnoteRef/>
      </w:r>
      <w:r>
        <w:t xml:space="preserve"> </w:t>
      </w:r>
      <w:r>
        <w:fldChar w:fldCharType="begin"/>
      </w:r>
      <w:r w:rsidR="00E5116B">
        <w:instrText xml:space="preserve"> ADDIN ZOTERO_ITEM CSL_CITATION {"citationID":"K53RZ3is","properties":{"formattedCitation":"Yeager, {\\i{}supra} note 4, at 251\\uc0\\u8211{}52","plainCitation":"Yeager, supra note 4, at 251–52","noteIndex":75},"citationItems":[{"id":3217,"uris":["http://zotero.org/groups/2816150/items/MZF26BLX"],"uri":["http://zotero.org/groups/2816150/items/MZF26BLX"],"itemData":{"id":3217,"type":"article-journal","container-title":"Journal of Criminal Law and Criminology","issue":"2","journalAbbreviation":"J. Crim. L. &amp; Criminology","language":"eng","page":"249-309","source":"HeinOnline","title":"Search, Seizure and the Positive Law: Expectations of Privacy Outside the Fourth Amendment","title-short":"Search, Seizure and the Positive Law","volume":"84","author":[{"family":"Yeager","given":"Daniel B."}],"issued":{"date-parts":[["1993"]]}},"locator":"251-52","label":"page"}],"schema":"https://github.com/citation-style-language/schema/raw/master/csl-citation.json"} </w:instrText>
      </w:r>
      <w:r>
        <w:fldChar w:fldCharType="separate"/>
      </w:r>
      <w:r w:rsidR="00E5116B" w:rsidRPr="00E5116B">
        <w:t xml:space="preserve">Yeager, </w:t>
      </w:r>
      <w:r w:rsidR="00E5116B" w:rsidRPr="00E5116B">
        <w:rPr>
          <w:i/>
          <w:iCs/>
        </w:rPr>
        <w:t>supra</w:t>
      </w:r>
      <w:r w:rsidR="00E5116B" w:rsidRPr="00E5116B">
        <w:t xml:space="preserve"> note </w:t>
      </w:r>
      <w:r w:rsidR="00467139">
        <w:fldChar w:fldCharType="begin"/>
      </w:r>
      <w:r w:rsidR="00467139">
        <w:instrText xml:space="preserve"> NOTEREF _Ref113024660 \h </w:instrText>
      </w:r>
      <w:r w:rsidR="00467139">
        <w:fldChar w:fldCharType="separate"/>
      </w:r>
      <w:r w:rsidR="00405D69">
        <w:t>4</w:t>
      </w:r>
      <w:r w:rsidR="00467139">
        <w:fldChar w:fldCharType="end"/>
      </w:r>
      <w:r w:rsidR="00E5116B" w:rsidRPr="00E5116B">
        <w:t>, at 251</w:t>
      </w:r>
      <w:r w:rsidR="00450C89">
        <w:t>-</w:t>
      </w:r>
      <w:r w:rsidR="00E5116B" w:rsidRPr="00E5116B">
        <w:t>52</w:t>
      </w:r>
      <w:r>
        <w:fldChar w:fldCharType="end"/>
      </w:r>
      <w:r w:rsidR="00740267">
        <w:t>.</w:t>
      </w:r>
    </w:p>
  </w:footnote>
  <w:footnote w:id="79">
    <w:p w14:paraId="30110044" w14:textId="5B2C2A11" w:rsidR="00CE409F" w:rsidRDefault="00CE409F" w:rsidP="002E44D7">
      <w:pPr>
        <w:pStyle w:val="FootnoteText"/>
      </w:pPr>
      <w:r w:rsidRPr="002A4234">
        <w:rPr>
          <w:rStyle w:val="FootnoteReference"/>
        </w:rPr>
        <w:footnoteRef/>
      </w:r>
      <w:r>
        <w:t xml:space="preserve"> State v. Wright, 961 N.W.2d 396, 412 (Iowa 2021).</w:t>
      </w:r>
    </w:p>
  </w:footnote>
  <w:footnote w:id="80">
    <w:p w14:paraId="00736B64" w14:textId="4B4BF689" w:rsidR="002855CF" w:rsidRPr="002855CF" w:rsidRDefault="002855CF">
      <w:pPr>
        <w:pStyle w:val="FootnoteText"/>
      </w:pPr>
      <w:r w:rsidRPr="002A4234">
        <w:rPr>
          <w:rStyle w:val="FootnoteReference"/>
        </w:rPr>
        <w:footnoteRef/>
      </w:r>
      <w:r>
        <w:t xml:space="preserve"> </w:t>
      </w:r>
      <w:r w:rsidR="00E971FD">
        <w:rPr>
          <w:i/>
          <w:iCs/>
        </w:rPr>
        <w:t>See i</w:t>
      </w:r>
      <w:r>
        <w:rPr>
          <w:i/>
          <w:iCs/>
        </w:rPr>
        <w:t>d.</w:t>
      </w:r>
      <w:r w:rsidR="00E971FD">
        <w:t xml:space="preserve"> at 412</w:t>
      </w:r>
      <w:r w:rsidR="009C446E">
        <w:t>-</w:t>
      </w:r>
      <w:r w:rsidR="00E971FD">
        <w:t>20.</w:t>
      </w:r>
    </w:p>
  </w:footnote>
  <w:footnote w:id="81">
    <w:p w14:paraId="43B2B25C" w14:textId="5E3F31A9" w:rsidR="00E971FD" w:rsidRPr="00E971FD" w:rsidRDefault="00E971FD">
      <w:pPr>
        <w:pStyle w:val="FootnoteText"/>
      </w:pPr>
      <w:r w:rsidRPr="002A4234">
        <w:rPr>
          <w:rStyle w:val="FootnoteReference"/>
        </w:rPr>
        <w:footnoteRef/>
      </w:r>
      <w:r>
        <w:t xml:space="preserve"> </w:t>
      </w:r>
      <w:r>
        <w:rPr>
          <w:i/>
          <w:iCs/>
        </w:rPr>
        <w:t xml:space="preserve">See </w:t>
      </w:r>
      <w:r>
        <w:t xml:space="preserve">California v. Greenwood, </w:t>
      </w:r>
      <w:r w:rsidRPr="00E971FD">
        <w:t>486 U.S. 35 (1988).</w:t>
      </w:r>
    </w:p>
  </w:footnote>
  <w:footnote w:id="82">
    <w:p w14:paraId="68CE952B" w14:textId="78EE329C" w:rsidR="00C1119A" w:rsidRPr="00C1119A" w:rsidRDefault="00C1119A">
      <w:pPr>
        <w:pStyle w:val="FootnoteText"/>
      </w:pPr>
      <w:r w:rsidRPr="002A4234">
        <w:rPr>
          <w:rStyle w:val="FootnoteReference"/>
        </w:rPr>
        <w:footnoteRef/>
      </w:r>
      <w:r>
        <w:t xml:space="preserve"> </w:t>
      </w:r>
      <w:r>
        <w:rPr>
          <w:i/>
          <w:iCs/>
        </w:rPr>
        <w:t xml:space="preserve">See </w:t>
      </w:r>
      <w:r w:rsidR="00B428C0">
        <w:rPr>
          <w:i/>
          <w:iCs/>
        </w:rPr>
        <w:t>Wright</w:t>
      </w:r>
      <w:r w:rsidR="00B428C0">
        <w:t xml:space="preserve">, </w:t>
      </w:r>
      <w:r w:rsidR="00F80706">
        <w:t xml:space="preserve">961 N.W.2d at </w:t>
      </w:r>
      <w:r w:rsidR="00250E1A">
        <w:t>415–16.</w:t>
      </w:r>
    </w:p>
  </w:footnote>
  <w:footnote w:id="83">
    <w:p w14:paraId="59CD140A" w14:textId="0AFD0B38" w:rsidR="00B76885" w:rsidRDefault="00B76885">
      <w:pPr>
        <w:pStyle w:val="FootnoteText"/>
      </w:pPr>
      <w:r w:rsidRPr="002A4234">
        <w:rPr>
          <w:rStyle w:val="FootnoteReference"/>
        </w:rPr>
        <w:footnoteRef/>
      </w:r>
      <w:r>
        <w:t xml:space="preserve"> </w:t>
      </w:r>
      <w:r w:rsidRPr="001B6D44">
        <w:rPr>
          <w:i/>
          <w:iCs/>
        </w:rPr>
        <w:t>See</w:t>
      </w:r>
      <w:r w:rsidRPr="00B76885">
        <w:t xml:space="preserve"> Morgan v. Fairfield County, 903 F.3d 553, 571 (6th Cir. 2018) (Thapar, J., concurring in part and dissenting in part).</w:t>
      </w:r>
      <w:r w:rsidR="00654889">
        <w:t xml:space="preserve"> Judge Thapar rejected Baude </w:t>
      </w:r>
      <w:r w:rsidR="006C0FF1">
        <w:t xml:space="preserve">and </w:t>
      </w:r>
      <w:r w:rsidR="00654889">
        <w:t>Stern’s approach, under which positive law determines whether a “search” has occurred at all.</w:t>
      </w:r>
      <w:r w:rsidR="007D6B21">
        <w:t xml:space="preserve"> </w:t>
      </w:r>
      <w:r w:rsidR="007D6B21">
        <w:rPr>
          <w:i/>
          <w:iCs/>
        </w:rPr>
        <w:t>See id.</w:t>
      </w:r>
      <w:r w:rsidR="007D6B21">
        <w:t xml:space="preserve"> at </w:t>
      </w:r>
      <w:r w:rsidR="00282333">
        <w:t>5</w:t>
      </w:r>
      <w:r w:rsidR="007D6B21">
        <w:t>71</w:t>
      </w:r>
      <w:r w:rsidR="006C0FF1">
        <w:t>-</w:t>
      </w:r>
      <w:r w:rsidR="007D6B21">
        <w:t>72.</w:t>
      </w:r>
      <w:r w:rsidR="00654889">
        <w:t xml:space="preserve"> Instead, he argue</w:t>
      </w:r>
      <w:r w:rsidR="003663C0">
        <w:t>d</w:t>
      </w:r>
      <w:r w:rsidR="00654889">
        <w:t xml:space="preserve"> that this threshold question should be interpreted broadly, while suggesting positive law might come in</w:t>
      </w:r>
      <w:r w:rsidR="00C27C97">
        <w:t>t</w:t>
      </w:r>
      <w:r w:rsidR="006C0FF1">
        <w:t>o</w:t>
      </w:r>
      <w:r w:rsidR="00654889">
        <w:t xml:space="preserve"> play later in the analysis. </w:t>
      </w:r>
      <w:r w:rsidR="00654889">
        <w:rPr>
          <w:i/>
          <w:iCs/>
        </w:rPr>
        <w:t>See id.</w:t>
      </w:r>
      <w:r w:rsidR="00654889">
        <w:t xml:space="preserve"> at 575. As we will see, our theory takes a similar approach.</w:t>
      </w:r>
    </w:p>
  </w:footnote>
  <w:footnote w:id="84">
    <w:p w14:paraId="3FE0FADE" w14:textId="4C8249D4" w:rsidR="0029639B" w:rsidRPr="0093013B" w:rsidRDefault="0029639B" w:rsidP="0029639B">
      <w:pPr>
        <w:pStyle w:val="FootnoteText"/>
      </w:pPr>
      <w:r w:rsidRPr="002A4234">
        <w:rPr>
          <w:rStyle w:val="FootnoteReference"/>
        </w:rPr>
        <w:footnoteRef/>
      </w:r>
      <w:r>
        <w:t xml:space="preserve"> </w:t>
      </w:r>
      <w:r w:rsidR="008331D2">
        <w:rPr>
          <w:i/>
          <w:iCs/>
        </w:rPr>
        <w:t>See</w:t>
      </w:r>
      <w:r w:rsidR="008331D2">
        <w:t xml:space="preserve"> Randy E. Barnett,</w:t>
      </w:r>
      <w:r w:rsidR="00595310">
        <w:rPr>
          <w:i/>
          <w:iCs/>
        </w:rPr>
        <w:t xml:space="preserve"> </w:t>
      </w:r>
      <w:r w:rsidR="00595310" w:rsidRPr="00595310">
        <w:rPr>
          <w:i/>
          <w:iCs/>
        </w:rPr>
        <w:t>Kavanaugh Testimony, Part 1: On Originalism</w:t>
      </w:r>
      <w:r w:rsidR="00595310">
        <w:t xml:space="preserve">, </w:t>
      </w:r>
      <w:r w:rsidR="00595310">
        <w:rPr>
          <w:smallCaps/>
        </w:rPr>
        <w:t xml:space="preserve">Volokh Conspiracy </w:t>
      </w:r>
      <w:r w:rsidR="00595310">
        <w:t xml:space="preserve">(Sept. 14, 2018), </w:t>
      </w:r>
      <w:r w:rsidR="00595310" w:rsidRPr="00595310">
        <w:t>https://reason.com/volokh/2018/09/14/kavanaugh-testimony-part-1-on-originalis [https://perma.cc/WA8R-3SAV]</w:t>
      </w:r>
      <w:r w:rsidR="00595310">
        <w:t xml:space="preserve">; </w:t>
      </w:r>
      <w:r w:rsidR="00945427">
        <w:t>Brian Naylor,</w:t>
      </w:r>
      <w:r w:rsidR="00945427">
        <w:rPr>
          <w:i/>
          <w:iCs/>
        </w:rPr>
        <w:t xml:space="preserve"> </w:t>
      </w:r>
      <w:r w:rsidR="00945427" w:rsidRPr="00945427">
        <w:rPr>
          <w:i/>
          <w:iCs/>
        </w:rPr>
        <w:t xml:space="preserve">Barrett, An Originalist, Says Meaning Of Constitution </w:t>
      </w:r>
      <w:r w:rsidR="006C0FF1">
        <w:rPr>
          <w:i/>
          <w:iCs/>
        </w:rPr>
        <w:t>‘</w:t>
      </w:r>
      <w:r w:rsidR="00945427" w:rsidRPr="00945427">
        <w:rPr>
          <w:i/>
          <w:iCs/>
        </w:rPr>
        <w:t>Doesn't Change Over Time</w:t>
      </w:r>
      <w:r w:rsidR="006C0FF1">
        <w:rPr>
          <w:i/>
          <w:iCs/>
        </w:rPr>
        <w:t>’</w:t>
      </w:r>
      <w:r w:rsidR="00945427">
        <w:t xml:space="preserve">, </w:t>
      </w:r>
      <w:r w:rsidR="0093013B">
        <w:rPr>
          <w:smallCaps/>
        </w:rPr>
        <w:t>NPR (</w:t>
      </w:r>
      <w:r w:rsidR="0093013B">
        <w:t xml:space="preserve">Oct. 13, 2020), </w:t>
      </w:r>
      <w:r w:rsidR="0093013B" w:rsidRPr="0093013B">
        <w:t>https://www.npr.org/sections/live-amy-coney-barrett-supreme-court-confirmation/2020/10/13/923215778/barrett-an-originalist-says-meaning-of-constitution-doesn-t-change-over-time [https://perma.cc/YD27-RAPU]</w:t>
      </w:r>
      <w:r w:rsidR="0093013B">
        <w:t>.</w:t>
      </w:r>
    </w:p>
  </w:footnote>
  <w:footnote w:id="85">
    <w:p w14:paraId="429F248D" w14:textId="77777777" w:rsidR="008A5217" w:rsidRDefault="008A5217" w:rsidP="008A5217">
      <w:pPr>
        <w:pStyle w:val="FootnoteText"/>
      </w:pPr>
      <w:r w:rsidRPr="002A4234">
        <w:rPr>
          <w:rStyle w:val="FootnoteReference"/>
        </w:rPr>
        <w:footnoteRef/>
      </w:r>
      <w:r>
        <w:t xml:space="preserve"> </w:t>
      </w:r>
      <w:r>
        <w:fldChar w:fldCharType="begin"/>
      </w:r>
      <w:r>
        <w:instrText xml:space="preserve"> ADDIN ZOTERO_ITEM CSL_CITATION {"citationID":"FAuMftZX","properties":{"formattedCitation":"{\\i{}See} Baude &amp; Stern, {\\i{}supra} note 4, at 1832\\uc0\\u8211{}33; {\\i{}The Fourth Amendment\\uc0\\u8217{}s Third Way}, {\\i{}supra} note 4, at 1632\\uc0\\u8211{}33.","plainCitation":"See Baude &amp; Stern, supra note 4, at 1832–33; The Fourth Amendment’s Third Way, supra note 4, at 1632–33.","noteIndex":82},"citationItems":[{"id":1451,"uris":["http://zotero.org/groups/2816150/items/J6IBBYF4"],"uri":["http://zotero.org/groups/2816150/items/J6IBBYF4"],"itemData":{"id":1451,"type":"article-journal","multi":{"main":{},"_keys":{}},"container-title":"Harvard Law Review","language":"eng","page":"1821-1889","source":"HeinOnline","title":"The Positive Law Model of the Fourth Amendment","volume":"129","container-title-short":"Harv. L. Rev.","author":[{"family":"Baude","given":"William","multi":{"_key":{}}},{"family":"Stern","given":"James Y.","multi":{"_key":{}}}],"issued":{"date-parts":[["2016"]]},"seeAlso":[]},"locator":"1832-33","label":"page","prefix":"&lt;i&gt;See&lt;/i&gt; "},{"id":1375,"uris":["http://zotero.org/groups/2816150/items/CNGH7WJ5"],"uri":["http://zotero.org/groups/2816150/items/CNGH7WJ5"],"itemData":{"id":1375,"type":"article-journal","multi":{"main":{},"_keys":{}},"container-title":"Harvard Law Review","page":"1627","title":"The Fourth Amendment's Third Way","volume":"120","container-title-short":"Harv. L. Rev.","issued":{"date-parts":[["2007"]]},"seeAlso":[]},"locator":"1632-33","label":"page"}],"schema":"https://github.com/citation-style-language/schema/raw/master/csl-citation.json"} </w:instrText>
      </w:r>
      <w:r>
        <w:fldChar w:fldCharType="separate"/>
      </w:r>
      <w:r w:rsidRPr="005D4AA3">
        <w:rPr>
          <w:i/>
          <w:iCs/>
        </w:rPr>
        <w:t>See</w:t>
      </w:r>
      <w:r w:rsidRPr="005D4AA3">
        <w:t xml:space="preserve"> Baude &amp; Stern, </w:t>
      </w:r>
      <w:r w:rsidRPr="005D4AA3">
        <w:rPr>
          <w:i/>
          <w:iCs/>
        </w:rPr>
        <w:t>supra</w:t>
      </w:r>
      <w:r w:rsidRPr="005D4AA3">
        <w:t xml:space="preserve"> note 4, at 1832–33; </w:t>
      </w:r>
      <w:r w:rsidRPr="005D4AA3">
        <w:rPr>
          <w:i/>
          <w:iCs/>
        </w:rPr>
        <w:t>The Fourth Amendment’s Third Way</w:t>
      </w:r>
      <w:r w:rsidRPr="005D4AA3">
        <w:t xml:space="preserve">, </w:t>
      </w:r>
      <w:r w:rsidRPr="005D4AA3">
        <w:rPr>
          <w:i/>
          <w:iCs/>
        </w:rPr>
        <w:t>supra</w:t>
      </w:r>
      <w:r w:rsidRPr="005D4AA3">
        <w:t xml:space="preserve"> note 4, at 1632–33.</w:t>
      </w:r>
      <w:r>
        <w:fldChar w:fldCharType="end"/>
      </w:r>
    </w:p>
  </w:footnote>
  <w:footnote w:id="86">
    <w:p w14:paraId="6E4A029F" w14:textId="77777777" w:rsidR="008A5217" w:rsidRDefault="008A5217" w:rsidP="008A5217">
      <w:pPr>
        <w:pStyle w:val="FootnoteText"/>
      </w:pPr>
      <w:r w:rsidRPr="002A4234">
        <w:rPr>
          <w:rStyle w:val="FootnoteReference"/>
        </w:rPr>
        <w:footnoteRef/>
      </w:r>
      <w:r>
        <w:t xml:space="preserve"> </w:t>
      </w:r>
      <w:r>
        <w:fldChar w:fldCharType="begin"/>
      </w:r>
      <w:r>
        <w:instrText xml:space="preserve"> ADDIN ZOTERO_ITEM CSL_CITATION {"citationID":"LkMkLgTZ","properties":{"formattedCitation":"Baude &amp; Stern, {\\i{}supra} note 4, at 1835.","plainCitation":"Baude &amp; Stern, supra note 4, at 1835.","noteIndex":83},"citationItems":[{"id":1451,"uris":["http://zotero.org/groups/2816150/items/J6IBBYF4"],"uri":["http://zotero.org/groups/2816150/items/J6IBBYF4"],"itemData":{"id":1451,"type":"article-journal","multi":{"main":{},"_keys":{}},"container-title":"Harvard Law Review","language":"eng","page":"1821-1889","source":"HeinOnline","title":"The Positive Law Model of the Fourth Amendment","volume":"129","container-title-short":"Harv. L. Rev.","author":[{"family":"Baude","given":"William","multi":{"_key":{}}},{"family":"Stern","given":"James Y.","multi":{"_key":{}}}],"issued":{"date-parts":[["2016"]]},"seeAlso":[]},"locator":"1835","label":"page"}],"schema":"https://github.com/citation-style-language/schema/raw/master/csl-citation.json"} </w:instrText>
      </w:r>
      <w:r>
        <w:fldChar w:fldCharType="separate"/>
      </w:r>
      <w:r w:rsidRPr="00E62E05">
        <w:t xml:space="preserve">Baude &amp; Stern, </w:t>
      </w:r>
      <w:r w:rsidRPr="00E62E05">
        <w:rPr>
          <w:i/>
          <w:iCs/>
        </w:rPr>
        <w:t>supra</w:t>
      </w:r>
      <w:r w:rsidRPr="00E62E05">
        <w:t xml:space="preserve"> note 4, at 1835.</w:t>
      </w:r>
      <w:r>
        <w:fldChar w:fldCharType="end"/>
      </w:r>
    </w:p>
  </w:footnote>
  <w:footnote w:id="87">
    <w:p w14:paraId="28538B6B" w14:textId="77777777" w:rsidR="008A5217" w:rsidRPr="008716B0" w:rsidRDefault="008A5217" w:rsidP="008A5217">
      <w:pPr>
        <w:pStyle w:val="FootnoteText"/>
      </w:pPr>
      <w:r w:rsidRPr="002A4234">
        <w:rPr>
          <w:rStyle w:val="FootnoteReference"/>
        </w:rPr>
        <w:footnoteRef/>
      </w:r>
      <w:r>
        <w:t xml:space="preserve"> </w:t>
      </w:r>
      <w:r>
        <w:fldChar w:fldCharType="begin"/>
      </w:r>
      <w:r>
        <w:instrText xml:space="preserve"> ADDIN ZOTERO_ITEM CSL_CITATION {"citationID":"XrWLElMp","properties":{"formattedCitation":"{\\i{}See} {\\i{}id.}","plainCitation":"See id.","noteIndex":84},"citationItems":[{"id":1451,"uris":["http://zotero.org/groups/2816150/items/J6IBBYF4"],"uri":["http://zotero.org/groups/2816150/items/J6IBBYF4"],"itemData":{"id":1451,"type":"article-journal","multi":{"main":{},"_keys":{}},"container-title":"Harvard Law Review","language":"eng","page":"1821-1889","source":"HeinOnline","title":"The Positive Law Model of the Fourth Amendment","volume":"129","container-title-short":"Harv. L. Rev.","author":[{"family":"Baude","given":"William","multi":{"_key":{}}},{"family":"Stern","given":"James Y.","multi":{"_key":{}}}],"issued":{"date-parts":[["2016"]]},"seeAlso":[]},"locator":"1835","label":"page","prefix":"&lt;i&gt;See&lt;/i&gt; "}],"schema":"https://github.com/citation-style-language/schema/raw/master/csl-citation.json"} </w:instrText>
      </w:r>
      <w:r>
        <w:fldChar w:fldCharType="separate"/>
      </w:r>
      <w:r w:rsidRPr="008716B0">
        <w:rPr>
          <w:i/>
          <w:iCs/>
        </w:rPr>
        <w:t>See</w:t>
      </w:r>
      <w:r w:rsidRPr="008716B0">
        <w:t xml:space="preserve"> </w:t>
      </w:r>
      <w:r w:rsidRPr="008716B0">
        <w:rPr>
          <w:i/>
          <w:iCs/>
        </w:rPr>
        <w:t>id.</w:t>
      </w:r>
      <w:r>
        <w:fldChar w:fldCharType="end"/>
      </w:r>
      <w:r>
        <w:t xml:space="preserve"> (arguing that </w:t>
      </w:r>
      <w:r>
        <w:rPr>
          <w:i/>
          <w:iCs/>
        </w:rPr>
        <w:t>Jones</w:t>
      </w:r>
      <w:r>
        <w:t xml:space="preserve"> “</w:t>
      </w:r>
      <w:r w:rsidRPr="008716B0">
        <w:t>conceptualized trespass law in a sort of idealized form rather than in terms of the positive law of a specific jurisdiction</w:t>
      </w:r>
      <w:r>
        <w:t xml:space="preserve">”). </w:t>
      </w:r>
    </w:p>
  </w:footnote>
  <w:footnote w:id="88">
    <w:p w14:paraId="281852E0" w14:textId="77777777" w:rsidR="008A5217" w:rsidRDefault="008A5217" w:rsidP="008A5217">
      <w:pPr>
        <w:pStyle w:val="FootnoteText"/>
      </w:pPr>
      <w:r w:rsidRPr="002A4234">
        <w:rPr>
          <w:rStyle w:val="FootnoteReference"/>
        </w:rPr>
        <w:footnoteRef/>
      </w:r>
      <w:r>
        <w:t xml:space="preserve"> </w:t>
      </w:r>
      <w:r>
        <w:fldChar w:fldCharType="begin"/>
      </w:r>
      <w:r>
        <w:instrText xml:space="preserve"> ADDIN ZOTERO_ITEM CSL_CITATION {"citationID":"vodkAf6F","properties":{"formattedCitation":"{\\i{}See} Re, {\\i{}supra} note 4.","plainCitation":"See Re, supra note 4.","noteIndex":85},"citationItems":[{"id":1376,"uris":["http://zotero.org/groups/2816150/items/77IMSJMC"],"uri":["http://zotero.org/groups/2816150/items/77IMSJMC"],"itemData":{"id":1376,"type":"article-journal","multi":{"main":{},"_keys":{}},"container-title":"Harvard Law Review Forum","language":"eng","page":"313-337","source":"HeinOnline","title":"The Positive Law Floor","volume":"129","container-title-short":"Harv. L. Rev. F.","author":[{"family":"Re","given":"Richard M.","multi":{"_key":{}}}],"issued":{"date-parts":[["2016"]]},"seeAlso":[]},"prefix":"&lt;i&gt;See&lt;/i&gt; "}],"schema":"https://github.com/citation-style-language/schema/raw/master/csl-citation.json"} </w:instrText>
      </w:r>
      <w:r>
        <w:fldChar w:fldCharType="separate"/>
      </w:r>
      <w:r w:rsidRPr="00AF6D02">
        <w:rPr>
          <w:i/>
          <w:iCs/>
        </w:rPr>
        <w:t>See</w:t>
      </w:r>
      <w:r w:rsidRPr="00AF6D02">
        <w:t xml:space="preserve"> Re, </w:t>
      </w:r>
      <w:r w:rsidRPr="00AF6D02">
        <w:rPr>
          <w:i/>
          <w:iCs/>
        </w:rPr>
        <w:t>supra</w:t>
      </w:r>
      <w:r w:rsidRPr="00AF6D02">
        <w:t xml:space="preserve"> note 4.</w:t>
      </w:r>
      <w:r>
        <w:fldChar w:fldCharType="end"/>
      </w:r>
    </w:p>
  </w:footnote>
  <w:footnote w:id="89">
    <w:p w14:paraId="42F32384" w14:textId="3BC244FA" w:rsidR="00F16F5E" w:rsidRPr="00F16F5E" w:rsidRDefault="00F16F5E">
      <w:pPr>
        <w:pStyle w:val="FootnoteText"/>
      </w:pPr>
      <w:r>
        <w:rPr>
          <w:rStyle w:val="FootnoteReference"/>
        </w:rPr>
        <w:footnoteRef/>
      </w:r>
      <w:r>
        <w:t xml:space="preserve"> </w:t>
      </w:r>
      <w:r>
        <w:rPr>
          <w:i/>
          <w:iCs/>
        </w:rPr>
        <w:t xml:space="preserve">See </w:t>
      </w:r>
      <w:r w:rsidRPr="00E5116B">
        <w:rPr>
          <w:i/>
          <w:iCs/>
        </w:rPr>
        <w:t>See</w:t>
      </w:r>
      <w:r w:rsidRPr="00E5116B">
        <w:t xml:space="preserve"> Baude &amp; Stern, </w:t>
      </w:r>
      <w:r w:rsidRPr="00E5116B">
        <w:rPr>
          <w:i/>
          <w:iCs/>
        </w:rPr>
        <w:t>supra</w:t>
      </w:r>
      <w:r w:rsidRPr="00E5116B">
        <w:t xml:space="preserve"> note </w:t>
      </w:r>
      <w:r>
        <w:fldChar w:fldCharType="begin"/>
      </w:r>
      <w:r>
        <w:instrText xml:space="preserve"> NOTEREF _Ref113024660 \h </w:instrText>
      </w:r>
      <w:r>
        <w:fldChar w:fldCharType="separate"/>
      </w:r>
      <w:r>
        <w:t>4</w:t>
      </w:r>
      <w:r>
        <w:fldChar w:fldCharType="end"/>
      </w:r>
      <w:r w:rsidRPr="00E5116B">
        <w:t>, at 183</w:t>
      </w:r>
      <w:r>
        <w:t>1</w:t>
      </w:r>
      <w:r w:rsidRPr="00E5116B">
        <w:t>–33;</w:t>
      </w:r>
    </w:p>
  </w:footnote>
  <w:footnote w:id="90">
    <w:p w14:paraId="2ED5A3B6" w14:textId="6FC69707" w:rsidR="00425C9D" w:rsidRDefault="00425C9D" w:rsidP="00425C9D">
      <w:pPr>
        <w:pStyle w:val="FootnoteText"/>
      </w:pPr>
      <w:r w:rsidRPr="002A4234">
        <w:rPr>
          <w:rStyle w:val="FootnoteReference"/>
        </w:rPr>
        <w:footnoteRef/>
      </w:r>
      <w:r>
        <w:t xml:space="preserve"> </w:t>
      </w:r>
      <w:r>
        <w:fldChar w:fldCharType="begin"/>
      </w:r>
      <w:r w:rsidR="00E5116B">
        <w:instrText xml:space="preserve"> ADDIN ZOTERO_ITEM CSL_CITATION {"citationID":"7tf5YN6R","properties":{"formattedCitation":"Nelson, {\\i{}supra} note 9, at 505","plainCitation":"Nelson, supra note 9, at 505","noteIndex":86},"citationItems":[{"id":2933,"uris":["http://zotero.org/groups/2816150/items/NGIGT4FH"],"uri":["http://zotero.org/groups/2816150/items/NGIGT4FH"],"itemData":{"id":2933,"type":"article-journal","container-title":"Columbia Law Review","issue":"3","journalAbbreviation":"Colum. L. Rev.","language":"eng","page":"503-568","source":"HeinOnline","title":"The Persistence of General Law","volume":"106","author":[{"family":"Nelson","given":"Caleb"}],"issued":{"date-parts":[["2006"]]}},"locator":"505","label":"page"}],"schema":"https://github.com/citation-style-language/schema/raw/master/csl-citation.json"} </w:instrText>
      </w:r>
      <w:r>
        <w:fldChar w:fldCharType="separate"/>
      </w:r>
      <w:r w:rsidR="00E5116B" w:rsidRPr="00E5116B">
        <w:t xml:space="preserve">Nelson, </w:t>
      </w:r>
      <w:r w:rsidR="00E5116B" w:rsidRPr="00E5116B">
        <w:rPr>
          <w:i/>
          <w:iCs/>
        </w:rPr>
        <w:t>supra</w:t>
      </w:r>
      <w:r w:rsidR="00E5116B" w:rsidRPr="00E5116B">
        <w:t xml:space="preserve"> note </w:t>
      </w:r>
      <w:r w:rsidR="0034227B">
        <w:fldChar w:fldCharType="begin"/>
      </w:r>
      <w:r w:rsidR="0034227B">
        <w:instrText xml:space="preserve"> NOTEREF _Ref114089429 \h </w:instrText>
      </w:r>
      <w:r w:rsidR="0034227B">
        <w:fldChar w:fldCharType="separate"/>
      </w:r>
      <w:r w:rsidR="00405D69">
        <w:t>9</w:t>
      </w:r>
      <w:r w:rsidR="0034227B">
        <w:fldChar w:fldCharType="end"/>
      </w:r>
      <w:r w:rsidR="00E5116B" w:rsidRPr="00E5116B">
        <w:t>, at 505</w:t>
      </w:r>
      <w:r>
        <w:fldChar w:fldCharType="end"/>
      </w:r>
      <w:r w:rsidR="007F460C">
        <w:t>.</w:t>
      </w:r>
    </w:p>
  </w:footnote>
  <w:footnote w:id="91">
    <w:p w14:paraId="3B4347C3" w14:textId="309CC9C6" w:rsidR="001C1C78" w:rsidRDefault="001C1C78">
      <w:pPr>
        <w:pStyle w:val="FootnoteText"/>
      </w:pPr>
      <w:r w:rsidRPr="002A4234">
        <w:rPr>
          <w:rStyle w:val="FootnoteReference"/>
        </w:rPr>
        <w:footnoteRef/>
      </w:r>
      <w:r>
        <w:t xml:space="preserve"> </w:t>
      </w:r>
      <w:r w:rsidR="00AD12C5">
        <w:t>S. Pac. Co. v. Jensen, 244 U.S. 205, 222 (1917) (Holmes, J., dissenting).</w:t>
      </w:r>
    </w:p>
  </w:footnote>
  <w:footnote w:id="92">
    <w:p w14:paraId="615ECF13" w14:textId="18EEAD34" w:rsidR="00634FF0" w:rsidRDefault="00634FF0">
      <w:pPr>
        <w:pStyle w:val="FootnoteText"/>
      </w:pPr>
      <w:r w:rsidRPr="002A4234">
        <w:rPr>
          <w:rStyle w:val="FootnoteReference"/>
        </w:rPr>
        <w:footnoteRef/>
      </w:r>
      <w:r>
        <w:t xml:space="preserve"> </w:t>
      </w:r>
      <w:r w:rsidRPr="00634FF0">
        <w:t>304 U.S. 64 (1938)</w:t>
      </w:r>
      <w:r>
        <w:t>.</w:t>
      </w:r>
    </w:p>
  </w:footnote>
  <w:footnote w:id="93">
    <w:p w14:paraId="37E08C83" w14:textId="30EB8084" w:rsidR="00646AD5" w:rsidRDefault="00646AD5">
      <w:pPr>
        <w:pStyle w:val="FootnoteText"/>
      </w:pPr>
      <w:r w:rsidRPr="002A4234">
        <w:rPr>
          <w:rStyle w:val="FootnoteReference"/>
        </w:rPr>
        <w:footnoteRef/>
      </w:r>
      <w:r>
        <w:t xml:space="preserve"> 41 U.S. 1 (1842).</w:t>
      </w:r>
    </w:p>
  </w:footnote>
  <w:footnote w:id="94">
    <w:p w14:paraId="3A5C0CEA" w14:textId="5907273C" w:rsidR="00DF2196" w:rsidRPr="00DF2196" w:rsidRDefault="00DF2196" w:rsidP="00DF2196">
      <w:pPr>
        <w:pStyle w:val="FootnoteText"/>
      </w:pPr>
      <w:r w:rsidRPr="002A4234">
        <w:rPr>
          <w:rStyle w:val="FootnoteReference"/>
        </w:rPr>
        <w:footnoteRef/>
      </w:r>
      <w:r>
        <w:t xml:space="preserve"> </w:t>
      </w:r>
      <w:r w:rsidR="00E46569">
        <w:rPr>
          <w:i/>
          <w:iCs/>
        </w:rPr>
        <w:t>Erie</w:t>
      </w:r>
      <w:r w:rsidR="00E46569">
        <w:t>,</w:t>
      </w:r>
      <w:r w:rsidR="00E46569">
        <w:rPr>
          <w:i/>
          <w:iCs/>
        </w:rPr>
        <w:t xml:space="preserve"> </w:t>
      </w:r>
      <w:r w:rsidR="00274321" w:rsidRPr="00AB2D9A">
        <w:t>304</w:t>
      </w:r>
      <w:r w:rsidR="00274321">
        <w:t xml:space="preserve"> U.S.</w:t>
      </w:r>
      <w:r w:rsidR="00E46569">
        <w:t xml:space="preserve"> at</w:t>
      </w:r>
      <w:r>
        <w:t xml:space="preserve"> 78. </w:t>
      </w:r>
    </w:p>
  </w:footnote>
  <w:footnote w:id="95">
    <w:p w14:paraId="281B2CC3" w14:textId="635BB93B" w:rsidR="00820825" w:rsidRDefault="00820825" w:rsidP="00820825">
      <w:pPr>
        <w:pStyle w:val="FootnoteText"/>
      </w:pPr>
      <w:r w:rsidRPr="002A4234">
        <w:rPr>
          <w:rStyle w:val="FootnoteReference"/>
        </w:rPr>
        <w:footnoteRef/>
      </w:r>
      <w:r>
        <w:t xml:space="preserve"> </w:t>
      </w:r>
      <w:r w:rsidR="00344843">
        <w:fldChar w:fldCharType="begin"/>
      </w:r>
      <w:r w:rsidR="00344843">
        <w:instrText xml:space="preserve"> ADDIN ZOTERO_ITEM CSL_CITATION {"citationID":"XHX5KjgN","properties":{"formattedCitation":"Nelson, {\\i{}supra} note 9, at 504","plainCitation":"Nelson, supra note 9, at 504","noteIndex":91},"citationItems":[{"id":2933,"uris":["http://zotero.org/groups/2816150/items/NGIGT4FH"],"uri":["http://zotero.org/groups/2816150/items/NGIGT4FH"],"itemData":{"id":2933,"type":"article-journal","container-title":"Columbia Law Review","issue":"3","journalAbbreviation":"Colum. L. Rev.","language":"eng","page":"503-568","source":"HeinOnline","title":"The Persistence of General Law","volume":"106","author":[{"family":"Nelson","given":"Caleb"}],"issued":{"date-parts":[["2006"]]}},"locator":"504","label":"page"}],"schema":"https://github.com/citation-style-language/schema/raw/master/csl-citation.json"} </w:instrText>
      </w:r>
      <w:r w:rsidR="00344843">
        <w:fldChar w:fldCharType="separate"/>
      </w:r>
      <w:r w:rsidR="00344843" w:rsidRPr="00E5116B">
        <w:t xml:space="preserve">Nelson, </w:t>
      </w:r>
      <w:r w:rsidR="00344843" w:rsidRPr="00E5116B">
        <w:rPr>
          <w:i/>
          <w:iCs/>
        </w:rPr>
        <w:t>supra</w:t>
      </w:r>
      <w:r w:rsidR="00344843" w:rsidRPr="00E5116B">
        <w:t xml:space="preserve"> note </w:t>
      </w:r>
      <w:r w:rsidR="00344843">
        <w:fldChar w:fldCharType="begin"/>
      </w:r>
      <w:r w:rsidR="00344843">
        <w:instrText xml:space="preserve"> NOTEREF _Ref114089429 \h </w:instrText>
      </w:r>
      <w:r w:rsidR="00344843">
        <w:fldChar w:fldCharType="separate"/>
      </w:r>
      <w:r w:rsidR="00405D69">
        <w:t>9</w:t>
      </w:r>
      <w:r w:rsidR="00344843">
        <w:fldChar w:fldCharType="end"/>
      </w:r>
      <w:r w:rsidR="00344843" w:rsidRPr="00E5116B">
        <w:t>, at 50</w:t>
      </w:r>
      <w:r w:rsidR="00344843">
        <w:t>3</w:t>
      </w:r>
      <w:r w:rsidR="00344843">
        <w:fldChar w:fldCharType="end"/>
      </w:r>
      <w:r w:rsidR="007F460C">
        <w:t>.</w:t>
      </w:r>
    </w:p>
  </w:footnote>
  <w:footnote w:id="96">
    <w:p w14:paraId="2E2B41C3" w14:textId="321DDD92" w:rsidR="00E0693C" w:rsidRPr="00E0693C" w:rsidRDefault="00E0693C">
      <w:pPr>
        <w:pStyle w:val="FootnoteText"/>
      </w:pPr>
      <w:r w:rsidRPr="002A4234">
        <w:rPr>
          <w:rStyle w:val="FootnoteReference"/>
        </w:rPr>
        <w:footnoteRef/>
      </w:r>
      <w:r>
        <w:t xml:space="preserve"> </w:t>
      </w:r>
      <w:r w:rsidR="008130C7">
        <w:fldChar w:fldCharType="begin"/>
      </w:r>
      <w:r w:rsidR="00E5116B">
        <w:instrText xml:space="preserve"> ADDIN ZOTERO_ITEM CSL_CITATION {"citationID":"sCfRgnzu","properties":{"formattedCitation":"{\\i{}Id.}","plainCitation":"Id.","noteIndex":92},"citationItems":[{"id":2933,"uris":["http://zotero.org/groups/2816150/items/NGIGT4FH"],"uri":["http://zotero.org/groups/2816150/items/NGIGT4FH"],"itemData":{"id":2933,"type":"article-journal","container-title":"Columbia Law Review","issue":"3","journalAbbreviation":"Colum. L. Rev.","language":"eng","page":"503-568","source":"HeinOnline","title":"The Persistence of General Law","volume":"106","author":[{"family":"Nelson","given":"Caleb"}],"issued":{"date-parts":[["2006"]]}},"locator":"504","label":"page"}],"schema":"https://github.com/citation-style-language/schema/raw/master/csl-citation.json"} </w:instrText>
      </w:r>
      <w:r w:rsidR="008130C7">
        <w:fldChar w:fldCharType="separate"/>
      </w:r>
      <w:r w:rsidR="00E5116B" w:rsidRPr="00E5116B">
        <w:rPr>
          <w:i/>
          <w:iCs/>
        </w:rPr>
        <w:t>Id.</w:t>
      </w:r>
      <w:r w:rsidR="008130C7">
        <w:fldChar w:fldCharType="end"/>
      </w:r>
    </w:p>
  </w:footnote>
  <w:footnote w:id="97">
    <w:p w14:paraId="45362873" w14:textId="6B7006D8" w:rsidR="004B4781" w:rsidRDefault="004B4781">
      <w:pPr>
        <w:pStyle w:val="FootnoteText"/>
      </w:pPr>
      <w:r w:rsidRPr="002A4234">
        <w:rPr>
          <w:rStyle w:val="FootnoteReference"/>
        </w:rPr>
        <w:footnoteRef/>
      </w:r>
      <w:r>
        <w:t xml:space="preserve"> </w:t>
      </w:r>
      <w:r>
        <w:fldChar w:fldCharType="begin"/>
      </w:r>
      <w:r w:rsidR="00E5116B">
        <w:instrText xml:space="preserve"> ADDIN ZOTERO_ITEM CSL_CITATION {"citationID":"A8GKeQ5m","properties":{"formattedCitation":"{\\i{}Id.} at 510","plainCitation":"Id. at 510","noteIndex":93},"citationItems":[{"id":2933,"uris":["http://zotero.org/groups/2816150/items/NGIGT4FH"],"uri":["http://zotero.org/groups/2816150/items/NGIGT4FH"],"itemData":{"id":2933,"type":"article-journal","container-title":"Columbia Law Review","issue":"3","journalAbbreviation":"Colum. L. Rev.","language":"eng","page":"503-568","source":"HeinOnline","title":"The Persistence of General Law","volume":"106","author":[{"family":"Nelson","given":"Caleb"}],"issued":{"date-parts":[["2006"]]}},"locator":"510","label":"page"}],"schema":"https://github.com/citation-style-language/schema/raw/master/csl-citation.json"} </w:instrText>
      </w:r>
      <w:r>
        <w:fldChar w:fldCharType="separate"/>
      </w:r>
      <w:r w:rsidR="00E5116B" w:rsidRPr="00E5116B">
        <w:rPr>
          <w:i/>
          <w:iCs/>
        </w:rPr>
        <w:t>Id.</w:t>
      </w:r>
      <w:r w:rsidR="00E5116B" w:rsidRPr="00E5116B">
        <w:t xml:space="preserve"> at 510</w:t>
      </w:r>
      <w:r>
        <w:fldChar w:fldCharType="end"/>
      </w:r>
      <w:r w:rsidR="007F460C">
        <w:t>.</w:t>
      </w:r>
    </w:p>
  </w:footnote>
  <w:footnote w:id="98">
    <w:p w14:paraId="76AFE455" w14:textId="7B8BB6A0" w:rsidR="0020080B" w:rsidRPr="00393015" w:rsidRDefault="0020080B" w:rsidP="00393015">
      <w:pPr>
        <w:pStyle w:val="FootnoteText"/>
      </w:pPr>
      <w:r w:rsidRPr="002A4234">
        <w:rPr>
          <w:rStyle w:val="FootnoteReference"/>
        </w:rPr>
        <w:footnoteRef/>
      </w:r>
      <w:r>
        <w:t xml:space="preserve"> </w:t>
      </w:r>
      <w:r w:rsidR="00393015">
        <w:rPr>
          <w:i/>
          <w:iCs/>
        </w:rPr>
        <w:t xml:space="preserve">See </w:t>
      </w:r>
      <w:r w:rsidR="00393015" w:rsidRPr="00393015">
        <w:t>United States v</w:t>
      </w:r>
      <w:r w:rsidR="008F3B7D">
        <w:t>.</w:t>
      </w:r>
      <w:r w:rsidR="00393015" w:rsidRPr="00393015">
        <w:t xml:space="preserve"> Nat</w:t>
      </w:r>
      <w:r w:rsidR="000305A1">
        <w:t>’l</w:t>
      </w:r>
      <w:r w:rsidR="00393015" w:rsidRPr="00393015">
        <w:t xml:space="preserve"> Steel Corp., 75 F</w:t>
      </w:r>
      <w:r w:rsidR="000305A1">
        <w:t>.</w:t>
      </w:r>
      <w:r w:rsidR="00393015" w:rsidRPr="00393015">
        <w:t xml:space="preserve">3d 1146, 1150 </w:t>
      </w:r>
      <w:r w:rsidR="00393015">
        <w:t>(</w:t>
      </w:r>
      <w:r w:rsidR="00393015" w:rsidRPr="00393015">
        <w:t>7th Cir</w:t>
      </w:r>
      <w:r w:rsidR="00B71894">
        <w:t>.</w:t>
      </w:r>
      <w:r w:rsidR="00393015" w:rsidRPr="00393015">
        <w:t xml:space="preserve"> 1996</w:t>
      </w:r>
      <w:r w:rsidR="00393015">
        <w:t>) (Posner, J.) (“</w:t>
      </w:r>
      <w:r w:rsidR="00393015" w:rsidRPr="00393015">
        <w:t>For the sake of simplicity, the starting point in the formulation of a federal common law of contracts should normally be the standard principles of contract law</w:t>
      </w:r>
      <w:r w:rsidR="00393015">
        <w:t>—</w:t>
      </w:r>
      <w:r w:rsidR="00393015" w:rsidRPr="00393015">
        <w:t>more precisely, the core principles of the common law of contract that are in force in most states</w:t>
      </w:r>
      <w:r w:rsidR="000305A1">
        <w:t>.</w:t>
      </w:r>
      <w:r w:rsidR="00393015">
        <w:t>”).</w:t>
      </w:r>
    </w:p>
  </w:footnote>
  <w:footnote w:id="99">
    <w:p w14:paraId="032EB2DB" w14:textId="429D8A0B" w:rsidR="00227CBA" w:rsidRPr="00E5042C" w:rsidRDefault="00227CBA">
      <w:pPr>
        <w:pStyle w:val="FootnoteText"/>
        <w:rPr>
          <w:i/>
          <w:iCs/>
        </w:rPr>
      </w:pPr>
      <w:r w:rsidRPr="002A4234">
        <w:rPr>
          <w:rStyle w:val="FootnoteReference"/>
        </w:rPr>
        <w:footnoteRef/>
      </w:r>
      <w:r>
        <w:t xml:space="preserve"> </w:t>
      </w:r>
      <w:r w:rsidR="002F6B7F">
        <w:t xml:space="preserve">For example, the Ninth Circuit </w:t>
      </w:r>
      <w:r w:rsidR="00B71894">
        <w:t>has observed</w:t>
      </w:r>
      <w:r w:rsidR="002F6B7F">
        <w:t xml:space="preserve"> that “[t]</w:t>
      </w:r>
      <w:r w:rsidR="002F6B7F" w:rsidRPr="00227CBA">
        <w:t>he Uniform Commercial Code is a source of federal common law and may be relied upon in interpreting a contract to which the federal government is a party</w:t>
      </w:r>
      <w:r w:rsidR="002F6B7F">
        <w:t>.”</w:t>
      </w:r>
      <w:r w:rsidR="00B71894">
        <w:t xml:space="preserve"> </w:t>
      </w:r>
      <w:r w:rsidR="0066158E" w:rsidRPr="0066158E">
        <w:t>O</w:t>
      </w:r>
      <w:r w:rsidR="0066158E">
        <w:t>’</w:t>
      </w:r>
      <w:r w:rsidR="0066158E" w:rsidRPr="0066158E">
        <w:t>Neill v. United States, 50 F.3d 677</w:t>
      </w:r>
      <w:r w:rsidR="0066158E">
        <w:t>, 684 (9th Cir. 1995).</w:t>
      </w:r>
      <w:r w:rsidR="00E5042C">
        <w:t xml:space="preserve"> </w:t>
      </w:r>
      <w:r w:rsidR="002F6B7F">
        <w:t xml:space="preserve">This is </w:t>
      </w:r>
      <w:r w:rsidR="00B71894">
        <w:t xml:space="preserve">not the same thing as </w:t>
      </w:r>
      <w:r w:rsidR="002F6B7F">
        <w:t xml:space="preserve">saying that the </w:t>
      </w:r>
      <w:r w:rsidR="003B5FC7">
        <w:t xml:space="preserve">Uniform Commercial Code </w:t>
      </w:r>
      <w:r w:rsidR="00B71894">
        <w:t>directly</w:t>
      </w:r>
      <w:r w:rsidR="002F6B7F">
        <w:t xml:space="preserve"> governs contracts to which the federal government is a party.</w:t>
      </w:r>
    </w:p>
  </w:footnote>
  <w:footnote w:id="100">
    <w:p w14:paraId="2C8926BC" w14:textId="30C58ECE" w:rsidR="0063480F" w:rsidRDefault="0063480F">
      <w:pPr>
        <w:pStyle w:val="FootnoteText"/>
      </w:pPr>
      <w:r w:rsidRPr="002A4234">
        <w:rPr>
          <w:rStyle w:val="FootnoteReference"/>
        </w:rPr>
        <w:footnoteRef/>
      </w:r>
      <w:r>
        <w:t xml:space="preserve"> </w:t>
      </w:r>
      <w:r>
        <w:fldChar w:fldCharType="begin"/>
      </w:r>
      <w:r w:rsidR="00E5116B">
        <w:instrText xml:space="preserve"> ADDIN ZOTERO_ITEM CSL_CITATION {"citationID":"LHXf5IGF","properties":{"formattedCitation":"Nelson, {\\i{}supra} note 9, at 514","plainCitation":"Nelson, supra note 9, at 514","noteIndex":96},"citationItems":[{"id":2933,"uris":["http://zotero.org/groups/2816150/items/NGIGT4FH"],"uri":["http://zotero.org/groups/2816150/items/NGIGT4FH"],"itemData":{"id":2933,"type":"article-journal","container-title":"Columbia Law Review","issue":"3","journalAbbreviation":"Colum. L. Rev.","language":"eng","page":"503-568","source":"HeinOnline","title":"The Persistence of General Law","volume":"106","author":[{"family":"Nelson","given":"Caleb"}],"issued":{"date-parts":[["2006"]]}},"locator":"514","label":"page"}],"schema":"https://github.com/citation-style-language/schema/raw/master/csl-citation.json"} </w:instrText>
      </w:r>
      <w:r>
        <w:fldChar w:fldCharType="separate"/>
      </w:r>
      <w:r w:rsidR="00E5116B" w:rsidRPr="00E5116B">
        <w:t xml:space="preserve">Nelson, </w:t>
      </w:r>
      <w:r w:rsidR="00E5116B" w:rsidRPr="00E5116B">
        <w:rPr>
          <w:i/>
          <w:iCs/>
        </w:rPr>
        <w:t>supra</w:t>
      </w:r>
      <w:r w:rsidR="00E5116B" w:rsidRPr="00E5116B">
        <w:t xml:space="preserve"> note </w:t>
      </w:r>
      <w:r w:rsidR="002A6A26">
        <w:fldChar w:fldCharType="begin"/>
      </w:r>
      <w:r w:rsidR="002A6A26">
        <w:instrText xml:space="preserve"> NOTEREF _Ref114089429 \h </w:instrText>
      </w:r>
      <w:r w:rsidR="002A6A26">
        <w:fldChar w:fldCharType="separate"/>
      </w:r>
      <w:r w:rsidR="00405D69">
        <w:t>9</w:t>
      </w:r>
      <w:r w:rsidR="002A6A26">
        <w:fldChar w:fldCharType="end"/>
      </w:r>
      <w:r w:rsidR="00E5116B" w:rsidRPr="00E5116B">
        <w:t>, at 514</w:t>
      </w:r>
      <w:r>
        <w:fldChar w:fldCharType="end"/>
      </w:r>
      <w:r w:rsidR="007F460C">
        <w:t>.</w:t>
      </w:r>
    </w:p>
  </w:footnote>
  <w:footnote w:id="101">
    <w:p w14:paraId="4961269D" w14:textId="17F4D8B0" w:rsidR="00847019" w:rsidRDefault="00847019">
      <w:pPr>
        <w:pStyle w:val="FootnoteText"/>
      </w:pPr>
      <w:r w:rsidRPr="002A4234">
        <w:rPr>
          <w:rStyle w:val="FootnoteReference"/>
        </w:rPr>
        <w:footnoteRef/>
      </w:r>
      <w:r>
        <w:t xml:space="preserve"> </w:t>
      </w:r>
      <w:r w:rsidR="00EF68A8">
        <w:rPr>
          <w:i/>
          <w:iCs/>
        </w:rPr>
        <w:t xml:space="preserve">See </w:t>
      </w:r>
      <w:r w:rsidR="008631EB">
        <w:t>Wells v. Liddy, 186 F.3d 505, 524 (4th Cir. 1999) (</w:t>
      </w:r>
      <w:r w:rsidR="00B244DA">
        <w:t>“</w:t>
      </w:r>
      <w:r w:rsidR="00D44854">
        <w:t>[T]</w:t>
      </w:r>
      <w:r w:rsidR="00B244DA" w:rsidRPr="00B244DA">
        <w:t xml:space="preserve">he governing law </w:t>
      </w:r>
      <w:r w:rsidR="00D44854">
        <w:t xml:space="preserve">[on the high seas] </w:t>
      </w:r>
      <w:r w:rsidR="00B244DA" w:rsidRPr="00B244DA">
        <w:t>is not the common</w:t>
      </w:r>
      <w:r w:rsidR="009C0DD6">
        <w:t>[]</w:t>
      </w:r>
      <w:r w:rsidR="00B244DA" w:rsidRPr="00B244DA">
        <w:t>law of any single state, but rather is the general maritime law as interpreted and applied by the courts of the United States</w:t>
      </w:r>
      <w:r w:rsidR="00525003">
        <w:t>.”)</w:t>
      </w:r>
      <w:r w:rsidR="007C71DA">
        <w:t xml:space="preserve">; </w:t>
      </w:r>
      <w:r w:rsidR="007C71DA" w:rsidRPr="007C71DA">
        <w:t>Atl. Sounding Co. v</w:t>
      </w:r>
      <w:r w:rsidR="008F3B7D">
        <w:t>.</w:t>
      </w:r>
      <w:r w:rsidR="007C71DA" w:rsidRPr="007C71DA">
        <w:t xml:space="preserve"> Townsend, 557 U</w:t>
      </w:r>
      <w:r w:rsidR="007C71DA">
        <w:t>.</w:t>
      </w:r>
      <w:r w:rsidR="007C71DA" w:rsidRPr="007C71DA">
        <w:t>S</w:t>
      </w:r>
      <w:r w:rsidR="007C71DA">
        <w:t>.</w:t>
      </w:r>
      <w:r w:rsidR="007C71DA" w:rsidRPr="007C71DA">
        <w:t xml:space="preserve"> 404, 4</w:t>
      </w:r>
      <w:r w:rsidR="009A3D16">
        <w:t>14-</w:t>
      </w:r>
      <w:r w:rsidR="007C71DA" w:rsidRPr="007C71DA">
        <w:t xml:space="preserve">15 </w:t>
      </w:r>
      <w:r w:rsidR="007C71DA">
        <w:t xml:space="preserve">(2009) (explaining that the general maritime law includes traditional common law doctrine, including </w:t>
      </w:r>
      <w:r w:rsidR="00AD395D">
        <w:t xml:space="preserve">punitive damages, and that the general </w:t>
      </w:r>
      <w:r w:rsidR="004B2439">
        <w:t>maritime law governs claims at sea except where Congress has passed statutes preempting it)</w:t>
      </w:r>
      <w:r w:rsidR="009F2FFB">
        <w:t>.</w:t>
      </w:r>
    </w:p>
  </w:footnote>
  <w:footnote w:id="102">
    <w:p w14:paraId="6465823E" w14:textId="4FAD6D2B" w:rsidR="00121716" w:rsidRDefault="00121716">
      <w:pPr>
        <w:pStyle w:val="FootnoteText"/>
      </w:pPr>
      <w:r w:rsidRPr="002A4234">
        <w:rPr>
          <w:rStyle w:val="FootnoteReference"/>
        </w:rPr>
        <w:footnoteRef/>
      </w:r>
      <w:r>
        <w:t xml:space="preserve"> </w:t>
      </w:r>
      <w:r w:rsidR="004313A2" w:rsidRPr="004313A2">
        <w:t xml:space="preserve">Dabney v. New England Mut. Marine Ins. Co., 96 Mass. </w:t>
      </w:r>
      <w:r w:rsidR="00C2343D">
        <w:t xml:space="preserve">(14 Allen) </w:t>
      </w:r>
      <w:r w:rsidR="004313A2" w:rsidRPr="004313A2">
        <w:t>300, 306 (1867)</w:t>
      </w:r>
      <w:r w:rsidR="00963BC5">
        <w:t>.</w:t>
      </w:r>
    </w:p>
  </w:footnote>
  <w:footnote w:id="103">
    <w:p w14:paraId="6828220E" w14:textId="27298DE3" w:rsidR="001C4B3C" w:rsidRDefault="001C4B3C">
      <w:pPr>
        <w:pStyle w:val="FootnoteText"/>
      </w:pPr>
      <w:r w:rsidRPr="002A4234">
        <w:rPr>
          <w:rStyle w:val="FootnoteReference"/>
        </w:rPr>
        <w:footnoteRef/>
      </w:r>
      <w:r>
        <w:t xml:space="preserve"> </w:t>
      </w:r>
      <w:r>
        <w:fldChar w:fldCharType="begin"/>
      </w:r>
      <w:r w:rsidR="00E5116B">
        <w:instrText xml:space="preserve"> ADDIN ZOTERO_ITEM CSL_CITATION {"citationID":"zJ9bCOGp","properties":{"formattedCitation":"Nelson, {\\i{}supra} note 9, at 515","plainCitation":"Nelson, supra note 9, at 515","noteIndex":99},"citationItems":[{"id":2933,"uris":["http://zotero.org/groups/2816150/items/NGIGT4FH"],"uri":["http://zotero.org/groups/2816150/items/NGIGT4FH"],"itemData":{"id":2933,"type":"article-journal","container-title":"Columbia Law Review","issue":"3","journalAbbreviation":"Colum. L. Rev.","language":"eng","page":"503-568","source":"HeinOnline","title":"The Persistence of General Law","volume":"106","author":[{"family":"Nelson","given":"Caleb"}],"issued":{"date-parts":[["2006"]]}},"locator":"515","label":"page"}],"schema":"https://github.com/citation-style-language/schema/raw/master/csl-citation.json"} </w:instrText>
      </w:r>
      <w:r>
        <w:fldChar w:fldCharType="separate"/>
      </w:r>
      <w:r w:rsidR="00E5116B" w:rsidRPr="00E5116B">
        <w:t xml:space="preserve">Nelson, </w:t>
      </w:r>
      <w:r w:rsidR="00E5116B" w:rsidRPr="00E5116B">
        <w:rPr>
          <w:i/>
          <w:iCs/>
        </w:rPr>
        <w:t>supra</w:t>
      </w:r>
      <w:r w:rsidR="00E5116B" w:rsidRPr="00E5116B">
        <w:t xml:space="preserve"> note </w:t>
      </w:r>
      <w:r w:rsidR="00C7591C">
        <w:fldChar w:fldCharType="begin"/>
      </w:r>
      <w:r w:rsidR="00C7591C">
        <w:instrText xml:space="preserve"> NOTEREF _Ref114089429 \h </w:instrText>
      </w:r>
      <w:r w:rsidR="00C7591C">
        <w:fldChar w:fldCharType="separate"/>
      </w:r>
      <w:r w:rsidR="00405D69">
        <w:t>9</w:t>
      </w:r>
      <w:r w:rsidR="00C7591C">
        <w:fldChar w:fldCharType="end"/>
      </w:r>
      <w:r w:rsidR="00E5116B" w:rsidRPr="00E5116B">
        <w:t>, at 515</w:t>
      </w:r>
      <w:r>
        <w:fldChar w:fldCharType="end"/>
      </w:r>
      <w:r w:rsidR="007F460C">
        <w:t>.</w:t>
      </w:r>
    </w:p>
  </w:footnote>
  <w:footnote w:id="104">
    <w:p w14:paraId="1466F881" w14:textId="2DCD8379" w:rsidR="00EE0555" w:rsidRDefault="00EE0555" w:rsidP="0068434F">
      <w:pPr>
        <w:pStyle w:val="FootnoteText"/>
      </w:pPr>
      <w:r w:rsidRPr="002A4234">
        <w:rPr>
          <w:rStyle w:val="FootnoteReference"/>
        </w:rPr>
        <w:footnoteRef/>
      </w:r>
      <w:r>
        <w:t xml:space="preserve"> </w:t>
      </w:r>
      <w:r w:rsidR="0068434F">
        <w:rPr>
          <w:i/>
          <w:iCs/>
        </w:rPr>
        <w:t>See, e.g.</w:t>
      </w:r>
      <w:r w:rsidR="0068434F">
        <w:t xml:space="preserve">, Exxon Shipping Co. v. Baker, 554 U.S. 471, 489 (2008); </w:t>
      </w:r>
      <w:r w:rsidR="004B438C">
        <w:rPr>
          <w:i/>
          <w:iCs/>
          <w:color w:val="000000"/>
          <w:bdr w:val="none" w:sz="0" w:space="0" w:color="auto" w:frame="1"/>
        </w:rPr>
        <w:t>The Gen. Smith</w:t>
      </w:r>
      <w:r w:rsidR="004B438C">
        <w:rPr>
          <w:color w:val="000000"/>
          <w:bdr w:val="none" w:sz="0" w:space="0" w:color="auto" w:frame="1"/>
        </w:rPr>
        <w:t>, 17 U.S. (4 Wheat.) 438, 443 (1819)</w:t>
      </w:r>
      <w:r w:rsidR="0027481C">
        <w:t xml:space="preserve">; </w:t>
      </w:r>
      <w:r w:rsidR="00F111F4">
        <w:rPr>
          <w:i/>
          <w:iCs/>
          <w:color w:val="000000"/>
          <w:bdr w:val="none" w:sz="0" w:space="0" w:color="auto" w:frame="1"/>
        </w:rPr>
        <w:t>New England Ins. Co. v. The Brig Sarah Ann</w:t>
      </w:r>
      <w:r w:rsidR="00F111F4">
        <w:rPr>
          <w:color w:val="000000"/>
          <w:bdr w:val="none" w:sz="0" w:space="0" w:color="auto" w:frame="1"/>
        </w:rPr>
        <w:t>, 38 U.S. 387, 400 (1839)</w:t>
      </w:r>
      <w:r w:rsidR="00436547">
        <w:rPr>
          <w:color w:val="000000"/>
          <w:bdr w:val="none" w:sz="0" w:space="0" w:color="auto" w:frame="1"/>
        </w:rPr>
        <w:t xml:space="preserve">; </w:t>
      </w:r>
      <w:r w:rsidR="0027481C" w:rsidRPr="009B126F">
        <w:rPr>
          <w:i/>
          <w:iCs/>
        </w:rPr>
        <w:t>see also</w:t>
      </w:r>
      <w:r w:rsidR="0068434F">
        <w:rPr>
          <w:i/>
          <w:iCs/>
        </w:rPr>
        <w:t>, e.g.</w:t>
      </w:r>
      <w:r w:rsidR="0068434F">
        <w:t>,</w:t>
      </w:r>
      <w:r w:rsidR="0027481C" w:rsidRPr="009B126F">
        <w:rPr>
          <w:i/>
          <w:iCs/>
        </w:rPr>
        <w:t xml:space="preserve"> </w:t>
      </w:r>
      <w:r w:rsidR="00FE4545" w:rsidRPr="00FE4545">
        <w:t xml:space="preserve">Morgan v. Ins. Co. of N. Am., 4 U.S. </w:t>
      </w:r>
      <w:r w:rsidR="005E2C24">
        <w:t xml:space="preserve">(4 Dall.) </w:t>
      </w:r>
      <w:r w:rsidR="00FE4545" w:rsidRPr="00FE4545">
        <w:t>455, 458 (</w:t>
      </w:r>
      <w:r w:rsidR="00E47F79">
        <w:t xml:space="preserve">Pa. </w:t>
      </w:r>
      <w:r w:rsidR="00FE4545" w:rsidRPr="00FE4545">
        <w:t>1806)</w:t>
      </w:r>
      <w:r w:rsidR="009F73AB">
        <w:t xml:space="preserve"> (“</w:t>
      </w:r>
      <w:r w:rsidR="009F73AB" w:rsidRPr="009F73AB">
        <w:t>These ordinances, and the commentaries on them, have been received with great respect, in the Courts both of England and the United States; not as containing any authority in themselves, but as evidence of the general marine law</w:t>
      </w:r>
      <w:r w:rsidR="00CF0610">
        <w:t>.</w:t>
      </w:r>
      <w:r w:rsidR="009F73AB">
        <w:t>”)</w:t>
      </w:r>
      <w:r w:rsidR="002A7B13">
        <w:t xml:space="preserve">; </w:t>
      </w:r>
      <w:r w:rsidR="00972AE8">
        <w:rPr>
          <w:i/>
          <w:iCs/>
        </w:rPr>
        <w:t xml:space="preserve">In Re </w:t>
      </w:r>
      <w:r w:rsidR="002A7B13" w:rsidRPr="002A7B13">
        <w:t>The Rapid Transit, 11 F. 322, 334 (W.D. Tenn. 1882)</w:t>
      </w:r>
      <w:r w:rsidR="00E4629D">
        <w:t xml:space="preserve"> </w:t>
      </w:r>
      <w:r w:rsidR="00E875E0">
        <w:t>(“</w:t>
      </w:r>
      <w:r w:rsidR="00E875E0" w:rsidRPr="00E875E0">
        <w:t>Beyond the domain of the general maritime law, and where it furnishes no rule, and within that of the local law where it furnishes a rule, the statute may be looked to; but it cannot control to make equal that which the general law prefers.</w:t>
      </w:r>
      <w:r w:rsidR="00E875E0">
        <w:t>”).</w:t>
      </w:r>
    </w:p>
  </w:footnote>
  <w:footnote w:id="105">
    <w:p w14:paraId="294F938E" w14:textId="600EE6EF" w:rsidR="00855362" w:rsidRDefault="00855362">
      <w:pPr>
        <w:pStyle w:val="FootnoteText"/>
      </w:pPr>
      <w:r w:rsidRPr="002A4234">
        <w:rPr>
          <w:rStyle w:val="FootnoteReference"/>
        </w:rPr>
        <w:footnoteRef/>
      </w:r>
      <w:r>
        <w:t xml:space="preserve"> </w:t>
      </w:r>
      <w:r w:rsidRPr="009B126F">
        <w:rPr>
          <w:i/>
          <w:iCs/>
        </w:rPr>
        <w:t>In re</w:t>
      </w:r>
      <w:r w:rsidRPr="00855362">
        <w:t xml:space="preserve"> Air Crash at Belle Harbor, </w:t>
      </w:r>
      <w:r w:rsidR="000C4C53">
        <w:t xml:space="preserve">MDL </w:t>
      </w:r>
      <w:r w:rsidR="0073033C">
        <w:t xml:space="preserve">No. </w:t>
      </w:r>
      <w:r w:rsidR="000C4C53">
        <w:t xml:space="preserve">1448, </w:t>
      </w:r>
      <w:r w:rsidRPr="00855362">
        <w:t>2006 US Dist</w:t>
      </w:r>
      <w:r w:rsidR="008713BF">
        <w:t>.</w:t>
      </w:r>
      <w:r w:rsidRPr="00855362">
        <w:t xml:space="preserve"> LEXIS 27387, at *40 </w:t>
      </w:r>
      <w:r>
        <w:t>(</w:t>
      </w:r>
      <w:r w:rsidRPr="00855362">
        <w:t>S</w:t>
      </w:r>
      <w:r w:rsidR="00DA0980">
        <w:t>.</w:t>
      </w:r>
      <w:r w:rsidRPr="00855362">
        <w:t>D</w:t>
      </w:r>
      <w:r w:rsidR="00DA0980">
        <w:t>.</w:t>
      </w:r>
      <w:r w:rsidRPr="00855362">
        <w:t>N</w:t>
      </w:r>
      <w:r w:rsidR="00DA0980">
        <w:t>.</w:t>
      </w:r>
      <w:r w:rsidRPr="00855362">
        <w:t>Y</w:t>
      </w:r>
      <w:r w:rsidR="00DA0980">
        <w:t>.</w:t>
      </w:r>
      <w:r w:rsidRPr="00855362">
        <w:t xml:space="preserve"> May 9, 2006)</w:t>
      </w:r>
      <w:r w:rsidR="007F79BE">
        <w:t xml:space="preserve"> </w:t>
      </w:r>
      <w:r>
        <w:t xml:space="preserve">(quoting </w:t>
      </w:r>
      <w:r w:rsidR="00327B48" w:rsidRPr="00327B48">
        <w:t>S. Pac. Co. v. Jensen, 244 U.S. 205, 216</w:t>
      </w:r>
      <w:r w:rsidR="00327B48">
        <w:t xml:space="preserve"> </w:t>
      </w:r>
      <w:r w:rsidR="00327B48" w:rsidRPr="00327B48">
        <w:t>(1917)</w:t>
      </w:r>
      <w:r w:rsidR="00327B48">
        <w:t>).</w:t>
      </w:r>
    </w:p>
  </w:footnote>
  <w:footnote w:id="106">
    <w:p w14:paraId="6B5EA513" w14:textId="1E2EB097" w:rsidR="002E68D6" w:rsidRDefault="002E68D6">
      <w:pPr>
        <w:pStyle w:val="FootnoteText"/>
      </w:pPr>
      <w:r w:rsidRPr="002A4234">
        <w:rPr>
          <w:rStyle w:val="FootnoteReference"/>
        </w:rPr>
        <w:footnoteRef/>
      </w:r>
      <w:r>
        <w:t xml:space="preserve"> </w:t>
      </w:r>
      <w:r w:rsidR="00656259">
        <w:rPr>
          <w:i/>
          <w:iCs/>
        </w:rPr>
        <w:t>See</w:t>
      </w:r>
      <w:r w:rsidR="00B26CB7">
        <w:rPr>
          <w:i/>
          <w:iCs/>
        </w:rPr>
        <w:t>, e.g</w:t>
      </w:r>
      <w:r w:rsidR="008E7FA2">
        <w:rPr>
          <w:i/>
          <w:iCs/>
        </w:rPr>
        <w:t>.</w:t>
      </w:r>
      <w:r w:rsidR="008E7FA2">
        <w:t>,</w:t>
      </w:r>
      <w:r>
        <w:t xml:space="preserve"> </w:t>
      </w:r>
      <w:r w:rsidRPr="002E68D6">
        <w:t>Evans v</w:t>
      </w:r>
      <w:r w:rsidR="008F3B7D">
        <w:t>.</w:t>
      </w:r>
      <w:r w:rsidRPr="002E68D6">
        <w:t xml:space="preserve"> Nantucket C</w:t>
      </w:r>
      <w:r w:rsidR="00C0088B">
        <w:t>mty.</w:t>
      </w:r>
      <w:r w:rsidRPr="002E68D6">
        <w:t xml:space="preserve"> Sailing, Inc., 582 F</w:t>
      </w:r>
      <w:r w:rsidR="002B5FDD">
        <w:t>.</w:t>
      </w:r>
      <w:r w:rsidRPr="002E68D6">
        <w:t xml:space="preserve"> Supp</w:t>
      </w:r>
      <w:r w:rsidR="002B5FDD">
        <w:t>.</w:t>
      </w:r>
      <w:r w:rsidRPr="002E68D6">
        <w:t xml:space="preserve"> 2d 121, 136 </w:t>
      </w:r>
      <w:r w:rsidR="002B5FDD">
        <w:t>(</w:t>
      </w:r>
      <w:r w:rsidRPr="002E68D6">
        <w:t>D</w:t>
      </w:r>
      <w:r w:rsidR="002B5FDD">
        <w:t>.</w:t>
      </w:r>
      <w:r w:rsidRPr="002E68D6">
        <w:t xml:space="preserve"> Mass</w:t>
      </w:r>
      <w:r w:rsidR="002B5FDD">
        <w:t>.</w:t>
      </w:r>
      <w:r w:rsidRPr="002E68D6">
        <w:t xml:space="preserve"> 2008)</w:t>
      </w:r>
      <w:r w:rsidR="002B5FDD">
        <w:t>.</w:t>
      </w:r>
    </w:p>
  </w:footnote>
  <w:footnote w:id="107">
    <w:p w14:paraId="34959F5D" w14:textId="2670CC57" w:rsidR="00BC219A" w:rsidRDefault="00BC219A">
      <w:pPr>
        <w:pStyle w:val="FootnoteText"/>
      </w:pPr>
      <w:r w:rsidRPr="002A4234">
        <w:rPr>
          <w:rStyle w:val="FootnoteReference"/>
        </w:rPr>
        <w:footnoteRef/>
      </w:r>
      <w:r>
        <w:t xml:space="preserve"> </w:t>
      </w:r>
      <w:r w:rsidRPr="0030714D">
        <w:rPr>
          <w:smallCaps/>
        </w:rPr>
        <w:t>F</w:t>
      </w:r>
      <w:r w:rsidR="00C23AED" w:rsidRPr="0030714D">
        <w:rPr>
          <w:smallCaps/>
        </w:rPr>
        <w:t>ed. R. Evid.</w:t>
      </w:r>
      <w:r w:rsidR="00C23AED">
        <w:rPr>
          <w:smallCaps/>
        </w:rPr>
        <w:t xml:space="preserve"> 501.</w:t>
      </w:r>
    </w:p>
  </w:footnote>
  <w:footnote w:id="108">
    <w:p w14:paraId="1A73BBCC" w14:textId="0B2AAF59" w:rsidR="00706F46" w:rsidRDefault="00706F46">
      <w:pPr>
        <w:pStyle w:val="FootnoteText"/>
      </w:pPr>
      <w:r w:rsidRPr="002A4234">
        <w:rPr>
          <w:rStyle w:val="FootnoteReference"/>
        </w:rPr>
        <w:footnoteRef/>
      </w:r>
      <w:r>
        <w:t xml:space="preserve"> </w:t>
      </w:r>
      <w:r w:rsidRPr="00706F46">
        <w:t>518 U.S. 1 (1996)</w:t>
      </w:r>
      <w:r>
        <w:t>.</w:t>
      </w:r>
    </w:p>
  </w:footnote>
  <w:footnote w:id="109">
    <w:p w14:paraId="4BDB382F" w14:textId="4D151EDE" w:rsidR="002F5D5F" w:rsidRPr="002F5D5F" w:rsidRDefault="002F5D5F">
      <w:pPr>
        <w:pStyle w:val="FootnoteText"/>
      </w:pPr>
      <w:r w:rsidRPr="002A4234">
        <w:rPr>
          <w:rStyle w:val="FootnoteReference"/>
        </w:rPr>
        <w:footnoteRef/>
      </w:r>
      <w:r>
        <w:t xml:space="preserve"> </w:t>
      </w:r>
      <w:r>
        <w:rPr>
          <w:i/>
          <w:iCs/>
        </w:rPr>
        <w:t>Id.</w:t>
      </w:r>
      <w:r>
        <w:t xml:space="preserve"> at </w:t>
      </w:r>
      <w:r w:rsidR="006033B3">
        <w:t>9.</w:t>
      </w:r>
    </w:p>
  </w:footnote>
  <w:footnote w:id="110">
    <w:p w14:paraId="20C08E82" w14:textId="3E4E0BAE" w:rsidR="00706F46" w:rsidRPr="00706F46" w:rsidRDefault="00706F46">
      <w:pPr>
        <w:pStyle w:val="FootnoteText"/>
      </w:pPr>
      <w:r w:rsidRPr="002A4234">
        <w:rPr>
          <w:rStyle w:val="FootnoteReference"/>
        </w:rPr>
        <w:footnoteRef/>
      </w:r>
      <w:r>
        <w:t xml:space="preserve"> </w:t>
      </w:r>
      <w:r>
        <w:rPr>
          <w:i/>
          <w:iCs/>
        </w:rPr>
        <w:t>Id.</w:t>
      </w:r>
      <w:r>
        <w:t xml:space="preserve"> at 12</w:t>
      </w:r>
      <w:r w:rsidR="00805B49">
        <w:t>-</w:t>
      </w:r>
      <w:r>
        <w:t>13.</w:t>
      </w:r>
    </w:p>
  </w:footnote>
  <w:footnote w:id="111">
    <w:p w14:paraId="6CF15D33" w14:textId="3AD399DF" w:rsidR="00006C62" w:rsidRDefault="00006C62">
      <w:pPr>
        <w:pStyle w:val="FootnoteText"/>
      </w:pPr>
      <w:r w:rsidRPr="002A4234">
        <w:rPr>
          <w:rStyle w:val="FootnoteReference"/>
        </w:rPr>
        <w:footnoteRef/>
      </w:r>
      <w:r>
        <w:t xml:space="preserve"> </w:t>
      </w:r>
      <w:r>
        <w:fldChar w:fldCharType="begin"/>
      </w:r>
      <w:r w:rsidR="00E5116B">
        <w:instrText xml:space="preserve"> ADDIN ZOTERO_ITEM CSL_CITATION {"citationID":"o3V4DcUr","properties":{"formattedCitation":"Michael Steven Green, {\\i{}{\\i0{}Erie}\\uc0\\u8217{}s Suppressed Premise}, 95 {\\scaps Minn. L. Rev.} 1111, 1113 (2011)","plainCitation":"Michael Steven Green, Erie’s Suppressed Premise, 95 Minn. L. Rev. 1111, 1113 (2011)","noteIndex":107},"citationItems":[{"id":2920,"uris":["http://zotero.org/groups/2816150/items/GT98M7NH"],"uri":["http://zotero.org/groups/2816150/items/GT98M7NH"],"itemData":{"id":2920,"type":"article-journal","container-title":"Minnesota Law Review","issue":"4","journalAbbreviation":"Minn. L. Rev.","language":"eng","page":"1111-1167","source":"HeinOnline","title":"&lt;i&gt;Erie&lt;/i&gt;'s Suppressed Premise","volume":"95","author":[{"family":"Green","given":"Michael Steven"}],"issued":{"date-parts":[["2011"]]}},"locator":"1113","label":"page"}],"schema":"https://github.com/citation-style-language/schema/raw/master/csl-citation.json"} </w:instrText>
      </w:r>
      <w:r>
        <w:fldChar w:fldCharType="separate"/>
      </w:r>
      <w:r w:rsidR="00E5116B" w:rsidRPr="00E5116B">
        <w:t>Michael Steven Green, Erie</w:t>
      </w:r>
      <w:r w:rsidR="00E5116B" w:rsidRPr="00E5116B">
        <w:rPr>
          <w:i/>
          <w:iCs/>
        </w:rPr>
        <w:t>’s Suppressed Premise</w:t>
      </w:r>
      <w:r w:rsidR="00E5116B" w:rsidRPr="00E5116B">
        <w:t xml:space="preserve">, 95 </w:t>
      </w:r>
      <w:r w:rsidR="00E5116B" w:rsidRPr="00E5116B">
        <w:rPr>
          <w:smallCaps/>
        </w:rPr>
        <w:t>Minn. L. Rev.</w:t>
      </w:r>
      <w:r w:rsidR="00E5116B" w:rsidRPr="00E5116B">
        <w:t xml:space="preserve"> 1111, 1113 (2011)</w:t>
      </w:r>
      <w:r>
        <w:fldChar w:fldCharType="end"/>
      </w:r>
      <w:r w:rsidR="006033B3">
        <w:t>.</w:t>
      </w:r>
    </w:p>
  </w:footnote>
  <w:footnote w:id="112">
    <w:p w14:paraId="6F73E622" w14:textId="4B004A93" w:rsidR="0079524C" w:rsidRDefault="0079524C">
      <w:pPr>
        <w:pStyle w:val="FootnoteText"/>
      </w:pPr>
      <w:r w:rsidRPr="002A4234">
        <w:rPr>
          <w:rStyle w:val="FootnoteReference"/>
        </w:rPr>
        <w:footnoteRef/>
      </w:r>
      <w:r>
        <w:t xml:space="preserve"> </w:t>
      </w:r>
      <w:r>
        <w:fldChar w:fldCharType="begin"/>
      </w:r>
      <w:r w:rsidR="00E5116B">
        <w:instrText xml:space="preserve"> ADDIN ZOTERO_ITEM CSL_CITATION {"citationID":"1tW4FTW2","properties":{"formattedCitation":"{\\i{}Id.}","plainCitation":"Id.","noteIndex":108},"citationItems":[{"id":2920,"uris":["http://zotero.org/groups/2816150/items/GT98M7NH"],"uri":["http://zotero.org/groups/2816150/items/GT98M7NH"],"itemData":{"id":2920,"type":"article-journal","container-title":"Minnesota Law Review","issue":"4","journalAbbreviation":"Minn. L. Rev.","language":"eng","page":"1111-1167","source":"HeinOnline","title":"&lt;i&gt;Erie&lt;/i&gt;'s Suppressed Premise","volume":"95","author":[{"family":"Green","given":"Michael Steven"}],"issued":{"date-parts":[["2011"]]}},"locator":"1113","label":"page"}],"schema":"https://github.com/citation-style-language/schema/raw/master/csl-citation.json"} </w:instrText>
      </w:r>
      <w:r>
        <w:fldChar w:fldCharType="separate"/>
      </w:r>
      <w:r w:rsidR="00E5116B" w:rsidRPr="00E5116B">
        <w:rPr>
          <w:i/>
          <w:iCs/>
        </w:rPr>
        <w:t>Id.</w:t>
      </w:r>
      <w:r>
        <w:fldChar w:fldCharType="end"/>
      </w:r>
    </w:p>
  </w:footnote>
  <w:footnote w:id="113">
    <w:p w14:paraId="710CD7B3" w14:textId="6FD28BEE" w:rsidR="0057354E" w:rsidRDefault="0057354E">
      <w:pPr>
        <w:pStyle w:val="FootnoteText"/>
      </w:pPr>
      <w:r w:rsidRPr="002A4234">
        <w:rPr>
          <w:rStyle w:val="FootnoteReference"/>
        </w:rPr>
        <w:footnoteRef/>
      </w:r>
      <w:r>
        <w:t xml:space="preserve"> </w:t>
      </w:r>
      <w:r>
        <w:fldChar w:fldCharType="begin"/>
      </w:r>
      <w:r w:rsidR="00E5116B">
        <w:instrText xml:space="preserve"> ADDIN ZOTERO_ITEM CSL_CITATION {"citationID":"IktczFI2","properties":{"formattedCitation":"Bellia &amp; Clark, {\\i{}supra} note 15, at 658","plainCitation":"Bellia &amp; Clark, supra note 15, at 658","noteIndex":109},"citationItems":[{"id":2924,"uris":["http://zotero.org/groups/2816150/items/LY5HZDGJ"],"uri":["http://zotero.org/groups/2816150/items/LY5HZDGJ"],"itemData":{"id":2924,"type":"article-journal","container-title":"William &amp; Mary Law Review","issue":"3","journalAbbreviation":"Wm. &amp; Mary L. Rev.","language":"eng","page":"655-724","source":"HeinOnline","title":"General Law in Federal Court","volume":"54","author":[{"family":"Bellia","given":"Anthony J. Jr."},{"family":"Clark","given":"Bradford R."}],"issued":{"date-parts":[["2013"]]}},"locator":"658","label":"page"}],"schema":"https://github.com/citation-style-language/schema/raw/master/csl-citation.json"} </w:instrText>
      </w:r>
      <w:r>
        <w:fldChar w:fldCharType="separate"/>
      </w:r>
      <w:r w:rsidR="00E5116B" w:rsidRPr="00E5116B">
        <w:t xml:space="preserve">Bellia &amp; Clark, </w:t>
      </w:r>
      <w:r w:rsidR="00E5116B" w:rsidRPr="00E5116B">
        <w:rPr>
          <w:i/>
          <w:iCs/>
        </w:rPr>
        <w:t>supra</w:t>
      </w:r>
      <w:r w:rsidR="00E5116B" w:rsidRPr="00E5116B">
        <w:t xml:space="preserve"> note </w:t>
      </w:r>
      <w:r w:rsidR="00265D62">
        <w:fldChar w:fldCharType="begin"/>
      </w:r>
      <w:r w:rsidR="00265D62">
        <w:instrText xml:space="preserve"> NOTEREF _Ref114090797 \h </w:instrText>
      </w:r>
      <w:r w:rsidR="00265D62">
        <w:fldChar w:fldCharType="separate"/>
      </w:r>
      <w:r w:rsidR="00405D69">
        <w:t>15</w:t>
      </w:r>
      <w:r w:rsidR="00265D62">
        <w:fldChar w:fldCharType="end"/>
      </w:r>
      <w:r w:rsidR="00E5116B" w:rsidRPr="00E5116B">
        <w:t>, at 658</w:t>
      </w:r>
      <w:r>
        <w:fldChar w:fldCharType="end"/>
      </w:r>
      <w:r w:rsidR="006033B3">
        <w:t>.</w:t>
      </w:r>
    </w:p>
  </w:footnote>
  <w:footnote w:id="114">
    <w:p w14:paraId="4CFF0378" w14:textId="25E75D20" w:rsidR="003679C3" w:rsidRDefault="003679C3" w:rsidP="003679C3">
      <w:pPr>
        <w:pStyle w:val="FootnoteText"/>
      </w:pPr>
      <w:r w:rsidRPr="002A4234">
        <w:rPr>
          <w:rStyle w:val="FootnoteReference"/>
        </w:rPr>
        <w:footnoteRef/>
      </w:r>
      <w:r>
        <w:t xml:space="preserve"> </w:t>
      </w:r>
      <w:r w:rsidR="00BA1405">
        <w:fldChar w:fldCharType="begin"/>
      </w:r>
      <w:r w:rsidR="00E5116B">
        <w:instrText xml:space="preserve"> ADDIN ZOTERO_ITEM CSL_CITATION {"citationID":"DvIiUExq","properties":{"formattedCitation":"Green, {\\i{}supra} note 107, at 1126\\uc0\\u8211{}27","plainCitation":"Green, supra note 107, at 1126–27","noteIndex":110},"citationItems":[{"id":2920,"uris":["http://zotero.org/groups/2816150/items/GT98M7NH"],"uri":["http://zotero.org/groups/2816150/items/GT98M7NH"],"itemData":{"id":2920,"type":"article-journal","container-title":"Minnesota Law Review","issue":"4","journalAbbreviation":"Minn. L. Rev.","language":"eng","page":"1111-1167","source":"HeinOnline","title":"&lt;i&gt;Erie&lt;/i&gt;'s Suppressed Premise","volume":"95","author":[{"family":"Green","given":"Michael Steven"}],"issued":{"date-parts":[["2011"]]}},"locator":"1126-27","label":"page"}],"schema":"https://github.com/citation-style-language/schema/raw/master/csl-citation.json"} </w:instrText>
      </w:r>
      <w:r w:rsidR="00BA1405">
        <w:fldChar w:fldCharType="separate"/>
      </w:r>
      <w:r w:rsidR="00E5116B" w:rsidRPr="00E5116B">
        <w:t xml:space="preserve">Green, </w:t>
      </w:r>
      <w:r w:rsidR="00E5116B" w:rsidRPr="00E5116B">
        <w:rPr>
          <w:i/>
          <w:iCs/>
        </w:rPr>
        <w:t>supra</w:t>
      </w:r>
      <w:r w:rsidR="00E5116B" w:rsidRPr="00E5116B">
        <w:t xml:space="preserve"> note </w:t>
      </w:r>
      <w:r w:rsidR="00265D62">
        <w:fldChar w:fldCharType="begin"/>
      </w:r>
      <w:r w:rsidR="00265D62">
        <w:instrText xml:space="preserve"> NOTEREF _Ref114090807 \h </w:instrText>
      </w:r>
      <w:r w:rsidR="00265D62">
        <w:fldChar w:fldCharType="separate"/>
      </w:r>
      <w:r w:rsidR="00405D69">
        <w:t>108</w:t>
      </w:r>
      <w:r w:rsidR="00265D62">
        <w:fldChar w:fldCharType="end"/>
      </w:r>
      <w:r w:rsidR="00E5116B" w:rsidRPr="00E5116B">
        <w:t>, at 1126–27</w:t>
      </w:r>
      <w:r w:rsidR="00BA1405">
        <w:fldChar w:fldCharType="end"/>
      </w:r>
      <w:r w:rsidR="006033B3">
        <w:t>.</w:t>
      </w:r>
    </w:p>
  </w:footnote>
  <w:footnote w:id="115">
    <w:p w14:paraId="15F31E6E" w14:textId="114EDD11" w:rsidR="00EA28F8" w:rsidRDefault="00EA28F8">
      <w:pPr>
        <w:pStyle w:val="FootnoteText"/>
      </w:pPr>
      <w:r w:rsidRPr="002A4234">
        <w:rPr>
          <w:rStyle w:val="FootnoteReference"/>
        </w:rPr>
        <w:footnoteRef/>
      </w:r>
      <w:r>
        <w:t xml:space="preserve"> </w:t>
      </w:r>
      <w:r>
        <w:fldChar w:fldCharType="begin"/>
      </w:r>
      <w:r w:rsidR="00E5116B">
        <w:instrText xml:space="preserve"> ADDIN ZOTERO_ITEM CSL_CITATION {"citationID":"a54hdbyG","properties":{"formattedCitation":"{\\i{}See} {\\i{}id.} at 1127","plainCitation":"See id. at 1127","noteIndex":111},"citationItems":[{"id":2920,"uris":["http://zotero.org/groups/2816150/items/GT98M7NH"],"uri":["http://zotero.org/groups/2816150/items/GT98M7NH"],"itemData":{"id":2920,"type":"article-journal","container-title":"Minnesota Law Review","issue":"4","journalAbbreviation":"Minn. L. Rev.","language":"eng","page":"1111-1167","source":"HeinOnline","title":"&lt;i&gt;Erie&lt;/i&gt;'s Suppressed Premise","volume":"95","author":[{"family":"Green","given":"Michael Steven"}],"issued":{"date-parts":[["2011"]]}},"locator":"1127","label":"page","prefix":"&lt;i&gt;See&lt;/i&gt; "}],"schema":"https://github.com/citation-style-language/schema/raw/master/csl-citation.json"} </w:instrText>
      </w:r>
      <w:r>
        <w:fldChar w:fldCharType="separate"/>
      </w:r>
      <w:r w:rsidR="00E5116B" w:rsidRPr="00E5116B">
        <w:rPr>
          <w:i/>
          <w:iCs/>
        </w:rPr>
        <w:t>See</w:t>
      </w:r>
      <w:r w:rsidR="00E5116B" w:rsidRPr="00E5116B">
        <w:t xml:space="preserve"> </w:t>
      </w:r>
      <w:r w:rsidR="00E5116B" w:rsidRPr="00E5116B">
        <w:rPr>
          <w:i/>
          <w:iCs/>
        </w:rPr>
        <w:t>id.</w:t>
      </w:r>
      <w:r w:rsidR="00E5116B" w:rsidRPr="00E5116B">
        <w:t xml:space="preserve"> at 1127</w:t>
      </w:r>
      <w:r>
        <w:fldChar w:fldCharType="end"/>
      </w:r>
      <w:r w:rsidR="00A05C4F">
        <w:t>.</w:t>
      </w:r>
    </w:p>
  </w:footnote>
  <w:footnote w:id="116">
    <w:p w14:paraId="732FDBD4" w14:textId="089061C9" w:rsidR="007F23C7" w:rsidRDefault="007F23C7">
      <w:pPr>
        <w:pStyle w:val="FootnoteText"/>
      </w:pPr>
      <w:r w:rsidRPr="002A4234">
        <w:rPr>
          <w:rStyle w:val="FootnoteReference"/>
        </w:rPr>
        <w:footnoteRef/>
      </w:r>
      <w:r>
        <w:t xml:space="preserve"> </w:t>
      </w:r>
      <w:r w:rsidR="00D34EA6">
        <w:fldChar w:fldCharType="begin"/>
      </w:r>
      <w:r w:rsidR="00E5116B">
        <w:instrText xml:space="preserve"> ADDIN ZOTERO_ITEM CSL_CITATION {"citationID":"WP79BQRn","properties":{"formattedCitation":"Ford W. Hall, {\\i{}The Common Law:  An Account of Its Reception in the United States}, 4 {\\scaps Vand. L. Rev.} 791, 797\\uc0\\u8211{}805 (1951); Henry M. Hart Jr., {\\i{}The Relations between State and Federal Law}, 54 {\\scaps Colum. L. Rev.} 489, 492 n.4 (1954)","plainCitation":"Ford W. Hall, The Common Law:  An Account of Its Reception in the United States, 4 Vand. L. Rev. 791, 797–805 (1951); Henry M. Hart Jr., The Relations between State and Federal Law, 54 Colum. L. Rev. 489, 492 n.4 (1954)","noteIndex":112},"citationItems":[{"id":3238,"uris":["http://zotero.org/groups/2816150/items/4XXJ4RWG"],"uri":["http://zotero.org/groups/2816150/items/4XXJ4RWG"],"itemData":{"id":3238,"type":"article-journal","container-title":"Vanderbilt Law Review","issue":"4","journalAbbreviation":"Vand. L. Rev.","language":"eng","page":"791-825","source":"HeinOnline","title":"The Common Law:  An Account of Its Reception in the United States","title-short":"The Common Law","volume":"4","author":[{"family":"Hall","given":"Ford W."}],"issued":{"date-parts":[["1951"]]}},"locator":"797-805","label":"page"},{"id":3231,"uris":["http://zotero.org/groups/2816150/items/4U9ZAZL9"],"uri":["http://zotero.org/groups/2816150/items/4U9ZAZL9"],"itemData":{"id":3231,"type":"article-journal","container-title":"Columbia Law Review","issue":"4","journalAbbreviation":"Colum. L. Rev.","language":"eng","page":"489-542","source":"HeinOnline","title":"The Relations between State and Federal Law","volume":"54","author":[{"family":"Hart","given":"Henry M.","suffix":"Jr."}],"issued":{"date-parts":[["1954"]]}},"locator":"492 n.4","label":"page"}],"schema":"https://github.com/citation-style-language/schema/raw/master/csl-citation.json"} </w:instrText>
      </w:r>
      <w:r w:rsidR="00D34EA6">
        <w:fldChar w:fldCharType="separate"/>
      </w:r>
      <w:r w:rsidR="00E5116B" w:rsidRPr="00E5116B">
        <w:t xml:space="preserve">Ford W. Hall, </w:t>
      </w:r>
      <w:r w:rsidR="00E5116B" w:rsidRPr="00E5116B">
        <w:rPr>
          <w:i/>
          <w:iCs/>
        </w:rPr>
        <w:t xml:space="preserve">The Common Law:  An Account of </w:t>
      </w:r>
      <w:r w:rsidR="008B678C">
        <w:rPr>
          <w:i/>
          <w:iCs/>
        </w:rPr>
        <w:t>i</w:t>
      </w:r>
      <w:r w:rsidR="00E5116B" w:rsidRPr="00E5116B">
        <w:rPr>
          <w:i/>
          <w:iCs/>
        </w:rPr>
        <w:t>ts Reception in the United States</w:t>
      </w:r>
      <w:r w:rsidR="00E5116B" w:rsidRPr="00E5116B">
        <w:t xml:space="preserve">, 4 </w:t>
      </w:r>
      <w:r w:rsidR="00E5116B" w:rsidRPr="00E5116B">
        <w:rPr>
          <w:smallCaps/>
        </w:rPr>
        <w:t>Vand. L. Rev.</w:t>
      </w:r>
      <w:r w:rsidR="00E5116B" w:rsidRPr="00E5116B">
        <w:t xml:space="preserve"> 791, 797–805 (1951)</w:t>
      </w:r>
      <w:r w:rsidR="00B7027E">
        <w:t xml:space="preserve">; </w:t>
      </w:r>
      <w:r w:rsidR="00E5116B" w:rsidRPr="00E5116B">
        <w:t>Henry M. Hart</w:t>
      </w:r>
      <w:r w:rsidR="005D6D54">
        <w:t>,</w:t>
      </w:r>
      <w:r w:rsidR="00E5116B" w:rsidRPr="00E5116B">
        <w:t xml:space="preserve"> Jr., </w:t>
      </w:r>
      <w:r w:rsidR="00E5116B" w:rsidRPr="00E5116B">
        <w:rPr>
          <w:i/>
          <w:iCs/>
        </w:rPr>
        <w:t xml:space="preserve">The Relations </w:t>
      </w:r>
      <w:r w:rsidR="00DC3BF9">
        <w:rPr>
          <w:i/>
          <w:iCs/>
        </w:rPr>
        <w:t>B</w:t>
      </w:r>
      <w:r w:rsidR="00E5116B" w:rsidRPr="00E5116B">
        <w:rPr>
          <w:i/>
          <w:iCs/>
        </w:rPr>
        <w:t>etween State and Federal Law</w:t>
      </w:r>
      <w:r w:rsidR="00E5116B" w:rsidRPr="00E5116B">
        <w:t xml:space="preserve">, 54 </w:t>
      </w:r>
      <w:r w:rsidR="00E5116B" w:rsidRPr="00E5116B">
        <w:rPr>
          <w:smallCaps/>
        </w:rPr>
        <w:t>Colum. L. Rev.</w:t>
      </w:r>
      <w:r w:rsidR="00E5116B" w:rsidRPr="00E5116B">
        <w:t xml:space="preserve"> 489, 492 n.4 (1954)</w:t>
      </w:r>
      <w:r w:rsidR="00D34EA6">
        <w:fldChar w:fldCharType="end"/>
      </w:r>
      <w:r w:rsidR="00B7027E">
        <w:t>.</w:t>
      </w:r>
    </w:p>
  </w:footnote>
  <w:footnote w:id="117">
    <w:p w14:paraId="2AA7670F" w14:textId="05630659" w:rsidR="00BD2B60" w:rsidRDefault="00BD2B60">
      <w:pPr>
        <w:pStyle w:val="FootnoteText"/>
      </w:pPr>
      <w:r w:rsidRPr="002A4234">
        <w:rPr>
          <w:rStyle w:val="FootnoteReference"/>
        </w:rPr>
        <w:footnoteRef/>
      </w:r>
      <w:r>
        <w:t xml:space="preserve"> </w:t>
      </w:r>
      <w:r w:rsidR="00644398">
        <w:rPr>
          <w:i/>
          <w:iCs/>
        </w:rPr>
        <w:t xml:space="preserve">See </w:t>
      </w:r>
      <w:r w:rsidR="001E3526">
        <w:fldChar w:fldCharType="begin"/>
      </w:r>
      <w:r w:rsidR="00E5116B">
        <w:instrText xml:space="preserve"> ADDIN ZOTERO_ITEM CSL_CITATION {"citationID":"4vnX8o4j","properties":{"formattedCitation":"Holmes, {\\i{}supra} note 24, at 465","plainCitation":"Holmes, supra note 24, at 465","noteIndex":113},"citationItems":[{"id":3232,"uris":["http://zotero.org/groups/2816150/items/9FG4HZGF"],"uri":["http://zotero.org/groups/2816150/items/9FG4HZGF"],"itemData":{"id":3232,"type":"article-journal","container-title":"Harvard Law Review","issue":"8","journalAbbreviation":"Harv. L. Rev.","language":"eng","page":"457-478","source":"HeinOnline","title":"The Path of the Law","volume":"10","author":[{"family":"Holmes","given":"Oliver Wendell"}],"issued":{"date-parts":[["1897"]]}},"locator":"465","label":"page"}],"schema":"https://github.com/citation-style-language/schema/raw/master/csl-citation.json"} </w:instrText>
      </w:r>
      <w:r w:rsidR="001E3526">
        <w:fldChar w:fldCharType="separate"/>
      </w:r>
      <w:r w:rsidR="00E5116B" w:rsidRPr="00E5116B">
        <w:t xml:space="preserve">Holmes, </w:t>
      </w:r>
      <w:r w:rsidR="00E5116B" w:rsidRPr="00E5116B">
        <w:rPr>
          <w:i/>
          <w:iCs/>
        </w:rPr>
        <w:t>supra</w:t>
      </w:r>
      <w:r w:rsidR="00E5116B" w:rsidRPr="00E5116B">
        <w:t xml:space="preserve"> note </w:t>
      </w:r>
      <w:r w:rsidR="00E56172">
        <w:fldChar w:fldCharType="begin"/>
      </w:r>
      <w:r w:rsidR="00E56172">
        <w:instrText xml:space="preserve"> NOTEREF _Ref113025834 \h </w:instrText>
      </w:r>
      <w:r w:rsidR="00E56172">
        <w:fldChar w:fldCharType="separate"/>
      </w:r>
      <w:r w:rsidR="00405D69">
        <w:t>25</w:t>
      </w:r>
      <w:r w:rsidR="00E56172">
        <w:fldChar w:fldCharType="end"/>
      </w:r>
      <w:r w:rsidR="00E5116B" w:rsidRPr="00E5116B">
        <w:t>, at 465</w:t>
      </w:r>
      <w:r w:rsidR="001E3526">
        <w:fldChar w:fldCharType="end"/>
      </w:r>
      <w:r w:rsidR="00A05C4F">
        <w:t>.</w:t>
      </w:r>
    </w:p>
  </w:footnote>
  <w:footnote w:id="118">
    <w:p w14:paraId="73E07D29" w14:textId="1210887F" w:rsidR="001E5BED" w:rsidRDefault="001E5BED">
      <w:pPr>
        <w:pStyle w:val="FootnoteText"/>
      </w:pPr>
      <w:r w:rsidRPr="002A4234">
        <w:rPr>
          <w:rStyle w:val="FootnoteReference"/>
        </w:rPr>
        <w:footnoteRef/>
      </w:r>
      <w:r>
        <w:t xml:space="preserve"> </w:t>
      </w:r>
      <w:r>
        <w:rPr>
          <w:i/>
          <w:iCs/>
        </w:rPr>
        <w:t xml:space="preserve">See </w:t>
      </w:r>
      <w:r>
        <w:fldChar w:fldCharType="begin"/>
      </w:r>
      <w:r w:rsidR="00E5116B">
        <w:instrText xml:space="preserve"> ADDIN ZOTERO_ITEM CSL_CITATION {"citationID":"0IaOAHAU","properties":{"formattedCitation":"{\\scaps Kenneth S. Abraham} &amp; {\\scaps G. Edward White}, {\\scaps Tort Law and the Construction of Change: Studies in the Inevitability of History} 4 (2022)","plainCitation":"Kenneth S. Abraham &amp; G. Edward White, Tort Law and the Construction of Change: Studies in the Inevitability of History 4 (2022)","noteIndex":114},"citationItems":[{"id":3237,"uris":["http://zotero.org/groups/2816150/items/L5H6R383"],"uri":["http://zotero.org/groups/2816150/items/L5H6R383"],"itemData":{"id":3237,"type":"book","abstract":"\"This book has evolved out of a series of jointly authored articles on torts that we published in law reviews between 2013 and 2021.\"--","ISBN":"978-0-8139-4714-3","language":"en","number-of-pages":"300","source":"Google Books","title":"Tort Law and the Construction of Change: Studies in the Inevitability of History","title-short":"Tort Law and the Construction of Change","author":[{"family":"Abraham","given":"Kenneth S."},{"family":"White","given":"G. Edward"}],"issued":{"date-parts":[["2022"]]}},"locator":"4","label":"page"}],"schema":"https://github.com/citation-style-language/schema/raw/master/csl-citation.json"} </w:instrText>
      </w:r>
      <w:r>
        <w:fldChar w:fldCharType="separate"/>
      </w:r>
      <w:r w:rsidR="00E5116B" w:rsidRPr="00E5116B">
        <w:rPr>
          <w:smallCaps/>
        </w:rPr>
        <w:t>Kenneth S. Abraham</w:t>
      </w:r>
      <w:r w:rsidR="00E5116B" w:rsidRPr="00E5116B">
        <w:t xml:space="preserve"> &amp; </w:t>
      </w:r>
      <w:r w:rsidR="00E5116B" w:rsidRPr="00E5116B">
        <w:rPr>
          <w:smallCaps/>
        </w:rPr>
        <w:t>G. Edward White</w:t>
      </w:r>
      <w:r w:rsidR="00E5116B" w:rsidRPr="00E5116B">
        <w:t xml:space="preserve">, </w:t>
      </w:r>
      <w:r w:rsidR="00E5116B" w:rsidRPr="00E5116B">
        <w:rPr>
          <w:smallCaps/>
        </w:rPr>
        <w:t>Tort Law and the Construction of Change: Studies in the Inevitability of History</w:t>
      </w:r>
      <w:r w:rsidR="00E5116B" w:rsidRPr="00E5116B">
        <w:t xml:space="preserve"> 4 (2022)</w:t>
      </w:r>
      <w:r>
        <w:fldChar w:fldCharType="end"/>
      </w:r>
      <w:r>
        <w:t xml:space="preserve"> (explaining that tort law</w:t>
      </w:r>
      <w:r w:rsidR="008463C3">
        <w:t xml:space="preserve"> is “a creature of its time”).</w:t>
      </w:r>
    </w:p>
  </w:footnote>
  <w:footnote w:id="119">
    <w:p w14:paraId="6F9E71D9" w14:textId="1F511D52" w:rsidR="004704AF" w:rsidRDefault="004704AF">
      <w:pPr>
        <w:pStyle w:val="FootnoteText"/>
      </w:pPr>
      <w:r w:rsidRPr="002A4234">
        <w:rPr>
          <w:rStyle w:val="FootnoteReference"/>
        </w:rPr>
        <w:footnoteRef/>
      </w:r>
      <w:r>
        <w:t xml:space="preserve"> </w:t>
      </w:r>
      <w:r>
        <w:fldChar w:fldCharType="begin"/>
      </w:r>
      <w:r w:rsidR="00E5116B">
        <w:instrText xml:space="preserve"> ADDIN ZOTERO_ITEM CSL_CITATION {"citationID":"1qQnE4nG","properties":{"formattedCitation":"Bellia &amp; Clark, {\\i{}supra} note 15, at 658","plainCitation":"Bellia &amp; Clark, supra note 15, at 658","noteIndex":115},"citationItems":[{"id":2924,"uris":["http://zotero.org/groups/2816150/items/LY5HZDGJ"],"uri":["http://zotero.org/groups/2816150/items/LY5HZDGJ"],"itemData":{"id":2924,"type":"article-journal","container-title":"William &amp; Mary Law Review","issue":"3","journalAbbreviation":"Wm. &amp; Mary L. Rev.","language":"eng","page":"655-724","source":"HeinOnline","title":"General Law in Federal Court","volume":"54","author":[{"family":"Bellia","given":"Anthony J. Jr."},{"family":"Clark","given":"Bradford R."}],"issued":{"date-parts":[["2013"]]}},"locator":"658","label":"page"}],"schema":"https://github.com/citation-style-language/schema/raw/master/csl-citation.json"} </w:instrText>
      </w:r>
      <w:r>
        <w:fldChar w:fldCharType="separate"/>
      </w:r>
      <w:r w:rsidR="00E5116B" w:rsidRPr="00E5116B">
        <w:t xml:space="preserve">Bellia &amp; Clark, </w:t>
      </w:r>
      <w:r w:rsidR="00E5116B" w:rsidRPr="00E5116B">
        <w:rPr>
          <w:i/>
          <w:iCs/>
        </w:rPr>
        <w:t>supra</w:t>
      </w:r>
      <w:r w:rsidR="00E5116B" w:rsidRPr="00E5116B">
        <w:t xml:space="preserve"> note </w:t>
      </w:r>
      <w:r w:rsidR="0028417C">
        <w:fldChar w:fldCharType="begin"/>
      </w:r>
      <w:r w:rsidR="0028417C">
        <w:instrText xml:space="preserve"> NOTEREF _Ref114090797 \h </w:instrText>
      </w:r>
      <w:r w:rsidR="0028417C">
        <w:fldChar w:fldCharType="separate"/>
      </w:r>
      <w:r w:rsidR="00405D69">
        <w:t>15</w:t>
      </w:r>
      <w:r w:rsidR="0028417C">
        <w:fldChar w:fldCharType="end"/>
      </w:r>
      <w:r w:rsidR="00E5116B" w:rsidRPr="00E5116B">
        <w:t>, at 658</w:t>
      </w:r>
      <w:r>
        <w:fldChar w:fldCharType="end"/>
      </w:r>
      <w:r w:rsidR="00A05C4F">
        <w:t>.</w:t>
      </w:r>
    </w:p>
  </w:footnote>
  <w:footnote w:id="120">
    <w:p w14:paraId="160E85D3" w14:textId="47DCAD54" w:rsidR="000C121D" w:rsidRDefault="000C121D">
      <w:pPr>
        <w:pStyle w:val="FootnoteText"/>
      </w:pPr>
      <w:r w:rsidRPr="002A4234">
        <w:rPr>
          <w:rStyle w:val="FootnoteReference"/>
        </w:rPr>
        <w:footnoteRef/>
      </w:r>
      <w:r>
        <w:t xml:space="preserve"> </w:t>
      </w:r>
      <w:r>
        <w:fldChar w:fldCharType="begin"/>
      </w:r>
      <w:r w:rsidR="00E5116B">
        <w:instrText xml:space="preserve"> ADDIN ZOTERO_ITEM CSL_CITATION {"citationID":"vkPBE1ny","properties":{"formattedCitation":"Green, {\\i{}supra} note 107, at 1128","plainCitation":"Green, supra note 107, at 1128","noteIndex":116},"citationItems":[{"id":2920,"uris":["http://zotero.org/groups/2816150/items/GT98M7NH"],"uri":["http://zotero.org/groups/2816150/items/GT98M7NH"],"itemData":{"id":2920,"type":"article-journal","container-title":"Minnesota Law Review","issue":"4","journalAbbreviation":"Minn. L. Rev.","language":"eng","page":"1111-1167","source":"HeinOnline","title":"&lt;i&gt;Erie&lt;/i&gt;'s Suppressed Premise","volume":"95","author":[{"family":"Green","given":"Michael Steven"}],"issued":{"date-parts":[["2011"]]}},"locator":"1128","label":"page"}],"schema":"https://github.com/citation-style-language/schema/raw/master/csl-citation.json"} </w:instrText>
      </w:r>
      <w:r>
        <w:fldChar w:fldCharType="separate"/>
      </w:r>
      <w:r w:rsidR="00E5116B" w:rsidRPr="00E5116B">
        <w:t xml:space="preserve">Green, </w:t>
      </w:r>
      <w:r w:rsidR="00E5116B" w:rsidRPr="00E5116B">
        <w:rPr>
          <w:i/>
          <w:iCs/>
        </w:rPr>
        <w:t>supra</w:t>
      </w:r>
      <w:r w:rsidR="00E5116B" w:rsidRPr="00E5116B">
        <w:t xml:space="preserve"> note </w:t>
      </w:r>
      <w:r w:rsidR="0028417C">
        <w:fldChar w:fldCharType="begin"/>
      </w:r>
      <w:r w:rsidR="0028417C">
        <w:instrText xml:space="preserve"> NOTEREF _Ref114090807 \h </w:instrText>
      </w:r>
      <w:r w:rsidR="0028417C">
        <w:fldChar w:fldCharType="separate"/>
      </w:r>
      <w:r w:rsidR="00405D69">
        <w:t>108</w:t>
      </w:r>
      <w:r w:rsidR="0028417C">
        <w:fldChar w:fldCharType="end"/>
      </w:r>
      <w:r w:rsidR="00E5116B" w:rsidRPr="00E5116B">
        <w:t>, at 1128</w:t>
      </w:r>
      <w:r>
        <w:fldChar w:fldCharType="end"/>
      </w:r>
      <w:r w:rsidR="00A05C4F">
        <w:t>.</w:t>
      </w:r>
    </w:p>
  </w:footnote>
  <w:footnote w:id="121">
    <w:p w14:paraId="342F7A2E" w14:textId="77F244A2" w:rsidR="005F3BCE" w:rsidRDefault="005F3BCE">
      <w:pPr>
        <w:pStyle w:val="FootnoteText"/>
      </w:pPr>
      <w:r w:rsidRPr="002A4234">
        <w:rPr>
          <w:rStyle w:val="FootnoteReference"/>
        </w:rPr>
        <w:footnoteRef/>
      </w:r>
      <w:r>
        <w:t xml:space="preserve"> </w:t>
      </w:r>
      <w:r>
        <w:fldChar w:fldCharType="begin"/>
      </w:r>
      <w:r w:rsidR="00E5116B">
        <w:instrText xml:space="preserve"> ADDIN ZOTERO_ITEM CSL_CITATION {"citationID":"m0EP0iKt","properties":{"formattedCitation":"Stephen E. Sachs, {\\i{}Finding Law}, 107 {\\scaps Calif. L. Rev.} 527, 531 (2019)","plainCitation":"Stephen E. Sachs, Finding Law, 107 Calif. L. Rev. 527, 531 (2019)","noteIndex":117},"citationItems":[{"id":2923,"uris":["http://zotero.org/groups/2816150/items/82MFY2ZE"],"uri":["http://zotero.org/groups/2816150/items/82MFY2ZE"],"itemData":{"id":2923,"type":"article-journal","container-title":"California Law Review","issue":"2","journalAbbreviation":"Calif. L. Rev.","language":"eng","page":"527-582","source":"HeinOnline","title":"Finding Law","volume":"107","author":[{"family":"Sachs","given":"Stephen E."}],"issued":{"date-parts":[["2019"]]}},"locator":"531","label":"page"}],"schema":"https://github.com/citation-style-language/schema/raw/master/csl-citation.json"} </w:instrText>
      </w:r>
      <w:r>
        <w:fldChar w:fldCharType="separate"/>
      </w:r>
      <w:r w:rsidR="00E5116B" w:rsidRPr="00E5116B">
        <w:t xml:space="preserve">Stephen E. Sachs, </w:t>
      </w:r>
      <w:r w:rsidR="00E5116B" w:rsidRPr="00E5116B">
        <w:rPr>
          <w:i/>
          <w:iCs/>
        </w:rPr>
        <w:t>Finding Law</w:t>
      </w:r>
      <w:r w:rsidR="00E5116B" w:rsidRPr="00E5116B">
        <w:t xml:space="preserve">, 107 </w:t>
      </w:r>
      <w:r w:rsidR="00E5116B" w:rsidRPr="00E5116B">
        <w:rPr>
          <w:smallCaps/>
        </w:rPr>
        <w:t>Calif. L. Rev.</w:t>
      </w:r>
      <w:r w:rsidR="00E5116B" w:rsidRPr="00E5116B">
        <w:t xml:space="preserve"> 527, 531 (2019)</w:t>
      </w:r>
      <w:r>
        <w:fldChar w:fldCharType="end"/>
      </w:r>
      <w:r w:rsidR="00A24B4E">
        <w:t>.</w:t>
      </w:r>
      <w:r w:rsidR="006534C5">
        <w:t xml:space="preserve"> </w:t>
      </w:r>
      <w:r w:rsidR="0085059E">
        <w:t xml:space="preserve">A simpler analogy is spelling. </w:t>
      </w:r>
      <w:r w:rsidR="00311974">
        <w:t xml:space="preserve">Although American English </w:t>
      </w:r>
      <w:r w:rsidR="00C50D45">
        <w:t>lacks a</w:t>
      </w:r>
      <w:r w:rsidR="002B0BBF">
        <w:t xml:space="preserve">n authority that determines the correct spelling of words, most words have one or two </w:t>
      </w:r>
      <w:r w:rsidR="00311974">
        <w:t>“correct” spelling</w:t>
      </w:r>
      <w:r w:rsidR="002B0BBF">
        <w:t>s.</w:t>
      </w:r>
      <w:r w:rsidR="00871EFC">
        <w:t xml:space="preserve"> </w:t>
      </w:r>
      <w:r w:rsidR="00396E5C">
        <w:fldChar w:fldCharType="begin"/>
      </w:r>
      <w:r w:rsidR="00E5116B">
        <w:instrText xml:space="preserve"> ADDIN ZOTERO_ITEM CSL_CITATION {"citationID":"uTx8tSRE","properties":{"formattedCitation":"{\\scaps Richard L. Venezky}, {\\scaps The American Way of Spelling: The Structure and Origins of American English Orthography} 6 (Guilford Press Jul. 1999)","plainCitation":"Richard L. Venezky, The American Way of Spelling: The Structure and Origins of American English Orthography 6 (Guilford Press Jul. 1999)","noteIndex":117},"citationItems":[{"id":"PS9sTERy/WulCOS6W","uris":["http://zotero.org/users/2896893/items/KMM9QY3J"],"uri":["http://zotero.org/users/2896893/items/KMM9QY3J"],"itemData":{"id":2029,"type":"book","multi":{"main":{},"_keys":{}},"abstract":"This book covers a broad range of topics, from the historical origins of the 26 letters to the regularities and irregularities of spelling in food and drink words, and ending with the rules of spelling.","ISBN":"978-1-57230-469-7","language":"en","number-of-pages":"308","publisher":"Guilford Press","source":"Google Books","title":"The American Way of Spelling: The Structure and Origins of American English Orthography","title-short":"The American Way of Spelling","author":[{"family":"Venezky","given":"Richard L.","multi":{"_key":{}}}],"issued":{"date-parts":[["1999",7,23]]},"seeAlso":[]},"locator":"6","label":"page"}],"schema":"https://github.com/citation-style-language/schema/raw/master/csl-citation.json"} </w:instrText>
      </w:r>
      <w:r w:rsidR="00396E5C">
        <w:fldChar w:fldCharType="separate"/>
      </w:r>
      <w:r w:rsidR="00E5116B" w:rsidRPr="00E5116B">
        <w:rPr>
          <w:smallCaps/>
        </w:rPr>
        <w:t>Richard L. Venezky</w:t>
      </w:r>
      <w:r w:rsidR="00E5116B" w:rsidRPr="00E5116B">
        <w:t xml:space="preserve">, </w:t>
      </w:r>
      <w:r w:rsidR="00E5116B" w:rsidRPr="00E5116B">
        <w:rPr>
          <w:smallCaps/>
        </w:rPr>
        <w:t>The American Way of Spelling: The Structure and Origins of American English Orthography</w:t>
      </w:r>
      <w:r w:rsidR="00E5116B" w:rsidRPr="00E5116B">
        <w:t xml:space="preserve"> 6 </w:t>
      </w:r>
      <w:r w:rsidR="00B149AE">
        <w:t>(</w:t>
      </w:r>
      <w:r w:rsidR="00E5116B" w:rsidRPr="00E5116B">
        <w:t>1999)</w:t>
      </w:r>
      <w:r w:rsidR="00396E5C">
        <w:fldChar w:fldCharType="end"/>
      </w:r>
      <w:r w:rsidR="00A05C4F">
        <w:t>.</w:t>
      </w:r>
    </w:p>
  </w:footnote>
  <w:footnote w:id="122">
    <w:p w14:paraId="1EF0B4A2" w14:textId="41C94549" w:rsidR="006C6042" w:rsidRDefault="006C6042">
      <w:pPr>
        <w:pStyle w:val="FootnoteText"/>
      </w:pPr>
      <w:r w:rsidRPr="002A4234">
        <w:rPr>
          <w:rStyle w:val="FootnoteReference"/>
        </w:rPr>
        <w:footnoteRef/>
      </w:r>
      <w:r>
        <w:t xml:space="preserve"> </w:t>
      </w:r>
      <w:r>
        <w:fldChar w:fldCharType="begin"/>
      </w:r>
      <w:r w:rsidR="00E5116B">
        <w:instrText xml:space="preserve"> ADDIN ZOTERO_ITEM CSL_CITATION {"citationID":"XNDmgLMe","properties":{"formattedCitation":"Sachs, {\\i{}supra} note 117, at 531","plainCitation":"Sachs, supra note 117, at 531","noteIndex":118},"citationItems":[{"id":2923,"uris":["http://zotero.org/groups/2816150/items/82MFY2ZE"],"uri":["http://zotero.org/groups/2816150/items/82MFY2ZE"],"itemData":{"id":2923,"type":"article-journal","container-title":"California Law Review","issue":"2","journalAbbreviation":"Calif. L. Rev.","language":"eng","page":"527-582","source":"HeinOnline","title":"Finding Law","volume":"107","author":[{"family":"Sachs","given":"Stephen E."}],"issued":{"date-parts":[["2019"]]}},"locator":"531","label":"page"}],"schema":"https://github.com/citation-style-language/schema/raw/master/csl-citation.json"} </w:instrText>
      </w:r>
      <w:r>
        <w:fldChar w:fldCharType="separate"/>
      </w:r>
      <w:r w:rsidR="00E5116B" w:rsidRPr="00E5116B">
        <w:t xml:space="preserve">Sachs, </w:t>
      </w:r>
      <w:r w:rsidR="00E5116B" w:rsidRPr="00E5116B">
        <w:rPr>
          <w:i/>
          <w:iCs/>
        </w:rPr>
        <w:t>supra</w:t>
      </w:r>
      <w:r w:rsidR="00E5116B" w:rsidRPr="00E5116B">
        <w:t xml:space="preserve"> note </w:t>
      </w:r>
      <w:r w:rsidR="0038290E">
        <w:fldChar w:fldCharType="begin"/>
      </w:r>
      <w:r w:rsidR="0038290E">
        <w:instrText xml:space="preserve"> NOTEREF _Ref114094024 \h </w:instrText>
      </w:r>
      <w:r w:rsidR="0038290E">
        <w:fldChar w:fldCharType="separate"/>
      </w:r>
      <w:r w:rsidR="00405D69">
        <w:t>118</w:t>
      </w:r>
      <w:r w:rsidR="0038290E">
        <w:fldChar w:fldCharType="end"/>
      </w:r>
      <w:r w:rsidR="00E5116B" w:rsidRPr="00E5116B">
        <w:t>, at 531</w:t>
      </w:r>
      <w:r>
        <w:fldChar w:fldCharType="end"/>
      </w:r>
      <w:r w:rsidR="00A05C4F">
        <w:t>.</w:t>
      </w:r>
    </w:p>
  </w:footnote>
  <w:footnote w:id="123">
    <w:p w14:paraId="30447E33" w14:textId="6173E579" w:rsidR="000C662A" w:rsidRPr="009F2B6D" w:rsidRDefault="000C662A">
      <w:pPr>
        <w:pStyle w:val="FootnoteText"/>
      </w:pPr>
      <w:r w:rsidRPr="002A4234">
        <w:rPr>
          <w:rStyle w:val="FootnoteReference"/>
        </w:rPr>
        <w:footnoteRef/>
      </w:r>
      <w:r>
        <w:t xml:space="preserve"> </w:t>
      </w:r>
      <w:r w:rsidR="009F2B6D">
        <w:rPr>
          <w:smallCaps/>
        </w:rPr>
        <w:t>U.S. Const.</w:t>
      </w:r>
      <w:r w:rsidR="009F2B6D">
        <w:t xml:space="preserve"> amend. IV.</w:t>
      </w:r>
    </w:p>
  </w:footnote>
  <w:footnote w:id="124">
    <w:p w14:paraId="55A0543E" w14:textId="4D149F13" w:rsidR="00A45560" w:rsidRDefault="00A45560" w:rsidP="00A45560">
      <w:pPr>
        <w:pStyle w:val="FootnoteText"/>
      </w:pPr>
      <w:r w:rsidRPr="002A4234">
        <w:rPr>
          <w:rStyle w:val="FootnoteReference"/>
        </w:rPr>
        <w:footnoteRef/>
      </w:r>
      <w:r>
        <w:t xml:space="preserve"> </w:t>
      </w:r>
      <w:r>
        <w:fldChar w:fldCharType="begin"/>
      </w:r>
      <w:r w:rsidR="00E5116B">
        <w:instrText xml:space="preserve"> ADDIN ZOTERO_ITEM CSL_CITATION {"citationID":"meFY4rrx","properties":{"formattedCitation":"Jeffrey Bellin, {\\i{}Fourth Amendment Textualism}, 118 {\\scaps Mich. L. Rev.} 233, 238 (2019)","plainCitation":"Jeffrey Bellin, Fourth Amendment Textualism, 118 Mich. L. Rev. 233, 238 (2019)","noteIndex":120},"citationItems":[{"id":3004,"uris":["http://zotero.org/groups/2816150/items/DW6PRCNB"],"uri":["http://zotero.org/groups/2816150/items/DW6PRCNB"],"itemData":{"id":3004,"type":"article-journal","container-title":"Michigan Law Review","journalAbbreviation":"Mich. L. Rev.","page":"233","title":"Fourth Amendment Textualism","volume":"118","author":[{"family":"Bellin","given":"Jeffrey"}],"issued":{"date-parts":[["2019"]]}},"locator":"238","label":"page"}],"schema":"https://github.com/citation-style-language/schema/raw/master/csl-citation.json"} </w:instrText>
      </w:r>
      <w:r>
        <w:fldChar w:fldCharType="separate"/>
      </w:r>
      <w:r w:rsidR="00E5116B" w:rsidRPr="00E5116B">
        <w:t xml:space="preserve">Jeffrey Bellin, </w:t>
      </w:r>
      <w:r w:rsidR="00E5116B" w:rsidRPr="00E5116B">
        <w:rPr>
          <w:i/>
          <w:iCs/>
        </w:rPr>
        <w:t>Fourth Amendment Textualism</w:t>
      </w:r>
      <w:r w:rsidR="00E5116B" w:rsidRPr="00E5116B">
        <w:t xml:space="preserve">, 118 </w:t>
      </w:r>
      <w:r w:rsidR="00E5116B" w:rsidRPr="00E5116B">
        <w:rPr>
          <w:smallCaps/>
        </w:rPr>
        <w:t>Mich. L. Rev.</w:t>
      </w:r>
      <w:r w:rsidR="00E5116B" w:rsidRPr="00E5116B">
        <w:t xml:space="preserve"> 233, 238 (2019)</w:t>
      </w:r>
      <w:r>
        <w:fldChar w:fldCharType="end"/>
      </w:r>
      <w:r w:rsidR="00A05C4F">
        <w:t>.</w:t>
      </w:r>
    </w:p>
  </w:footnote>
  <w:footnote w:id="125">
    <w:p w14:paraId="02CCA632" w14:textId="5E5CC135" w:rsidR="00A45560" w:rsidRPr="0092674A" w:rsidRDefault="00A45560" w:rsidP="00A45560">
      <w:pPr>
        <w:pStyle w:val="FootnoteText"/>
      </w:pPr>
      <w:r w:rsidRPr="002A4234">
        <w:rPr>
          <w:rStyle w:val="FootnoteReference"/>
        </w:rPr>
        <w:footnoteRef/>
      </w:r>
      <w:r>
        <w:t xml:space="preserve"> </w:t>
      </w:r>
      <w:r>
        <w:rPr>
          <w:i/>
          <w:iCs/>
        </w:rPr>
        <w:t>See</w:t>
      </w:r>
      <w:r>
        <w:t xml:space="preserve"> California v. Hodari D., </w:t>
      </w:r>
      <w:r w:rsidRPr="00C923DA">
        <w:t>499 U.S. 621 (1991)</w:t>
      </w:r>
      <w:r>
        <w:t xml:space="preserve">; Torres v. Madrid, </w:t>
      </w:r>
      <w:r w:rsidRPr="008B7ECE">
        <w:t>141 S.</w:t>
      </w:r>
      <w:r>
        <w:t xml:space="preserve"> </w:t>
      </w:r>
      <w:r w:rsidRPr="008B7ECE">
        <w:t>Ct. 989 (2021)</w:t>
      </w:r>
      <w:r>
        <w:t>.</w:t>
      </w:r>
    </w:p>
  </w:footnote>
  <w:footnote w:id="126">
    <w:p w14:paraId="00106D36" w14:textId="276CE4A6" w:rsidR="00A45560" w:rsidRPr="00981140" w:rsidRDefault="00A45560" w:rsidP="00A45560">
      <w:pPr>
        <w:pStyle w:val="FootnoteText"/>
        <w:rPr>
          <w:highlight w:val="yellow"/>
        </w:rPr>
      </w:pPr>
      <w:r w:rsidRPr="002A4234">
        <w:rPr>
          <w:rStyle w:val="FootnoteReference"/>
        </w:rPr>
        <w:footnoteRef/>
      </w:r>
      <w:r>
        <w:t xml:space="preserve"> “A ‘</w:t>
      </w:r>
      <w:r w:rsidRPr="00AF2335">
        <w:t>seizure</w:t>
      </w:r>
      <w:r>
        <w:t>’</w:t>
      </w:r>
      <w:r w:rsidRPr="00AF2335">
        <w:t xml:space="preserve"> of property occurs when there is some meaningful interference with an individual’s possessory interests in that property.” United States v. Jacobsen, 466 U.S. 109, </w:t>
      </w:r>
      <w:r>
        <w:t xml:space="preserve">113 </w:t>
      </w:r>
      <w:r w:rsidRPr="00AF2335">
        <w:t>(1984)</w:t>
      </w:r>
      <w:r>
        <w:t>. And a seizure of the person means either “</w:t>
      </w:r>
      <w:r w:rsidRPr="0083318C">
        <w:t>the mere grasping or application of physical force with lawful authority, whether or not it succeeded in subduing the arrestee</w:t>
      </w:r>
      <w:r>
        <w:t>” or “</w:t>
      </w:r>
      <w:r w:rsidRPr="00DE53EF">
        <w:rPr>
          <w:i/>
          <w:iCs/>
        </w:rPr>
        <w:t>submission</w:t>
      </w:r>
      <w:r w:rsidRPr="00DE53EF">
        <w:t xml:space="preserve"> to the assertion of authority.</w:t>
      </w:r>
      <w:r>
        <w:t xml:space="preserve">” </w:t>
      </w:r>
      <w:r>
        <w:rPr>
          <w:i/>
          <w:iCs/>
        </w:rPr>
        <w:t>Hodari D</w:t>
      </w:r>
      <w:r>
        <w:t>, 499 U.S. at 626.</w:t>
      </w:r>
    </w:p>
  </w:footnote>
  <w:footnote w:id="127">
    <w:p w14:paraId="65D9160F" w14:textId="1B2D5BA1" w:rsidR="002F6508" w:rsidRPr="007049AE" w:rsidRDefault="002F6508" w:rsidP="007049AE">
      <w:pPr>
        <w:pStyle w:val="FootnoteText"/>
      </w:pPr>
      <w:r w:rsidRPr="002A4234">
        <w:rPr>
          <w:rStyle w:val="FootnoteReference"/>
        </w:rPr>
        <w:footnoteRef/>
      </w:r>
      <w:r w:rsidRPr="00BD462C">
        <w:t xml:space="preserve"> </w:t>
      </w:r>
      <w:r w:rsidR="004C41A9" w:rsidRPr="00BD462C">
        <w:rPr>
          <w:i/>
          <w:iCs/>
        </w:rPr>
        <w:t>See</w:t>
      </w:r>
      <w:r w:rsidR="00487B1D">
        <w:rPr>
          <w:i/>
          <w:iCs/>
        </w:rPr>
        <w:t>, e.g.</w:t>
      </w:r>
      <w:r w:rsidR="00487B1D">
        <w:t>,</w:t>
      </w:r>
      <w:r w:rsidR="004C41A9" w:rsidRPr="00BD462C">
        <w:rPr>
          <w:i/>
          <w:iCs/>
        </w:rPr>
        <w:t xml:space="preserve"> </w:t>
      </w:r>
      <w:r w:rsidR="007049AE" w:rsidRPr="007049AE">
        <w:t>Byrd v. U</w:t>
      </w:r>
      <w:r w:rsidR="007049AE">
        <w:t xml:space="preserve">nited </w:t>
      </w:r>
      <w:r w:rsidR="007049AE" w:rsidRPr="007049AE">
        <w:t>S</w:t>
      </w:r>
      <w:r w:rsidR="007049AE">
        <w:t>tates</w:t>
      </w:r>
      <w:r w:rsidR="007049AE" w:rsidRPr="007049AE">
        <w:t>, 138 S. Ct. 1518, 1530 (2018)</w:t>
      </w:r>
      <w:r w:rsidR="007049AE">
        <w:t>.</w:t>
      </w:r>
    </w:p>
  </w:footnote>
  <w:footnote w:id="128">
    <w:p w14:paraId="6F430B01" w14:textId="73D67201" w:rsidR="00FB3038" w:rsidRDefault="00FB3038">
      <w:pPr>
        <w:pStyle w:val="FootnoteText"/>
      </w:pPr>
      <w:r w:rsidRPr="002A4234">
        <w:rPr>
          <w:rStyle w:val="FootnoteReference"/>
        </w:rPr>
        <w:footnoteRef/>
      </w:r>
      <w:r>
        <w:t xml:space="preserve"> </w:t>
      </w:r>
      <w:r w:rsidR="001E329E" w:rsidRPr="001E329E">
        <w:t>Minnesota v. Olson, 495 U.S. 91 (1990)</w:t>
      </w:r>
      <w:r w:rsidR="001E329E">
        <w:t>.</w:t>
      </w:r>
    </w:p>
  </w:footnote>
  <w:footnote w:id="129">
    <w:p w14:paraId="1DB4527C" w14:textId="18E72455" w:rsidR="00C52363" w:rsidRPr="00C52363" w:rsidRDefault="00C52363">
      <w:pPr>
        <w:pStyle w:val="FootnoteText"/>
      </w:pPr>
      <w:r w:rsidRPr="002A4234">
        <w:rPr>
          <w:rStyle w:val="FootnoteReference"/>
        </w:rPr>
        <w:footnoteRef/>
      </w:r>
      <w:r>
        <w:t xml:space="preserve"> </w:t>
      </w:r>
      <w:r>
        <w:rPr>
          <w:i/>
          <w:iCs/>
        </w:rPr>
        <w:t xml:space="preserve">See </w:t>
      </w:r>
      <w:r w:rsidRPr="007049AE">
        <w:rPr>
          <w:i/>
          <w:iCs/>
        </w:rPr>
        <w:t>Byrd</w:t>
      </w:r>
      <w:r>
        <w:t xml:space="preserve">, </w:t>
      </w:r>
      <w:r w:rsidR="000F032D" w:rsidRPr="000F032D">
        <w:t>138 S.</w:t>
      </w:r>
      <w:r w:rsidR="000F032D">
        <w:t xml:space="preserve"> </w:t>
      </w:r>
      <w:r w:rsidR="000F032D" w:rsidRPr="000F032D">
        <w:t xml:space="preserve">Ct. </w:t>
      </w:r>
      <w:r w:rsidR="00876897">
        <w:t xml:space="preserve">at </w:t>
      </w:r>
      <w:r w:rsidR="000F032D" w:rsidRPr="000F032D">
        <w:t>15</w:t>
      </w:r>
      <w:r w:rsidR="00876897">
        <w:t>27</w:t>
      </w:r>
      <w:r w:rsidR="000F032D">
        <w:t>.</w:t>
      </w:r>
    </w:p>
  </w:footnote>
  <w:footnote w:id="130">
    <w:p w14:paraId="79C4D68B" w14:textId="57206CDF" w:rsidR="00F507F5" w:rsidRPr="00760019" w:rsidRDefault="00F507F5" w:rsidP="00DF21A3">
      <w:pPr>
        <w:pStyle w:val="FootnoteText"/>
      </w:pPr>
      <w:r w:rsidRPr="002A4234">
        <w:rPr>
          <w:rStyle w:val="FootnoteReference"/>
        </w:rPr>
        <w:footnoteRef/>
      </w:r>
      <w:r>
        <w:t xml:space="preserve"> </w:t>
      </w:r>
      <w:r w:rsidR="00B366F8">
        <w:rPr>
          <w:i/>
          <w:iCs/>
        </w:rPr>
        <w:t>See, e.g</w:t>
      </w:r>
      <w:r w:rsidR="003B682A">
        <w:rPr>
          <w:i/>
          <w:iCs/>
        </w:rPr>
        <w:t>.</w:t>
      </w:r>
      <w:r w:rsidR="003B682A">
        <w:t>,</w:t>
      </w:r>
      <w:r w:rsidR="009C3FEF">
        <w:rPr>
          <w:i/>
        </w:rPr>
        <w:t xml:space="preserve"> </w:t>
      </w:r>
      <w:r w:rsidR="009C3FEF" w:rsidRPr="00DB4526">
        <w:rPr>
          <w:smallCaps/>
        </w:rPr>
        <w:t xml:space="preserve">Dan B. Dobbs, Paul T. Hayden </w:t>
      </w:r>
      <w:r w:rsidR="009E4F5F">
        <w:rPr>
          <w:smallCaps/>
        </w:rPr>
        <w:t>&amp;</w:t>
      </w:r>
      <w:r w:rsidR="009C3FEF" w:rsidRPr="00DB4526">
        <w:rPr>
          <w:smallCaps/>
        </w:rPr>
        <w:t xml:space="preserve"> Ellen M.</w:t>
      </w:r>
      <w:bookmarkStart w:id="34" w:name="_Hlk96116602"/>
      <w:r w:rsidR="009C3FEF" w:rsidRPr="00DB4526">
        <w:rPr>
          <w:smallCaps/>
        </w:rPr>
        <w:t xml:space="preserve"> Bublick, The Law of Torts</w:t>
      </w:r>
      <w:bookmarkEnd w:id="34"/>
      <w:r w:rsidR="009C3FEF">
        <w:t xml:space="preserve"> § 274 (2d ed.</w:t>
      </w:r>
      <w:r w:rsidR="00F80143">
        <w:t xml:space="preserve"> 2011</w:t>
      </w:r>
      <w:r w:rsidR="009C3FEF">
        <w:t>) (“The traditiona</w:t>
      </w:r>
      <w:r w:rsidR="00876897">
        <w:t xml:space="preserve">l </w:t>
      </w:r>
      <w:r w:rsidR="009C3FEF">
        <w:t>definition of licensees has the effect of saying that even social guests are licensees, not invitees, because, although the owner</w:t>
      </w:r>
      <w:r w:rsidR="000E21D9">
        <w:t>’</w:t>
      </w:r>
      <w:r w:rsidR="009C3FEF">
        <w:t>s invitation is a consent to their presence, they are not potentially engaged in direct economic transactions with the owner.”)</w:t>
      </w:r>
      <w:r w:rsidR="00DF21A3">
        <w:t xml:space="preserve">; </w:t>
      </w:r>
      <w:r w:rsidR="00AC1D7C">
        <w:fldChar w:fldCharType="begin"/>
      </w:r>
      <w:r w:rsidR="00E5116B">
        <w:instrText xml:space="preserve"> ADDIN ZOTERO_ITEM CSL_CITATION {"citationID":"wQyX7EYm","properties":{"formattedCitation":"{\\scaps Restatement (Second) of Torts}, {\\i{}supra} note 16, \\uc0\\u167{} 330","plainCitation":"Restatement (Second) of Torts, supra note 16, § 330","noteIndex":126},"citationItems":[{"id":3235,"uris":["http://zotero.org/groups/2816150/items/LZ9KP39U"],"uri":["http://zotero.org/groups/2816150/items/LZ9KP39U"],"itemData":{"id":3235,"type":"book","publisher":"Am. L. Inst.","title":"Restatement (Second) of Torts","issued":{"date-parts":[["1965"]]}},"locator":"330","label":"section"}],"schema":"https://github.com/citation-style-language/schema/raw/master/csl-citation.json"} </w:instrText>
      </w:r>
      <w:r w:rsidR="00AC1D7C">
        <w:fldChar w:fldCharType="separate"/>
      </w:r>
      <w:r w:rsidR="00E5116B" w:rsidRPr="00E5116B">
        <w:rPr>
          <w:smallCaps/>
        </w:rPr>
        <w:t>Restatement (Second) of Torts</w:t>
      </w:r>
      <w:r w:rsidR="00E5116B" w:rsidRPr="00E5116B">
        <w:t xml:space="preserve"> § 330</w:t>
      </w:r>
      <w:r w:rsidR="00AC1D7C">
        <w:fldChar w:fldCharType="end"/>
      </w:r>
      <w:r w:rsidR="00A05C4F">
        <w:t xml:space="preserve"> </w:t>
      </w:r>
      <w:r w:rsidR="00DF21A3">
        <w:t>(“A licensee is a person who is privileged to enter or remain on land only by virtue of the possessor’s consent.”)</w:t>
      </w:r>
      <w:r w:rsidR="00760019">
        <w:t xml:space="preserve">; </w:t>
      </w:r>
      <w:r w:rsidR="00760019">
        <w:rPr>
          <w:i/>
          <w:iCs/>
        </w:rPr>
        <w:t xml:space="preserve">see also id. </w:t>
      </w:r>
      <w:r w:rsidR="00760019">
        <w:t xml:space="preserve">cmt. </w:t>
      </w:r>
      <w:r w:rsidR="00C77A18">
        <w:t>h</w:t>
      </w:r>
      <w:r w:rsidR="000F683A">
        <w:t>.3.</w:t>
      </w:r>
      <w:r w:rsidR="00C81E98">
        <w:t xml:space="preserve"> (“</w:t>
      </w:r>
      <w:r w:rsidR="00C81E98" w:rsidRPr="00C81E98">
        <w:t xml:space="preserve">Some confusion has resulted from the fact that, although a social guest normally is invited, and even urged to come, he is not an </w:t>
      </w:r>
      <w:r w:rsidR="00525B56">
        <w:t>‘</w:t>
      </w:r>
      <w:r w:rsidR="00C81E98" w:rsidRPr="00C81E98">
        <w:t>invitee,</w:t>
      </w:r>
      <w:r w:rsidR="00525B56">
        <w:t>’</w:t>
      </w:r>
      <w:r w:rsidR="00C81E98" w:rsidRPr="00C81E98">
        <w:t xml:space="preserve"> within the legal meaning of that term</w:t>
      </w:r>
      <w:r w:rsidR="00C45BC1">
        <w:t xml:space="preserve"> . . . .</w:t>
      </w:r>
      <w:r w:rsidR="0031038B">
        <w:t>”).</w:t>
      </w:r>
    </w:p>
  </w:footnote>
  <w:footnote w:id="131">
    <w:p w14:paraId="12C73689" w14:textId="7C901B87" w:rsidR="00293ADE" w:rsidRPr="00293ADE" w:rsidRDefault="00293ADE">
      <w:pPr>
        <w:pStyle w:val="FootnoteText"/>
      </w:pPr>
      <w:r w:rsidRPr="002A4234">
        <w:rPr>
          <w:rStyle w:val="FootnoteReference"/>
        </w:rPr>
        <w:footnoteRef/>
      </w:r>
      <w:r>
        <w:t xml:space="preserve"> </w:t>
      </w:r>
      <w:r>
        <w:rPr>
          <w:i/>
          <w:iCs/>
        </w:rPr>
        <w:t>See infra</w:t>
      </w:r>
      <w:r>
        <w:t xml:space="preserve"> </w:t>
      </w:r>
      <w:r w:rsidR="008039DB">
        <w:t xml:space="preserve">Section </w:t>
      </w:r>
      <w:r>
        <w:t>III.B.</w:t>
      </w:r>
    </w:p>
  </w:footnote>
  <w:footnote w:id="132">
    <w:p w14:paraId="51DEA509" w14:textId="70F690E9" w:rsidR="00851312" w:rsidRDefault="00851312">
      <w:pPr>
        <w:pStyle w:val="FootnoteText"/>
      </w:pPr>
      <w:r w:rsidRPr="002A4234">
        <w:rPr>
          <w:rStyle w:val="FootnoteReference"/>
        </w:rPr>
        <w:footnoteRef/>
      </w:r>
      <w:r>
        <w:t xml:space="preserve"> </w:t>
      </w:r>
      <w:r w:rsidR="004C3CF6">
        <w:t xml:space="preserve">The area close to a home has historically received greater protection from </w:t>
      </w:r>
      <w:r w:rsidR="00665F53">
        <w:t>intrusion</w:t>
      </w:r>
      <w:r w:rsidR="004C3CF6">
        <w:t xml:space="preserve">. For example, </w:t>
      </w:r>
      <w:r w:rsidR="008A25FE">
        <w:t>breaking into outbuildings that are close to a house m</w:t>
      </w:r>
      <w:r w:rsidR="00583016">
        <w:t>ight</w:t>
      </w:r>
      <w:r w:rsidR="008A25FE">
        <w:t xml:space="preserve"> be burglary</w:t>
      </w:r>
      <w:r w:rsidR="003B3D3B">
        <w:t>,</w:t>
      </w:r>
      <w:r w:rsidR="008A25FE">
        <w:t xml:space="preserve"> whereas breaking into distant outbuildings m</w:t>
      </w:r>
      <w:r w:rsidR="00583016">
        <w:t>ight</w:t>
      </w:r>
      <w:r w:rsidR="008A25FE">
        <w:t xml:space="preserve"> not be.</w:t>
      </w:r>
      <w:r w:rsidR="00A279A8">
        <w:t xml:space="preserve"> </w:t>
      </w:r>
      <w:r w:rsidR="003B3D3B">
        <w:rPr>
          <w:i/>
          <w:iCs/>
        </w:rPr>
        <w:t>See</w:t>
      </w:r>
      <w:r w:rsidR="00A279A8">
        <w:t xml:space="preserve"> </w:t>
      </w:r>
      <w:r w:rsidR="00894F41" w:rsidRPr="00894F41">
        <w:t>State v. Twitty, 2 N.C. 102, 103 (1794)</w:t>
      </w:r>
      <w:r w:rsidR="002C1FA0">
        <w:t xml:space="preserve">; </w:t>
      </w:r>
      <w:r w:rsidR="007179F0">
        <w:t>4</w:t>
      </w:r>
      <w:r w:rsidR="000F66E5">
        <w:t xml:space="preserve"> W</w:t>
      </w:r>
      <w:r w:rsidR="00B963BC">
        <w:rPr>
          <w:smallCaps/>
        </w:rPr>
        <w:t>illiam Blackston</w:t>
      </w:r>
      <w:r w:rsidR="002E5593">
        <w:rPr>
          <w:smallCaps/>
        </w:rPr>
        <w:t>e,</w:t>
      </w:r>
      <w:r w:rsidR="00B963BC">
        <w:rPr>
          <w:smallCaps/>
        </w:rPr>
        <w:t xml:space="preserve"> Commentaries *225</w:t>
      </w:r>
      <w:r w:rsidR="00EC6991">
        <w:t>; s</w:t>
      </w:r>
      <w:r w:rsidR="00A279A8">
        <w:rPr>
          <w:i/>
          <w:iCs/>
        </w:rPr>
        <w:t xml:space="preserve">ee also </w:t>
      </w:r>
      <w:r w:rsidR="002A33C7" w:rsidRPr="00C32319">
        <w:t>Commonwealth v. Barney, 64 Mass. 4</w:t>
      </w:r>
      <w:r w:rsidR="00996ADC">
        <w:t>78</w:t>
      </w:r>
      <w:r w:rsidR="002A33C7" w:rsidRPr="00C32319">
        <w:t>, 4</w:t>
      </w:r>
      <w:r w:rsidR="00472F9E">
        <w:t>79-80</w:t>
      </w:r>
      <w:r w:rsidR="002A33C7" w:rsidRPr="00C32319">
        <w:t xml:space="preserve"> (1852)</w:t>
      </w:r>
      <w:r w:rsidR="00A05C4F">
        <w:t xml:space="preserve"> </w:t>
      </w:r>
      <w:r w:rsidR="002A33C7" w:rsidRPr="00C32319">
        <w:t>(</w:t>
      </w:r>
      <w:r w:rsidR="002545E3">
        <w:t xml:space="preserve">determining </w:t>
      </w:r>
      <w:r w:rsidR="002A33C7" w:rsidRPr="00C32319">
        <w:t>degree of punishment in an ar</w:t>
      </w:r>
      <w:r w:rsidR="003B3D3B">
        <w:t>s</w:t>
      </w:r>
      <w:r w:rsidR="002A33C7" w:rsidRPr="00C32319">
        <w:t xml:space="preserve">on case </w:t>
      </w:r>
      <w:r w:rsidR="002545E3">
        <w:t xml:space="preserve">based </w:t>
      </w:r>
      <w:r w:rsidR="002A33C7" w:rsidRPr="00C32319">
        <w:t>on whether a barn was within the curtilage)</w:t>
      </w:r>
      <w:r w:rsidR="001867CD">
        <w:t>.</w:t>
      </w:r>
      <w:r w:rsidR="008A25FE">
        <w:t xml:space="preserve"> </w:t>
      </w:r>
      <w:r w:rsidR="00EC6991">
        <w:t xml:space="preserve">Similarly, customary rights of the public to access private property preserve a protective buffer around homes which the public may not enter. </w:t>
      </w:r>
      <w:r w:rsidR="003B3D3B">
        <w:rPr>
          <w:i/>
          <w:iCs/>
        </w:rPr>
        <w:t>See, e.g.</w:t>
      </w:r>
      <w:r w:rsidR="003B3D3B">
        <w:t xml:space="preserve">, </w:t>
      </w:r>
      <w:r w:rsidR="004C50F5" w:rsidRPr="00C9774A">
        <w:t>McConico v. Singleton, 9 S.C.L. (2 Mill) 244 (1818)</w:t>
      </w:r>
      <w:r w:rsidR="004C50F5">
        <w:t xml:space="preserve"> (recognizing a customary right to hunt on unenclosed land at a distance from dwellings)</w:t>
      </w:r>
      <w:r w:rsidR="009E1416">
        <w:t>.</w:t>
      </w:r>
      <w:r w:rsidR="00C14BE5">
        <w:t xml:space="preserve"> Andrew Ferguson has persuasively argued that the area immediately surrounding a home </w:t>
      </w:r>
      <w:r w:rsidR="000827EB">
        <w:t>should also receive protection from technology that allows law enforcement to intrude upon that space without</w:t>
      </w:r>
      <w:r w:rsidR="00771CA2">
        <w:t xml:space="preserve"> physically entering it.</w:t>
      </w:r>
      <w:r w:rsidR="000827EB">
        <w:t xml:space="preserve"> </w:t>
      </w:r>
      <w:r w:rsidR="00C31216">
        <w:rPr>
          <w:i/>
          <w:iCs/>
        </w:rPr>
        <w:t xml:space="preserve">See </w:t>
      </w:r>
      <w:r w:rsidR="007F63D8">
        <w:fldChar w:fldCharType="begin"/>
      </w:r>
      <w:r w:rsidR="00E5116B">
        <w:instrText xml:space="preserve"> ADDIN ZOTERO_ITEM CSL_CITATION {"citationID":"iTkQradg","properties":{"formattedCitation":"Andrew Guthrie Ferguson, {\\i{}Personal Curtilage: Fourth Amendment Security in Public}, 55 {\\scaps Wm. &amp; Mary L. Rev.} 1283 (2014)","plainCitation":"Andrew Guthrie Ferguson, Personal Curtilage: Fourth Amendment Security in Public, 55 Wm. &amp; Mary L. Rev. 1283 (2014)","noteIndex":128},"citationItems":[{"id":2998,"uris":["http://zotero.org/groups/2816150/items/692RY6VP"],"uri":["http://zotero.org/groups/2816150/items/692RY6VP"],"itemData":{"id":2998,"type":"article-journal","container-title":"William &amp; Mary Law Review","issue":"4","journalAbbreviation":"Wm. &amp; Mary L. Rev.","language":"eng","page":"1283-1364","source":"HeinOnline","title":"Personal Curtilage: Fourth Amendment Security in Public","title-short":"Personal Curtilage","volume":"55","author":[{"family":"Ferguson","given":"Andrew Guthrie"}],"issued":{"date-parts":[["2014"]]}}}],"schema":"https://github.com/citation-style-language/schema/raw/master/csl-citation.json"} </w:instrText>
      </w:r>
      <w:r w:rsidR="007F63D8">
        <w:fldChar w:fldCharType="separate"/>
      </w:r>
      <w:r w:rsidR="00E5116B" w:rsidRPr="00E5116B">
        <w:t xml:space="preserve">Andrew Guthrie Ferguson, </w:t>
      </w:r>
      <w:r w:rsidR="00E5116B" w:rsidRPr="00E5116B">
        <w:rPr>
          <w:i/>
          <w:iCs/>
        </w:rPr>
        <w:t>Personal Curtilage: Fourth Amendment Security in Public</w:t>
      </w:r>
      <w:r w:rsidR="00E5116B" w:rsidRPr="00E5116B">
        <w:t xml:space="preserve">, 55 </w:t>
      </w:r>
      <w:r w:rsidR="00E5116B" w:rsidRPr="00E5116B">
        <w:rPr>
          <w:smallCaps/>
        </w:rPr>
        <w:t>Wm. &amp; Mary L. Rev.</w:t>
      </w:r>
      <w:r w:rsidR="00E5116B" w:rsidRPr="00E5116B">
        <w:t xml:space="preserve"> 1283 (2014)</w:t>
      </w:r>
      <w:r w:rsidR="007F63D8">
        <w:fldChar w:fldCharType="end"/>
      </w:r>
      <w:r w:rsidR="00AB2FAC">
        <w:t xml:space="preserve"> [hereinafter Ferguson, </w:t>
      </w:r>
      <w:r w:rsidR="00AB2FAC">
        <w:rPr>
          <w:i/>
          <w:iCs/>
        </w:rPr>
        <w:t>Personal Curtilage</w:t>
      </w:r>
      <w:r w:rsidR="00AB2FAC">
        <w:t>]</w:t>
      </w:r>
      <w:r w:rsidR="00A05C4F">
        <w:t>.</w:t>
      </w:r>
      <w:r w:rsidR="004A51E3">
        <w:t xml:space="preserve"> He has also argued that modern technology necessitates </w:t>
      </w:r>
      <w:r w:rsidR="00961143">
        <w:t>recogni</w:t>
      </w:r>
      <w:r w:rsidR="004B7A6C">
        <w:t>tion of</w:t>
      </w:r>
      <w:r w:rsidR="00961143">
        <w:t xml:space="preserve"> the concept of</w:t>
      </w:r>
      <w:r w:rsidR="00AA5804">
        <w:t xml:space="preserve"> “digital curtilage</w:t>
      </w:r>
      <w:r w:rsidR="00961143">
        <w:t>,</w:t>
      </w:r>
      <w:r w:rsidR="00AA5804">
        <w:t>” mean</w:t>
      </w:r>
      <w:r w:rsidR="00961143">
        <w:t>ing</w:t>
      </w:r>
      <w:r w:rsidR="00AA5804">
        <w:t xml:space="preserve"> </w:t>
      </w:r>
      <w:r w:rsidR="000209D3">
        <w:t>private data that is connected to the home that the internet now allows to escape the home.</w:t>
      </w:r>
      <w:r w:rsidR="00A5659B">
        <w:t xml:space="preserve"> </w:t>
      </w:r>
      <w:r w:rsidR="00A5659B">
        <w:rPr>
          <w:i/>
          <w:iCs/>
        </w:rPr>
        <w:t>See</w:t>
      </w:r>
      <w:r w:rsidR="00A5659B">
        <w:t xml:space="preserve"> </w:t>
      </w:r>
      <w:r w:rsidR="00A5659B">
        <w:fldChar w:fldCharType="begin"/>
      </w:r>
      <w:r w:rsidR="00E5116B">
        <w:instrText xml:space="preserve"> ADDIN ZOTERO_ITEM CSL_CITATION {"citationID":"RsGjua75","properties":{"formattedCitation":"Andrew Guthrie Ferguson, {\\i{}The Internet of Things and the Fourth Amendment of Effects}, 104 {\\scaps Calif. L. Rev.} 805, 865\\uc0\\u8211{}66 (2016)","plainCitation":"Andrew Guthrie Ferguson, The Internet of Things and the Fourth Amendment of Effects, 104 Calif. L. Rev. 805, 865–66 (2016)","noteIndex":128},"citationItems":[{"id":3207,"uris":["http://zotero.org/groups/2816150/items/BZW4XW8D"],"uri":["http://zotero.org/groups/2816150/items/BZW4XW8D"],"itemData":{"id":3207,"type":"article-journal","container-title":"California Law Review","issue":"4","journalAbbreviation":"Calif. L. Rev.","language":"eng","page":"805-880","source":"HeinOnline","title":"The Internet of Things and the Fourth Amendment of Effects","volume":"104","author":[{"family":"Ferguson","given":"Andrew Guthrie"}],"issued":{"date-parts":[["2016"]]}},"locator":"865-66","label":"page"}],"schema":"https://github.com/citation-style-language/schema/raw/master/csl-citation.json"} </w:instrText>
      </w:r>
      <w:r w:rsidR="00A5659B">
        <w:fldChar w:fldCharType="separate"/>
      </w:r>
      <w:r w:rsidR="00E5116B" w:rsidRPr="00E5116B">
        <w:t xml:space="preserve">Andrew Guthrie Ferguson, </w:t>
      </w:r>
      <w:r w:rsidR="00E5116B" w:rsidRPr="00E5116B">
        <w:rPr>
          <w:i/>
          <w:iCs/>
        </w:rPr>
        <w:t>The Internet of Things and the Fourth Amendment of Effects</w:t>
      </w:r>
      <w:r w:rsidR="00E5116B" w:rsidRPr="00E5116B">
        <w:t xml:space="preserve">, 104 </w:t>
      </w:r>
      <w:r w:rsidR="00E5116B" w:rsidRPr="00E5116B">
        <w:rPr>
          <w:smallCaps/>
        </w:rPr>
        <w:t>Calif. L. Rev.</w:t>
      </w:r>
      <w:r w:rsidR="00E5116B" w:rsidRPr="00E5116B">
        <w:t xml:space="preserve"> 805, 865</w:t>
      </w:r>
      <w:r w:rsidR="009F38FC">
        <w:t>-</w:t>
      </w:r>
      <w:r w:rsidR="00E5116B" w:rsidRPr="00E5116B">
        <w:t>66 (2016)</w:t>
      </w:r>
      <w:r w:rsidR="00A5659B">
        <w:fldChar w:fldCharType="end"/>
      </w:r>
      <w:r w:rsidR="00A05C4F">
        <w:t>.</w:t>
      </w:r>
      <w:r w:rsidR="00094088">
        <w:t xml:space="preserve"> A </w:t>
      </w:r>
      <w:r w:rsidR="009841CB">
        <w:t>general-</w:t>
      </w:r>
      <w:r w:rsidR="00094088">
        <w:t xml:space="preserve">law approach </w:t>
      </w:r>
      <w:r w:rsidR="009841CB">
        <w:t>would give courts the flexibility to apply</w:t>
      </w:r>
      <w:r w:rsidR="0048686E">
        <w:t xml:space="preserve"> concepts like curtilage</w:t>
      </w:r>
      <w:r w:rsidR="009841CB">
        <w:t xml:space="preserve"> to modern </w:t>
      </w:r>
      <w:r w:rsidR="00C37F07">
        <w:t>conditions</w:t>
      </w:r>
      <w:r w:rsidR="009841CB">
        <w:t xml:space="preserve">, though </w:t>
      </w:r>
      <w:r w:rsidR="00574490">
        <w:t xml:space="preserve">it </w:t>
      </w:r>
      <w:r w:rsidR="009841CB">
        <w:t>would not necessarily require courts to do so</w:t>
      </w:r>
      <w:r w:rsidR="0048686E">
        <w:t>.</w:t>
      </w:r>
    </w:p>
  </w:footnote>
  <w:footnote w:id="133">
    <w:p w14:paraId="5A2A8D77" w14:textId="2D4CF61C" w:rsidR="00E77594" w:rsidRPr="000D74AE" w:rsidRDefault="00E77594">
      <w:pPr>
        <w:pStyle w:val="FootnoteText"/>
        <w:rPr>
          <w:i/>
        </w:rPr>
      </w:pPr>
      <w:r w:rsidRPr="002A4234">
        <w:rPr>
          <w:rStyle w:val="FootnoteReference"/>
        </w:rPr>
        <w:footnoteRef/>
      </w:r>
      <w:r>
        <w:t xml:space="preserve"> </w:t>
      </w:r>
      <w:r w:rsidR="00F31F75">
        <w:rPr>
          <w:i/>
          <w:iCs/>
        </w:rPr>
        <w:t xml:space="preserve">See </w:t>
      </w:r>
      <w:r w:rsidR="000D74AE" w:rsidRPr="000D74AE">
        <w:t>Oliver v. United States, 466 U.S. 170, 180 (1984)</w:t>
      </w:r>
      <w:r w:rsidR="000D74AE">
        <w:t xml:space="preserve"> (explaining how the concept of “curtilage” comes from the common law).</w:t>
      </w:r>
      <w:r w:rsidR="00FE4234">
        <w:t xml:space="preserve"> Chad Flanders convincingly argues that </w:t>
      </w:r>
      <w:r w:rsidR="001D45B3">
        <w:t xml:space="preserve">modern Fourth Amendment doctrine </w:t>
      </w:r>
      <w:r w:rsidR="005E1153">
        <w:t>misuses the wor</w:t>
      </w:r>
      <w:r w:rsidR="00CA50C5">
        <w:t>d</w:t>
      </w:r>
      <w:r w:rsidR="005E1153">
        <w:t xml:space="preserve"> </w:t>
      </w:r>
      <w:r w:rsidR="00CA50C5">
        <w:t>“</w:t>
      </w:r>
      <w:r w:rsidR="005E1153">
        <w:t>curtilage</w:t>
      </w:r>
      <w:r w:rsidR="00CA50C5">
        <w:t>”</w:t>
      </w:r>
      <w:r w:rsidR="005E1153">
        <w:t xml:space="preserve"> to include the land surrounding a home while its traditional definition included only outbuildings that were to be considered part of the home itself. </w:t>
      </w:r>
      <w:r w:rsidR="00434196">
        <w:rPr>
          <w:i/>
          <w:iCs/>
        </w:rPr>
        <w:t xml:space="preserve">See </w:t>
      </w:r>
      <w:r w:rsidR="00802D34">
        <w:fldChar w:fldCharType="begin"/>
      </w:r>
      <w:r w:rsidR="00E5116B">
        <w:instrText xml:space="preserve"> ADDIN ZOTERO_ITEM CSL_CITATION {"citationID":"ZMncm6cA","properties":{"formattedCitation":"Chad Flanders, {\\i{}{\\i0{}Collins} and the Invention of \\uc0\\u8220{}Curtilage,\\uc0\\u8221{}} 22 {\\scaps U. Pa. J. Const. L.} 755 (2020)","plainCitation":"Chad Flanders, Collins and the Invention of “Curtilage,” 22 U. Pa. J. Const. L. 755 (2020)","noteIndex":129},"citationItems":[{"id":2936,"uris":["http://zotero.org/groups/2816150/items/YPG4ZS98"],"uri":["http://zotero.org/groups/2816150/items/YPG4ZS98"],"itemData":{"id":2936,"type":"article-journal","container-title":"University of Pennsylvania Journal of Constitutional Law","issue":"3","journalAbbreviation":"U. Pa. J. Const. L.","language":"eng","page":"755-792","source":"HeinOnline","title":"&lt;i&gt;Collins&lt;/i&gt; and the Invention of 'Curtilage'","volume":"22","author":[{"family":"Flanders","given":"Chad"}],"issued":{"date-parts":[["2020"]]}}}],"schema":"https://github.com/citation-style-language/schema/raw/master/csl-citation.json"} </w:instrText>
      </w:r>
      <w:r w:rsidR="00802D34">
        <w:fldChar w:fldCharType="separate"/>
      </w:r>
      <w:r w:rsidR="00E5116B" w:rsidRPr="00E5116B">
        <w:t>Chad Flanders, Collins</w:t>
      </w:r>
      <w:r w:rsidR="00E5116B" w:rsidRPr="00E5116B">
        <w:rPr>
          <w:i/>
          <w:iCs/>
        </w:rPr>
        <w:t xml:space="preserve"> and the Invention of “Curtilage,”</w:t>
      </w:r>
      <w:r w:rsidR="00E5116B" w:rsidRPr="00E5116B">
        <w:t xml:space="preserve"> 22 </w:t>
      </w:r>
      <w:r w:rsidR="00E5116B" w:rsidRPr="00E5116B">
        <w:rPr>
          <w:smallCaps/>
        </w:rPr>
        <w:t>U. Pa. J. Const. L.</w:t>
      </w:r>
      <w:r w:rsidR="00E5116B" w:rsidRPr="00E5116B">
        <w:t xml:space="preserve"> 755 (2020)</w:t>
      </w:r>
      <w:r w:rsidR="00802D34">
        <w:fldChar w:fldCharType="end"/>
      </w:r>
      <w:r w:rsidR="00A05C4F">
        <w:t>.</w:t>
      </w:r>
      <w:r w:rsidR="003E55F0">
        <w:t xml:space="preserve"> </w:t>
      </w:r>
      <w:r w:rsidR="00203841">
        <w:t>But e</w:t>
      </w:r>
      <w:r w:rsidR="005E1153">
        <w:t xml:space="preserve">ven if current doctrine misuses the </w:t>
      </w:r>
      <w:r w:rsidR="005E1153" w:rsidRPr="0032422E">
        <w:rPr>
          <w:iCs/>
        </w:rPr>
        <w:t>term</w:t>
      </w:r>
      <w:r w:rsidR="005E1153" w:rsidRPr="00AB2FAC">
        <w:rPr>
          <w:iCs/>
        </w:rPr>
        <w:t xml:space="preserve"> </w:t>
      </w:r>
      <w:r w:rsidR="00AB2FAC">
        <w:t>“</w:t>
      </w:r>
      <w:r w:rsidR="005E1153">
        <w:t>curtilage,</w:t>
      </w:r>
      <w:r w:rsidR="00AB2FAC">
        <w:t>”</w:t>
      </w:r>
      <w:r w:rsidR="005E1153">
        <w:t xml:space="preserve"> </w:t>
      </w:r>
      <w:r w:rsidR="00203841">
        <w:t xml:space="preserve">there is nonetheless </w:t>
      </w:r>
      <w:r w:rsidR="001A3488">
        <w:t>strong historical support for</w:t>
      </w:r>
      <w:r w:rsidR="00CC3EDB">
        <w:t xml:space="preserve"> the special protections </w:t>
      </w:r>
      <w:r w:rsidR="000711FD">
        <w:t>long accorded to the land immediately around a home.</w:t>
      </w:r>
      <w:r w:rsidR="00D267E7">
        <w:t xml:space="preserve"> </w:t>
      </w:r>
      <w:r w:rsidR="00F04DD7">
        <w:rPr>
          <w:i/>
          <w:iCs/>
        </w:rPr>
        <w:t xml:space="preserve">See </w:t>
      </w:r>
      <w:r w:rsidR="00F04DD7">
        <w:rPr>
          <w:i/>
          <w:iCs/>
        </w:rPr>
        <w:fldChar w:fldCharType="begin"/>
      </w:r>
      <w:r w:rsidR="00E5116B">
        <w:rPr>
          <w:i/>
          <w:iCs/>
        </w:rPr>
        <w:instrText xml:space="preserve"> ADDIN ZOTERO_ITEM CSL_CITATION {"citationID":"LPoHrWTS","properties":{"formattedCitation":"Ferguson, {\\i{}Personal Curtilage}, {\\i{}supra} note 128, at 1314\\uc0\\u8211{}16","plainCitation":"Ferguson, Personal Curtilage, supra note 128, at 1314–16","noteIndex":129},"citationItems":[{"id":2998,"uris":["http://zotero.org/groups/2816150/items/692RY6VP"],"uri":["http://zotero.org/groups/2816150/items/692RY6VP"],"itemData":{"id":2998,"type":"article-journal","container-title":"William &amp; Mary Law Review","issue":"4","journalAbbreviation":"Wm. &amp; Mary L. Rev.","language":"eng","page":"1283-1364","source":"HeinOnline","title":"Personal Curtilage: Fourth Amendment Security in Public","title-short":"Personal Curtilage","volume":"55","author":[{"family":"Ferguson","given":"Andrew Guthrie"}],"issued":{"date-parts":[["2014"]]}},"locator":"1314-16","label":"page"}],"schema":"https://github.com/citation-style-language/schema/raw/master/csl-citation.json"} </w:instrText>
      </w:r>
      <w:r w:rsidR="00F04DD7">
        <w:rPr>
          <w:i/>
          <w:iCs/>
        </w:rPr>
        <w:fldChar w:fldCharType="separate"/>
      </w:r>
      <w:r w:rsidR="00E5116B" w:rsidRPr="00E5116B">
        <w:t xml:space="preserve">Ferguson, </w:t>
      </w:r>
      <w:r w:rsidR="00E5116B" w:rsidRPr="00E5116B">
        <w:rPr>
          <w:i/>
          <w:iCs/>
        </w:rPr>
        <w:t>Personal Curtilage</w:t>
      </w:r>
      <w:r w:rsidR="00E5116B" w:rsidRPr="00E5116B">
        <w:t xml:space="preserve">, </w:t>
      </w:r>
      <w:r w:rsidR="00E5116B" w:rsidRPr="00E5116B">
        <w:rPr>
          <w:i/>
          <w:iCs/>
        </w:rPr>
        <w:t>supra</w:t>
      </w:r>
      <w:r w:rsidR="00E5116B" w:rsidRPr="00E5116B">
        <w:t xml:space="preserve"> note </w:t>
      </w:r>
      <w:r w:rsidR="00261B11">
        <w:fldChar w:fldCharType="begin"/>
      </w:r>
      <w:r w:rsidR="00261B11">
        <w:instrText xml:space="preserve"> NOTEREF _Ref114150599 \h </w:instrText>
      </w:r>
      <w:r w:rsidR="00261B11">
        <w:fldChar w:fldCharType="separate"/>
      </w:r>
      <w:r w:rsidR="00405D69">
        <w:t>129</w:t>
      </w:r>
      <w:r w:rsidR="00261B11">
        <w:fldChar w:fldCharType="end"/>
      </w:r>
      <w:r w:rsidR="00E5116B" w:rsidRPr="00E5116B">
        <w:t>, at 1314</w:t>
      </w:r>
      <w:r w:rsidR="00261B11">
        <w:t>-</w:t>
      </w:r>
      <w:r w:rsidR="00E5116B" w:rsidRPr="00E5116B">
        <w:t>16</w:t>
      </w:r>
      <w:r w:rsidR="00F04DD7">
        <w:rPr>
          <w:i/>
          <w:iCs/>
        </w:rPr>
        <w:fldChar w:fldCharType="end"/>
      </w:r>
      <w:r w:rsidR="00A05C4F">
        <w:rPr>
          <w:i/>
          <w:iCs/>
        </w:rPr>
        <w:t>.</w:t>
      </w:r>
      <w:r w:rsidR="00166F64">
        <w:t xml:space="preserve"> </w:t>
      </w:r>
      <w:r w:rsidR="00113A19">
        <w:t>Moreover</w:t>
      </w:r>
      <w:r w:rsidR="00D267E7">
        <w:t xml:space="preserve">, </w:t>
      </w:r>
      <w:r w:rsidR="00ED7718">
        <w:t>“curtilage”</w:t>
      </w:r>
      <w:r w:rsidR="00D267E7">
        <w:t xml:space="preserve"> </w:t>
      </w:r>
      <w:r w:rsidR="001A3488">
        <w:t>has long been</w:t>
      </w:r>
      <w:r w:rsidR="00D267E7">
        <w:t xml:space="preserve"> used to </w:t>
      </w:r>
      <w:r w:rsidR="00113A19">
        <w:t xml:space="preserve">describe the land essential to support </w:t>
      </w:r>
      <w:r w:rsidR="006519EC">
        <w:t xml:space="preserve">non-mortgage </w:t>
      </w:r>
      <w:r w:rsidR="00113A19">
        <w:t>lien</w:t>
      </w:r>
      <w:r w:rsidR="006519EC">
        <w:t>s</w:t>
      </w:r>
      <w:r w:rsidR="00113A19">
        <w:t xml:space="preserve"> against property.</w:t>
      </w:r>
      <w:r w:rsidR="004D2288">
        <w:t xml:space="preserve"> </w:t>
      </w:r>
      <w:r w:rsidR="00370B0E">
        <w:rPr>
          <w:i/>
          <w:iCs/>
        </w:rPr>
        <w:t>See, e.g.</w:t>
      </w:r>
      <w:r w:rsidR="00370B0E">
        <w:t>,</w:t>
      </w:r>
      <w:r w:rsidR="004D2288">
        <w:t xml:space="preserve"> </w:t>
      </w:r>
      <w:r w:rsidR="00861109" w:rsidRPr="00861109">
        <w:t>Derrickson v. Edwards, 29 N.J.L. 468, 474 (1861)</w:t>
      </w:r>
      <w:r w:rsidR="00861109">
        <w:t xml:space="preserve"> (</w:t>
      </w:r>
      <w:r w:rsidR="000C03A6">
        <w:t>“</w:t>
      </w:r>
      <w:r w:rsidR="000C03A6" w:rsidRPr="000C03A6">
        <w:t xml:space="preserve">A curtilage is a piece of ground within </w:t>
      </w:r>
      <w:r w:rsidR="000C03A6">
        <w:t>t</w:t>
      </w:r>
      <w:r w:rsidR="000C03A6" w:rsidRPr="000C03A6">
        <w:t>he common enclosure belonging to a dwelling-house, and enjoyed with it, for its more convenient occupation.</w:t>
      </w:r>
      <w:r w:rsidR="000C03A6">
        <w:t>”).</w:t>
      </w:r>
      <w:r w:rsidR="003364F8">
        <w:t xml:space="preserve"> </w:t>
      </w:r>
      <w:r w:rsidR="00ED7718">
        <w:t xml:space="preserve">While </w:t>
      </w:r>
      <w:r w:rsidR="00370B0E">
        <w:t>perhaps</w:t>
      </w:r>
      <w:r w:rsidR="003364F8">
        <w:t xml:space="preserve"> less precise than it could be, the term remains a convenient shorthand for the land immediately surrounding a home that </w:t>
      </w:r>
      <w:r w:rsidR="002B3B56">
        <w:t>the home’s occupants m</w:t>
      </w:r>
      <w:r w:rsidR="000156B6">
        <w:t>ight</w:t>
      </w:r>
      <w:r w:rsidR="002B3B56">
        <w:t xml:space="preserve"> use as part of the home itself.</w:t>
      </w:r>
    </w:p>
  </w:footnote>
  <w:footnote w:id="134">
    <w:p w14:paraId="03BB8ED3" w14:textId="7C8A52A1" w:rsidR="00B607C6" w:rsidRPr="005C4B55" w:rsidRDefault="00B607C6">
      <w:pPr>
        <w:pStyle w:val="FootnoteText"/>
      </w:pPr>
      <w:r w:rsidRPr="002A4234">
        <w:rPr>
          <w:rStyle w:val="FootnoteReference"/>
        </w:rPr>
        <w:footnoteRef/>
      </w:r>
      <w:r>
        <w:t xml:space="preserve"> </w:t>
      </w:r>
      <w:r w:rsidR="005C4B55">
        <w:rPr>
          <w:i/>
          <w:iCs/>
        </w:rPr>
        <w:t>See infra</w:t>
      </w:r>
      <w:r w:rsidR="005C4B55">
        <w:t xml:space="preserve"> </w:t>
      </w:r>
      <w:r w:rsidR="001867CD">
        <w:t xml:space="preserve">Section </w:t>
      </w:r>
      <w:r w:rsidR="00050F7C">
        <w:t>III.A.</w:t>
      </w:r>
    </w:p>
  </w:footnote>
  <w:footnote w:id="135">
    <w:p w14:paraId="76C2B4D4" w14:textId="6B284749" w:rsidR="00406ACC" w:rsidRDefault="00406ACC">
      <w:pPr>
        <w:pStyle w:val="FootnoteText"/>
      </w:pPr>
      <w:r w:rsidRPr="002A4234">
        <w:rPr>
          <w:rStyle w:val="FootnoteReference"/>
        </w:rPr>
        <w:footnoteRef/>
      </w:r>
      <w:r>
        <w:t xml:space="preserve"> </w:t>
      </w:r>
      <w:r w:rsidR="00543E9C" w:rsidRPr="00543E9C">
        <w:t>Swift v. Tyson, 41 U.S. 1, 18 (1842)</w:t>
      </w:r>
      <w:r w:rsidR="00B1359C">
        <w:t>.</w:t>
      </w:r>
    </w:p>
  </w:footnote>
  <w:footnote w:id="136">
    <w:p w14:paraId="431113FD" w14:textId="7AB8FB2D" w:rsidR="00555C2A" w:rsidRPr="000B504C" w:rsidRDefault="00555C2A">
      <w:pPr>
        <w:pStyle w:val="FootnoteText"/>
      </w:pPr>
      <w:r w:rsidRPr="002A4234">
        <w:rPr>
          <w:rStyle w:val="FootnoteReference"/>
        </w:rPr>
        <w:footnoteRef/>
      </w:r>
      <w:r>
        <w:t xml:space="preserve"> </w:t>
      </w:r>
      <w:r w:rsidR="00DE612B">
        <w:fldChar w:fldCharType="begin"/>
      </w:r>
      <w:r w:rsidR="00E5116B">
        <w:instrText xml:space="preserve"> ADDIN ZOTERO_ITEM CSL_CITATION {"citationID":"8zzelafl","properties":{"formattedCitation":"{\\i{}See generally} Bellia &amp; Clark, {\\i{}supra} note 15","plainCitation":"See generally Bellia &amp; Clark, supra note 15","noteIndex":132},"citationItems":[{"id":2924,"uris":["http://zotero.org/groups/2816150/items/LY5HZDGJ"],"uri":["http://zotero.org/groups/2816150/items/LY5HZDGJ"],"itemData":{"id":2924,"type":"article-journal","container-title":"William &amp; Mary Law Review","issue":"3","journalAbbreviation":"Wm. &amp; Mary L. Rev.","language":"eng","page":"655-724","source":"HeinOnline","title":"General Law in Federal Court","volume":"54","author":[{"family":"Bellia","given":"Anthony J. Jr."},{"family":"Clark","given":"Bradford R."}],"issued":{"date-parts":[["2013"]]}},"prefix":"&lt;i&gt;See generally&lt;/i&gt; "}],"schema":"https://github.com/citation-style-language/schema/raw/master/csl-citation.json"} </w:instrText>
      </w:r>
      <w:r w:rsidR="00DE612B">
        <w:fldChar w:fldCharType="separate"/>
      </w:r>
      <w:r w:rsidR="00E5116B" w:rsidRPr="00E5116B">
        <w:rPr>
          <w:i/>
          <w:iCs/>
        </w:rPr>
        <w:t>See generally</w:t>
      </w:r>
      <w:r w:rsidR="00E5116B" w:rsidRPr="00E5116B">
        <w:t xml:space="preserve"> Bellia &amp; Clark, </w:t>
      </w:r>
      <w:r w:rsidR="00E5116B" w:rsidRPr="00E5116B">
        <w:rPr>
          <w:i/>
          <w:iCs/>
        </w:rPr>
        <w:t>supra</w:t>
      </w:r>
      <w:r w:rsidR="00E5116B" w:rsidRPr="00E5116B">
        <w:t xml:space="preserve"> note </w:t>
      </w:r>
      <w:r w:rsidR="00007C00">
        <w:fldChar w:fldCharType="begin"/>
      </w:r>
      <w:r w:rsidR="00007C00">
        <w:instrText xml:space="preserve"> NOTEREF _Ref114090797 \h </w:instrText>
      </w:r>
      <w:r w:rsidR="00007C00">
        <w:fldChar w:fldCharType="separate"/>
      </w:r>
      <w:r w:rsidR="00405D69">
        <w:t>15</w:t>
      </w:r>
      <w:r w:rsidR="00007C00">
        <w:fldChar w:fldCharType="end"/>
      </w:r>
      <w:r w:rsidR="00DE612B">
        <w:fldChar w:fldCharType="end"/>
      </w:r>
      <w:r w:rsidR="00D9386A">
        <w:t xml:space="preserve"> (discussing the difference between local and general law in the context of </w:t>
      </w:r>
      <w:r w:rsidR="00D9386A">
        <w:rPr>
          <w:i/>
          <w:iCs/>
        </w:rPr>
        <w:t xml:space="preserve">Swift </w:t>
      </w:r>
      <w:r w:rsidR="00D9386A">
        <w:t xml:space="preserve">and </w:t>
      </w:r>
      <w:r w:rsidR="00D9386A">
        <w:rPr>
          <w:i/>
          <w:iCs/>
        </w:rPr>
        <w:t>Erie</w:t>
      </w:r>
      <w:r w:rsidR="00D9386A">
        <w:t>)</w:t>
      </w:r>
      <w:r w:rsidR="00A05C4F">
        <w:t>.</w:t>
      </w:r>
    </w:p>
  </w:footnote>
  <w:footnote w:id="137">
    <w:p w14:paraId="7A4F5D3A" w14:textId="7E264121" w:rsidR="00B63E94" w:rsidRPr="00B63E94" w:rsidRDefault="00B63E94">
      <w:pPr>
        <w:pStyle w:val="FootnoteText"/>
      </w:pPr>
      <w:r>
        <w:rPr>
          <w:rStyle w:val="FootnoteReference"/>
        </w:rPr>
        <w:footnoteRef/>
      </w:r>
      <w:r>
        <w:t xml:space="preserve"> </w:t>
      </w:r>
      <w:r>
        <w:rPr>
          <w:i/>
          <w:iCs/>
        </w:rPr>
        <w:t xml:space="preserve">See supra </w:t>
      </w:r>
      <w:r w:rsidRPr="00D358FE">
        <w:t>Section</w:t>
      </w:r>
      <w:r>
        <w:rPr>
          <w:i/>
          <w:iCs/>
        </w:rPr>
        <w:t xml:space="preserve"> </w:t>
      </w:r>
      <w:r>
        <w:t>II.B.</w:t>
      </w:r>
    </w:p>
  </w:footnote>
  <w:footnote w:id="138">
    <w:p w14:paraId="0B56C68D" w14:textId="501DD89B" w:rsidR="00C35AE8" w:rsidRDefault="00C35AE8">
      <w:pPr>
        <w:pStyle w:val="FootnoteText"/>
      </w:pPr>
      <w:r w:rsidRPr="002A4234">
        <w:rPr>
          <w:rStyle w:val="FootnoteReference"/>
        </w:rPr>
        <w:footnoteRef/>
      </w:r>
      <w:r>
        <w:t xml:space="preserve"> </w:t>
      </w:r>
      <w:r>
        <w:fldChar w:fldCharType="begin"/>
      </w:r>
      <w:r w:rsidR="00E5116B">
        <w:instrText xml:space="preserve"> ADDIN ZOTERO_ITEM CSL_CITATION {"citationID":"e4FL7X0e","properties":{"formattedCitation":"{\\i{}See} Thomas Y. Davies, {\\i{}Recovering the Original Fourth Amendment}, 98 {\\scaps Mich. L. Rev.} 547, 723\\uc0\\u8211{}24 (1999)","plainCitation":"See Thomas Y. Davies, Recovering the Original Fourth Amendment, 98 Mich. L. Rev. 547, 723–24 (1999)","noteIndex":133},"citationItems":[{"id":2970,"uris":["http://zotero.org/groups/2816150/items/YWQ7ICNA"],"uri":["http://zotero.org/groups/2816150/items/YWQ7ICNA"],"itemData":{"id":2970,"type":"article-journal","container-title":"Michigan Law Review","DOI":"10.2307/1290314","ISSN":"0026-2234","issue":"3","journalAbbreviation":"Mich. L. Rev.","page":"547-750","source":"JSTOR","title":"Recovering the Original Fourth Amendment","volume":"98","author":[{"family":"Davies","given":"Thomas Y."}],"issued":{"date-parts":[["1999"]]}},"locator":"723-24","label":"page","prefix":"&lt;i&gt;See&lt;/i&gt; "}],"schema":"https://github.com/citation-style-language/schema/raw/master/csl-citation.json"} </w:instrText>
      </w:r>
      <w:r>
        <w:fldChar w:fldCharType="separate"/>
      </w:r>
      <w:r w:rsidR="00E5116B" w:rsidRPr="00E5116B">
        <w:rPr>
          <w:i/>
          <w:iCs/>
        </w:rPr>
        <w:t>See</w:t>
      </w:r>
      <w:r w:rsidR="00E5116B" w:rsidRPr="00E5116B">
        <w:t xml:space="preserve"> Thomas Y. Davies, </w:t>
      </w:r>
      <w:r w:rsidR="00E5116B" w:rsidRPr="00E5116B">
        <w:rPr>
          <w:i/>
          <w:iCs/>
        </w:rPr>
        <w:t>Recovering the Original Fourth Amendment</w:t>
      </w:r>
      <w:r w:rsidR="00E5116B" w:rsidRPr="00E5116B">
        <w:t xml:space="preserve">, 98 </w:t>
      </w:r>
      <w:r w:rsidR="00E5116B" w:rsidRPr="00E5116B">
        <w:rPr>
          <w:smallCaps/>
        </w:rPr>
        <w:t>Mich. L. Rev.</w:t>
      </w:r>
      <w:r w:rsidR="00E5116B" w:rsidRPr="00E5116B">
        <w:t xml:space="preserve"> 547, 723</w:t>
      </w:r>
      <w:r w:rsidR="0024023E">
        <w:t>-</w:t>
      </w:r>
      <w:r w:rsidR="00E5116B" w:rsidRPr="00E5116B">
        <w:t>24 (1999)</w:t>
      </w:r>
      <w:r>
        <w:fldChar w:fldCharType="end"/>
      </w:r>
      <w:r w:rsidR="00A05C4F">
        <w:t>.</w:t>
      </w:r>
    </w:p>
  </w:footnote>
  <w:footnote w:id="139">
    <w:p w14:paraId="105CABE1" w14:textId="0BD8DAF9" w:rsidR="00112C3E" w:rsidRDefault="00112C3E">
      <w:pPr>
        <w:pStyle w:val="FootnoteText"/>
      </w:pPr>
      <w:r w:rsidRPr="002A4234">
        <w:rPr>
          <w:rStyle w:val="FootnoteReference"/>
        </w:rPr>
        <w:footnoteRef/>
      </w:r>
      <w:r>
        <w:t xml:space="preserve"> </w:t>
      </w:r>
      <w:r w:rsidR="00B9651D">
        <w:rPr>
          <w:i/>
          <w:iCs/>
        </w:rPr>
        <w:t xml:space="preserve">Id. </w:t>
      </w:r>
      <w:r w:rsidR="00B9651D">
        <w:t>at 724.</w:t>
      </w:r>
    </w:p>
  </w:footnote>
  <w:footnote w:id="140">
    <w:p w14:paraId="172F582C" w14:textId="19553E8D" w:rsidR="003C13FD" w:rsidRDefault="003C13FD">
      <w:pPr>
        <w:pStyle w:val="FootnoteText"/>
      </w:pPr>
      <w:r w:rsidRPr="002A4234">
        <w:rPr>
          <w:rStyle w:val="FootnoteReference"/>
        </w:rPr>
        <w:footnoteRef/>
      </w:r>
      <w:r>
        <w:t xml:space="preserve"> </w:t>
      </w:r>
      <w:r w:rsidR="007C3105">
        <w:fldChar w:fldCharType="begin"/>
      </w:r>
      <w:r w:rsidR="00E5116B">
        <w:instrText xml:space="preserve"> ADDIN ZOTERO_ITEM CSL_CITATION {"citationID":"qnSJqe2v","properties":{"formattedCitation":"{\\i{}Id.} at 724\\uc0\\u8211{}33","plainCitation":"Id. at 724–33","noteIndex":135},"citationItems":[{"id":2970,"uris":["http://zotero.org/groups/2816150/items/YWQ7ICNA"],"uri":["http://zotero.org/groups/2816150/items/YWQ7ICNA"],"itemData":{"id":2970,"type":"article-journal","container-title":"Michigan Law Review","DOI":"10.2307/1290314","ISSN":"0026-2234","issue":"3","journalAbbreviation":"Mich. L. Rev.","page":"547-750","source":"JSTOR","title":"Recovering the Original Fourth Amendment","volume":"98","author":[{"family":"Davies","given":"Thomas Y."}],"issued":{"date-parts":[["1999"]]}},"locator":"724-33","label":"page"}],"schema":"https://github.com/citation-style-language/schema/raw/master/csl-citation.json"} </w:instrText>
      </w:r>
      <w:r w:rsidR="007C3105">
        <w:fldChar w:fldCharType="separate"/>
      </w:r>
      <w:r w:rsidR="00E5116B" w:rsidRPr="00E5116B">
        <w:rPr>
          <w:i/>
          <w:iCs/>
        </w:rPr>
        <w:t>Id.</w:t>
      </w:r>
      <w:r w:rsidR="00E5116B" w:rsidRPr="00E5116B">
        <w:t xml:space="preserve"> at 724</w:t>
      </w:r>
      <w:r w:rsidR="00B63E94">
        <w:t>-</w:t>
      </w:r>
      <w:r w:rsidR="00E5116B" w:rsidRPr="00E5116B">
        <w:t>33</w:t>
      </w:r>
      <w:r w:rsidR="007C3105">
        <w:fldChar w:fldCharType="end"/>
      </w:r>
      <w:r w:rsidR="00D552C8">
        <w:t>.</w:t>
      </w:r>
    </w:p>
  </w:footnote>
  <w:footnote w:id="141">
    <w:p w14:paraId="070038A0" w14:textId="3B83DBC7" w:rsidR="00201F66" w:rsidRDefault="00201F66" w:rsidP="00C94630">
      <w:pPr>
        <w:pStyle w:val="FootnoteText"/>
      </w:pPr>
      <w:r w:rsidRPr="002A4234">
        <w:rPr>
          <w:rStyle w:val="FootnoteReference"/>
        </w:rPr>
        <w:footnoteRef/>
      </w:r>
      <w:r>
        <w:t xml:space="preserve"> </w:t>
      </w:r>
      <w:r>
        <w:fldChar w:fldCharType="begin"/>
      </w:r>
      <w:r w:rsidR="00E5116B">
        <w:instrText xml:space="preserve"> ADDIN ZOTERO_ITEM CSL_CITATION {"citationID":"fgdmZkLn","properties":{"formattedCitation":"{\\i{}Id.} at 693","plainCitation":"Id. at 693","noteIndex":136},"citationItems":[{"id":2970,"uris":["http://zotero.org/groups/2816150/items/YWQ7ICNA"],"uri":["http://zotero.org/groups/2816150/items/YWQ7ICNA"],"itemData":{"id":2970,"type":"article-journal","container-title":"Michigan Law Review","DOI":"10.2307/1290314","ISSN":"0026-2234","issue":"3","journalAbbreviation":"Mich. L. Rev.","page":"547-750","source":"JSTOR","title":"Recovering the Original Fourth Amendment","volume":"98","author":[{"family":"Davies","given":"Thomas Y."}],"issued":{"date-parts":[["1999"]]}},"locator":"693","label":"page"}],"schema":"https://github.com/citation-style-language/schema/raw/master/csl-citation.json"} </w:instrText>
      </w:r>
      <w:r>
        <w:fldChar w:fldCharType="separate"/>
      </w:r>
      <w:r w:rsidR="00E5116B" w:rsidRPr="00E5116B">
        <w:rPr>
          <w:i/>
          <w:iCs/>
        </w:rPr>
        <w:t>Id.</w:t>
      </w:r>
      <w:r w:rsidR="00E5116B" w:rsidRPr="00E5116B">
        <w:t xml:space="preserve"> at 693</w:t>
      </w:r>
      <w:r>
        <w:fldChar w:fldCharType="end"/>
      </w:r>
      <w:r w:rsidR="00C94630">
        <w:t xml:space="preserve"> (“Because ‘unreasonable’ was a pejorative synonym for gross illegality or unconstitutionality, ‘unreasonable searches and seizures’ simply meant searches and seizures that were inherently illegal at common law.”)</w:t>
      </w:r>
      <w:r w:rsidR="000E58AD">
        <w:t>.</w:t>
      </w:r>
    </w:p>
  </w:footnote>
  <w:footnote w:id="142">
    <w:p w14:paraId="39CFDD4D" w14:textId="5195663C" w:rsidR="006538D9" w:rsidRDefault="006538D9" w:rsidP="006538D9">
      <w:pPr>
        <w:pStyle w:val="FootnoteText"/>
      </w:pPr>
      <w:r w:rsidRPr="002A4234">
        <w:rPr>
          <w:rStyle w:val="FootnoteReference"/>
        </w:rPr>
        <w:footnoteRef/>
      </w:r>
      <w:r>
        <w:t xml:space="preserve"> </w:t>
      </w:r>
      <w:r>
        <w:fldChar w:fldCharType="begin"/>
      </w:r>
      <w:r w:rsidR="00E5116B">
        <w:instrText xml:space="preserve"> ADDIN ZOTERO_ITEM CSL_CITATION {"citationID":"dngkOHM7","properties":{"formattedCitation":"Donohue, {\\i{}supra} note 26, at 1270","plainCitation":"Donohue, supra note 26, at 1270","noteIndex":137},"citationItems":[{"id":2950,"uris":["http://zotero.org/groups/2816150/items/7NJII6WF"],"uri":["http://zotero.org/groups/2816150/items/7NJII6WF"],"itemData":{"id":2950,"type":"article-journal","container-title":"University of Chicago Law Review","issue":"3","journalAbbreviation":"U. Chi. L. Rev.","language":"eng","page":"1181-1328","source":"HeinOnline","title":"The Original Fourth Amendment","volume":"83","author":[{"family":"Donohue","given":"Laura K."}],"issued":{"date-parts":[["2016"]]}},"locator":"1270","label":"page"}],"schema":"https://github.com/citation-style-language/schema/raw/master/csl-citation.json"} </w:instrText>
      </w:r>
      <w:r>
        <w:fldChar w:fldCharType="separate"/>
      </w:r>
      <w:r w:rsidR="00E5116B" w:rsidRPr="00E5116B">
        <w:t xml:space="preserve">Donohue, </w:t>
      </w:r>
      <w:r w:rsidR="00E5116B" w:rsidRPr="00E5116B">
        <w:rPr>
          <w:i/>
          <w:iCs/>
        </w:rPr>
        <w:t>supra</w:t>
      </w:r>
      <w:r w:rsidR="00E5116B" w:rsidRPr="00E5116B">
        <w:t xml:space="preserve"> note </w:t>
      </w:r>
      <w:r w:rsidR="00FE25A1">
        <w:fldChar w:fldCharType="begin"/>
      </w:r>
      <w:r w:rsidR="00FE25A1">
        <w:instrText xml:space="preserve"> NOTEREF _Ref114096968 \h </w:instrText>
      </w:r>
      <w:r w:rsidR="00FE25A1">
        <w:fldChar w:fldCharType="separate"/>
      </w:r>
      <w:r w:rsidR="00405D69">
        <w:t>27</w:t>
      </w:r>
      <w:r w:rsidR="00FE25A1">
        <w:fldChar w:fldCharType="end"/>
      </w:r>
      <w:r w:rsidR="00E5116B" w:rsidRPr="00E5116B">
        <w:t>, at 1270</w:t>
      </w:r>
      <w:r>
        <w:fldChar w:fldCharType="end"/>
      </w:r>
      <w:r w:rsidR="00A05C4F">
        <w:t>.</w:t>
      </w:r>
    </w:p>
  </w:footnote>
  <w:footnote w:id="143">
    <w:p w14:paraId="76699D26" w14:textId="3283DEE2" w:rsidR="006538D9" w:rsidRDefault="006538D9" w:rsidP="006538D9">
      <w:pPr>
        <w:pStyle w:val="FootnoteText"/>
      </w:pPr>
      <w:r w:rsidRPr="002A4234">
        <w:rPr>
          <w:rStyle w:val="FootnoteReference"/>
        </w:rPr>
        <w:footnoteRef/>
      </w:r>
      <w:r>
        <w:t xml:space="preserve"> </w:t>
      </w:r>
      <w:r>
        <w:fldChar w:fldCharType="begin"/>
      </w:r>
      <w:r w:rsidR="00E5116B">
        <w:instrText xml:space="preserve"> ADDIN ZOTERO_ITEM CSL_CITATION {"citationID":"AmVHTRk6","properties":{"formattedCitation":"{\\i{}Id.} at 1270\\uc0\\u8211{}71","plainCitation":"Id. at 1270–71","noteIndex":138},"citationItems":[{"id":2950,"uris":["http://zotero.org/groups/2816150/items/7NJII6WF"],"uri":["http://zotero.org/groups/2816150/items/7NJII6WF"],"itemData":{"id":2950,"type":"article-journal","container-title":"University of Chicago Law Review","issue":"3","journalAbbreviation":"U. Chi. L. Rev.","language":"eng","page":"1181-1328","source":"HeinOnline","title":"The Original Fourth Amendment","volume":"83","author":[{"family":"Donohue","given":"Laura K."}],"issued":{"date-parts":[["2016"]]}},"locator":"1270-71","label":"page"}],"schema":"https://github.com/citation-style-language/schema/raw/master/csl-citation.json"} </w:instrText>
      </w:r>
      <w:r>
        <w:fldChar w:fldCharType="separate"/>
      </w:r>
      <w:r w:rsidR="00E5116B" w:rsidRPr="00E5116B">
        <w:rPr>
          <w:i/>
          <w:iCs/>
        </w:rPr>
        <w:t>Id.</w:t>
      </w:r>
      <w:r w:rsidR="00E5116B" w:rsidRPr="00E5116B">
        <w:t xml:space="preserve"> at 1270–71</w:t>
      </w:r>
      <w:r>
        <w:fldChar w:fldCharType="end"/>
      </w:r>
      <w:r w:rsidR="00A05C4F">
        <w:t>.</w:t>
      </w:r>
    </w:p>
  </w:footnote>
  <w:footnote w:id="144">
    <w:p w14:paraId="1ACE2173" w14:textId="05B1DB12" w:rsidR="00A535AA" w:rsidRDefault="00A535AA">
      <w:pPr>
        <w:pStyle w:val="FootnoteText"/>
      </w:pPr>
      <w:r w:rsidRPr="002A4234">
        <w:rPr>
          <w:rStyle w:val="FootnoteReference"/>
        </w:rPr>
        <w:footnoteRef/>
      </w:r>
      <w:r w:rsidRPr="00FD5751">
        <w:t xml:space="preserve"> </w:t>
      </w:r>
      <w:r w:rsidR="00FD5751">
        <w:fldChar w:fldCharType="begin"/>
      </w:r>
      <w:r w:rsidR="00E5116B">
        <w:instrText xml:space="preserve"> ADDIN ZOTERO_ITEM CSL_CITATION {"citationID":"YTXFhuFI","properties":{"formattedCitation":"{\\i{}See} {\\scaps William J. Cuddihy}, {\\scaps The Fourth Amendment: Origins and Original Meaning 602\\uc0\\u8211{}1791} (2009); George C. Thomas III, {\\i{}The Common Law Endures in the Fourth Amendment}, 27 {\\scaps Wm. &amp; Mary Bill Rts. J.} 85 (2018)","plainCitation":"See William J. Cuddihy, The Fourth Amendment: Origins and Original Meaning 602–1791 (2009); George C. Thomas III, The Common Law Endures in the Fourth Amendment, 27 Wm. &amp; Mary Bill Rts. J. 85 (2018)","noteIndex":139},"citationItems":[{"id":2917,"uris":["http://zotero.org/groups/2816150/items/PC44YW43"],"uri":["http://zotero.org/groups/2816150/items/PC44YW43"],"itemData":{"id":2917,"type":"book","abstract":"The Fourth Amendment's protection against unreasonable search and seizure provides the bulwark for police regulation and many other government functions in the United States. One of the most controversial rights in the Bill of Rights, this amendment is also among the most frequently adjudicated provisions of constitutional law. Yet its meaning has remained deeply contested, and the story of its origins is largely unknown. This book tells the full story of the Fourth Amendment's complex lineage, including its intellectual roots in England. This book has particular relevance today given the long list of controversial new surveillance measures undertaken by the government in recent years, including the USA Patriot Act and the NSA wiretapping program. The preface has been written by privacy expert Daniel Solove.","ISBN":"978-0-19-536719-5","language":"English","number-of-pages":"1008","source":"Amazon","title":"The Fourth Amendment: Origins and Original Meaning 602–1791","title-short":"The Fourth Amendment","author":[{"family":"Cuddihy","given":"William J."}],"issued":{"date-parts":[["2009"]]}},"label":"page","prefix":"&lt;i&gt;See&lt;/i&gt; "},{"id":3276,"uris":["http://zotero.org/groups/2816150/items/EPGVL9XX"],"uri":["http://zotero.org/groups/2816150/items/EPGVL9XX"],"itemData":{"id":3276,"type":"article-journal","container-title":"William &amp; Mary Bill of Rights Journal","issue":"1","journalAbbreviation":"Wm. &amp; Mary Bill Rts. J.","language":"eng","page":"85-122","source":"HeinOnline","title":"The Common Law Endures in the Fourth Amendment","volume":"27","author":[{"family":"Thomas","given":"George C.","suffix":"III"}],"issued":{"date-parts":[["2018"]]}},"label":"page"}],"schema":"https://github.com/citation-style-language/schema/raw/master/csl-citation.json"} </w:instrText>
      </w:r>
      <w:r w:rsidR="00FD5751">
        <w:fldChar w:fldCharType="separate"/>
      </w:r>
      <w:r w:rsidR="00E5116B" w:rsidRPr="00E5116B">
        <w:rPr>
          <w:i/>
          <w:iCs/>
        </w:rPr>
        <w:t>See</w:t>
      </w:r>
      <w:r w:rsidR="00E5116B" w:rsidRPr="00E5116B">
        <w:t xml:space="preserve"> </w:t>
      </w:r>
      <w:r w:rsidR="00E5116B" w:rsidRPr="00E5116B">
        <w:rPr>
          <w:smallCaps/>
        </w:rPr>
        <w:t>William J. Cuddihy</w:t>
      </w:r>
      <w:r w:rsidR="00E5116B" w:rsidRPr="00E5116B">
        <w:t xml:space="preserve">, </w:t>
      </w:r>
      <w:r w:rsidR="00E5116B" w:rsidRPr="00E5116B">
        <w:rPr>
          <w:smallCaps/>
        </w:rPr>
        <w:t>The Fourth Amendment: Origins and Original Meaning 602–1791</w:t>
      </w:r>
      <w:r w:rsidR="00E5116B" w:rsidRPr="00E5116B">
        <w:t xml:space="preserve"> (2009); George C. Thomas III, </w:t>
      </w:r>
      <w:r w:rsidR="00E5116B" w:rsidRPr="00E5116B">
        <w:rPr>
          <w:i/>
          <w:iCs/>
        </w:rPr>
        <w:t>The Common Law Endures in the Fourth Amendment</w:t>
      </w:r>
      <w:r w:rsidR="00E5116B" w:rsidRPr="00E5116B">
        <w:t xml:space="preserve">, 27 </w:t>
      </w:r>
      <w:r w:rsidR="00E5116B" w:rsidRPr="00E5116B">
        <w:rPr>
          <w:smallCaps/>
        </w:rPr>
        <w:t>Wm. &amp; Mary Bill Rts. J.</w:t>
      </w:r>
      <w:r w:rsidR="00E5116B" w:rsidRPr="00E5116B">
        <w:t xml:space="preserve"> 85</w:t>
      </w:r>
      <w:r w:rsidR="00B96CF7">
        <w:t xml:space="preserve">, </w:t>
      </w:r>
      <w:r w:rsidR="00E5116B" w:rsidRPr="00E5116B">
        <w:t>85 (2018)</w:t>
      </w:r>
      <w:r w:rsidR="00FD5751">
        <w:fldChar w:fldCharType="end"/>
      </w:r>
      <w:r w:rsidR="00F00B0B">
        <w:t xml:space="preserve"> (arguing that deviations from common law in Fourth Amendment jurisprudence have “result[ed]” in “an erratic doctrine.”)</w:t>
      </w:r>
      <w:r w:rsidR="00A05C4F">
        <w:t>.</w:t>
      </w:r>
    </w:p>
  </w:footnote>
  <w:footnote w:id="145">
    <w:p w14:paraId="36188043" w14:textId="484C28B3" w:rsidR="006F3827" w:rsidRPr="004726EA" w:rsidRDefault="006F3827">
      <w:pPr>
        <w:pStyle w:val="FootnoteText"/>
      </w:pPr>
      <w:r w:rsidRPr="002A4234">
        <w:rPr>
          <w:rStyle w:val="FootnoteReference"/>
        </w:rPr>
        <w:footnoteRef/>
      </w:r>
      <w:r>
        <w:t xml:space="preserve"> </w:t>
      </w:r>
      <w:r w:rsidR="00D10343" w:rsidRPr="00D10343">
        <w:t xml:space="preserve">3 </w:t>
      </w:r>
      <w:r w:rsidR="00D10343" w:rsidRPr="005461DD">
        <w:rPr>
          <w:smallCaps/>
        </w:rPr>
        <w:t xml:space="preserve">Joseph Story, </w:t>
      </w:r>
      <w:bookmarkStart w:id="43" w:name="_Hlk87882799"/>
      <w:r w:rsidR="00D10343" w:rsidRPr="005461DD">
        <w:rPr>
          <w:smallCaps/>
        </w:rPr>
        <w:t>Commentaries on the Constitution of the United States</w:t>
      </w:r>
      <w:bookmarkEnd w:id="43"/>
      <w:r w:rsidR="00D10343" w:rsidRPr="00D10343">
        <w:t xml:space="preserve"> 748 (</w:t>
      </w:r>
      <w:r w:rsidR="00252602">
        <w:t xml:space="preserve">Fred B. Rothman &amp; Co. 1991) </w:t>
      </w:r>
      <w:r w:rsidR="00D10343" w:rsidRPr="00D10343">
        <w:t>(1833)</w:t>
      </w:r>
      <w:r w:rsidR="004C63DE">
        <w:t xml:space="preserve">. </w:t>
      </w:r>
      <w:r w:rsidR="004726EA">
        <w:rPr>
          <w:i/>
          <w:iCs/>
        </w:rPr>
        <w:t>See also</w:t>
      </w:r>
      <w:r w:rsidR="004726EA">
        <w:t xml:space="preserve"> </w:t>
      </w:r>
      <w:r w:rsidR="004726EA" w:rsidRPr="004726EA">
        <w:t>Wakely v. Hart, 6 Binn. 316, 319 (Pa. 1814)</w:t>
      </w:r>
      <w:r w:rsidR="004726EA">
        <w:t xml:space="preserve"> (stating that the Fourth Amendment </w:t>
      </w:r>
      <w:r w:rsidR="004726EA" w:rsidRPr="004726EA">
        <w:t>“was nothing more than an affirmance of the common law</w:t>
      </w:r>
      <w:r w:rsidR="004726EA">
        <w:t xml:space="preserve">”). </w:t>
      </w:r>
    </w:p>
  </w:footnote>
  <w:footnote w:id="146">
    <w:p w14:paraId="1E2499A8" w14:textId="170E6472" w:rsidR="00653477" w:rsidRDefault="00653477">
      <w:pPr>
        <w:pStyle w:val="FootnoteText"/>
      </w:pPr>
      <w:r w:rsidRPr="002A4234">
        <w:rPr>
          <w:rStyle w:val="FootnoteReference"/>
        </w:rPr>
        <w:footnoteRef/>
      </w:r>
      <w:r>
        <w:t xml:space="preserve"> </w:t>
      </w:r>
      <w:r>
        <w:fldChar w:fldCharType="begin"/>
      </w:r>
      <w:r w:rsidR="00E5116B">
        <w:instrText xml:space="preserve"> ADDIN ZOTERO_ITEM CSL_CITATION {"citationID":"zo35zNiP","properties":{"formattedCitation":"{\\i{}See} Davies, {\\i{}supra} note 133, at 688","plainCitation":"See Davies, supra note 133, at 688","noteIndex":141},"citationItems":[{"id":2970,"uris":["http://zotero.org/groups/2816150/items/YWQ7ICNA"],"uri":["http://zotero.org/groups/2816150/items/YWQ7ICNA"],"itemData":{"id":2970,"type":"article-journal","container-title":"Michigan Law Review","DOI":"10.2307/1290314","ISSN":"0026-2234","issue":"3","journalAbbreviation":"Mich. L. Rev.","page":"547-750","source":"JSTOR","title":"Recovering the Original Fourth Amendment","volume":"98","author":[{"family":"Davies","given":"Thomas Y."}],"issued":{"date-parts":[["1999"]]}},"locator":"688","label":"page","prefix":"&lt;i&gt;See&lt;/i&gt; "}],"schema":"https://github.com/citation-style-language/schema/raw/master/csl-citation.json"} </w:instrText>
      </w:r>
      <w:r>
        <w:fldChar w:fldCharType="separate"/>
      </w:r>
      <w:r w:rsidR="00E5116B" w:rsidRPr="00E5116B">
        <w:rPr>
          <w:i/>
          <w:iCs/>
        </w:rPr>
        <w:t>See</w:t>
      </w:r>
      <w:r w:rsidR="00E5116B" w:rsidRPr="00E5116B">
        <w:t xml:space="preserve"> Davies, </w:t>
      </w:r>
      <w:r w:rsidR="00E5116B" w:rsidRPr="00E5116B">
        <w:rPr>
          <w:i/>
          <w:iCs/>
        </w:rPr>
        <w:t>supra</w:t>
      </w:r>
      <w:r w:rsidR="00E5116B" w:rsidRPr="00E5116B">
        <w:t xml:space="preserve"> note </w:t>
      </w:r>
      <w:r w:rsidR="0008418C">
        <w:fldChar w:fldCharType="begin"/>
      </w:r>
      <w:r w:rsidR="0008418C">
        <w:instrText xml:space="preserve"> NOTEREF _Ref114097085 \h </w:instrText>
      </w:r>
      <w:r w:rsidR="0008418C">
        <w:fldChar w:fldCharType="separate"/>
      </w:r>
      <w:r w:rsidR="00405D69">
        <w:t>135</w:t>
      </w:r>
      <w:r w:rsidR="0008418C">
        <w:fldChar w:fldCharType="end"/>
      </w:r>
      <w:r w:rsidR="00E5116B" w:rsidRPr="00E5116B">
        <w:t>, at 688</w:t>
      </w:r>
      <w:r>
        <w:fldChar w:fldCharType="end"/>
      </w:r>
      <w:r w:rsidR="00A05C4F">
        <w:t>.</w:t>
      </w:r>
    </w:p>
  </w:footnote>
  <w:footnote w:id="147">
    <w:p w14:paraId="6694A43F" w14:textId="6A6BAC5F" w:rsidR="009A7018" w:rsidRDefault="009A7018">
      <w:pPr>
        <w:pStyle w:val="FootnoteText"/>
      </w:pPr>
      <w:r w:rsidRPr="002A4234">
        <w:rPr>
          <w:rStyle w:val="FootnoteReference"/>
        </w:rPr>
        <w:footnoteRef/>
      </w:r>
      <w:r>
        <w:t xml:space="preserve"> </w:t>
      </w:r>
      <w:r>
        <w:fldChar w:fldCharType="begin"/>
      </w:r>
      <w:r w:rsidR="00E5116B">
        <w:instrText xml:space="preserve"> ADDIN ZOTERO_ITEM CSL_CITATION {"citationID":"FiYlZU5j","properties":{"formattedCitation":"1 {\\scaps Sir Edward Coke}, {\\scaps Institutes of the Laws of England, or, A Commentary Upon Littleton} \\uc0\\u167{} 138 (1628)","plainCitation":"1 Sir Edward Coke, Institutes of the Laws of England, or, A Commentary Upon Littleton § 138 (1628)","noteIndex":142},"citationItems":[{"id":3272,"uris":["http://zotero.org/groups/2816150/items/EZP9TMQA"],"uri":["http://zotero.org/groups/2816150/items/EZP9TMQA"],"itemData":{"id":3272,"type":"book","title":"Institutes of the Laws of England, or, A Commentary Upon Littleton","volume":"1","author":[{"family":"Coke","given":"Sir Edward"}],"issued":{"date-parts":[["1628"]]}},"locator":"138","label":"section"}],"schema":"https://github.com/citation-style-language/schema/raw/master/csl-citation.json"} </w:instrText>
      </w:r>
      <w:r>
        <w:fldChar w:fldCharType="separate"/>
      </w:r>
      <w:r w:rsidR="00E5116B" w:rsidRPr="00E5116B">
        <w:t xml:space="preserve">1 </w:t>
      </w:r>
      <w:r w:rsidR="00E5116B" w:rsidRPr="00E5116B">
        <w:rPr>
          <w:smallCaps/>
        </w:rPr>
        <w:t>Sir Edward Coke</w:t>
      </w:r>
      <w:r w:rsidR="00E5116B" w:rsidRPr="00E5116B">
        <w:t xml:space="preserve">, </w:t>
      </w:r>
      <w:r w:rsidR="00E5116B" w:rsidRPr="00E5116B">
        <w:rPr>
          <w:smallCaps/>
        </w:rPr>
        <w:t>Institutes of the Laws of England, or, A Commentary Upon Littleton</w:t>
      </w:r>
      <w:r w:rsidR="00E5116B" w:rsidRPr="00E5116B">
        <w:t xml:space="preserve"> § 138 (1628)</w:t>
      </w:r>
      <w:r>
        <w:fldChar w:fldCharType="end"/>
      </w:r>
      <w:r w:rsidR="00A05C4F">
        <w:t>.</w:t>
      </w:r>
    </w:p>
  </w:footnote>
  <w:footnote w:id="148">
    <w:p w14:paraId="5D7CC29D" w14:textId="6FD5F4A5" w:rsidR="00431C4F" w:rsidRDefault="00431C4F">
      <w:pPr>
        <w:pStyle w:val="FootnoteText"/>
      </w:pPr>
      <w:r w:rsidRPr="002A4234">
        <w:rPr>
          <w:rStyle w:val="FootnoteReference"/>
        </w:rPr>
        <w:footnoteRef/>
      </w:r>
      <w:r>
        <w:t xml:space="preserve"> </w:t>
      </w:r>
      <w:r w:rsidR="00A71A1E">
        <w:fldChar w:fldCharType="begin"/>
      </w:r>
      <w:r w:rsidR="00E5116B">
        <w:instrText xml:space="preserve"> ADDIN ZOTERO_ITEM CSL_CITATION {"citationID":"vVQczNQa","properties":{"formattedCitation":"1 {\\scaps William Blackstone}, {\\scaps Commentaries} *70","plainCitation":"1 William Blackstone, Commentaries *70","noteIndex":143},"citationItems":[{"id":3233,"uris":["http://zotero.org/groups/2816150/items/ENRPQI2J"],"uri":["http://zotero.org/groups/2816150/items/ENRPQI2J"],"itemData":{"id":3233,"type":"book","number-of-volumes":"4","title":"Commentaries","author":[{"family":"Blackstone","given":"William"}]},"locator":"*70","label":"page","prefix":"1"}],"schema":"https://github.com/citation-style-language/schema/raw/master/csl-citation.json"} </w:instrText>
      </w:r>
      <w:r w:rsidR="00A71A1E">
        <w:fldChar w:fldCharType="separate"/>
      </w:r>
      <w:r w:rsidR="00E5116B" w:rsidRPr="00E5116B">
        <w:t xml:space="preserve">1 </w:t>
      </w:r>
      <w:r w:rsidR="00E5116B" w:rsidRPr="00E5116B">
        <w:rPr>
          <w:smallCaps/>
        </w:rPr>
        <w:t>William Blackstone</w:t>
      </w:r>
      <w:r w:rsidR="00E5116B" w:rsidRPr="00E5116B">
        <w:t xml:space="preserve">, </w:t>
      </w:r>
      <w:r w:rsidR="00E5116B" w:rsidRPr="00E5116B">
        <w:rPr>
          <w:smallCaps/>
        </w:rPr>
        <w:t>Commentaries</w:t>
      </w:r>
      <w:r w:rsidR="00E5116B" w:rsidRPr="00E5116B">
        <w:t xml:space="preserve"> *70</w:t>
      </w:r>
      <w:r w:rsidR="00A71A1E">
        <w:fldChar w:fldCharType="end"/>
      </w:r>
      <w:r w:rsidR="00A05C4F">
        <w:t>.</w:t>
      </w:r>
    </w:p>
  </w:footnote>
  <w:footnote w:id="149">
    <w:p w14:paraId="4F500F8E" w14:textId="4042501B" w:rsidR="00FD5DF5" w:rsidRDefault="00FD5DF5" w:rsidP="00F07E62">
      <w:pPr>
        <w:pStyle w:val="FootnoteText"/>
        <w:suppressAutoHyphens/>
      </w:pPr>
      <w:r w:rsidRPr="002A4234">
        <w:rPr>
          <w:rStyle w:val="FootnoteReference"/>
        </w:rPr>
        <w:footnoteRef/>
      </w:r>
      <w:r>
        <w:t xml:space="preserve"> </w:t>
      </w:r>
      <w:r>
        <w:fldChar w:fldCharType="begin"/>
      </w:r>
      <w:r w:rsidR="00E5116B">
        <w:instrText xml:space="preserve"> ADDIN ZOTERO_ITEM CSL_CITATION {"citationID":"WaFTIzKS","properties":{"formattedCitation":"2 {\\scaps Legal Papers of John Adams} 127\\uc0\\u8211{}28 (L. Kinvin Wroth &amp; Hiller B. Zobel eds., 1965)","plainCitation":"2 Legal Papers of John Adams 127–28 (L. Kinvin Wroth &amp; Hiller B. Zobel eds., 1965)","noteIndex":144},"citationItems":[{"id":3271,"uris":["http://zotero.org/groups/2816150/items/L6TVMLMD"],"uri":["http://zotero.org/groups/2816150/items/L6TVMLMD"],"itemData":{"id":3271,"type":"book","title":"Legal Papers of John Adams","volume":"2","editor":[{"family":"Wroth","given":"L. Kinvin"},{"family":"Zobel","given":"Hiller B."}],"issued":{"date-parts":[["1965"]]}},"locator":"127-28","label":"page"}],"schema":"https://github.com/citation-style-language/schema/raw/master/csl-citation.json"} </w:instrText>
      </w:r>
      <w:r>
        <w:fldChar w:fldCharType="separate"/>
      </w:r>
      <w:r w:rsidR="00E5116B" w:rsidRPr="00E5116B">
        <w:t xml:space="preserve">2 </w:t>
      </w:r>
      <w:r w:rsidR="00E5116B" w:rsidRPr="00E5116B">
        <w:rPr>
          <w:smallCaps/>
        </w:rPr>
        <w:t>Legal Papers of John Adams</w:t>
      </w:r>
      <w:r w:rsidR="00E5116B" w:rsidRPr="00E5116B">
        <w:t xml:space="preserve"> 127</w:t>
      </w:r>
      <w:r w:rsidR="00527553">
        <w:t>-</w:t>
      </w:r>
      <w:r w:rsidR="00E5116B" w:rsidRPr="00E5116B">
        <w:t xml:space="preserve">28 (L. Kinvin Wroth &amp; Hiller B. Zobel eds., </w:t>
      </w:r>
      <w:r w:rsidR="007912A3" w:rsidRPr="00E5116B">
        <w:t>1965)</w:t>
      </w:r>
      <w:r>
        <w:fldChar w:fldCharType="end"/>
      </w:r>
      <w:r w:rsidR="00A05C4F">
        <w:t>.</w:t>
      </w:r>
      <w:r w:rsidR="000466D5">
        <w:t xml:space="preserve"> Looking to these sources, Davies argues that “‘unreasonable searches and seizures’ simply meant searches and seizures that were inherently illegal at common law.” </w:t>
      </w:r>
      <w:r w:rsidR="000466D5">
        <w:fldChar w:fldCharType="begin"/>
      </w:r>
      <w:r w:rsidR="00E5116B">
        <w:instrText xml:space="preserve"> ADDIN ZOTERO_ITEM CSL_CITATION {"citationID":"EK28DKMm","properties":{"formattedCitation":"Davies, {\\i{}supra} note 133, at 693","plainCitation":"Davies, supra note 133, at 693","noteIndex":144},"citationItems":[{"id":2970,"uris":["http://zotero.org/groups/2816150/items/YWQ7ICNA"],"uri":["http://zotero.org/groups/2816150/items/YWQ7ICNA"],"itemData":{"id":2970,"type":"article-journal","container-title":"Michigan Law Review","DOI":"10.2307/1290314","ISSN":"0026-2234","issue":"3","journalAbbreviation":"Mich. L. Rev.","page":"547-750","source":"JSTOR","title":"Recovering the Original Fourth Amendment","volume":"98","author":[{"family":"Davies","given":"Thomas Y."}],"issued":{"date-parts":[["1999"]]}},"locator":"693","label":"page"}],"schema":"https://github.com/citation-style-language/schema/raw/master/csl-citation.json"} </w:instrText>
      </w:r>
      <w:r w:rsidR="000466D5">
        <w:fldChar w:fldCharType="separate"/>
      </w:r>
      <w:r w:rsidR="00E5116B" w:rsidRPr="00E5116B">
        <w:t xml:space="preserve">Davies, </w:t>
      </w:r>
      <w:r w:rsidR="00E5116B" w:rsidRPr="00E5116B">
        <w:rPr>
          <w:i/>
          <w:iCs/>
        </w:rPr>
        <w:t>supra</w:t>
      </w:r>
      <w:r w:rsidR="00E5116B" w:rsidRPr="00E5116B">
        <w:t xml:space="preserve"> note </w:t>
      </w:r>
      <w:r w:rsidR="00694859">
        <w:fldChar w:fldCharType="begin"/>
      </w:r>
      <w:r w:rsidR="00694859">
        <w:instrText xml:space="preserve"> NOTEREF _Ref114097085 \h </w:instrText>
      </w:r>
      <w:r w:rsidR="00694859">
        <w:fldChar w:fldCharType="separate"/>
      </w:r>
      <w:r w:rsidR="00405D69">
        <w:t>135</w:t>
      </w:r>
      <w:r w:rsidR="00694859">
        <w:fldChar w:fldCharType="end"/>
      </w:r>
      <w:r w:rsidR="00E5116B" w:rsidRPr="00E5116B">
        <w:t>, at 693</w:t>
      </w:r>
      <w:r w:rsidR="000466D5">
        <w:fldChar w:fldCharType="end"/>
      </w:r>
      <w:r w:rsidR="00A05C4F">
        <w:t>.</w:t>
      </w:r>
    </w:p>
  </w:footnote>
  <w:footnote w:id="150">
    <w:p w14:paraId="6AB6BB26" w14:textId="2CFE9807" w:rsidR="003C1E9E" w:rsidRPr="00F15925" w:rsidRDefault="003C1E9E">
      <w:pPr>
        <w:pStyle w:val="FootnoteText"/>
        <w:rPr>
          <w:u w:val="single"/>
        </w:rPr>
      </w:pPr>
      <w:r>
        <w:rPr>
          <w:rStyle w:val="FootnoteReference"/>
        </w:rPr>
        <w:footnoteRef/>
      </w:r>
      <w:r>
        <w:t xml:space="preserve"> </w:t>
      </w:r>
      <w:r>
        <w:rPr>
          <w:i/>
          <w:iCs/>
        </w:rPr>
        <w:t xml:space="preserve">See generally </w:t>
      </w:r>
      <w:r>
        <w:t xml:space="preserve">Sklansky, </w:t>
      </w:r>
      <w:r>
        <w:rPr>
          <w:i/>
          <w:iCs/>
          <w:u w:val="single"/>
        </w:rPr>
        <w:t>supra</w:t>
      </w:r>
      <w:r>
        <w:rPr>
          <w:u w:val="single"/>
        </w:rPr>
        <w:t xml:space="preserve"> note_. </w:t>
      </w:r>
    </w:p>
  </w:footnote>
  <w:footnote w:id="151">
    <w:p w14:paraId="014AA0B3" w14:textId="064F5EA4" w:rsidR="00ED77D5" w:rsidRDefault="00ED77D5">
      <w:pPr>
        <w:pStyle w:val="FootnoteText"/>
      </w:pPr>
      <w:r w:rsidRPr="002A4234">
        <w:rPr>
          <w:rStyle w:val="FootnoteReference"/>
        </w:rPr>
        <w:footnoteRef/>
      </w:r>
      <w:r>
        <w:t xml:space="preserve"> </w:t>
      </w:r>
      <w:r w:rsidR="00087B83" w:rsidRPr="00087B83">
        <w:t>514 U.S. 927</w:t>
      </w:r>
      <w:r w:rsidR="00087B83">
        <w:t>, 929</w:t>
      </w:r>
      <w:r w:rsidR="00087B83" w:rsidRPr="00087B83">
        <w:t xml:space="preserve"> (1995)</w:t>
      </w:r>
      <w:r w:rsidR="00087B83">
        <w:t xml:space="preserve">. </w:t>
      </w:r>
      <w:r w:rsidR="00640E70">
        <w:t xml:space="preserve">Justice Gorsuch endorsed this view while sitting on the Tenth Circuit. </w:t>
      </w:r>
      <w:r w:rsidR="00105506" w:rsidRPr="00105506">
        <w:t>United States v. Krueger, 809 F.3d 1109, 1123 (10th Cir. 2015)</w:t>
      </w:r>
      <w:r w:rsidR="004818F7">
        <w:t xml:space="preserve"> (Gorsuch, J.)</w:t>
      </w:r>
      <w:r w:rsidR="00AC5DCB">
        <w:t xml:space="preserve"> </w:t>
      </w:r>
      <w:r w:rsidR="00231049">
        <w:t>(asserting that “</w:t>
      </w:r>
      <w:r w:rsidR="00640E70" w:rsidRPr="00640E70">
        <w:t>the Fourth Amendment embraces the protections against unreasonable searches and seizures that existed at common law at the time of its adoption</w:t>
      </w:r>
      <w:r w:rsidR="00231049">
        <w:t>.”).</w:t>
      </w:r>
    </w:p>
  </w:footnote>
  <w:footnote w:id="152">
    <w:p w14:paraId="2AD70BD8" w14:textId="0CCC22F2" w:rsidR="00264645" w:rsidRDefault="00264645" w:rsidP="00264645">
      <w:pPr>
        <w:pStyle w:val="FootnoteText"/>
      </w:pPr>
      <w:r w:rsidRPr="002A4234">
        <w:rPr>
          <w:rStyle w:val="FootnoteReference"/>
        </w:rPr>
        <w:footnoteRef/>
      </w:r>
      <w:r>
        <w:t xml:space="preserve"> </w:t>
      </w:r>
      <w:r>
        <w:fldChar w:fldCharType="begin"/>
      </w:r>
      <w:r w:rsidR="00E5116B">
        <w:instrText xml:space="preserve"> ADDIN ZOTERO_ITEM CSL_CITATION {"citationID":"oXwDsYOI","properties":{"formattedCitation":"Sklansky, {\\i{}supra} note 23, at 1806","plainCitation":"Sklansky, supra note 23, at 1806","noteIndex":146},"citationItems":[{"id":2977,"uris":["http://zotero.org/groups/2816150/items/PD4ANHYI"],"uri":["http://zotero.org/groups/2816150/items/PD4ANHYI"],"itemData":{"id":2977,"type":"article-journal","container-title":"Columbia Law Review","journalAbbreviation":"Colum. L. Rev.","page":"1739–1814","source":"Google Scholar","title":"The Fourth Amendment and Common Law","volume":"100","author":[{"family":"Sklansky","given":"David A."}],"issued":{"date-parts":[["2000"]]}},"locator":"1806","label":"page"}],"schema":"https://github.com/citation-style-language/schema/raw/master/csl-citation.json"} </w:instrText>
      </w:r>
      <w:r>
        <w:fldChar w:fldCharType="separate"/>
      </w:r>
      <w:r w:rsidR="00E5116B" w:rsidRPr="00E5116B">
        <w:t xml:space="preserve">Sklansky, </w:t>
      </w:r>
      <w:r w:rsidR="00E5116B" w:rsidRPr="00E5116B">
        <w:rPr>
          <w:i/>
          <w:iCs/>
        </w:rPr>
        <w:t>supra</w:t>
      </w:r>
      <w:r w:rsidR="00E5116B" w:rsidRPr="00E5116B">
        <w:t xml:space="preserve"> note </w:t>
      </w:r>
      <w:r w:rsidR="00D931A7">
        <w:fldChar w:fldCharType="begin"/>
      </w:r>
      <w:r w:rsidR="00D931A7">
        <w:instrText xml:space="preserve"> NOTEREF _Ref113021312 \h </w:instrText>
      </w:r>
      <w:r w:rsidR="00D931A7">
        <w:fldChar w:fldCharType="separate"/>
      </w:r>
      <w:r w:rsidR="00405D69">
        <w:t>24</w:t>
      </w:r>
      <w:r w:rsidR="00D931A7">
        <w:fldChar w:fldCharType="end"/>
      </w:r>
      <w:r w:rsidR="00E5116B" w:rsidRPr="00E5116B">
        <w:t>, at 1806</w:t>
      </w:r>
      <w:r>
        <w:fldChar w:fldCharType="end"/>
      </w:r>
      <w:r w:rsidR="00A05C4F">
        <w:t>.</w:t>
      </w:r>
    </w:p>
  </w:footnote>
  <w:footnote w:id="153">
    <w:p w14:paraId="42850AD8" w14:textId="5E0790FC" w:rsidR="00451283" w:rsidRDefault="00451283" w:rsidP="00451283">
      <w:pPr>
        <w:pStyle w:val="FootnoteText"/>
      </w:pPr>
      <w:r w:rsidRPr="002A4234">
        <w:rPr>
          <w:rStyle w:val="FootnoteReference"/>
        </w:rPr>
        <w:footnoteRef/>
      </w:r>
      <w:r>
        <w:t xml:space="preserve"> </w:t>
      </w:r>
      <w:r>
        <w:fldChar w:fldCharType="begin"/>
      </w:r>
      <w:r w:rsidR="00E5116B">
        <w:instrText xml:space="preserve"> ADDIN ZOTERO_ITEM CSL_CITATION {"citationID":"1nQigP0t","properties":{"formattedCitation":"Thomas, {\\i{}supra} note 139, at 86","plainCitation":"Thomas, supra note 139, at 86","noteIndex":147},"citationItems":[{"id":3276,"uris":["http://zotero.org/groups/2816150/items/EPGVL9XX"],"uri":["http://zotero.org/groups/2816150/items/EPGVL9XX"],"itemData":{"id":3276,"type":"article-journal","container-title":"William &amp; Mary Bill of Rights Journal","issue":"1","journalAbbreviation":"Wm. &amp; Mary Bill Rts. J.","language":"eng","page":"85-122","source":"HeinOnline","title":"The Common Law Endures in the Fourth Amendment","volume":"27","author":[{"family":"Thomas","given":"George C.","suffix":"III"}],"issued":{"date-parts":[["2018"]]}},"locator":"86","label":"page"}],"schema":"https://github.com/citation-style-language/schema/raw/master/csl-citation.json"} </w:instrText>
      </w:r>
      <w:r>
        <w:fldChar w:fldCharType="separate"/>
      </w:r>
      <w:r w:rsidR="00E5116B" w:rsidRPr="00E5116B">
        <w:t xml:space="preserve">Thomas, </w:t>
      </w:r>
      <w:r w:rsidR="00E5116B" w:rsidRPr="00E5116B">
        <w:rPr>
          <w:i/>
          <w:iCs/>
        </w:rPr>
        <w:t>supra</w:t>
      </w:r>
      <w:r w:rsidR="00E5116B" w:rsidRPr="00E5116B">
        <w:t xml:space="preserve"> note </w:t>
      </w:r>
      <w:r w:rsidR="00401C5B">
        <w:fldChar w:fldCharType="begin"/>
      </w:r>
      <w:r w:rsidR="00401C5B">
        <w:instrText xml:space="preserve"> NOTEREF _Ref114097449 \h </w:instrText>
      </w:r>
      <w:r w:rsidR="00401C5B">
        <w:fldChar w:fldCharType="separate"/>
      </w:r>
      <w:r w:rsidR="00405D69">
        <w:t>141</w:t>
      </w:r>
      <w:r w:rsidR="00401C5B">
        <w:fldChar w:fldCharType="end"/>
      </w:r>
      <w:r w:rsidR="00E5116B" w:rsidRPr="00E5116B">
        <w:t>, at 86</w:t>
      </w:r>
      <w:r>
        <w:fldChar w:fldCharType="end"/>
      </w:r>
      <w:r w:rsidR="00A05C4F">
        <w:t>.</w:t>
      </w:r>
    </w:p>
  </w:footnote>
  <w:footnote w:id="154">
    <w:p w14:paraId="6CA0BC05" w14:textId="08AE748A" w:rsidR="00483C3D" w:rsidRDefault="00483C3D" w:rsidP="00483C3D">
      <w:pPr>
        <w:pStyle w:val="FootnoteText"/>
      </w:pPr>
      <w:r w:rsidRPr="002A4234">
        <w:rPr>
          <w:rStyle w:val="FootnoteReference"/>
        </w:rPr>
        <w:footnoteRef/>
      </w:r>
      <w:r>
        <w:t xml:space="preserve"> </w:t>
      </w:r>
      <w:r>
        <w:fldChar w:fldCharType="begin"/>
      </w:r>
      <w:r w:rsidR="00E5116B">
        <w:instrText xml:space="preserve"> ADDIN ZOTERO_ITEM CSL_CITATION {"citationID":"pfFzKELE","properties":{"formattedCitation":"Maureen E. Brady, {\\i{}The Lost Effects of the Fourth Amendment: Giving Personal Property Due Protection}, 125 {\\scaps Yale L. J.} 946, 1000 (2016)","plainCitation":"Maureen E. Brady, The Lost Effects of the Fourth Amendment: Giving Personal Property Due Protection, 125 Yale L. J. 946, 1000 (2016)","noteIndex":148},"citationItems":[{"id":2943,"uris":["http://zotero.org/groups/2816150/items/GHXGMBTE"],"uri":["http://zotero.org/groups/2816150/items/GHXGMBTE"],"itemData":{"id":2943,"type":"article-journal","container-title":"Yale Law Journal","issue":"4","journalAbbreviation":"Yale L. J.","language":"eng","page":"946-1017","source":"HeinOnline","title":"The Lost Effects of the Fourth Amendment: Giving Personal Property Due Protection","title-short":"The Lost Effects of the Fourth Amendment","volume":"125","author":[{"family":"Brady","given":"Maureen E."}],"issued":{"date-parts":[["2016"]]}},"locator":"1000","label":"page"}],"schema":"https://github.com/citation-style-language/schema/raw/master/csl-citation.json"} </w:instrText>
      </w:r>
      <w:r>
        <w:fldChar w:fldCharType="separate"/>
      </w:r>
      <w:r w:rsidR="00E5116B" w:rsidRPr="00E5116B">
        <w:t xml:space="preserve">Maureen E. Brady, </w:t>
      </w:r>
      <w:r w:rsidR="00E5116B" w:rsidRPr="00E5116B">
        <w:rPr>
          <w:i/>
          <w:iCs/>
        </w:rPr>
        <w:t>The Lost Effects of the Fourth Amendment: Giving Personal Property Due Protection</w:t>
      </w:r>
      <w:r w:rsidR="00E5116B" w:rsidRPr="00E5116B">
        <w:t xml:space="preserve">, 125 </w:t>
      </w:r>
      <w:r w:rsidR="00E5116B" w:rsidRPr="00E5116B">
        <w:rPr>
          <w:smallCaps/>
        </w:rPr>
        <w:t>Yale L.J.</w:t>
      </w:r>
      <w:r w:rsidR="00E5116B" w:rsidRPr="00E5116B">
        <w:t xml:space="preserve"> 946, 1000 (2016)</w:t>
      </w:r>
      <w:r>
        <w:fldChar w:fldCharType="end"/>
      </w:r>
      <w:r w:rsidR="00A05C4F">
        <w:t>.</w:t>
      </w:r>
    </w:p>
  </w:footnote>
  <w:footnote w:id="155">
    <w:p w14:paraId="311022B7" w14:textId="40C4DC17" w:rsidR="00B7327B" w:rsidRPr="00803239" w:rsidRDefault="00B7327B" w:rsidP="00B7327B">
      <w:pPr>
        <w:pStyle w:val="FootnoteText"/>
      </w:pPr>
      <w:r w:rsidRPr="002A4234">
        <w:rPr>
          <w:rStyle w:val="FootnoteReference"/>
        </w:rPr>
        <w:footnoteRef/>
      </w:r>
      <w:r w:rsidR="00A65B9C">
        <w:t xml:space="preserve"> </w:t>
      </w:r>
      <w:r w:rsidR="00A65B9C" w:rsidRPr="00C77210">
        <w:t>United States v. Jones, 565 U.S. 400, 41</w:t>
      </w:r>
      <w:r w:rsidR="00A65B9C">
        <w:t xml:space="preserve">8 </w:t>
      </w:r>
      <w:r w:rsidR="00A65B9C" w:rsidRPr="00C77210">
        <w:t>(2012)</w:t>
      </w:r>
      <w:r>
        <w:t xml:space="preserve"> (Alito, J., concurring in the judgment).</w:t>
      </w:r>
    </w:p>
  </w:footnote>
  <w:footnote w:id="156">
    <w:p w14:paraId="53109574" w14:textId="5B3C3306" w:rsidR="00B7327B" w:rsidRPr="00341C90" w:rsidRDefault="00B7327B" w:rsidP="00B7327B">
      <w:pPr>
        <w:pStyle w:val="FootnoteText"/>
      </w:pPr>
      <w:r w:rsidRPr="002A4234">
        <w:rPr>
          <w:rStyle w:val="FootnoteReference"/>
        </w:rPr>
        <w:footnoteRef/>
      </w:r>
      <w:r>
        <w:t xml:space="preserve"> </w:t>
      </w:r>
      <w:r>
        <w:rPr>
          <w:i/>
          <w:iCs/>
        </w:rPr>
        <w:t>Id.</w:t>
      </w:r>
      <w:r>
        <w:t xml:space="preserve"> at 420 n.3.</w:t>
      </w:r>
    </w:p>
  </w:footnote>
  <w:footnote w:id="157">
    <w:p w14:paraId="36957962" w14:textId="5D00410E" w:rsidR="0033606A" w:rsidRDefault="0033606A">
      <w:pPr>
        <w:pStyle w:val="FootnoteText"/>
      </w:pPr>
      <w:r w:rsidRPr="002A4234">
        <w:rPr>
          <w:rStyle w:val="FootnoteReference"/>
        </w:rPr>
        <w:footnoteRef/>
      </w:r>
      <w:r>
        <w:t xml:space="preserve"> </w:t>
      </w:r>
      <w:r w:rsidR="00980094">
        <w:t>In</w:t>
      </w:r>
      <w:r w:rsidR="005C025C">
        <w:t>deed</w:t>
      </w:r>
      <w:r w:rsidR="00566AF6">
        <w:t xml:space="preserve">, the </w:t>
      </w:r>
      <w:r w:rsidR="0097763F">
        <w:t xml:space="preserve">malleability of the common law was one of </w:t>
      </w:r>
      <w:r w:rsidR="000E3032">
        <w:t xml:space="preserve">would-be reformer </w:t>
      </w:r>
      <w:r w:rsidR="0097763F">
        <w:t>Jeremy Bentham’s</w:t>
      </w:r>
      <w:r w:rsidR="00566AF6">
        <w:t xml:space="preserve"> </w:t>
      </w:r>
      <w:r w:rsidR="000E3032">
        <w:t>critiques</w:t>
      </w:r>
      <w:r w:rsidR="00236F78">
        <w:t xml:space="preserve"> </w:t>
      </w:r>
      <w:r w:rsidR="000E3032">
        <w:t>of</w:t>
      </w:r>
      <w:r w:rsidR="00236F78">
        <w:t xml:space="preserve"> </w:t>
      </w:r>
      <w:r w:rsidR="00DB2258">
        <w:t>it</w:t>
      </w:r>
      <w:r w:rsidR="00236F78">
        <w:t>. I</w:t>
      </w:r>
      <w:r w:rsidR="005C025C">
        <w:t>n</w:t>
      </w:r>
      <w:r w:rsidR="00980094">
        <w:t xml:space="preserve"> 1811, </w:t>
      </w:r>
      <w:r>
        <w:t xml:space="preserve">Bentham famously wrote to Madison </w:t>
      </w:r>
      <w:r w:rsidR="00A004FC">
        <w:t xml:space="preserve">offering to </w:t>
      </w:r>
      <w:r w:rsidR="003A267B">
        <w:t>“arrange” the substance of the common law into a code for the new nation</w:t>
      </w:r>
      <w:r w:rsidR="00FA0B7E">
        <w:t xml:space="preserve"> to </w:t>
      </w:r>
      <w:r w:rsidR="00E31A88">
        <w:t>give it what he viewed to be a more stable body of law.</w:t>
      </w:r>
      <w:r w:rsidR="00E53101">
        <w:t xml:space="preserve"> </w:t>
      </w:r>
      <w:r w:rsidR="009913C7">
        <w:t>“</w:t>
      </w:r>
      <w:r w:rsidR="00E53101" w:rsidRPr="00E53101">
        <w:t xml:space="preserve">To James Madison from Jeremy Bentham, 30 October 1811,” </w:t>
      </w:r>
      <w:r w:rsidR="000E3032">
        <w:rPr>
          <w:i/>
          <w:iCs/>
        </w:rPr>
        <w:t>in</w:t>
      </w:r>
      <w:r w:rsidR="00E53101" w:rsidRPr="00E53101">
        <w:t xml:space="preserve"> </w:t>
      </w:r>
      <w:r w:rsidR="00236F78">
        <w:t>3</w:t>
      </w:r>
      <w:r w:rsidR="00E53101" w:rsidRPr="000E3032">
        <w:rPr>
          <w:smallCaps/>
        </w:rPr>
        <w:t xml:space="preserve"> The Papers of James Madison, Presidential Series</w:t>
      </w:r>
      <w:r w:rsidR="00E53101" w:rsidRPr="00E53101">
        <w:t xml:space="preserve"> </w:t>
      </w:r>
      <w:r w:rsidR="000E3032">
        <w:t>505 (</w:t>
      </w:r>
      <w:r w:rsidR="00E53101" w:rsidRPr="00E53101">
        <w:t xml:space="preserve">J.C.A. Stagg, Jeanne Kerr Cross, </w:t>
      </w:r>
      <w:r w:rsidR="000E3032">
        <w:t xml:space="preserve">&amp; </w:t>
      </w:r>
      <w:r w:rsidR="00E53101" w:rsidRPr="00E53101">
        <w:t>Susan Holbrook Perdue</w:t>
      </w:r>
      <w:r w:rsidR="000E3032">
        <w:t xml:space="preserve"> eds.</w:t>
      </w:r>
      <w:r w:rsidR="00E53101" w:rsidRPr="00E53101">
        <w:t xml:space="preserve"> 1996</w:t>
      </w:r>
      <w:r w:rsidR="000E3032">
        <w:t>).</w:t>
      </w:r>
    </w:p>
  </w:footnote>
  <w:footnote w:id="158">
    <w:p w14:paraId="74DF8056" w14:textId="5FC51A36" w:rsidR="001E5BD4" w:rsidRDefault="001E5BD4" w:rsidP="001E5BD4">
      <w:pPr>
        <w:pStyle w:val="FootnoteText"/>
      </w:pPr>
      <w:r w:rsidRPr="002A4234">
        <w:rPr>
          <w:rStyle w:val="FootnoteReference"/>
        </w:rPr>
        <w:footnoteRef/>
      </w:r>
      <w:r>
        <w:t xml:space="preserve"> </w:t>
      </w:r>
      <w:r w:rsidR="00A71A1E">
        <w:fldChar w:fldCharType="begin"/>
      </w:r>
      <w:r w:rsidR="00E5116B">
        <w:instrText xml:space="preserve"> ADDIN ZOTERO_ITEM CSL_CITATION {"citationID":"wljFxB57","properties":{"formattedCitation":"1 {\\scaps Blackstone}, {\\i{}supra} note 143, at *70","plainCitation":"1 Blackstone, supra note 143, at *70","noteIndex":152},"citationItems":[{"id":3233,"uris":["http://zotero.org/groups/2816150/items/ENRPQI2J"],"uri":["http://zotero.org/groups/2816150/items/ENRPQI2J"],"itemData":{"id":3233,"type":"book","number-of-volumes":"4","title":"Commentaries","author":[{"family":"Blackstone","given":"William"}]},"locator":"*70","label":"page","prefix":"1"}],"schema":"https://github.com/citation-style-language/schema/raw/master/csl-citation.json"} </w:instrText>
      </w:r>
      <w:r w:rsidR="00A71A1E">
        <w:fldChar w:fldCharType="separate"/>
      </w:r>
      <w:r w:rsidR="00E5116B" w:rsidRPr="00E5116B">
        <w:t xml:space="preserve">1 </w:t>
      </w:r>
      <w:r w:rsidR="00E5116B" w:rsidRPr="00E5116B">
        <w:rPr>
          <w:smallCaps/>
        </w:rPr>
        <w:t>Blackstone</w:t>
      </w:r>
      <w:r w:rsidR="00E5116B" w:rsidRPr="00E5116B">
        <w:t xml:space="preserve">, </w:t>
      </w:r>
      <w:r w:rsidR="00E5116B" w:rsidRPr="00E5116B">
        <w:rPr>
          <w:i/>
          <w:iCs/>
        </w:rPr>
        <w:t>supra</w:t>
      </w:r>
      <w:r w:rsidR="00E5116B" w:rsidRPr="00E5116B">
        <w:t xml:space="preserve"> note </w:t>
      </w:r>
      <w:r w:rsidR="00A12390">
        <w:fldChar w:fldCharType="begin"/>
      </w:r>
      <w:r w:rsidR="00A12390">
        <w:instrText xml:space="preserve"> NOTEREF _Ref114097728 \h </w:instrText>
      </w:r>
      <w:r w:rsidR="00A12390">
        <w:fldChar w:fldCharType="separate"/>
      </w:r>
      <w:r w:rsidR="00405D69">
        <w:t>145</w:t>
      </w:r>
      <w:r w:rsidR="00A12390">
        <w:fldChar w:fldCharType="end"/>
      </w:r>
      <w:r w:rsidR="00E5116B" w:rsidRPr="00E5116B">
        <w:t>, at *70</w:t>
      </w:r>
      <w:r w:rsidR="00A71A1E">
        <w:fldChar w:fldCharType="end"/>
      </w:r>
      <w:r w:rsidR="00A05C4F">
        <w:t>.</w:t>
      </w:r>
    </w:p>
  </w:footnote>
  <w:footnote w:id="159">
    <w:p w14:paraId="13781E33" w14:textId="278B6FBF" w:rsidR="003B230E" w:rsidRDefault="003B230E">
      <w:pPr>
        <w:pStyle w:val="FootnoteText"/>
      </w:pPr>
      <w:r w:rsidRPr="002A4234">
        <w:rPr>
          <w:rStyle w:val="FootnoteReference"/>
        </w:rPr>
        <w:footnoteRef/>
      </w:r>
      <w:r>
        <w:t xml:space="preserve"> </w:t>
      </w:r>
      <w:r>
        <w:fldChar w:fldCharType="begin"/>
      </w:r>
      <w:r w:rsidR="00E5116B">
        <w:instrText xml:space="preserve"> ADDIN ZOTERO_ITEM CSL_CITATION {"citationID":"XyqkadzH","properties":{"formattedCitation":"Michael W. McConnell, {\\i{}Tradition and Constitutionalism before the Constitution}, 1998 {\\scaps U. Ill. L. Rev.} 173, 186","plainCitation":"Michael W. McConnell, Tradition and Constitutionalism before the Constitution, 1998 U. Ill. L. Rev. 173, 186","noteIndex":153},"citationItems":[{"id":3252,"uris":["http://zotero.org/groups/2816150/items/IUYU3NRT"],"uri":["http://zotero.org/groups/2816150/items/IUYU3NRT"],"itemData":{"id":3252,"type":"article-journal","container-title":"University of Illinois Law Review","issue":"1","journalAbbreviation":"U. Ill. L. Rev.","language":"eng","page":"173-198","source":"HeinOnline","title":"Tradition and Constitutionalism before the Constitution","volume":"1998","author":[{"family":"McConnell","given":"Michael W."}]},"locator":"186","label":"page"}],"schema":"https://github.com/citation-style-language/schema/raw/master/csl-citation.json"} </w:instrText>
      </w:r>
      <w:r>
        <w:fldChar w:fldCharType="separate"/>
      </w:r>
      <w:r w:rsidR="00E5116B" w:rsidRPr="00E5116B">
        <w:t xml:space="preserve">Michael W. McConnell, </w:t>
      </w:r>
      <w:r w:rsidR="00E5116B" w:rsidRPr="00E5116B">
        <w:rPr>
          <w:i/>
          <w:iCs/>
        </w:rPr>
        <w:t xml:space="preserve">Tradition and Constitutionalism </w:t>
      </w:r>
      <w:r w:rsidR="007912A3" w:rsidRPr="00E5116B">
        <w:rPr>
          <w:i/>
          <w:iCs/>
        </w:rPr>
        <w:t>before</w:t>
      </w:r>
      <w:r w:rsidR="00E5116B" w:rsidRPr="00E5116B">
        <w:rPr>
          <w:i/>
          <w:iCs/>
        </w:rPr>
        <w:t xml:space="preserve"> the Constitution</w:t>
      </w:r>
      <w:r w:rsidR="00E5116B" w:rsidRPr="00E5116B">
        <w:t xml:space="preserve">, 1998 </w:t>
      </w:r>
      <w:r w:rsidR="00E5116B" w:rsidRPr="00E5116B">
        <w:rPr>
          <w:smallCaps/>
        </w:rPr>
        <w:t>U. Ill. L. Rev.</w:t>
      </w:r>
      <w:r w:rsidR="00E5116B" w:rsidRPr="00E5116B">
        <w:t xml:space="preserve"> 173, 186</w:t>
      </w:r>
      <w:r>
        <w:fldChar w:fldCharType="end"/>
      </w:r>
      <w:r w:rsidR="00A05C4F">
        <w:t>.</w:t>
      </w:r>
    </w:p>
  </w:footnote>
  <w:footnote w:id="160">
    <w:p w14:paraId="03555D94" w14:textId="1170E972" w:rsidR="00811A12" w:rsidRDefault="00811A12">
      <w:pPr>
        <w:pStyle w:val="FootnoteText"/>
      </w:pPr>
      <w:r w:rsidRPr="002A4234">
        <w:rPr>
          <w:rStyle w:val="FootnoteReference"/>
        </w:rPr>
        <w:footnoteRef/>
      </w:r>
      <w:r>
        <w:t xml:space="preserve"> </w:t>
      </w:r>
      <w:r>
        <w:fldChar w:fldCharType="begin"/>
      </w:r>
      <w:r w:rsidR="00E5116B">
        <w:instrText xml:space="preserve"> ADDIN ZOTERO_ITEM CSL_CITATION {"citationID":"iIXEKWVZ","properties":{"formattedCitation":"{\\i{}Id.} at 188","plainCitation":"Id. at 188","noteIndex":154},"citationItems":[{"id":3252,"uris":["http://zotero.org/groups/2816150/items/IUYU3NRT"],"uri":["http://zotero.org/groups/2816150/items/IUYU3NRT"],"itemData":{"id":3252,"type":"article-journal","container-title":"University of Illinois Law Review","issue":"1","journalAbbreviation":"U. Ill. L. Rev.","language":"eng","page":"173-198","source":"HeinOnline","title":"Tradition and Constitutionalism before the Constitution","volume":"1998","author":[{"family":"McConnell","given":"Michael W."}]},"locator":"188","label":"page"}],"schema":"https://github.com/citation-style-language/schema/raw/master/csl-citation.json"} </w:instrText>
      </w:r>
      <w:r>
        <w:fldChar w:fldCharType="separate"/>
      </w:r>
      <w:r w:rsidR="00E5116B" w:rsidRPr="00E5116B">
        <w:rPr>
          <w:i/>
          <w:iCs/>
        </w:rPr>
        <w:t>Id.</w:t>
      </w:r>
      <w:r w:rsidR="00E5116B" w:rsidRPr="00E5116B">
        <w:t xml:space="preserve"> at 188</w:t>
      </w:r>
      <w:r>
        <w:fldChar w:fldCharType="end"/>
      </w:r>
      <w:r w:rsidR="00A05C4F">
        <w:t>.</w:t>
      </w:r>
    </w:p>
  </w:footnote>
  <w:footnote w:id="161">
    <w:p w14:paraId="3946ADB5" w14:textId="5E4E8CBB" w:rsidR="00173A0F" w:rsidRDefault="00173A0F">
      <w:pPr>
        <w:pStyle w:val="FootnoteText"/>
      </w:pPr>
      <w:r w:rsidRPr="002A4234">
        <w:rPr>
          <w:rStyle w:val="FootnoteReference"/>
        </w:rPr>
        <w:footnoteRef/>
      </w:r>
      <w:r w:rsidRPr="00502484">
        <w:t xml:space="preserve"> </w:t>
      </w:r>
      <w:r w:rsidR="00502484">
        <w:rPr>
          <w:i/>
          <w:iCs/>
        </w:rPr>
        <w:t xml:space="preserve">See </w:t>
      </w:r>
      <w:r w:rsidR="00502484">
        <w:rPr>
          <w:i/>
          <w:iCs/>
        </w:rPr>
        <w:fldChar w:fldCharType="begin"/>
      </w:r>
      <w:r w:rsidR="00740267">
        <w:rPr>
          <w:i/>
          <w:iCs/>
        </w:rPr>
        <w:instrText xml:space="preserve"> ADDIN ZOTERO_ITEM CSL_CITATION {"citationID":"MxfSD1d2","properties":{"formattedCitation":"Mannheimer, {\\i{}supra} note 73, at 1268\\uc0\\u8211{}74","plainCitation":"Mannheimer, supra note 73, at 1268–74","noteIndex":155},"citationItems":[{"id":3215,"uris":["http://zotero.org/groups/2816150/items/VNEZN6NV"],"uri":["http://zotero.org/groups/2816150/items/VNEZN6NV"],"itemData":{"id":3215,"type":"article-journal","container-title":"Emory Law Journal","issue":"5","journalAbbreviation":"Emory L.J.","language":"eng","page":"1229-1292","source":"HeinOnline","title":"The Contingent Fourth Amendment","volume":"64","author":[{"family":"Mannheimer","given":"Michael J. Zydney"}],"issued":{"date-parts":[["2015"]]}},"locator":"1268-74","label":"page"}],"schema":"https://github.com/citation-style-language/schema/raw/master/csl-citation.json"} </w:instrText>
      </w:r>
      <w:r w:rsidR="00502484">
        <w:rPr>
          <w:i/>
          <w:iCs/>
        </w:rPr>
        <w:fldChar w:fldCharType="separate"/>
      </w:r>
      <w:r w:rsidR="00740267" w:rsidRPr="00740267">
        <w:t xml:space="preserve">Mannheimer, </w:t>
      </w:r>
      <w:r w:rsidR="00740267" w:rsidRPr="00740267">
        <w:rPr>
          <w:i/>
          <w:iCs/>
        </w:rPr>
        <w:t>supra</w:t>
      </w:r>
      <w:r w:rsidR="00740267" w:rsidRPr="00740267">
        <w:t xml:space="preserve"> note </w:t>
      </w:r>
      <w:r w:rsidR="00AE2B95">
        <w:fldChar w:fldCharType="begin"/>
      </w:r>
      <w:r w:rsidR="00AE2B95">
        <w:instrText xml:space="preserve"> NOTEREF _Ref114097879 \h </w:instrText>
      </w:r>
      <w:r w:rsidR="00AE2B95">
        <w:fldChar w:fldCharType="separate"/>
      </w:r>
      <w:r w:rsidR="00405D69">
        <w:t>74</w:t>
      </w:r>
      <w:r w:rsidR="00AE2B95">
        <w:fldChar w:fldCharType="end"/>
      </w:r>
      <w:r w:rsidR="00740267" w:rsidRPr="00740267">
        <w:t>, at 1268</w:t>
      </w:r>
      <w:r w:rsidR="00D31679">
        <w:t>-</w:t>
      </w:r>
      <w:r w:rsidR="00740267" w:rsidRPr="00740267">
        <w:t>74</w:t>
      </w:r>
      <w:r w:rsidR="00502484">
        <w:rPr>
          <w:i/>
          <w:iCs/>
        </w:rPr>
        <w:fldChar w:fldCharType="end"/>
      </w:r>
      <w:r w:rsidR="00A05C4F">
        <w:t>.</w:t>
      </w:r>
    </w:p>
  </w:footnote>
  <w:footnote w:id="162">
    <w:p w14:paraId="078AC256" w14:textId="0A52E802" w:rsidR="004C531F" w:rsidRPr="008552DE" w:rsidRDefault="004C531F" w:rsidP="008552DE">
      <w:pPr>
        <w:pStyle w:val="FootnoteText"/>
      </w:pPr>
      <w:r w:rsidRPr="002A4234">
        <w:rPr>
          <w:rStyle w:val="FootnoteReference"/>
        </w:rPr>
        <w:footnoteRef/>
      </w:r>
      <w:r>
        <w:t xml:space="preserve"> </w:t>
      </w:r>
      <w:r>
        <w:fldChar w:fldCharType="begin"/>
      </w:r>
      <w:r w:rsidR="00E5116B">
        <w:instrText xml:space="preserve"> ADDIN ZOTERO_ITEM CSL_CITATION {"citationID":"u5e9tpN0","properties":{"formattedCitation":"M. Blane Michael, {\\i{}Reading the Fourth Amendment: Guidance from the Mischief That Gave It Birth}, 85 {\\scaps N.Y.U. L. Rev.} 905, 914 (2010)","plainCitation":"M. Blane Michael, Reading the Fourth Amendment: Guidance from the Mischief That Gave It Birth, 85 N.Y.U. L. Rev. 905, 914 (2010)","noteIndex":156},"citationItems":[{"id":3275,"uris":["http://zotero.org/groups/2816150/items/ITSUM6WV"],"uri":["http://zotero.org/groups/2816150/items/ITSUM6WV"],"itemData":{"id":3275,"type":"article-journal","container-title":"New York University Law Review","issue":"4","journalAbbreviation":"N.Y.U. L. Rev.","language":"eng","page":"905-931","source":"HeinOnline","title":"Reading the Fourth Amendment: Guidance from the Mischief That Gave It Birth","title-short":"Reading the Fourth Amendment","volume":"85","author":[{"family":"Michael","given":"M. Blane"}],"issued":{"date-parts":[["2010"]]}},"locator":"914","label":"page"}],"schema":"https://github.com/citation-style-language/schema/raw/master/csl-citation.json"} </w:instrText>
      </w:r>
      <w:r>
        <w:fldChar w:fldCharType="separate"/>
      </w:r>
      <w:r w:rsidR="00E5116B" w:rsidRPr="00E5116B">
        <w:t xml:space="preserve">M. Blane Michael, </w:t>
      </w:r>
      <w:r w:rsidR="00E5116B" w:rsidRPr="00E5116B">
        <w:rPr>
          <w:i/>
          <w:iCs/>
        </w:rPr>
        <w:t>Reading the Fourth Amendment: Guidance from the Mischief That Gave It Birth</w:t>
      </w:r>
      <w:r w:rsidR="00E5116B" w:rsidRPr="00E5116B">
        <w:t xml:space="preserve">, 85 </w:t>
      </w:r>
      <w:r w:rsidR="00E5116B" w:rsidRPr="00E5116B">
        <w:rPr>
          <w:smallCaps/>
        </w:rPr>
        <w:t>N.Y.U. L. Rev.</w:t>
      </w:r>
      <w:r w:rsidR="00E5116B" w:rsidRPr="00E5116B">
        <w:t xml:space="preserve"> 905, 914 (2010)</w:t>
      </w:r>
      <w:r>
        <w:fldChar w:fldCharType="end"/>
      </w:r>
      <w:r w:rsidR="008552DE">
        <w:t xml:space="preserve"> </w:t>
      </w:r>
      <w:r w:rsidR="008552DE">
        <w:rPr>
          <w:i/>
          <w:iCs/>
        </w:rPr>
        <w:t>See also, e.g.</w:t>
      </w:r>
      <w:r w:rsidR="008552DE">
        <w:t xml:space="preserve">, Andrew E. Taslitz, </w:t>
      </w:r>
      <w:r w:rsidR="008552DE" w:rsidRPr="00223B45">
        <w:rPr>
          <w:i/>
        </w:rPr>
        <w:t>Search and Seizure History As Conversation: A Reply to Bruce P. Smith</w:t>
      </w:r>
      <w:r w:rsidR="008552DE">
        <w:t xml:space="preserve">, 6 </w:t>
      </w:r>
      <w:r w:rsidR="008552DE" w:rsidRPr="00C87DB6">
        <w:rPr>
          <w:smallCaps/>
        </w:rPr>
        <w:t>Ohio St. J. Crim.</w:t>
      </w:r>
      <w:r w:rsidR="008552DE">
        <w:t xml:space="preserve"> L. 765, </w:t>
      </w:r>
      <w:r w:rsidR="0001067E">
        <w:t>795</w:t>
      </w:r>
      <w:r w:rsidR="008B1C91">
        <w:t xml:space="preserve"> n.107</w:t>
      </w:r>
      <w:r w:rsidR="008552DE">
        <w:t xml:space="preserve"> (2009) (</w:t>
      </w:r>
      <w:r w:rsidR="00C87DB6">
        <w:t>arguing that reading</w:t>
      </w:r>
      <w:r w:rsidR="008552DE" w:rsidRPr="008552DE">
        <w:t xml:space="preserve"> </w:t>
      </w:r>
      <w:r w:rsidR="00C87DB6">
        <w:t>the Fourth Amendment</w:t>
      </w:r>
      <w:r w:rsidR="008552DE" w:rsidRPr="008552DE">
        <w:t xml:space="preserve"> to prohibit only those searches prohibited in 1791 “misunderstands the common law as a fixed set of doctrines when it is really an approach to careful, flexible, and reasoned evolution of the law to meet changing circumstances</w:t>
      </w:r>
      <w:r w:rsidR="00BE0D27">
        <w:t>”</w:t>
      </w:r>
      <w:r w:rsidR="00C87DB6">
        <w:t>).</w:t>
      </w:r>
    </w:p>
  </w:footnote>
  <w:footnote w:id="163">
    <w:p w14:paraId="27DEAEA1" w14:textId="03CC54C2" w:rsidR="00D676BB" w:rsidRPr="00D676BB" w:rsidRDefault="00D676BB">
      <w:pPr>
        <w:pStyle w:val="FootnoteText"/>
      </w:pPr>
      <w:r w:rsidRPr="002A4234">
        <w:rPr>
          <w:rStyle w:val="FootnoteReference"/>
        </w:rPr>
        <w:footnoteRef/>
      </w:r>
      <w:r>
        <w:t xml:space="preserve"> </w:t>
      </w:r>
      <w:r>
        <w:rPr>
          <w:i/>
          <w:iCs/>
        </w:rPr>
        <w:t>See, e.g.</w:t>
      </w:r>
      <w:r>
        <w:t xml:space="preserve">, </w:t>
      </w:r>
      <w:r>
        <w:fldChar w:fldCharType="begin"/>
      </w:r>
      <w:r w:rsidR="00E5116B">
        <w:instrText xml:space="preserve"> ADDIN ZOTERO_ITEM CSL_CITATION {"citationID":"tYbqmUVG","properties":{"formattedCitation":"Amar, {\\i{}supra} note 8, at 818","plainCitation":"Amar, supra note 8, at 818","noteIndex":157},"citationItems":[{"id":2964,"uris":["http://zotero.org/groups/2816150/items/LLINRXLZ"],"uri":["http://zotero.org/groups/2816150/items/LLINRXLZ"],"itemData":{"id":2964,"type":"article-journal","container-title":"Harvard Law Review","journalAbbreviation":"Harv. L. Rev.","page":"757","title":"Fourth Amendment First Principles","volume":"107","author":[{"family":"Amar","given":"Akhil Reed"}],"issued":{"date-parts":[["1994"]]}},"locator":"818","label":"page"}],"schema":"https://github.com/citation-style-language/schema/raw/master/csl-citation.json"} </w:instrText>
      </w:r>
      <w:r>
        <w:fldChar w:fldCharType="separate"/>
      </w:r>
      <w:r w:rsidR="00E5116B" w:rsidRPr="00E5116B">
        <w:t xml:space="preserve">Amar, </w:t>
      </w:r>
      <w:r w:rsidR="00E5116B" w:rsidRPr="00E5116B">
        <w:rPr>
          <w:i/>
          <w:iCs/>
        </w:rPr>
        <w:t>supra</w:t>
      </w:r>
      <w:r w:rsidR="00E5116B" w:rsidRPr="00E5116B">
        <w:t xml:space="preserve"> note </w:t>
      </w:r>
      <w:r w:rsidR="0019233C">
        <w:fldChar w:fldCharType="begin"/>
      </w:r>
      <w:r w:rsidR="0019233C">
        <w:instrText xml:space="preserve"> NOTEREF _Ref114098122 \h </w:instrText>
      </w:r>
      <w:r w:rsidR="0019233C">
        <w:fldChar w:fldCharType="separate"/>
      </w:r>
      <w:r w:rsidR="00405D69">
        <w:t>8</w:t>
      </w:r>
      <w:r w:rsidR="0019233C">
        <w:fldChar w:fldCharType="end"/>
      </w:r>
      <w:r w:rsidR="00E5116B" w:rsidRPr="00E5116B">
        <w:t>, at 818</w:t>
      </w:r>
      <w:r>
        <w:fldChar w:fldCharType="end"/>
      </w:r>
      <w:r>
        <w:t xml:space="preserve"> (“‘R</w:t>
      </w:r>
      <w:r w:rsidRPr="00446702">
        <w:t>easonableness</w:t>
      </w:r>
      <w:r>
        <w:t>’</w:t>
      </w:r>
      <w:r w:rsidRPr="00446702">
        <w:t xml:space="preserve"> is not some set of specific rules, frozen in 1791 or </w:t>
      </w:r>
      <w:r>
        <w:t>1</w:t>
      </w:r>
      <w:r w:rsidRPr="00446702">
        <w:t>868 amber</w:t>
      </w:r>
      <w:r w:rsidR="00FA7FDB">
        <w:t>.</w:t>
      </w:r>
      <w:r>
        <w:t xml:space="preserve">”); </w:t>
      </w:r>
      <w:r w:rsidR="00650C11">
        <w:fldChar w:fldCharType="begin"/>
      </w:r>
      <w:r w:rsidR="00E5116B">
        <w:instrText xml:space="preserve"> ADDIN ZOTERO_ITEM CSL_CITATION {"citationID":"Mv5uYMfE","properties":{"formattedCitation":"Richard M. Re, {\\i{}Fourth Amendment Fairness}, 116 {\\scaps Mich. L. Rev.} 1409, 1416\\uc0\\u8211{}17 (2018)","plainCitation":"Richard M. Re, Fourth Amendment Fairness, 116 Mich. L. Rev. 1409, 1416–17 (2018)","noteIndex":157},"citationItems":[{"id":2961,"uris":["http://zotero.org/groups/2816150/items/GRU3UDHW"],"uri":["http://zotero.org/groups/2816150/items/GRU3UDHW"],"itemData":{"id":2961,"type":"article-journal","container-title":"Michigan Law Review","journalAbbreviation":"Mich. L. Rev.","page":"1409","title":"Fourth Amendment Fairness","volume":"116","author":[{"family":"Re","given":"Richard M."}],"issued":{"date-parts":[["2018"]]}},"locator":"1416-17","label":"page"}],"schema":"https://github.com/citation-style-language/schema/raw/master/csl-citation.json"} </w:instrText>
      </w:r>
      <w:r w:rsidR="00650C11">
        <w:fldChar w:fldCharType="separate"/>
      </w:r>
      <w:r w:rsidR="00E5116B" w:rsidRPr="00E5116B">
        <w:t xml:space="preserve">Richard M. Re, </w:t>
      </w:r>
      <w:r w:rsidR="00E5116B" w:rsidRPr="00E5116B">
        <w:rPr>
          <w:i/>
          <w:iCs/>
        </w:rPr>
        <w:t>Fourth Amendment Fairness</w:t>
      </w:r>
      <w:r w:rsidR="00E5116B" w:rsidRPr="00E5116B">
        <w:t xml:space="preserve">, 116 </w:t>
      </w:r>
      <w:r w:rsidR="00E5116B" w:rsidRPr="00E5116B">
        <w:rPr>
          <w:smallCaps/>
        </w:rPr>
        <w:t>Mich. L. Rev.</w:t>
      </w:r>
      <w:r w:rsidR="00E5116B" w:rsidRPr="00E5116B">
        <w:t xml:space="preserve"> 1409, 1416</w:t>
      </w:r>
      <w:r w:rsidR="00FA7FDB">
        <w:t>-</w:t>
      </w:r>
      <w:r w:rsidR="00E5116B" w:rsidRPr="00E5116B">
        <w:t>17 (2018)</w:t>
      </w:r>
      <w:r w:rsidR="00650C11">
        <w:fldChar w:fldCharType="end"/>
      </w:r>
      <w:r w:rsidR="009D2C89">
        <w:t xml:space="preserve"> (“</w:t>
      </w:r>
      <w:r w:rsidR="009D2C89" w:rsidRPr="009D2C89">
        <w:t>In referring to unreasonable searches and seizures, the Fourth Amendment invoked the principles and aspirations that underlay the common law</w:t>
      </w:r>
      <w:r w:rsidR="009D2C89">
        <w:t>—</w:t>
      </w:r>
      <w:r w:rsidR="009D2C89" w:rsidRPr="009D2C89">
        <w:t>not the established common law rules that happened to exist at that time.</w:t>
      </w:r>
      <w:r w:rsidR="009D2C89">
        <w:t xml:space="preserve">”); </w:t>
      </w:r>
      <w:r>
        <w:fldChar w:fldCharType="begin"/>
      </w:r>
      <w:r w:rsidR="00E5116B">
        <w:instrText xml:space="preserve"> ADDIN ZOTERO_ITEM CSL_CITATION {"citationID":"UDbfNvuq","properties":{"formattedCitation":"Carol S. Steiker, {\\i{}Second Thoughts About First Principles}, 107 {\\scaps Harv. L. Rev.} 820, 823\\uc0\\u8211{}24 (1994)","plainCitation":"Carol S. Steiker, Second Thoughts About First Principles, 107 Harv. L. Rev. 820, 823–24 (1994)","noteIndex":157},"citationItems":[{"id":2981,"uris":["http://zotero.org/groups/2816150/items/JECTTUGM"],"uri":["http://zotero.org/groups/2816150/items/JECTTUGM"],"itemData":{"id":2981,"type":"article-journal","container-title":"Harvard Law Review","journalAbbreviation":"Harv. L. Rev.","page":"820–857","source":"Google Scholar","title":"Second Thoughts About First Principles","volume":"107","author":[{"family":"Steiker","given":"Carol S."}],"issued":{"date-parts":[["1994"]]}},"locator":"823-24","label":"page"}],"schema":"https://github.com/citation-style-language/schema/raw/master/csl-citation.json"} </w:instrText>
      </w:r>
      <w:r>
        <w:fldChar w:fldCharType="separate"/>
      </w:r>
      <w:r w:rsidR="00E5116B" w:rsidRPr="00E5116B">
        <w:t xml:space="preserve">Carol S. Steiker, </w:t>
      </w:r>
      <w:r w:rsidR="00E5116B" w:rsidRPr="00E5116B">
        <w:rPr>
          <w:i/>
          <w:iCs/>
        </w:rPr>
        <w:t>Second Thoughts About First Principles</w:t>
      </w:r>
      <w:r w:rsidR="00E5116B" w:rsidRPr="00E5116B">
        <w:t xml:space="preserve">, 107 </w:t>
      </w:r>
      <w:r w:rsidR="00E5116B" w:rsidRPr="00E5116B">
        <w:rPr>
          <w:smallCaps/>
        </w:rPr>
        <w:t>Harv. L. Rev.</w:t>
      </w:r>
      <w:r w:rsidR="00E5116B" w:rsidRPr="00E5116B">
        <w:t xml:space="preserve"> 820, 823</w:t>
      </w:r>
      <w:r w:rsidR="00FA7FDB">
        <w:t>-</w:t>
      </w:r>
      <w:r w:rsidR="00E5116B" w:rsidRPr="00E5116B">
        <w:t>24 (1994)</w:t>
      </w:r>
      <w:r>
        <w:fldChar w:fldCharType="end"/>
      </w:r>
      <w:r w:rsidR="003513C4">
        <w:t xml:space="preserve"> (“</w:t>
      </w:r>
      <w:r w:rsidR="001115BC">
        <w:t>[A]</w:t>
      </w:r>
      <w:r w:rsidR="001115BC" w:rsidRPr="001115BC">
        <w:t>lmost no one</w:t>
      </w:r>
      <w:r w:rsidR="008D10E8">
        <w:t> </w:t>
      </w:r>
      <w:r w:rsidR="001115BC" w:rsidRPr="003828FE">
        <w:t>. . .</w:t>
      </w:r>
      <w:r w:rsidR="008D10E8">
        <w:t> </w:t>
      </w:r>
      <w:r w:rsidR="001115BC" w:rsidRPr="001115BC">
        <w:t>believes that</w:t>
      </w:r>
      <w:r w:rsidR="001115BC">
        <w:t xml:space="preserve"> </w:t>
      </w:r>
      <w:r w:rsidR="003513C4" w:rsidRPr="00ED5C5D">
        <w:t>we should be bound for all time by the specific intentions or expectations of the Framers about, say, precisely what</w:t>
      </w:r>
      <w:r w:rsidR="003513C4">
        <w:t xml:space="preserve"> </w:t>
      </w:r>
      <w:r w:rsidR="003513C4" w:rsidRPr="00EC6F13">
        <w:t xml:space="preserve">kinds of searches are </w:t>
      </w:r>
      <w:r w:rsidR="003513C4">
        <w:t>‘</w:t>
      </w:r>
      <w:r w:rsidR="003513C4" w:rsidRPr="00EC6F13">
        <w:t>reasonable</w:t>
      </w:r>
      <w:r w:rsidR="003513C4">
        <w:t>’</w:t>
      </w:r>
      <w:r w:rsidR="003513C4" w:rsidRPr="00EC6F13">
        <w:t xml:space="preserve"> ones</w:t>
      </w:r>
      <w:r w:rsidR="001427B6">
        <w:t>. . . </w:t>
      </w:r>
      <w:r w:rsidR="003513C4" w:rsidRPr="00EC6F13">
        <w:t>.</w:t>
      </w:r>
      <w:r w:rsidR="003513C4">
        <w:t>”)</w:t>
      </w:r>
      <w:r w:rsidR="00650C11">
        <w:t>.</w:t>
      </w:r>
    </w:p>
  </w:footnote>
  <w:footnote w:id="164">
    <w:p w14:paraId="40B91280" w14:textId="5E389FA9" w:rsidR="00E30971" w:rsidRDefault="00E30971" w:rsidP="00E30971">
      <w:pPr>
        <w:pStyle w:val="FootnoteText"/>
      </w:pPr>
      <w:r w:rsidRPr="002A4234">
        <w:rPr>
          <w:rStyle w:val="FootnoteReference"/>
        </w:rPr>
        <w:footnoteRef/>
      </w:r>
      <w:r>
        <w:t xml:space="preserve"> </w:t>
      </w:r>
      <w:r>
        <w:fldChar w:fldCharType="begin"/>
      </w:r>
      <w:r w:rsidR="00E5116B">
        <w:instrText xml:space="preserve"> ADDIN ZOTERO_ITEM CSL_CITATION {"citationID":"2915a7vA","properties":{"formattedCitation":"Sklansky, {\\i{}supra} note 23, at 1754","plainCitation":"Sklansky, supra note 23, at 1754","noteIndex":158},"citationItems":[{"id":2977,"uris":["http://zotero.org/groups/2816150/items/PD4ANHYI"],"uri":["http://zotero.org/groups/2816150/items/PD4ANHYI"],"itemData":{"id":2977,"type":"article-journal","container-title":"Columbia Law Review","journalAbbreviation":"Colum. L. Rev.","page":"1739–1814","source":"Google Scholar","title":"The Fourth Amendment and Common Law","volume":"100","author":[{"family":"Sklansky","given":"David A."}],"issued":{"date-parts":[["2000"]]}},"locator":"1754","label":"page"}],"schema":"https://github.com/citation-style-language/schema/raw/master/csl-citation.json"} </w:instrText>
      </w:r>
      <w:r>
        <w:fldChar w:fldCharType="separate"/>
      </w:r>
      <w:r w:rsidR="00E5116B" w:rsidRPr="00E5116B">
        <w:t xml:space="preserve">Sklansky, </w:t>
      </w:r>
      <w:r w:rsidR="00E5116B" w:rsidRPr="00E5116B">
        <w:rPr>
          <w:i/>
          <w:iCs/>
        </w:rPr>
        <w:t>supra</w:t>
      </w:r>
      <w:r w:rsidR="00E5116B" w:rsidRPr="00E5116B">
        <w:t xml:space="preserve"> note </w:t>
      </w:r>
      <w:r w:rsidR="00EA77BD">
        <w:fldChar w:fldCharType="begin"/>
      </w:r>
      <w:r w:rsidR="00EA77BD">
        <w:instrText xml:space="preserve"> NOTEREF _Ref113021312 \h </w:instrText>
      </w:r>
      <w:r w:rsidR="00EA77BD">
        <w:fldChar w:fldCharType="separate"/>
      </w:r>
      <w:r w:rsidR="00405D69">
        <w:t>24</w:t>
      </w:r>
      <w:r w:rsidR="00EA77BD">
        <w:fldChar w:fldCharType="end"/>
      </w:r>
      <w:r w:rsidR="00E5116B" w:rsidRPr="00E5116B">
        <w:t>, at 175</w:t>
      </w:r>
      <w:r>
        <w:fldChar w:fldCharType="end"/>
      </w:r>
      <w:r w:rsidR="00A34640">
        <w:t>5</w:t>
      </w:r>
      <w:r w:rsidR="00F515F9">
        <w:t>.</w:t>
      </w:r>
    </w:p>
  </w:footnote>
  <w:footnote w:id="165">
    <w:p w14:paraId="17078FDF" w14:textId="227DA05D" w:rsidR="00E30971" w:rsidRDefault="00E30971" w:rsidP="00E30971">
      <w:pPr>
        <w:pStyle w:val="FootnoteText"/>
      </w:pPr>
      <w:r w:rsidRPr="002A4234">
        <w:rPr>
          <w:rStyle w:val="FootnoteReference"/>
        </w:rPr>
        <w:footnoteRef/>
      </w:r>
      <w:r>
        <w:t xml:space="preserve"> </w:t>
      </w:r>
      <w:r>
        <w:fldChar w:fldCharType="begin"/>
      </w:r>
      <w:r w:rsidR="00E5116B">
        <w:instrText xml:space="preserve"> ADDIN ZOTERO_ITEM CSL_CITATION {"citationID":"b2xw2BLb","properties":{"formattedCitation":"Steiker, {\\i{}supra} note 157, at 824","plainCitation":"Steiker, supra note 157, at 824","noteIndex":159},"citationItems":[{"id":2981,"uris":["http://zotero.org/groups/2816150/items/JECTTUGM"],"uri":["http://zotero.org/groups/2816150/items/JECTTUGM"],"itemData":{"id":2981,"type":"article-journal","container-title":"Harvard Law Review","journalAbbreviation":"Harv. L. Rev.","page":"820–857","source":"Google Scholar","title":"Second Thoughts About First Principles","volume":"107","author":[{"family":"Steiker","given":"Carol S."}],"issued":{"date-parts":[["1994"]]}},"locator":"824","label":"page"}],"schema":"https://github.com/citation-style-language/schema/raw/master/csl-citation.json"} </w:instrText>
      </w:r>
      <w:r>
        <w:fldChar w:fldCharType="separate"/>
      </w:r>
      <w:r w:rsidR="00E5116B" w:rsidRPr="00E5116B">
        <w:t xml:space="preserve">Steiker, </w:t>
      </w:r>
      <w:r w:rsidR="00E5116B" w:rsidRPr="00E5116B">
        <w:rPr>
          <w:i/>
          <w:iCs/>
        </w:rPr>
        <w:t>supra</w:t>
      </w:r>
      <w:r w:rsidR="00E5116B" w:rsidRPr="00E5116B">
        <w:t xml:space="preserve"> note </w:t>
      </w:r>
      <w:r w:rsidR="001A282A">
        <w:fldChar w:fldCharType="begin"/>
      </w:r>
      <w:r w:rsidR="001A282A">
        <w:instrText xml:space="preserve"> NOTEREF _Ref114098328 \h </w:instrText>
      </w:r>
      <w:r w:rsidR="001A282A">
        <w:fldChar w:fldCharType="separate"/>
      </w:r>
      <w:r w:rsidR="00405D69">
        <w:t>159</w:t>
      </w:r>
      <w:r w:rsidR="001A282A">
        <w:fldChar w:fldCharType="end"/>
      </w:r>
      <w:r w:rsidR="00E5116B" w:rsidRPr="00E5116B">
        <w:t>, at 824</w:t>
      </w:r>
      <w:r>
        <w:fldChar w:fldCharType="end"/>
      </w:r>
      <w:r w:rsidR="00F515F9">
        <w:t>.</w:t>
      </w:r>
    </w:p>
  </w:footnote>
  <w:footnote w:id="166">
    <w:p w14:paraId="1827098C" w14:textId="487DC2BC" w:rsidR="00E30971" w:rsidRDefault="00E30971" w:rsidP="00E30971">
      <w:pPr>
        <w:pStyle w:val="FootnoteText"/>
      </w:pPr>
      <w:r w:rsidRPr="002A4234">
        <w:rPr>
          <w:rStyle w:val="FootnoteReference"/>
        </w:rPr>
        <w:footnoteRef/>
      </w:r>
      <w:r>
        <w:t xml:space="preserve"> </w:t>
      </w:r>
      <w:r>
        <w:fldChar w:fldCharType="begin"/>
      </w:r>
      <w:r w:rsidR="00E5116B">
        <w:instrText xml:space="preserve"> ADDIN ZOTERO_ITEM CSL_CITATION {"citationID":"TVG5XyVq","properties":{"formattedCitation":"Amar, {\\i{}supra} note 8, at 818","plainCitation":"Amar, supra note 8, at 818","noteIndex":160},"citationItems":[{"id":2964,"uris":["http://zotero.org/groups/2816150/items/LLINRXLZ"],"uri":["http://zotero.org/groups/2816150/items/LLINRXLZ"],"itemData":{"id":2964,"type":"article-journal","container-title":"Harvard Law Review","journalAbbreviation":"Harv. L. Rev.","page":"757","title":"Fourth Amendment First Principles","volume":"107","author":[{"family":"Amar","given":"Akhil Reed"}],"issued":{"date-parts":[["1994"]]}},"locator":"818","label":"page"}],"schema":"https://github.com/citation-style-language/schema/raw/master/csl-citation.json"} </w:instrText>
      </w:r>
      <w:r>
        <w:fldChar w:fldCharType="separate"/>
      </w:r>
      <w:r w:rsidR="00E5116B" w:rsidRPr="00E5116B">
        <w:t xml:space="preserve">Amar, </w:t>
      </w:r>
      <w:r w:rsidR="00E5116B" w:rsidRPr="00E5116B">
        <w:rPr>
          <w:i/>
          <w:iCs/>
        </w:rPr>
        <w:t>supra</w:t>
      </w:r>
      <w:r w:rsidR="00E5116B" w:rsidRPr="00E5116B">
        <w:t xml:space="preserve"> note </w:t>
      </w:r>
      <w:r w:rsidR="001A282A">
        <w:fldChar w:fldCharType="begin"/>
      </w:r>
      <w:r w:rsidR="001A282A">
        <w:instrText xml:space="preserve"> NOTEREF _Ref114098122 \h </w:instrText>
      </w:r>
      <w:r w:rsidR="001A282A">
        <w:fldChar w:fldCharType="separate"/>
      </w:r>
      <w:r w:rsidR="00405D69">
        <w:t>8</w:t>
      </w:r>
      <w:r w:rsidR="001A282A">
        <w:fldChar w:fldCharType="end"/>
      </w:r>
      <w:r w:rsidR="00E5116B" w:rsidRPr="00E5116B">
        <w:t>, at 818</w:t>
      </w:r>
      <w:r>
        <w:fldChar w:fldCharType="end"/>
      </w:r>
      <w:r w:rsidR="00F515F9">
        <w:t>.</w:t>
      </w:r>
    </w:p>
  </w:footnote>
  <w:footnote w:id="167">
    <w:p w14:paraId="64F09271" w14:textId="13CB6E3F" w:rsidR="00F55798" w:rsidRDefault="00F55798">
      <w:pPr>
        <w:pStyle w:val="FootnoteText"/>
      </w:pPr>
      <w:r w:rsidRPr="002A4234">
        <w:rPr>
          <w:rStyle w:val="FootnoteReference"/>
        </w:rPr>
        <w:footnoteRef/>
      </w:r>
      <w:r>
        <w:t xml:space="preserve"> </w:t>
      </w:r>
      <w:r>
        <w:fldChar w:fldCharType="begin"/>
      </w:r>
      <w:r w:rsidR="00E5116B">
        <w:instrText xml:space="preserve"> ADDIN ZOTERO_ITEM CSL_CITATION {"citationID":"HbqqGiqA","properties":{"formattedCitation":"Re, {\\i{}supra} note 157, at 1415","plainCitation":"Re, supra note 157, at 1415","noteIndex":161},"citationItems":[{"id":2961,"uris":["http://zotero.org/groups/2816150/items/GRU3UDHW"],"uri":["http://zotero.org/groups/2816150/items/GRU3UDHW"],"itemData":{"id":2961,"type":"article-journal","container-title":"Michigan Law Review","journalAbbreviation":"Mich. L. Rev.","page":"1409","title":"Fourth Amendment Fairness","volume":"116","author":[{"family":"Re","given":"Richard M."}],"issued":{"date-parts":[["2018"]]}},"locator":"1415","label":"page"}],"schema":"https://github.com/citation-style-language/schema/raw/master/csl-citation.json"} </w:instrText>
      </w:r>
      <w:r>
        <w:fldChar w:fldCharType="separate"/>
      </w:r>
      <w:r w:rsidR="00E5116B" w:rsidRPr="00E5116B">
        <w:t xml:space="preserve">Re, </w:t>
      </w:r>
      <w:r w:rsidR="00E5116B" w:rsidRPr="00E5116B">
        <w:rPr>
          <w:i/>
          <w:iCs/>
        </w:rPr>
        <w:t>supra</w:t>
      </w:r>
      <w:r w:rsidR="00E5116B" w:rsidRPr="00E5116B">
        <w:t xml:space="preserve"> note </w:t>
      </w:r>
      <w:r w:rsidR="001A282A">
        <w:fldChar w:fldCharType="begin"/>
      </w:r>
      <w:r w:rsidR="001A282A">
        <w:instrText xml:space="preserve"> NOTEREF _Ref114098328 \h </w:instrText>
      </w:r>
      <w:r w:rsidR="001A282A">
        <w:fldChar w:fldCharType="separate"/>
      </w:r>
      <w:r w:rsidR="00405D69">
        <w:t>159</w:t>
      </w:r>
      <w:r w:rsidR="001A282A">
        <w:fldChar w:fldCharType="end"/>
      </w:r>
      <w:r w:rsidR="00E5116B" w:rsidRPr="00E5116B">
        <w:t>, at 1415</w:t>
      </w:r>
      <w:r>
        <w:fldChar w:fldCharType="end"/>
      </w:r>
      <w:r w:rsidR="00F515F9">
        <w:t>.</w:t>
      </w:r>
    </w:p>
  </w:footnote>
  <w:footnote w:id="168">
    <w:p w14:paraId="0B0D3AAA" w14:textId="77777777" w:rsidR="007203B0" w:rsidRDefault="007203B0">
      <w:pPr>
        <w:pStyle w:val="FootnoteText"/>
      </w:pPr>
      <w:r w:rsidRPr="002A4234">
        <w:rPr>
          <w:rStyle w:val="FootnoteReference"/>
        </w:rPr>
        <w:footnoteRef/>
      </w:r>
      <w:r>
        <w:t xml:space="preserve"> As Justice Scalia put it:</w:t>
      </w:r>
    </w:p>
    <w:p w14:paraId="15903246" w14:textId="5F7BBBAF" w:rsidR="007203B0" w:rsidRDefault="007203B0" w:rsidP="00B87126">
      <w:pPr>
        <w:pStyle w:val="FootnoteBlock"/>
      </w:pPr>
      <w:r w:rsidRPr="007203B0">
        <w:t xml:space="preserve">In my view, the only thing the past three decades have established about the </w:t>
      </w:r>
      <w:r w:rsidRPr="00B87126">
        <w:rPr>
          <w:i/>
        </w:rPr>
        <w:t>Katz</w:t>
      </w:r>
      <w:r w:rsidRPr="007203B0">
        <w:t xml:space="preserve"> test</w:t>
      </w:r>
      <w:r w:rsidR="00C67885">
        <w:t> </w:t>
      </w:r>
      <w:r>
        <w:t>.</w:t>
      </w:r>
      <w:r w:rsidR="00C67885">
        <w:t> </w:t>
      </w:r>
      <w:r>
        <w:t>.</w:t>
      </w:r>
      <w:r w:rsidR="00C67885">
        <w:t> </w:t>
      </w:r>
      <w:r>
        <w:t>.</w:t>
      </w:r>
      <w:r w:rsidR="00C67885">
        <w:t> </w:t>
      </w:r>
      <w:r w:rsidRPr="007203B0">
        <w:t xml:space="preserve">is that, unsurprisingly, those </w:t>
      </w:r>
      <w:r>
        <w:t>“</w:t>
      </w:r>
      <w:r w:rsidRPr="007203B0">
        <w:t>actual (subjective) expectation[s] of privacy</w:t>
      </w:r>
      <w:r>
        <w:t>”</w:t>
      </w:r>
      <w:r w:rsidRPr="007203B0">
        <w:t xml:space="preserve"> </w:t>
      </w:r>
      <w:r>
        <w:t>“</w:t>
      </w:r>
      <w:r w:rsidRPr="007203B0">
        <w:t xml:space="preserve">that society is prepared to recognize as </w:t>
      </w:r>
      <w:r>
        <w:t>‘</w:t>
      </w:r>
      <w:r w:rsidRPr="007203B0">
        <w:t>reasonable,</w:t>
      </w:r>
      <w:r>
        <w:t>’”</w:t>
      </w:r>
      <w:r w:rsidRPr="007203B0">
        <w:t xml:space="preserve"> bear an uncanny resemblance to those expectations of privacy that this Court considers reasonable.</w:t>
      </w:r>
    </w:p>
    <w:p w14:paraId="57E568D7" w14:textId="28DC070F" w:rsidR="007203B0" w:rsidRDefault="002B2C58" w:rsidP="00B87126">
      <w:pPr>
        <w:pStyle w:val="FootnoteTextAfterBlock"/>
      </w:pPr>
      <w:r>
        <w:t xml:space="preserve">Minnesota v. Carter, </w:t>
      </w:r>
      <w:r w:rsidRPr="002B2C58">
        <w:t>525 U.S. 83</w:t>
      </w:r>
      <w:r>
        <w:t>, 97</w:t>
      </w:r>
      <w:r w:rsidRPr="002B2C58">
        <w:t xml:space="preserve"> (1998)</w:t>
      </w:r>
      <w:r>
        <w:t xml:space="preserve"> (Scalia, J., concurring).</w:t>
      </w:r>
    </w:p>
  </w:footnote>
  <w:footnote w:id="169">
    <w:p w14:paraId="16F3EFE7" w14:textId="52ED6C63" w:rsidR="00DE4D36" w:rsidRPr="00C12EBA" w:rsidRDefault="00DE4D36">
      <w:pPr>
        <w:pStyle w:val="FootnoteText"/>
      </w:pPr>
      <w:r w:rsidRPr="002A4234">
        <w:rPr>
          <w:rStyle w:val="FootnoteReference"/>
        </w:rPr>
        <w:footnoteRef/>
      </w:r>
      <w:r>
        <w:t xml:space="preserve"> </w:t>
      </w:r>
      <w:r w:rsidR="00C12EBA">
        <w:rPr>
          <w:i/>
          <w:iCs/>
        </w:rPr>
        <w:t>See, e.g.</w:t>
      </w:r>
      <w:r w:rsidR="00C12EBA">
        <w:t>, Illinois v. Rodriguez, 497 U.S. 177, 185 (1990).</w:t>
      </w:r>
    </w:p>
  </w:footnote>
  <w:footnote w:id="170">
    <w:p w14:paraId="2119F024" w14:textId="0652BBF7" w:rsidR="00DB5A69" w:rsidRPr="00DB3E58" w:rsidRDefault="00DB5A69">
      <w:pPr>
        <w:pStyle w:val="FootnoteText"/>
        <w:rPr>
          <w:smallCaps/>
        </w:rPr>
      </w:pPr>
      <w:r w:rsidRPr="002A4234">
        <w:rPr>
          <w:rStyle w:val="FootnoteReference"/>
        </w:rPr>
        <w:footnoteRef/>
      </w:r>
      <w:r>
        <w:t xml:space="preserve"> </w:t>
      </w:r>
      <w:r w:rsidR="00504154">
        <w:rPr>
          <w:i/>
          <w:iCs/>
        </w:rPr>
        <w:t>See generally</w:t>
      </w:r>
      <w:r>
        <w:rPr>
          <w:i/>
        </w:rPr>
        <w:t xml:space="preserve"> </w:t>
      </w:r>
      <w:r w:rsidR="00CF0A77">
        <w:fldChar w:fldCharType="begin"/>
      </w:r>
      <w:r w:rsidR="00E5116B">
        <w:instrText xml:space="preserve"> ADDIN ZOTERO_ITEM CSL_CITATION {"citationID":"NBllVmj0","properties":{"formattedCitation":"Orin S. Kerr, {\\i{}{\\i0{}Katz} as Originalism}, 71 {\\scaps Duke L.J.} 1047 (2022)","plainCitation":"Orin S. Kerr, Katz as Originalism, 71 Duke L.J. 1047 (2022)","noteIndex":164},"citationItems":[{"id":3205,"uris":["http://zotero.org/groups/2816150/items/NGZLN6T3"],"uri":["http://zotero.org/groups/2816150/items/NGZLN6T3"],"itemData":{"id":3205,"type":"article-journal","container-title":"Duke Law Journal","journalAbbreviation":"Duke L.J.","page":"1047","title":"&lt;i&gt;Katz&lt;/i&gt; as Originalism","volume":"71","author":[{"family":"Kerr","given":"Orin S."}],"issued":{"date-parts":[["2022"]]}}}],"schema":"https://github.com/citation-style-language/schema/raw/master/csl-citation.json"} </w:instrText>
      </w:r>
      <w:r w:rsidR="00CF0A77">
        <w:fldChar w:fldCharType="separate"/>
      </w:r>
      <w:r w:rsidR="00E5116B" w:rsidRPr="00E5116B">
        <w:t>Orin S. Kerr, Katz</w:t>
      </w:r>
      <w:r w:rsidR="00E5116B" w:rsidRPr="00E5116B">
        <w:rPr>
          <w:i/>
          <w:iCs/>
        </w:rPr>
        <w:t xml:space="preserve"> as Originalism</w:t>
      </w:r>
      <w:r w:rsidR="00E5116B" w:rsidRPr="00E5116B">
        <w:t xml:space="preserve">, 71 </w:t>
      </w:r>
      <w:r w:rsidR="00E5116B" w:rsidRPr="00E5116B">
        <w:rPr>
          <w:smallCaps/>
        </w:rPr>
        <w:t>Duke L.J.</w:t>
      </w:r>
      <w:r w:rsidR="00E5116B" w:rsidRPr="00E5116B">
        <w:t xml:space="preserve"> 1047 (2022)</w:t>
      </w:r>
      <w:r w:rsidR="00CF0A77">
        <w:fldChar w:fldCharType="end"/>
      </w:r>
      <w:r w:rsidR="00E747EA">
        <w:t xml:space="preserve"> (</w:t>
      </w:r>
      <w:r w:rsidR="009B68A9">
        <w:t>attempting</w:t>
      </w:r>
      <w:r w:rsidR="00E747EA">
        <w:t xml:space="preserve"> to reconcile </w:t>
      </w:r>
      <w:r w:rsidR="00E747EA">
        <w:rPr>
          <w:i/>
          <w:iCs/>
        </w:rPr>
        <w:t>Katz</w:t>
      </w:r>
      <w:r w:rsidR="00E747EA">
        <w:t xml:space="preserve"> with originalism</w:t>
      </w:r>
      <w:r w:rsidR="00504154">
        <w:t xml:space="preserve">) </w:t>
      </w:r>
      <w:r w:rsidR="00F515F9">
        <w:t>.</w:t>
      </w:r>
    </w:p>
  </w:footnote>
  <w:footnote w:id="171">
    <w:p w14:paraId="3B81D038" w14:textId="10305FED" w:rsidR="005F1881" w:rsidRDefault="005F1881">
      <w:pPr>
        <w:pStyle w:val="FootnoteText"/>
      </w:pPr>
      <w:r w:rsidRPr="002A4234">
        <w:rPr>
          <w:rStyle w:val="FootnoteReference"/>
        </w:rPr>
        <w:footnoteRef/>
      </w:r>
      <w:r w:rsidR="008A0E14">
        <w:t xml:space="preserve"> </w:t>
      </w:r>
      <w:r w:rsidR="008A0E14">
        <w:rPr>
          <w:i/>
          <w:iCs/>
        </w:rPr>
        <w:t xml:space="preserve">See </w:t>
      </w:r>
      <w:r>
        <w:fldChar w:fldCharType="begin"/>
      </w:r>
      <w:r w:rsidR="00E5116B">
        <w:instrText xml:space="preserve"> ADDIN ZOTERO_ITEM CSL_CITATION {"citationID":"yQnoohQF","properties":{"formattedCitation":"{\\i{}See} {\\scaps Telford Taylor}, {\\scaps Two Studies in Constitutional Interpretation} (Jun. 1969)","plainCitation":"See Telford Taylor, Two Studies in Constitutional Interpretation (Jun. 1969)","noteIndex":165},"citationItems":[{"id":2908,"uris":["http://zotero.org/groups/2816150/items/B7TXEDFH"],"uri":["http://zotero.org/groups/2816150/items/B7TXEDFH"],"itemData":{"id":2908,"type":"book","ISBN":"978-0-8142-0122-0","language":"English","number-of-pages":"225","source":"Amazon","title":"Two Studies in Constitutional Interpretation","author":[{"family":"Taylor","given":"Telford"}],"issued":{"date-parts":[["1969",6,1]]}},"prefix":"&lt;i&gt;See&lt;/i&gt; "}],"schema":"https://github.com/citation-style-language/schema/raw/master/csl-citation.json"} </w:instrText>
      </w:r>
      <w:r>
        <w:fldChar w:fldCharType="separate"/>
      </w:r>
      <w:r w:rsidR="00E5116B" w:rsidRPr="00E5116B">
        <w:rPr>
          <w:smallCaps/>
        </w:rPr>
        <w:t>Telford Taylor</w:t>
      </w:r>
      <w:r w:rsidR="00E5116B" w:rsidRPr="00E5116B">
        <w:t xml:space="preserve">, </w:t>
      </w:r>
      <w:r w:rsidR="00E5116B" w:rsidRPr="00E5116B">
        <w:rPr>
          <w:smallCaps/>
        </w:rPr>
        <w:t>Two Studies in Constitutional Interpretation</w:t>
      </w:r>
      <w:r w:rsidR="00E5116B" w:rsidRPr="00E5116B">
        <w:t xml:space="preserve"> (1969)</w:t>
      </w:r>
      <w:r>
        <w:fldChar w:fldCharType="end"/>
      </w:r>
      <w:r w:rsidR="00F515F9">
        <w:t>.</w:t>
      </w:r>
    </w:p>
  </w:footnote>
  <w:footnote w:id="172">
    <w:p w14:paraId="3F553570" w14:textId="1960C53D" w:rsidR="00570EB7" w:rsidRPr="00FC3F48" w:rsidRDefault="00570EB7" w:rsidP="00FC3F48">
      <w:pPr>
        <w:pStyle w:val="FootnoteText"/>
      </w:pPr>
      <w:r w:rsidRPr="002A4234">
        <w:rPr>
          <w:rStyle w:val="FootnoteReference"/>
        </w:rPr>
        <w:footnoteRef/>
      </w:r>
      <w:r>
        <w:t xml:space="preserve"> </w:t>
      </w:r>
      <w:r>
        <w:fldChar w:fldCharType="begin"/>
      </w:r>
      <w:r w:rsidR="00E5116B">
        <w:instrText xml:space="preserve"> ADDIN ZOTERO_ITEM CSL_CITATION {"citationID":"9MJe4Woi","properties":{"formattedCitation":"{\\i{}See, e.g.}, Amar, {\\i{}supra} note 8, at 774","plainCitation":"See, e.g., Amar, supra note 8, at 774","noteIndex":166},"citationItems":[{"id":2964,"uris":["http://zotero.org/groups/2816150/items/LLINRXLZ"],"uri":["http://zotero.org/groups/2816150/items/LLINRXLZ"],"itemData":{"id":2964,"type":"article-journal","container-title":"Harvard Law Review","journalAbbreviation":"Harv. L. Rev.","page":"757","title":"Fourth Amendment First Principles","volume":"107","author":[{"family":"Amar","given":"Akhil Reed"}],"issued":{"date-parts":[["1994"]]}},"locator":"774","label":"page","prefix":"&lt;i&gt;See, e.g.&lt;/i&gt;, "}],"schema":"https://github.com/citation-style-language/schema/raw/master/csl-citation.json"} </w:instrText>
      </w:r>
      <w:r>
        <w:fldChar w:fldCharType="separate"/>
      </w:r>
      <w:r w:rsidR="00E5116B" w:rsidRPr="00E5116B">
        <w:rPr>
          <w:i/>
          <w:iCs/>
        </w:rPr>
        <w:t>See, e.g.</w:t>
      </w:r>
      <w:r w:rsidR="00E5116B" w:rsidRPr="00E5116B">
        <w:t xml:space="preserve">, Amar, </w:t>
      </w:r>
      <w:r w:rsidR="00E5116B" w:rsidRPr="00E5116B">
        <w:rPr>
          <w:i/>
          <w:iCs/>
        </w:rPr>
        <w:t>supra</w:t>
      </w:r>
      <w:r w:rsidR="00E5116B" w:rsidRPr="00E5116B">
        <w:t xml:space="preserve"> note </w:t>
      </w:r>
      <w:r w:rsidR="0007178C">
        <w:fldChar w:fldCharType="begin"/>
      </w:r>
      <w:r w:rsidR="0007178C">
        <w:instrText xml:space="preserve"> NOTEREF _Ref114098122 \h </w:instrText>
      </w:r>
      <w:r w:rsidR="0007178C">
        <w:fldChar w:fldCharType="separate"/>
      </w:r>
      <w:r w:rsidR="00405D69">
        <w:t>8</w:t>
      </w:r>
      <w:r w:rsidR="0007178C">
        <w:fldChar w:fldCharType="end"/>
      </w:r>
      <w:r w:rsidR="00E5116B" w:rsidRPr="00E5116B">
        <w:t>, at 774</w:t>
      </w:r>
      <w:r>
        <w:fldChar w:fldCharType="end"/>
      </w:r>
      <w:r w:rsidR="003D33DB">
        <w:t xml:space="preserve">; </w:t>
      </w:r>
      <w:r w:rsidR="00FC3F48">
        <w:t xml:space="preserve">Akhil Reed Amar, </w:t>
      </w:r>
      <w:r w:rsidR="00FC3F48" w:rsidRPr="0068155B">
        <w:rPr>
          <w:i/>
        </w:rPr>
        <w:t>The Fourth Amendment, Boston, and the Writs of Assistance</w:t>
      </w:r>
      <w:r w:rsidR="00FC3F48">
        <w:t>, 30</w:t>
      </w:r>
      <w:r w:rsidR="00FC3F48" w:rsidRPr="00FC3F48">
        <w:rPr>
          <w:smallCaps/>
        </w:rPr>
        <w:t xml:space="preserve"> Suffolk U. L. Rev.</w:t>
      </w:r>
      <w:r w:rsidR="00FC3F48">
        <w:t xml:space="preserve"> 53, 60</w:t>
      </w:r>
      <w:r w:rsidR="0046531E">
        <w:t>-</w:t>
      </w:r>
      <w:r w:rsidR="00FC3F48">
        <w:t>61 (1996).</w:t>
      </w:r>
    </w:p>
  </w:footnote>
  <w:footnote w:id="173">
    <w:p w14:paraId="4D58527B" w14:textId="6CA5DF37" w:rsidR="002F625A" w:rsidRDefault="002F625A">
      <w:pPr>
        <w:pStyle w:val="FootnoteText"/>
      </w:pPr>
      <w:r w:rsidRPr="002A4234">
        <w:rPr>
          <w:rStyle w:val="FootnoteReference"/>
        </w:rPr>
        <w:footnoteRef/>
      </w:r>
      <w:r>
        <w:t xml:space="preserve"> </w:t>
      </w:r>
      <w:r w:rsidR="003F74AF">
        <w:rPr>
          <w:i/>
          <w:iCs/>
        </w:rPr>
        <w:t>See</w:t>
      </w:r>
      <w:r>
        <w:rPr>
          <w:i/>
        </w:rPr>
        <w:t xml:space="preserve"> </w:t>
      </w:r>
      <w:r>
        <w:fldChar w:fldCharType="begin"/>
      </w:r>
      <w:r w:rsidR="00E5116B">
        <w:instrText xml:space="preserve"> ADDIN ZOTERO_ITEM CSL_CITATION {"citationID":"NzOU3v6H","properties":{"formattedCitation":"Davies, {\\i{}supra} note 133, at 575\\uc0\\u8211{}90; {\\scaps Cuddihy}, {\\i{}supra} note 139, at 773\\uc0\\u8211{}77","plainCitation":"Davies, supra note 133, at 575–90; Cuddihy, supra note 139, at 773–77","noteIndex":167},"citationItems":[{"id":2970,"uris":["http://zotero.org/groups/2816150/items/YWQ7ICNA"],"uri":["http://zotero.org/groups/2816150/items/YWQ7ICNA"],"itemData":{"id":2970,"type":"article-journal","container-title":"Michigan Law Review","DOI":"10.2307/1290314","ISSN":"0026-2234","issue":"3","journalAbbreviation":"Mich. L. Rev.","page":"547-750","source":"JSTOR","title":"Recovering the Original Fourth Amendment","volume":"98","author":[{"family":"Davies","given":"Thomas Y."}],"issued":{"date-parts":[["1999"]]}},"locator":"575-90","label":"page"},{"id":2917,"uris":["http://zotero.org/groups/2816150/items/PC44YW43"],"uri":["http://zotero.org/groups/2816150/items/PC44YW43"],"itemData":{"id":2917,"type":"book","abstract":"The Fourth Amendment's protection against unreasonable search and seizure provides the bulwark for police regulation and many other government functions in the United States. One of the most controversial rights in the Bill of Rights, this amendment is also among the most frequently adjudicated provisions of constitutional law. Yet its meaning has remained deeply contested, and the story of its origins is largely unknown. This book tells the full story of the Fourth Amendment's complex lineage, including its intellectual roots in England. This book has particular relevance today given the long list of controversial new surveillance measures undertaken by the government in recent years, including the USA Patriot Act and the NSA wiretapping program. The preface has been written by privacy expert Daniel Solove.","ISBN":"978-0-19-536719-5","language":"English","number-of-pages":"1008","source":"Amazon","title":"The Fourth Amendment: Origins and Original Meaning 602–1791","title-short":"The Fourth Amendment","author":[{"family":"Cuddihy","given":"William J."}],"issued":{"date-parts":[["2009"]]}},"locator":"773-77","label":"page"}],"schema":"https://github.com/citation-style-language/schema/raw/master/csl-citation.json"} </w:instrText>
      </w:r>
      <w:r>
        <w:fldChar w:fldCharType="separate"/>
      </w:r>
      <w:r w:rsidR="00E5116B" w:rsidRPr="00E5116B">
        <w:t xml:space="preserve">Davies, </w:t>
      </w:r>
      <w:r w:rsidR="00E5116B" w:rsidRPr="00E5116B">
        <w:rPr>
          <w:i/>
          <w:iCs/>
        </w:rPr>
        <w:t>supra</w:t>
      </w:r>
      <w:r w:rsidR="00E5116B" w:rsidRPr="00E5116B">
        <w:t xml:space="preserve"> note </w:t>
      </w:r>
      <w:r w:rsidR="001474EF">
        <w:fldChar w:fldCharType="begin"/>
      </w:r>
      <w:r w:rsidR="001474EF">
        <w:instrText xml:space="preserve"> NOTEREF _Ref114097085 \h </w:instrText>
      </w:r>
      <w:r w:rsidR="001474EF">
        <w:fldChar w:fldCharType="separate"/>
      </w:r>
      <w:r w:rsidR="00405D69">
        <w:t>135</w:t>
      </w:r>
      <w:r w:rsidR="001474EF">
        <w:fldChar w:fldCharType="end"/>
      </w:r>
      <w:r w:rsidR="00E5116B" w:rsidRPr="00E5116B">
        <w:t>, at 575</w:t>
      </w:r>
      <w:r w:rsidR="0046531E">
        <w:t>-</w:t>
      </w:r>
      <w:r w:rsidR="00E5116B" w:rsidRPr="00E5116B">
        <w:t xml:space="preserve">90; </w:t>
      </w:r>
      <w:r w:rsidR="00E5116B" w:rsidRPr="00E5116B">
        <w:rPr>
          <w:smallCaps/>
        </w:rPr>
        <w:t>Cuddihy</w:t>
      </w:r>
      <w:r w:rsidR="00E5116B" w:rsidRPr="00E5116B">
        <w:t xml:space="preserve">, </w:t>
      </w:r>
      <w:r w:rsidR="00E5116B" w:rsidRPr="00E5116B">
        <w:rPr>
          <w:i/>
          <w:iCs/>
        </w:rPr>
        <w:t>supra</w:t>
      </w:r>
      <w:r w:rsidR="00E5116B" w:rsidRPr="00E5116B">
        <w:t xml:space="preserve"> note </w:t>
      </w:r>
      <w:r w:rsidR="001474EF">
        <w:fldChar w:fldCharType="begin"/>
      </w:r>
      <w:r w:rsidR="001474EF">
        <w:instrText xml:space="preserve"> NOTEREF _Ref114097449 \h </w:instrText>
      </w:r>
      <w:r w:rsidR="001474EF">
        <w:fldChar w:fldCharType="separate"/>
      </w:r>
      <w:r w:rsidR="00405D69">
        <w:t>141</w:t>
      </w:r>
      <w:r w:rsidR="001474EF">
        <w:fldChar w:fldCharType="end"/>
      </w:r>
      <w:r w:rsidR="00E5116B" w:rsidRPr="00E5116B">
        <w:t>, at 773</w:t>
      </w:r>
      <w:r w:rsidR="0046531E">
        <w:t>-</w:t>
      </w:r>
      <w:r w:rsidR="00E5116B" w:rsidRPr="00E5116B">
        <w:t>77</w:t>
      </w:r>
      <w:r>
        <w:fldChar w:fldCharType="end"/>
      </w:r>
      <w:r w:rsidR="00F515F9">
        <w:t>.</w:t>
      </w:r>
    </w:p>
  </w:footnote>
  <w:footnote w:id="174">
    <w:p w14:paraId="74C1FD6C" w14:textId="7E2C8ADA" w:rsidR="00994EF2" w:rsidRDefault="00994EF2">
      <w:pPr>
        <w:pStyle w:val="FootnoteText"/>
      </w:pPr>
      <w:r w:rsidRPr="002A4234">
        <w:rPr>
          <w:rStyle w:val="FootnoteReference"/>
        </w:rPr>
        <w:footnoteRef/>
      </w:r>
      <w:r>
        <w:t xml:space="preserve"> </w:t>
      </w:r>
      <w:r>
        <w:fldChar w:fldCharType="begin"/>
      </w:r>
      <w:r w:rsidR="00E5116B">
        <w:instrText xml:space="preserve"> ADDIN ZOTERO_ITEM CSL_CITATION {"citationID":"hQfrA3cc","properties":{"formattedCitation":"Nikolaus Williams, {\\i{}The Supreme Court\\uc0\\u8217{}s Ahistorical Reasonableness Approach to the Fourth Amendment}, 89 {\\scaps N.Y.U. L. Rev.} 1522, 1536 (2014)","plainCitation":"Nikolaus Williams, The Supreme Court’s Ahistorical Reasonableness Approach to the Fourth Amendment, 89 N.Y.U. L. Rev. 1522, 1536 (2014)","noteIndex":168},"citationItems":[{"id":3269,"uris":["http://zotero.org/groups/2816150/items/J54PNWTQ"],"uri":["http://zotero.org/groups/2816150/items/J54PNWTQ"],"itemData":{"id":3269,"type":"article-journal","container-title":"New York University Law Review","issue":"4","journalAbbreviation":"N.Y.U. L. Rev.","language":"eng","page":"1522-1568","source":"HeinOnline","title":"The Supreme Court's Ahistorical Reasonableness Approach to the Fourth Amendment","volume":"89","author":[{"family":"Williams","given":"Nikolaus"}],"issued":{"date-parts":[["2014"]]}},"locator":"1536","label":"page"}],"schema":"https://github.com/citation-style-language/schema/raw/master/csl-citation.json"} </w:instrText>
      </w:r>
      <w:r>
        <w:fldChar w:fldCharType="separate"/>
      </w:r>
      <w:r w:rsidR="00E5116B" w:rsidRPr="00E5116B">
        <w:t xml:space="preserve">Nikolaus Williams, </w:t>
      </w:r>
      <w:r w:rsidR="00E5116B" w:rsidRPr="00E5116B">
        <w:rPr>
          <w:i/>
          <w:iCs/>
        </w:rPr>
        <w:t>The Supreme Court’s Ahistorical Reasonableness Approach to the Fourth Amendment</w:t>
      </w:r>
      <w:r w:rsidR="00E5116B" w:rsidRPr="00E5116B">
        <w:t xml:space="preserve">, 89 </w:t>
      </w:r>
      <w:r w:rsidR="00E5116B" w:rsidRPr="00E5116B">
        <w:rPr>
          <w:smallCaps/>
        </w:rPr>
        <w:t>N.Y.U. L. Rev.</w:t>
      </w:r>
      <w:r w:rsidR="00E5116B" w:rsidRPr="00E5116B">
        <w:t xml:space="preserve"> 1522, 1536 (2014)</w:t>
      </w:r>
      <w:r>
        <w:fldChar w:fldCharType="end"/>
      </w:r>
      <w:r w:rsidR="00F515F9">
        <w:t>.</w:t>
      </w:r>
    </w:p>
  </w:footnote>
  <w:footnote w:id="175">
    <w:p w14:paraId="625C5016" w14:textId="0DD7B726" w:rsidR="00C114CB" w:rsidRDefault="00C114CB">
      <w:pPr>
        <w:pStyle w:val="FootnoteText"/>
      </w:pPr>
      <w:r w:rsidRPr="002A4234">
        <w:rPr>
          <w:rStyle w:val="FootnoteReference"/>
        </w:rPr>
        <w:footnoteRef/>
      </w:r>
      <w:r>
        <w:t xml:space="preserve"> </w:t>
      </w:r>
      <w:r>
        <w:fldChar w:fldCharType="begin"/>
      </w:r>
      <w:r w:rsidR="00E5116B">
        <w:instrText xml:space="preserve"> ADDIN ZOTERO_ITEM CSL_CITATION {"citationID":"ekYvyXhx","properties":{"formattedCitation":"{\\i{}Id.} at 1537","plainCitation":"Id. at 1537","noteIndex":169},"citationItems":[{"id":3269,"uris":["http://zotero.org/groups/2816150/items/J54PNWTQ"],"uri":["http://zotero.org/groups/2816150/items/J54PNWTQ"],"itemData":{"id":3269,"type":"article-journal","container-title":"New York University Law Review","issue":"4","journalAbbreviation":"N.Y.U. L. Rev.","language":"eng","page":"1522-1568","source":"HeinOnline","title":"The Supreme Court's Ahistorical Reasonableness Approach to the Fourth Amendment","volume":"89","author":[{"family":"Williams","given":"Nikolaus"}],"issued":{"date-parts":[["2014"]]}},"locator":"1537","label":"page"}],"schema":"https://github.com/citation-style-language/schema/raw/master/csl-citation.json"} </w:instrText>
      </w:r>
      <w:r>
        <w:fldChar w:fldCharType="separate"/>
      </w:r>
      <w:r w:rsidR="00E5116B" w:rsidRPr="00E5116B">
        <w:rPr>
          <w:i/>
          <w:iCs/>
        </w:rPr>
        <w:t>Id.</w:t>
      </w:r>
      <w:r w:rsidR="00E5116B" w:rsidRPr="00E5116B">
        <w:t xml:space="preserve"> at 1537</w:t>
      </w:r>
      <w:r>
        <w:fldChar w:fldCharType="end"/>
      </w:r>
      <w:r w:rsidR="00F515F9">
        <w:t>.</w:t>
      </w:r>
    </w:p>
  </w:footnote>
  <w:footnote w:id="176">
    <w:p w14:paraId="6D23AD56" w14:textId="32712E01" w:rsidR="00930F8F" w:rsidRDefault="00930F8F">
      <w:pPr>
        <w:pStyle w:val="FootnoteText"/>
      </w:pPr>
      <w:r w:rsidRPr="002A4234">
        <w:rPr>
          <w:rStyle w:val="FootnoteReference"/>
        </w:rPr>
        <w:footnoteRef/>
      </w:r>
      <w:r>
        <w:t xml:space="preserve"> </w:t>
      </w:r>
      <w:r>
        <w:fldChar w:fldCharType="begin"/>
      </w:r>
      <w:r w:rsidR="00E5116B">
        <w:instrText xml:space="preserve"> ADDIN ZOTERO_ITEM CSL_CITATION {"citationID":"8yrpkJJl","properties":{"formattedCitation":"{\\i{}See} Baude &amp; Stern, {\\i{}supra} note 4, at 1871","plainCitation":"See Baude &amp; Stern, supra note 4, at 1871","noteIndex":170},"citationItems":[{"id":2966,"uris":["http://zotero.org/groups/2816150/items/J6IBBYF4"],"uri":["http://zotero.org/groups/2816150/items/J6IBBYF4"],"itemData":{"id":2966,"type":"article-journal","container-title":"Harvard Law Review","journalAbbreviation":"Harv. L. Rev.","language":"eng","page":"1821-1889","source":"HeinOnline","title":"The Positive Law Model of the Fourth Amendment","volume":"129","author":[{"family":"Baude","given":"William"},{"family":"Stern","given":"James Y."}],"issued":{"date-parts":[["2016"]]}},"locator":"1871","label":"page","prefix":"&lt;i&gt;See&lt;/i&gt; "}],"schema":"https://github.com/citation-style-language/schema/raw/master/csl-citation.json"} </w:instrText>
      </w:r>
      <w:r>
        <w:fldChar w:fldCharType="separate"/>
      </w:r>
      <w:r w:rsidR="00E5116B" w:rsidRPr="00E5116B">
        <w:rPr>
          <w:i/>
          <w:iCs/>
        </w:rPr>
        <w:t>See</w:t>
      </w:r>
      <w:r w:rsidR="00E5116B" w:rsidRPr="00E5116B">
        <w:t xml:space="preserve"> Baude &amp; Stern, </w:t>
      </w:r>
      <w:r w:rsidR="00E5116B" w:rsidRPr="00E5116B">
        <w:rPr>
          <w:i/>
          <w:iCs/>
        </w:rPr>
        <w:t>supra</w:t>
      </w:r>
      <w:r w:rsidR="00E5116B" w:rsidRPr="00E5116B">
        <w:t xml:space="preserve"> note </w:t>
      </w:r>
      <w:r w:rsidR="00AD71CA">
        <w:fldChar w:fldCharType="begin"/>
      </w:r>
      <w:r w:rsidR="00AD71CA">
        <w:instrText xml:space="preserve"> NOTEREF _Ref113024660 \h </w:instrText>
      </w:r>
      <w:r w:rsidR="00AD71CA">
        <w:fldChar w:fldCharType="separate"/>
      </w:r>
      <w:r w:rsidR="00405D69">
        <w:t>4</w:t>
      </w:r>
      <w:r w:rsidR="00AD71CA">
        <w:fldChar w:fldCharType="end"/>
      </w:r>
      <w:r w:rsidR="00E5116B" w:rsidRPr="00E5116B">
        <w:t>, at 1871</w:t>
      </w:r>
      <w:r>
        <w:fldChar w:fldCharType="end"/>
      </w:r>
      <w:r w:rsidR="00F515F9">
        <w:t>.</w:t>
      </w:r>
    </w:p>
  </w:footnote>
  <w:footnote w:id="177">
    <w:p w14:paraId="25439DAD" w14:textId="4AC11BD9" w:rsidR="00C0425E" w:rsidRDefault="00C0425E">
      <w:pPr>
        <w:pStyle w:val="FootnoteText"/>
      </w:pPr>
      <w:r w:rsidRPr="002A4234">
        <w:rPr>
          <w:rStyle w:val="FootnoteReference"/>
        </w:rPr>
        <w:footnoteRef/>
      </w:r>
      <w:r w:rsidR="00F515F9">
        <w:t>.</w:t>
      </w:r>
      <w:r w:rsidR="00670BE2" w:rsidRPr="00670BE2">
        <w:t xml:space="preserve">Kerr, </w:t>
      </w:r>
      <w:r w:rsidR="00670BE2" w:rsidRPr="00D50D54">
        <w:rPr>
          <w:i/>
          <w:iCs/>
        </w:rPr>
        <w:t xml:space="preserve">supra </w:t>
      </w:r>
      <w:r w:rsidR="00670BE2" w:rsidRPr="00670BE2">
        <w:t xml:space="preserve">note </w:t>
      </w:r>
      <w:r w:rsidR="003B1104">
        <w:fldChar w:fldCharType="begin"/>
      </w:r>
      <w:r w:rsidR="003B1104">
        <w:instrText xml:space="preserve"> NOTEREF _Ref113024607 \h </w:instrText>
      </w:r>
      <w:r w:rsidR="003B1104">
        <w:fldChar w:fldCharType="separate"/>
      </w:r>
      <w:r w:rsidR="00405D69">
        <w:t>166</w:t>
      </w:r>
      <w:r w:rsidR="003B1104">
        <w:fldChar w:fldCharType="end"/>
      </w:r>
      <w:r w:rsidR="00670BE2" w:rsidRPr="00670BE2">
        <w:t>, at 10</w:t>
      </w:r>
      <w:r w:rsidR="00670BE2">
        <w:t>97.</w:t>
      </w:r>
    </w:p>
  </w:footnote>
  <w:footnote w:id="178">
    <w:p w14:paraId="1D710E0B" w14:textId="6D5638FC" w:rsidR="003E6CE5" w:rsidRDefault="003E6CE5">
      <w:pPr>
        <w:pStyle w:val="FootnoteText"/>
      </w:pPr>
      <w:r w:rsidRPr="002A4234">
        <w:rPr>
          <w:rStyle w:val="FootnoteReference"/>
        </w:rPr>
        <w:footnoteRef/>
      </w:r>
      <w:r>
        <w:t xml:space="preserve"> S. Pac. Co. v. Jensen, 244 U.S. 205, 222 (1917) (</w:t>
      </w:r>
      <w:r w:rsidR="00DF7A2F">
        <w:t>Holmes, J., dissenting).</w:t>
      </w:r>
    </w:p>
  </w:footnote>
  <w:footnote w:id="179">
    <w:p w14:paraId="1816B0FF" w14:textId="4912DA7C" w:rsidR="00F82AD2" w:rsidRDefault="00F82AD2">
      <w:pPr>
        <w:pStyle w:val="FootnoteText"/>
      </w:pPr>
      <w:r w:rsidRPr="002A4234">
        <w:rPr>
          <w:rStyle w:val="FootnoteReference"/>
        </w:rPr>
        <w:footnoteRef/>
      </w:r>
      <w:r>
        <w:t xml:space="preserve"> </w:t>
      </w:r>
      <w:r>
        <w:fldChar w:fldCharType="begin"/>
      </w:r>
      <w:r w:rsidR="00E5116B">
        <w:instrText xml:space="preserve"> ADDIN ZOTERO_ITEM CSL_CITATION {"citationID":"315MS3f4","properties":{"formattedCitation":"McConnell, {\\i{}supra} note 153, at 185","plainCitation":"McConnell, supra note 153, at 185","noteIndex":173},"citationItems":[{"id":3252,"uris":["http://zotero.org/groups/2816150/items/IUYU3NRT"],"uri":["http://zotero.org/groups/2816150/items/IUYU3NRT"],"itemData":{"id":3252,"type":"article-journal","container-title":"University of Illinois Law Review","issue":"1","journalAbbreviation":"U. Ill. L. Rev.","language":"eng","page":"173-198","source":"HeinOnline","title":"Tradition and Constitutionalism before the Constitution","volume":"1998","author":[{"family":"McConnell","given":"Michael W."}]},"locator":"185","label":"page"}],"schema":"https://github.com/citation-style-language/schema/raw/master/csl-citation.json"} </w:instrText>
      </w:r>
      <w:r>
        <w:fldChar w:fldCharType="separate"/>
      </w:r>
      <w:r w:rsidR="00E5116B" w:rsidRPr="00E5116B">
        <w:t xml:space="preserve">McConnell, </w:t>
      </w:r>
      <w:r w:rsidR="00E5116B" w:rsidRPr="00E5116B">
        <w:rPr>
          <w:i/>
          <w:iCs/>
        </w:rPr>
        <w:t>supra</w:t>
      </w:r>
      <w:r w:rsidR="00E5116B" w:rsidRPr="00E5116B">
        <w:t xml:space="preserve"> note </w:t>
      </w:r>
      <w:r w:rsidR="00436D7B">
        <w:fldChar w:fldCharType="begin"/>
      </w:r>
      <w:r w:rsidR="00436D7B">
        <w:instrText xml:space="preserve"> NOTEREF _Ref113021432 \h </w:instrText>
      </w:r>
      <w:r w:rsidR="00436D7B">
        <w:fldChar w:fldCharType="separate"/>
      </w:r>
      <w:r w:rsidR="00405D69">
        <w:t>155</w:t>
      </w:r>
      <w:r w:rsidR="00436D7B">
        <w:fldChar w:fldCharType="end"/>
      </w:r>
      <w:r w:rsidR="00E5116B" w:rsidRPr="00E5116B">
        <w:t>, at 185</w:t>
      </w:r>
      <w:r>
        <w:fldChar w:fldCharType="end"/>
      </w:r>
      <w:r w:rsidR="00F515F9">
        <w:t>.</w:t>
      </w:r>
    </w:p>
  </w:footnote>
  <w:footnote w:id="180">
    <w:p w14:paraId="0ADF0B6E" w14:textId="48964C9B" w:rsidR="00446DE2" w:rsidRDefault="00446DE2" w:rsidP="00446DE2">
      <w:pPr>
        <w:pStyle w:val="FootnoteText"/>
      </w:pPr>
      <w:r w:rsidRPr="002A4234">
        <w:rPr>
          <w:rStyle w:val="FootnoteReference"/>
        </w:rPr>
        <w:footnoteRef/>
      </w:r>
      <w:r>
        <w:t xml:space="preserve"> </w:t>
      </w:r>
      <w:r>
        <w:fldChar w:fldCharType="begin"/>
      </w:r>
      <w:r w:rsidR="00E5116B">
        <w:instrText xml:space="preserve"> ADDIN ZOTERO_ITEM CSL_CITATION {"citationID":"wbLKYOxU","properties":{"formattedCitation":"{\\i{}See, e.g.}, Richard A. Posner, {\\i{}Rethinking the Fourth Amendment}, 1981 {\\scaps Sup. Ct. Rev.} 49, 52","plainCitation":"See, e.g., Richard A. Posner, Rethinking the Fourth Amendment, 1981 Sup. Ct. Rev. 49, 52","noteIndex":174},"citationItems":[{"id":2955,"uris":["http://zotero.org/groups/2816150/items/K7JBGWZG"],"uri":["http://zotero.org/groups/2816150/items/K7JBGWZG"],"itemData":{"id":2955,"type":"article-journal","container-title":"Supreme Court Review","journalAbbreviation":"Sup. Ct. Rev.","language":"eng","page":"49-80","source":"HeinOnline","title":"Rethinking the Fourth Amendment","volume":"1981","author":[{"family":"Posner","given":"Richard A."}]},"locator":"52","label":"page","prefix":"&lt;i&gt;See, e.g.&lt;/i&gt;, "}],"schema":"https://github.com/citation-style-language/schema/raw/master/csl-citation.json"} </w:instrText>
      </w:r>
      <w:r>
        <w:fldChar w:fldCharType="separate"/>
      </w:r>
      <w:r w:rsidR="00E5116B" w:rsidRPr="00E5116B">
        <w:rPr>
          <w:i/>
          <w:iCs/>
        </w:rPr>
        <w:t>See, e.g.</w:t>
      </w:r>
      <w:r w:rsidR="00E5116B" w:rsidRPr="00E5116B">
        <w:t xml:space="preserve">, Richard A. Posner, </w:t>
      </w:r>
      <w:r w:rsidR="00E5116B" w:rsidRPr="00E5116B">
        <w:rPr>
          <w:i/>
          <w:iCs/>
        </w:rPr>
        <w:t>Rethinking the Fourth Amendment</w:t>
      </w:r>
      <w:r w:rsidR="00E5116B" w:rsidRPr="00E5116B">
        <w:t xml:space="preserve">, 1981 </w:t>
      </w:r>
      <w:r w:rsidR="00E5116B" w:rsidRPr="00E5116B">
        <w:rPr>
          <w:smallCaps/>
        </w:rPr>
        <w:t>Sup. Ct. Rev.</w:t>
      </w:r>
      <w:r w:rsidR="00E5116B" w:rsidRPr="00E5116B">
        <w:t xml:space="preserve"> 49, 52</w:t>
      </w:r>
      <w:r>
        <w:fldChar w:fldCharType="end"/>
      </w:r>
      <w:r>
        <w:t xml:space="preserve"> </w:t>
      </w:r>
      <w:r w:rsidR="00B752C9">
        <w:t>(1981)</w:t>
      </w:r>
      <w:r>
        <w:t xml:space="preserve"> (noting that “</w:t>
      </w:r>
      <w:r w:rsidRPr="004A4222">
        <w:t>the English cases that inspired the Fourth Amendment were not criminal case</w:t>
      </w:r>
      <w:r>
        <w:t>s</w:t>
      </w:r>
      <w:r w:rsidR="00197F4E">
        <w:t> </w:t>
      </w:r>
      <w:r w:rsidRPr="003828FE">
        <w:t>.</w:t>
      </w:r>
      <w:r w:rsidR="00197F4E">
        <w:t> </w:t>
      </w:r>
      <w:r w:rsidRPr="003828FE">
        <w:t>.</w:t>
      </w:r>
      <w:r w:rsidR="00197F4E">
        <w:t> </w:t>
      </w:r>
      <w:r w:rsidRPr="003828FE">
        <w:t>.</w:t>
      </w:r>
      <w:r w:rsidR="00197F4E">
        <w:t> </w:t>
      </w:r>
      <w:r w:rsidRPr="004A4222">
        <w:t>they were tort cases</w:t>
      </w:r>
      <w:r>
        <w:t>”).</w:t>
      </w:r>
    </w:p>
  </w:footnote>
  <w:footnote w:id="181">
    <w:p w14:paraId="3F6A6428" w14:textId="06E5CCCA" w:rsidR="007A12DF" w:rsidRDefault="007A12DF">
      <w:pPr>
        <w:pStyle w:val="FootnoteText"/>
      </w:pPr>
      <w:r w:rsidRPr="002A4234">
        <w:rPr>
          <w:rStyle w:val="FootnoteReference"/>
        </w:rPr>
        <w:footnoteRef/>
      </w:r>
      <w:r>
        <w:t xml:space="preserve"> </w:t>
      </w:r>
      <w:r>
        <w:fldChar w:fldCharType="begin"/>
      </w:r>
      <w:r w:rsidR="00E5116B">
        <w:instrText xml:space="preserve"> ADDIN ZOTERO_ITEM CSL_CITATION {"citationID":"0KXz410p","properties":{"formattedCitation":"Tracey Maclin, {\\i{}The Complexity of the Fourth Amendment: A Historical Review}, 77 {\\scaps B.U. L. Rev.} 925, 932 (1997)","plainCitation":"Tracey Maclin, The Complexity of the Fourth Amendment: A Historical Review, 77 B.U. L. Rev. 925, 932 (1997)","noteIndex":175},"citationItems":[{"id":2975,"uris":["http://zotero.org/groups/2816150/items/KCFKAFSZ"],"uri":["http://zotero.org/groups/2816150/items/KCFKAFSZ"],"itemData":{"id":2975,"type":"article-journal","container-title":"Boston University Law Review","issue":"5","journalAbbreviation":"B.U. L. Rev.","language":"eng","page":"925-974","source":"HeinOnline","title":"The Complexity of the Fourth Amendment: A Historical Review","title-short":"The Complexity of the Fourth Amendment","volume":"77","author":[{"family":"Maclin","given":"Tracey"}],"issued":{"date-parts":[["1997"]]}},"locator":"932","label":"page"}],"schema":"https://github.com/citation-style-language/schema/raw/master/csl-citation.json"} </w:instrText>
      </w:r>
      <w:r>
        <w:fldChar w:fldCharType="separate"/>
      </w:r>
      <w:r w:rsidR="00E5116B" w:rsidRPr="00E5116B">
        <w:t xml:space="preserve">Tracey Maclin, </w:t>
      </w:r>
      <w:r w:rsidR="00E5116B" w:rsidRPr="00E5116B">
        <w:rPr>
          <w:i/>
          <w:iCs/>
        </w:rPr>
        <w:t>The Complexity of the Fourth Amendment: A Historical Review</w:t>
      </w:r>
      <w:r w:rsidR="00E5116B" w:rsidRPr="00E5116B">
        <w:t xml:space="preserve">, 77 </w:t>
      </w:r>
      <w:r w:rsidR="00E5116B" w:rsidRPr="00E5116B">
        <w:rPr>
          <w:smallCaps/>
        </w:rPr>
        <w:t>B.U. L. Rev.</w:t>
      </w:r>
      <w:r w:rsidR="00E5116B" w:rsidRPr="00E5116B">
        <w:t xml:space="preserve"> 925, 932 (1997)</w:t>
      </w:r>
      <w:r>
        <w:fldChar w:fldCharType="end"/>
      </w:r>
      <w:r w:rsidR="00F515F9">
        <w:t>.</w:t>
      </w:r>
    </w:p>
  </w:footnote>
  <w:footnote w:id="182">
    <w:p w14:paraId="5C5F6873" w14:textId="7122321B" w:rsidR="00C87CC1" w:rsidRPr="004625EC" w:rsidRDefault="00C87CC1" w:rsidP="007F0BED">
      <w:pPr>
        <w:pStyle w:val="FootnoteText"/>
      </w:pPr>
      <w:r w:rsidRPr="002A4234">
        <w:rPr>
          <w:rStyle w:val="FootnoteReference"/>
        </w:rPr>
        <w:footnoteRef/>
      </w:r>
      <w:r w:rsidR="00C978B2">
        <w:t xml:space="preserve"> </w:t>
      </w:r>
      <w:r w:rsidR="00C978B2">
        <w:rPr>
          <w:i/>
          <w:iCs/>
        </w:rPr>
        <w:t>See, e.g.</w:t>
      </w:r>
      <w:r w:rsidR="00C978B2">
        <w:t>,</w:t>
      </w:r>
      <w:r>
        <w:t xml:space="preserve"> </w:t>
      </w:r>
      <w:r w:rsidR="007F0BED">
        <w:t xml:space="preserve">Donald A. Dripps, </w:t>
      </w:r>
      <w:r w:rsidR="007F0BED" w:rsidRPr="007F0BED">
        <w:rPr>
          <w:i/>
          <w:iCs/>
        </w:rPr>
        <w:t>Responding to the Challenges of Contextual Change and Legal Dynamism in Interpreting the Fourth Amendment</w:t>
      </w:r>
      <w:r w:rsidR="007F0BED">
        <w:t xml:space="preserve">, 81 </w:t>
      </w:r>
      <w:r w:rsidR="007F0BED" w:rsidRPr="007F0BED">
        <w:rPr>
          <w:smallCaps/>
        </w:rPr>
        <w:t>Miss. L.J.</w:t>
      </w:r>
      <w:r w:rsidR="007F0BED">
        <w:t xml:space="preserve"> 1085, 1104 (2012)</w:t>
      </w:r>
      <w:r w:rsidR="00C978B2">
        <w:t xml:space="preserve"> (</w:t>
      </w:r>
      <w:r w:rsidR="00C978B2" w:rsidRPr="00C978B2">
        <w:t>“A valid warrant defeated a trespass suit.”</w:t>
      </w:r>
      <w:r w:rsidR="00C978B2">
        <w:t>)</w:t>
      </w:r>
      <w:r w:rsidR="007F0BED">
        <w:t xml:space="preserve">; </w:t>
      </w:r>
      <w:r w:rsidR="006C67A9">
        <w:fldChar w:fldCharType="begin"/>
      </w:r>
      <w:r w:rsidR="00E5116B">
        <w:instrText xml:space="preserve"> ADDIN ZOTERO_ITEM CSL_CITATION {"citationID":"G1pPzEgH","properties":{"formattedCitation":"Amar, {\\i{}supra} note 8, at 772","plainCitation":"Amar, supra note 8, at 772","noteIndex":176},"citationItems":[{"id":2964,"uris":["http://zotero.org/groups/2816150/items/LLINRXLZ"],"uri":["http://zotero.org/groups/2816150/items/LLINRXLZ"],"itemData":{"id":2964,"type":"article-journal","container-title":"Harvard Law Review","journalAbbreviation":"Harv. L. Rev.","page":"757","title":"Fourth Amendment First Principles","volume":"107","author":[{"family":"Amar","given":"Akhil Reed"}],"issued":{"date-parts":[["1994"]]}},"locator":"772","label":"page"}],"schema":"https://github.com/citation-style-language/schema/raw/master/csl-citation.json"} </w:instrText>
      </w:r>
      <w:r w:rsidR="006C67A9">
        <w:fldChar w:fldCharType="separate"/>
      </w:r>
      <w:r w:rsidR="00E5116B" w:rsidRPr="00E5116B">
        <w:t xml:space="preserve">Amar, </w:t>
      </w:r>
      <w:r w:rsidR="00E5116B" w:rsidRPr="00E5116B">
        <w:rPr>
          <w:i/>
          <w:iCs/>
        </w:rPr>
        <w:t>supra</w:t>
      </w:r>
      <w:r w:rsidR="00E5116B" w:rsidRPr="00E5116B">
        <w:t xml:space="preserve"> note </w:t>
      </w:r>
      <w:r w:rsidR="00D838B1">
        <w:fldChar w:fldCharType="begin"/>
      </w:r>
      <w:r w:rsidR="00D838B1">
        <w:instrText xml:space="preserve"> NOTEREF _Ref114098122 \h </w:instrText>
      </w:r>
      <w:r w:rsidR="00D838B1">
        <w:fldChar w:fldCharType="separate"/>
      </w:r>
      <w:r w:rsidR="00405D69">
        <w:t>8</w:t>
      </w:r>
      <w:r w:rsidR="00D838B1">
        <w:fldChar w:fldCharType="end"/>
      </w:r>
      <w:r w:rsidR="00E5116B" w:rsidRPr="00E5116B">
        <w:t>, at 772</w:t>
      </w:r>
      <w:r w:rsidR="006C67A9">
        <w:fldChar w:fldCharType="end"/>
      </w:r>
      <w:r w:rsidR="005B5C09">
        <w:t xml:space="preserve"> (noting that a</w:t>
      </w:r>
      <w:r w:rsidR="005B5C09" w:rsidRPr="005B5C09">
        <w:t xml:space="preserve"> warrant “</w:t>
      </w:r>
      <w:r w:rsidR="005B5C09">
        <w:t>preclud[ed]</w:t>
      </w:r>
      <w:r w:rsidR="005B5C09" w:rsidRPr="005B5C09">
        <w:t xml:space="preserve"> any common law trespass suit the aggrieved target might try to bring before a local jury after the search or seizure occurred”</w:t>
      </w:r>
      <w:r w:rsidR="005B5C09">
        <w:t>)</w:t>
      </w:r>
      <w:r w:rsidR="000A1A05">
        <w:t xml:space="preserve">; </w:t>
      </w:r>
      <w:r w:rsidR="000A1A05">
        <w:fldChar w:fldCharType="begin"/>
      </w:r>
      <w:r w:rsidR="00E5116B">
        <w:instrText xml:space="preserve"> ADDIN ZOTERO_ITEM CSL_CITATION {"citationID":"zUeiV33G","properties":{"formattedCitation":"Maclin, {\\i{}supra} note 175, at 932","plainCitation":"Maclin, supra note 175, at 932","noteIndex":176},"citationItems":[{"id":2975,"uris":["http://zotero.org/groups/2816150/items/KCFKAFSZ"],"uri":["http://zotero.org/groups/2816150/items/KCFKAFSZ"],"itemData":{"id":2975,"type":"article-journal","container-title":"Boston University Law Review","issue":"5","journalAbbreviation":"B.U. L. Rev.","language":"eng","page":"925-974","source":"HeinOnline","title":"The Complexity of the Fourth Amendment: A Historical Review","title-short":"The Complexity of the Fourth Amendment","volume":"77","author":[{"family":"Maclin","given":"Tracey"}],"issued":{"date-parts":[["1997"]]}},"locator":"932","label":"page"}],"schema":"https://github.com/citation-style-language/schema/raw/master/csl-citation.json"} </w:instrText>
      </w:r>
      <w:r w:rsidR="000A1A05">
        <w:fldChar w:fldCharType="separate"/>
      </w:r>
      <w:r w:rsidR="00E5116B" w:rsidRPr="00E5116B">
        <w:t xml:space="preserve">Maclin, </w:t>
      </w:r>
      <w:r w:rsidR="00E5116B" w:rsidRPr="00E5116B">
        <w:rPr>
          <w:i/>
          <w:iCs/>
        </w:rPr>
        <w:t>supra</w:t>
      </w:r>
      <w:r w:rsidR="00E5116B" w:rsidRPr="00E5116B">
        <w:t xml:space="preserve"> note </w:t>
      </w:r>
      <w:r w:rsidR="000D3B60">
        <w:t>175</w:t>
      </w:r>
      <w:r w:rsidR="00E5116B" w:rsidRPr="00E5116B">
        <w:t>, at 932</w:t>
      </w:r>
      <w:r w:rsidR="000A1A05">
        <w:fldChar w:fldCharType="end"/>
      </w:r>
      <w:r w:rsidR="00700F00">
        <w:t xml:space="preserve"> (noting that “</w:t>
      </w:r>
      <w:r w:rsidR="00700F00" w:rsidRPr="00700F00">
        <w:t>the possession of a warrant could afford an officer immunity from after-the-fact tort suits</w:t>
      </w:r>
      <w:r w:rsidR="00700F00">
        <w:t>”).</w:t>
      </w:r>
    </w:p>
  </w:footnote>
  <w:footnote w:id="183">
    <w:p w14:paraId="702DAAC2" w14:textId="38778B06" w:rsidR="00FB7C73" w:rsidRDefault="00FB7C73">
      <w:pPr>
        <w:pStyle w:val="FootnoteText"/>
      </w:pPr>
      <w:r w:rsidRPr="002A4234">
        <w:rPr>
          <w:rStyle w:val="FootnoteReference"/>
        </w:rPr>
        <w:footnoteRef/>
      </w:r>
      <w:r>
        <w:t xml:space="preserve"> </w:t>
      </w:r>
      <w:r>
        <w:fldChar w:fldCharType="begin"/>
      </w:r>
      <w:r>
        <w:instrText>ADDIN ZOTERO_TEMP</w:instrText>
      </w:r>
      <w:r>
        <w:fldChar w:fldCharType="separate"/>
      </w:r>
      <w:r w:rsidR="00EF1B65" w:rsidRPr="00EF1B65">
        <w:rPr>
          <w:i/>
          <w:iCs/>
        </w:rPr>
        <w:t>See, e.g.</w:t>
      </w:r>
      <w:r w:rsidR="00EF1B65" w:rsidRPr="0061208C">
        <w:t>,</w:t>
      </w:r>
      <w:r w:rsidR="00EF1B65" w:rsidRPr="00EF1B65">
        <w:t xml:space="preserve"> Mannheimer, </w:t>
      </w:r>
      <w:r w:rsidR="006F24D7">
        <w:rPr>
          <w:i/>
          <w:iCs/>
        </w:rPr>
        <w:t xml:space="preserve">supra </w:t>
      </w:r>
      <w:r w:rsidR="006F24D7">
        <w:t xml:space="preserve">note </w:t>
      </w:r>
      <w:r w:rsidR="006F24D7">
        <w:fldChar w:fldCharType="begin"/>
      </w:r>
      <w:r w:rsidR="006F24D7">
        <w:instrText xml:space="preserve"> NOTEREF _Ref114097879 \h </w:instrText>
      </w:r>
      <w:r w:rsidR="006F24D7">
        <w:fldChar w:fldCharType="separate"/>
      </w:r>
      <w:r w:rsidR="006F24D7">
        <w:t>74</w:t>
      </w:r>
      <w:r w:rsidR="006F24D7">
        <w:fldChar w:fldCharType="end"/>
      </w:r>
      <w:r w:rsidR="00EF1B65" w:rsidRPr="00EF1B65">
        <w:t>,</w:t>
      </w:r>
      <w:r w:rsidR="006F24D7">
        <w:t xml:space="preserve"> at</w:t>
      </w:r>
      <w:r w:rsidR="00EF1B65" w:rsidRPr="00EF1B65">
        <w:t xml:space="preserve"> 1245</w:t>
      </w:r>
      <w:r w:rsidR="006F24D7">
        <w:t>-</w:t>
      </w:r>
      <w:r w:rsidR="00EF1B65" w:rsidRPr="00EF1B65">
        <w:t>62.</w:t>
      </w:r>
      <w:r>
        <w:fldChar w:fldCharType="end"/>
      </w:r>
    </w:p>
  </w:footnote>
  <w:footnote w:id="184">
    <w:p w14:paraId="05797805" w14:textId="42E298B3" w:rsidR="007F08CE" w:rsidRPr="00CB1AE3" w:rsidRDefault="007F08CE">
      <w:pPr>
        <w:pStyle w:val="FootnoteText"/>
      </w:pPr>
      <w:r w:rsidRPr="002A4234">
        <w:rPr>
          <w:rStyle w:val="FootnoteReference"/>
        </w:rPr>
        <w:footnoteRef/>
      </w:r>
      <w:r>
        <w:t xml:space="preserve"> </w:t>
      </w:r>
      <w:r w:rsidR="00CB1AE3">
        <w:rPr>
          <w:i/>
          <w:iCs/>
        </w:rPr>
        <w:t>See supra</w:t>
      </w:r>
      <w:r w:rsidR="00CB1AE3">
        <w:t xml:space="preserve"> </w:t>
      </w:r>
      <w:r w:rsidR="00E41C18">
        <w:t>Section I</w:t>
      </w:r>
      <w:r w:rsidR="002F759A">
        <w:t>I</w:t>
      </w:r>
      <w:r w:rsidR="00E41C18">
        <w:t>.B</w:t>
      </w:r>
      <w:r w:rsidR="00CB1AE3">
        <w:t>.</w:t>
      </w:r>
    </w:p>
  </w:footnote>
  <w:footnote w:id="185">
    <w:p w14:paraId="121D45EE" w14:textId="0A08E76B" w:rsidR="007A5172" w:rsidRDefault="007A5172">
      <w:pPr>
        <w:pStyle w:val="FootnoteText"/>
      </w:pPr>
      <w:r w:rsidRPr="002A4234">
        <w:rPr>
          <w:rStyle w:val="FootnoteReference"/>
        </w:rPr>
        <w:footnoteRef/>
      </w:r>
      <w:r>
        <w:t xml:space="preserve"> </w:t>
      </w:r>
      <w:r w:rsidR="004E073E">
        <w:rPr>
          <w:i/>
          <w:iCs/>
        </w:rPr>
        <w:t xml:space="preserve">See </w:t>
      </w:r>
      <w:r>
        <w:fldChar w:fldCharType="begin"/>
      </w:r>
      <w:r w:rsidR="00E5116B">
        <w:instrText xml:space="preserve"> ADDIN ZOTERO_ITEM CSL_CITATION {"citationID":"YT0Amuk9","properties":{"formattedCitation":"Ann Woolhandler, {\\i{}The Common Law Origins of Constitutionally Compelled Remedies}, 107 {\\scaps Yale L.J.} 77, 122\\uc0\\u8211{}24 (1997)","plainCitation":"Ann Woolhandler, The Common Law Origins of Constitutionally Compelled Remedies, 107 Yale L.J. 77, 122–24 (1997)","noteIndex":179},"citationItems":[{"id":3214,"uris":["http://zotero.org/groups/2816150/items/2URC4EES"],"uri":["http://zotero.org/groups/2816150/items/2URC4EES"],"itemData":{"id":3214,"type":"article-journal","container-title":"Yale Law Journal","issue":"1","journalAbbreviation":"Yale L.J.","language":"eng","page":"77-164","source":"HeinOnline","title":"The Common Law Origins of Constitutionally Compelled Remedies","volume":"107","author":[{"family":"Woolhandler","given":"Ann"}],"issued":{"date-parts":[["1997"]]}},"locator":"122-24","label":"page"}],"schema":"https://github.com/citation-style-language/schema/raw/master/csl-citation.json"} </w:instrText>
      </w:r>
      <w:r>
        <w:fldChar w:fldCharType="separate"/>
      </w:r>
      <w:r w:rsidR="00E5116B" w:rsidRPr="00E5116B">
        <w:t xml:space="preserve">Ann Woolhandler, </w:t>
      </w:r>
      <w:r w:rsidR="00E5116B" w:rsidRPr="00E5116B">
        <w:rPr>
          <w:i/>
          <w:iCs/>
        </w:rPr>
        <w:t>The Common Law Origins of Constitutionally Compelled Remedies</w:t>
      </w:r>
      <w:r w:rsidR="00E5116B" w:rsidRPr="00E5116B">
        <w:t xml:space="preserve">, 107 </w:t>
      </w:r>
      <w:r w:rsidR="00E5116B" w:rsidRPr="00E5116B">
        <w:rPr>
          <w:smallCaps/>
        </w:rPr>
        <w:t>Yale L.J.</w:t>
      </w:r>
      <w:r w:rsidR="00E5116B" w:rsidRPr="00E5116B">
        <w:t xml:space="preserve"> 77, 122</w:t>
      </w:r>
      <w:r w:rsidR="004A414A">
        <w:t>-</w:t>
      </w:r>
      <w:r w:rsidR="007912A3" w:rsidRPr="00E5116B">
        <w:t>24</w:t>
      </w:r>
      <w:r w:rsidR="00E5116B" w:rsidRPr="00E5116B">
        <w:t xml:space="preserve"> (1997)</w:t>
      </w:r>
      <w:r>
        <w:fldChar w:fldCharType="end"/>
      </w:r>
      <w:r w:rsidR="00F515F9">
        <w:t>.</w:t>
      </w:r>
    </w:p>
  </w:footnote>
  <w:footnote w:id="186">
    <w:p w14:paraId="0C0358BE" w14:textId="66F0A431" w:rsidR="005D1817" w:rsidRDefault="005D1817" w:rsidP="005D1817">
      <w:pPr>
        <w:pStyle w:val="FootnoteText"/>
      </w:pPr>
      <w:r w:rsidRPr="002A4234">
        <w:rPr>
          <w:rStyle w:val="FootnoteReference"/>
        </w:rPr>
        <w:footnoteRef/>
      </w:r>
      <w:r>
        <w:t xml:space="preserve"> </w:t>
      </w:r>
      <w:r w:rsidRPr="00E44DBB">
        <w:t>569 U.S. 1</w:t>
      </w:r>
      <w:r>
        <w:t xml:space="preserve"> (2013).</w:t>
      </w:r>
    </w:p>
  </w:footnote>
  <w:footnote w:id="187">
    <w:p w14:paraId="7578F21D" w14:textId="77777777" w:rsidR="0046551F" w:rsidRPr="00255DCE" w:rsidRDefault="0046551F" w:rsidP="007E6B1B">
      <w:pPr>
        <w:pStyle w:val="FootnoteText"/>
      </w:pPr>
      <w:r w:rsidRPr="002A4234">
        <w:rPr>
          <w:rStyle w:val="FootnoteReference"/>
        </w:rPr>
        <w:footnoteRef/>
      </w:r>
      <w:r>
        <w:t xml:space="preserve"> </w:t>
      </w:r>
      <w:r>
        <w:rPr>
          <w:i/>
          <w:iCs/>
        </w:rPr>
        <w:t>Id.</w:t>
      </w:r>
      <w:r>
        <w:t xml:space="preserve"> at 6.</w:t>
      </w:r>
    </w:p>
  </w:footnote>
  <w:footnote w:id="188">
    <w:p w14:paraId="6C030858" w14:textId="38D7C963" w:rsidR="001C7A75" w:rsidRPr="004722AE" w:rsidRDefault="001C7A75" w:rsidP="007E6B1B">
      <w:pPr>
        <w:pStyle w:val="FootnoteText"/>
      </w:pPr>
      <w:r w:rsidRPr="002A4234">
        <w:rPr>
          <w:rStyle w:val="FootnoteReference"/>
        </w:rPr>
        <w:footnoteRef/>
      </w:r>
      <w:r>
        <w:t xml:space="preserve"> </w:t>
      </w:r>
      <w:r>
        <w:rPr>
          <w:i/>
          <w:iCs/>
        </w:rPr>
        <w:t>Id.</w:t>
      </w:r>
      <w:r>
        <w:t xml:space="preserve"> at 8 (quoting </w:t>
      </w:r>
      <w:r w:rsidRPr="00DD0B50">
        <w:t>McKee v. Gratz, 260 U.S. 127, 136 (1922)</w:t>
      </w:r>
      <w:r>
        <w:t>).</w:t>
      </w:r>
    </w:p>
  </w:footnote>
  <w:footnote w:id="189">
    <w:p w14:paraId="23EB3C74" w14:textId="77777777" w:rsidR="00C950E2" w:rsidRPr="006B7A98" w:rsidRDefault="00C950E2" w:rsidP="00C950E2">
      <w:pPr>
        <w:pStyle w:val="FootnoteText"/>
      </w:pPr>
      <w:r w:rsidRPr="002A4234">
        <w:rPr>
          <w:rStyle w:val="FootnoteReference"/>
        </w:rPr>
        <w:footnoteRef/>
      </w:r>
      <w:r>
        <w:t xml:space="preserve"> </w:t>
      </w:r>
      <w:r>
        <w:rPr>
          <w:i/>
          <w:iCs/>
        </w:rPr>
        <w:t>Id.</w:t>
      </w:r>
    </w:p>
  </w:footnote>
  <w:footnote w:id="190">
    <w:p w14:paraId="4B6408BC" w14:textId="7534DDD7" w:rsidR="001C7A75" w:rsidRPr="006B7A98" w:rsidRDefault="001C7A75" w:rsidP="007E6B1B">
      <w:pPr>
        <w:pStyle w:val="FootnoteText"/>
      </w:pPr>
      <w:r w:rsidRPr="002A4234">
        <w:rPr>
          <w:rStyle w:val="FootnoteReference"/>
        </w:rPr>
        <w:footnoteRef/>
      </w:r>
      <w:r>
        <w:t xml:space="preserve"> </w:t>
      </w:r>
      <w:r>
        <w:rPr>
          <w:i/>
          <w:iCs/>
        </w:rPr>
        <w:t>Id.</w:t>
      </w:r>
      <w:r w:rsidR="0052403F">
        <w:t xml:space="preserve"> at 9.</w:t>
      </w:r>
    </w:p>
  </w:footnote>
  <w:footnote w:id="191">
    <w:p w14:paraId="6ED576FE" w14:textId="638B9424" w:rsidR="00846ACD" w:rsidRPr="00846ACD" w:rsidRDefault="00846ACD">
      <w:pPr>
        <w:pStyle w:val="FootnoteText"/>
      </w:pPr>
      <w:r w:rsidRPr="002A4234">
        <w:rPr>
          <w:rStyle w:val="FootnoteReference"/>
        </w:rPr>
        <w:footnoteRef/>
      </w:r>
      <w:r>
        <w:t xml:space="preserve"> </w:t>
      </w:r>
      <w:r>
        <w:rPr>
          <w:i/>
          <w:iCs/>
        </w:rPr>
        <w:t>Id.</w:t>
      </w:r>
    </w:p>
  </w:footnote>
  <w:footnote w:id="192">
    <w:p w14:paraId="50AA351D" w14:textId="7CBF0AC8" w:rsidR="005D1817" w:rsidRDefault="005D1817" w:rsidP="005D1817">
      <w:pPr>
        <w:pStyle w:val="FootnoteText"/>
      </w:pPr>
      <w:r w:rsidRPr="002A4234">
        <w:rPr>
          <w:rStyle w:val="FootnoteReference"/>
        </w:rPr>
        <w:footnoteRef/>
      </w:r>
      <w:r>
        <w:t xml:space="preserve"> </w:t>
      </w:r>
      <w:r>
        <w:fldChar w:fldCharType="begin"/>
      </w:r>
      <w:r w:rsidR="00E5116B">
        <w:instrText xml:space="preserve"> ADDIN ZOTERO_ITEM CSL_CITATION {"citationID":"TYis7Y4J","properties":{"formattedCitation":"Baude &amp; Stern, {\\i{}supra} note 4, at 1835","plainCitation":"Baude &amp; Stern, supra note 4, at 1835","noteIndex":186},"citationItems":[{"id":2966,"uris":["http://zotero.org/groups/2816150/items/J6IBBYF4"],"uri":["http://zotero.org/groups/2816150/items/J6IBBYF4"],"itemData":{"id":2966,"type":"article-journal","container-title":"Harvard Law Review","journalAbbreviation":"Harv. L. Rev.","language":"eng","page":"1821-1889","source":"HeinOnline","title":"The Positive Law Model of the Fourth Amendment","volume":"129","author":[{"family":"Baude","given":"William"},{"family":"Stern","given":"James Y."}],"issued":{"date-parts":[["2016"]]}},"locator":"1835","label":"page"}],"schema":"https://github.com/citation-style-language/schema/raw/master/csl-citation.json"} </w:instrText>
      </w:r>
      <w:r>
        <w:fldChar w:fldCharType="separate"/>
      </w:r>
      <w:r w:rsidR="00E5116B" w:rsidRPr="00E5116B">
        <w:t xml:space="preserve">Baude &amp; Stern, </w:t>
      </w:r>
      <w:r w:rsidR="00E5116B" w:rsidRPr="00E5116B">
        <w:rPr>
          <w:i/>
          <w:iCs/>
        </w:rPr>
        <w:t>supra</w:t>
      </w:r>
      <w:r w:rsidR="00E5116B" w:rsidRPr="00E5116B">
        <w:t xml:space="preserve"> note </w:t>
      </w:r>
      <w:r w:rsidR="00DA13D4">
        <w:fldChar w:fldCharType="begin"/>
      </w:r>
      <w:r w:rsidR="00DA13D4">
        <w:instrText xml:space="preserve"> NOTEREF _Ref113024660 \h </w:instrText>
      </w:r>
      <w:r w:rsidR="00DA13D4">
        <w:fldChar w:fldCharType="separate"/>
      </w:r>
      <w:r w:rsidR="00405D69">
        <w:t>4</w:t>
      </w:r>
      <w:r w:rsidR="00DA13D4">
        <w:fldChar w:fldCharType="end"/>
      </w:r>
      <w:r w:rsidR="00E5116B" w:rsidRPr="00E5116B">
        <w:t>, at 1835</w:t>
      </w:r>
      <w:r>
        <w:fldChar w:fldCharType="end"/>
      </w:r>
      <w:r w:rsidR="00F515F9">
        <w:t>.</w:t>
      </w:r>
    </w:p>
  </w:footnote>
  <w:footnote w:id="193">
    <w:p w14:paraId="5C882D25" w14:textId="480D9577" w:rsidR="003A4551" w:rsidRDefault="003A4551">
      <w:pPr>
        <w:pStyle w:val="FootnoteText"/>
      </w:pPr>
      <w:r w:rsidRPr="002A4234">
        <w:rPr>
          <w:rStyle w:val="FootnoteReference"/>
        </w:rPr>
        <w:footnoteRef/>
      </w:r>
      <w:r>
        <w:t xml:space="preserve"> </w:t>
      </w:r>
      <w:r>
        <w:fldChar w:fldCharType="begin"/>
      </w:r>
      <w:r w:rsidR="00E5116B">
        <w:instrText xml:space="preserve"> ADDIN ZOTERO_ITEM CSL_CITATION {"citationID":"rpGw40vv","properties":{"formattedCitation":"{\\i{}See} Bellia &amp; Clark, {\\i{}supra} note 15, at 658","plainCitation":"See Bellia &amp; Clark, supra note 15, at 658","noteIndex":187},"citationItems":[{"id":2924,"uris":["http://zotero.org/groups/2816150/items/LY5HZDGJ"],"uri":["http://zotero.org/groups/2816150/items/LY5HZDGJ"],"itemData":{"id":2924,"type":"article-journal","container-title":"William &amp; Mary Law Review","issue":"3","journalAbbreviation":"Wm. &amp; Mary L. Rev.","language":"eng","page":"655-724","source":"HeinOnline","title":"General Law in Federal Court","volume":"54","author":[{"family":"Bellia","given":"Anthony J. Jr."},{"family":"Clark","given":"Bradford R."}],"issued":{"date-parts":[["2013"]]}},"locator":"658","label":"page","prefix":"&lt;i&gt;See&lt;/i&gt; "}],"schema":"https://github.com/citation-style-language/schema/raw/master/csl-citation.json"} </w:instrText>
      </w:r>
      <w:r>
        <w:fldChar w:fldCharType="separate"/>
      </w:r>
      <w:r w:rsidR="00E5116B" w:rsidRPr="00E5116B">
        <w:rPr>
          <w:i/>
          <w:iCs/>
        </w:rPr>
        <w:t>See</w:t>
      </w:r>
      <w:r w:rsidR="00E5116B" w:rsidRPr="00E5116B">
        <w:t xml:space="preserve"> Bellia &amp; Clark, </w:t>
      </w:r>
      <w:r w:rsidR="00E5116B" w:rsidRPr="00E5116B">
        <w:rPr>
          <w:i/>
          <w:iCs/>
        </w:rPr>
        <w:t>supra</w:t>
      </w:r>
      <w:r w:rsidR="00E5116B" w:rsidRPr="00E5116B">
        <w:t xml:space="preserve"> note </w:t>
      </w:r>
      <w:r w:rsidR="00832EC5">
        <w:fldChar w:fldCharType="begin"/>
      </w:r>
      <w:r w:rsidR="00832EC5">
        <w:instrText xml:space="preserve"> NOTEREF _Ref114090797 \h </w:instrText>
      </w:r>
      <w:r w:rsidR="00832EC5">
        <w:fldChar w:fldCharType="separate"/>
      </w:r>
      <w:r w:rsidR="00405D69">
        <w:t>15</w:t>
      </w:r>
      <w:r w:rsidR="00832EC5">
        <w:fldChar w:fldCharType="end"/>
      </w:r>
      <w:r w:rsidR="00E5116B" w:rsidRPr="00E5116B">
        <w:t>, at 658</w:t>
      </w:r>
      <w:r>
        <w:fldChar w:fldCharType="end"/>
      </w:r>
      <w:r w:rsidR="00F515F9">
        <w:t>.</w:t>
      </w:r>
    </w:p>
  </w:footnote>
  <w:footnote w:id="194">
    <w:p w14:paraId="232D0F92" w14:textId="4C2BC4FB" w:rsidR="002023F5" w:rsidRDefault="002023F5" w:rsidP="002023F5">
      <w:pPr>
        <w:pStyle w:val="FootnoteText"/>
      </w:pPr>
      <w:r w:rsidRPr="002A4234">
        <w:rPr>
          <w:rStyle w:val="FootnoteReference"/>
        </w:rPr>
        <w:footnoteRef/>
      </w:r>
      <w:r>
        <w:t xml:space="preserve"> United States v. Jones, </w:t>
      </w:r>
      <w:r w:rsidRPr="00E406A4">
        <w:t>565 U.S. 400</w:t>
      </w:r>
      <w:r w:rsidR="0065230A">
        <w:t>, 404</w:t>
      </w:r>
      <w:r>
        <w:t xml:space="preserve"> (2012).</w:t>
      </w:r>
    </w:p>
  </w:footnote>
  <w:footnote w:id="195">
    <w:p w14:paraId="5A7BABBA" w14:textId="77777777" w:rsidR="006A4FAA" w:rsidRPr="00071FD3" w:rsidRDefault="006A4FAA" w:rsidP="006A4FAA">
      <w:pPr>
        <w:pStyle w:val="FootnoteText"/>
      </w:pPr>
      <w:r w:rsidRPr="002A4234">
        <w:rPr>
          <w:rStyle w:val="FootnoteReference"/>
        </w:rPr>
        <w:footnoteRef/>
      </w:r>
      <w:r>
        <w:t xml:space="preserve"> </w:t>
      </w:r>
      <w:r>
        <w:rPr>
          <w:i/>
          <w:iCs/>
        </w:rPr>
        <w:t>Id.</w:t>
      </w:r>
      <w:r>
        <w:t xml:space="preserve"> at 405. </w:t>
      </w:r>
    </w:p>
  </w:footnote>
  <w:footnote w:id="196">
    <w:p w14:paraId="5577F315" w14:textId="77777777" w:rsidR="006A4FAA" w:rsidRPr="00203D33" w:rsidRDefault="006A4FAA" w:rsidP="006A4FAA">
      <w:pPr>
        <w:pStyle w:val="FootnoteText"/>
      </w:pPr>
      <w:r w:rsidRPr="002A4234">
        <w:rPr>
          <w:rStyle w:val="FootnoteReference"/>
        </w:rPr>
        <w:footnoteRef/>
      </w:r>
      <w:r>
        <w:t xml:space="preserve"> </w:t>
      </w:r>
      <w:r>
        <w:rPr>
          <w:i/>
          <w:iCs/>
        </w:rPr>
        <w:t>Id.</w:t>
      </w:r>
      <w:r>
        <w:t xml:space="preserve"> at 404. </w:t>
      </w:r>
    </w:p>
  </w:footnote>
  <w:footnote w:id="197">
    <w:p w14:paraId="5C7FFBB7" w14:textId="4630A75A" w:rsidR="005B3681" w:rsidRPr="005B3681" w:rsidRDefault="005B3681">
      <w:pPr>
        <w:pStyle w:val="FootnoteText"/>
      </w:pPr>
      <w:r w:rsidRPr="002A4234">
        <w:rPr>
          <w:rStyle w:val="FootnoteReference"/>
        </w:rPr>
        <w:footnoteRef/>
      </w:r>
      <w:r>
        <w:t xml:space="preserve"> </w:t>
      </w:r>
      <w:r>
        <w:rPr>
          <w:i/>
          <w:iCs/>
        </w:rPr>
        <w:t>Id.</w:t>
      </w:r>
      <w:r>
        <w:t xml:space="preserve"> at 404</w:t>
      </w:r>
      <w:r w:rsidR="00C513EB">
        <w:t>-</w:t>
      </w:r>
      <w:r>
        <w:t xml:space="preserve">05. </w:t>
      </w:r>
    </w:p>
  </w:footnote>
  <w:footnote w:id="198">
    <w:p w14:paraId="489F31F1" w14:textId="5390FD30" w:rsidR="00C669A3" w:rsidRPr="00C669A3" w:rsidRDefault="00C669A3">
      <w:pPr>
        <w:pStyle w:val="FootnoteText"/>
      </w:pPr>
      <w:r w:rsidRPr="002A4234">
        <w:rPr>
          <w:rStyle w:val="FootnoteReference"/>
        </w:rPr>
        <w:footnoteRef/>
      </w:r>
      <w:r>
        <w:t xml:space="preserve"> </w:t>
      </w:r>
      <w:r>
        <w:rPr>
          <w:i/>
          <w:iCs/>
        </w:rPr>
        <w:t>Id.</w:t>
      </w:r>
      <w:r>
        <w:t xml:space="preserve"> at </w:t>
      </w:r>
      <w:r w:rsidR="003617BA">
        <w:t>418 (Alito, J., concurring in the judgment).</w:t>
      </w:r>
    </w:p>
  </w:footnote>
  <w:footnote w:id="199">
    <w:p w14:paraId="3B15EED0" w14:textId="23254C3C" w:rsidR="00501D41" w:rsidRPr="00501D41" w:rsidRDefault="00501D41">
      <w:pPr>
        <w:pStyle w:val="FootnoteText"/>
      </w:pPr>
      <w:r w:rsidRPr="002A4234">
        <w:rPr>
          <w:rStyle w:val="FootnoteReference"/>
        </w:rPr>
        <w:footnoteRef/>
      </w:r>
      <w:r>
        <w:t xml:space="preserve"> </w:t>
      </w:r>
      <w:r>
        <w:rPr>
          <w:i/>
          <w:iCs/>
        </w:rPr>
        <w:t>Id.</w:t>
      </w:r>
      <w:r>
        <w:t xml:space="preserve"> at 411 (majority opinion). </w:t>
      </w:r>
    </w:p>
  </w:footnote>
  <w:footnote w:id="200">
    <w:p w14:paraId="4C3B23E5" w14:textId="66ED1966" w:rsidR="00743C8E" w:rsidRDefault="00743C8E">
      <w:pPr>
        <w:pStyle w:val="FootnoteText"/>
      </w:pPr>
      <w:r w:rsidRPr="002A4234">
        <w:rPr>
          <w:rStyle w:val="FootnoteReference"/>
        </w:rPr>
        <w:footnoteRef/>
      </w:r>
      <w:r>
        <w:t xml:space="preserve"> </w:t>
      </w:r>
      <w:r w:rsidR="00A92096">
        <w:t>547 U.S. 103</w:t>
      </w:r>
      <w:r w:rsidR="00123094">
        <w:t>, 143-45</w:t>
      </w:r>
      <w:r w:rsidR="00A92096">
        <w:t xml:space="preserve"> (2006)</w:t>
      </w:r>
      <w:r w:rsidR="00123094">
        <w:t xml:space="preserve"> (Scalia, J., dissenting</w:t>
      </w:r>
      <w:r w:rsidR="00A92096">
        <w:t xml:space="preserve">). </w:t>
      </w:r>
    </w:p>
  </w:footnote>
  <w:footnote w:id="201">
    <w:p w14:paraId="1A3B7FB5" w14:textId="617F2CD0" w:rsidR="00743C8E" w:rsidRPr="00743C8E" w:rsidRDefault="00743C8E">
      <w:pPr>
        <w:pStyle w:val="FootnoteText"/>
      </w:pPr>
      <w:r w:rsidRPr="002A4234">
        <w:rPr>
          <w:rStyle w:val="FootnoteReference"/>
        </w:rPr>
        <w:footnoteRef/>
      </w:r>
      <w:r>
        <w:t xml:space="preserve"> </w:t>
      </w:r>
      <w:r>
        <w:rPr>
          <w:i/>
          <w:iCs/>
        </w:rPr>
        <w:t>Id.</w:t>
      </w:r>
      <w:r>
        <w:t xml:space="preserve"> at 124 (Stevens, J., concurring).</w:t>
      </w:r>
    </w:p>
  </w:footnote>
  <w:footnote w:id="202">
    <w:p w14:paraId="215810B5" w14:textId="0A17D434" w:rsidR="00DB4309" w:rsidRPr="00DB4309" w:rsidRDefault="00DB4309">
      <w:pPr>
        <w:pStyle w:val="FootnoteText"/>
      </w:pPr>
      <w:r w:rsidRPr="002A4234">
        <w:rPr>
          <w:rStyle w:val="FootnoteReference"/>
        </w:rPr>
        <w:footnoteRef/>
      </w:r>
      <w:r>
        <w:t xml:space="preserve"> </w:t>
      </w:r>
      <w:r>
        <w:rPr>
          <w:i/>
          <w:iCs/>
        </w:rPr>
        <w:t xml:space="preserve">Id. </w:t>
      </w:r>
      <w:r>
        <w:t>at 143 (Scalia, J., dissenting).</w:t>
      </w:r>
    </w:p>
  </w:footnote>
  <w:footnote w:id="203">
    <w:p w14:paraId="4FC4E71F" w14:textId="01DA031D" w:rsidR="007B6075" w:rsidRPr="007B6075" w:rsidRDefault="007B6075">
      <w:pPr>
        <w:pStyle w:val="FootnoteText"/>
      </w:pPr>
      <w:r w:rsidRPr="002A4234">
        <w:rPr>
          <w:rStyle w:val="FootnoteReference"/>
        </w:rPr>
        <w:footnoteRef/>
      </w:r>
      <w:r>
        <w:t xml:space="preserve"> </w:t>
      </w:r>
      <w:r>
        <w:rPr>
          <w:i/>
          <w:iCs/>
        </w:rPr>
        <w:t>Id.</w:t>
      </w:r>
    </w:p>
  </w:footnote>
  <w:footnote w:id="204">
    <w:p w14:paraId="47B31778" w14:textId="7E4E718D" w:rsidR="00EC73C6" w:rsidRDefault="00EC73C6">
      <w:pPr>
        <w:pStyle w:val="FootnoteText"/>
      </w:pPr>
      <w:r w:rsidRPr="002A4234">
        <w:rPr>
          <w:rStyle w:val="FootnoteReference"/>
        </w:rPr>
        <w:footnoteRef/>
      </w:r>
      <w:r>
        <w:t xml:space="preserve"> </w:t>
      </w:r>
      <w:r w:rsidR="00001BB0">
        <w:t xml:space="preserve">Olmstead v. United </w:t>
      </w:r>
      <w:r w:rsidR="00110C91">
        <w:t xml:space="preserve">States, 277 </w:t>
      </w:r>
      <w:r w:rsidR="002A3413">
        <w:t xml:space="preserve">U.S. 438, </w:t>
      </w:r>
      <w:r w:rsidR="005A69C5">
        <w:t xml:space="preserve">457 </w:t>
      </w:r>
      <w:r w:rsidR="00B75DBC">
        <w:t>(1928).</w:t>
      </w:r>
    </w:p>
  </w:footnote>
  <w:footnote w:id="205">
    <w:p w14:paraId="38C3E54C" w14:textId="6A633515" w:rsidR="00197E9A" w:rsidRPr="00163577" w:rsidRDefault="00197E9A">
      <w:pPr>
        <w:pStyle w:val="FootnoteText"/>
      </w:pPr>
      <w:r w:rsidRPr="002A4234">
        <w:rPr>
          <w:rStyle w:val="FootnoteReference"/>
        </w:rPr>
        <w:footnoteRef/>
      </w:r>
      <w:r>
        <w:t xml:space="preserve"> </w:t>
      </w:r>
      <w:r>
        <w:rPr>
          <w:i/>
          <w:iCs/>
        </w:rPr>
        <w:t>S</w:t>
      </w:r>
      <w:r w:rsidR="00163577">
        <w:rPr>
          <w:i/>
          <w:iCs/>
        </w:rPr>
        <w:t>ee id.</w:t>
      </w:r>
      <w:r w:rsidR="00163577">
        <w:t xml:space="preserve"> at </w:t>
      </w:r>
      <w:r w:rsidR="002D6B7B">
        <w:t>4</w:t>
      </w:r>
      <w:r w:rsidR="00030C57">
        <w:t>6</w:t>
      </w:r>
      <w:r w:rsidR="00BD4DD3">
        <w:t>8</w:t>
      </w:r>
      <w:r w:rsidR="00C513EB">
        <w:t>-</w:t>
      </w:r>
      <w:r w:rsidR="00E56AB0">
        <w:t>6</w:t>
      </w:r>
      <w:r w:rsidR="00BD4DD3">
        <w:t>9</w:t>
      </w:r>
      <w:r w:rsidR="00E56AB0">
        <w:t>.</w:t>
      </w:r>
    </w:p>
  </w:footnote>
  <w:footnote w:id="206">
    <w:p w14:paraId="3A8D00C6" w14:textId="23940D53" w:rsidR="005F179B" w:rsidRDefault="005F179B">
      <w:pPr>
        <w:pStyle w:val="FootnoteText"/>
      </w:pPr>
      <w:r w:rsidRPr="002A4234">
        <w:rPr>
          <w:rStyle w:val="FootnoteReference"/>
        </w:rPr>
        <w:footnoteRef/>
      </w:r>
      <w:r>
        <w:t xml:space="preserve"> 3</w:t>
      </w:r>
      <w:r w:rsidR="00DA7AFB">
        <w:t>4</w:t>
      </w:r>
      <w:r>
        <w:t xml:space="preserve">3 </w:t>
      </w:r>
      <w:r w:rsidR="001F44C8">
        <w:t>U.S. 747 (19</w:t>
      </w:r>
      <w:r w:rsidR="00175FFE">
        <w:t>52).</w:t>
      </w:r>
    </w:p>
  </w:footnote>
  <w:footnote w:id="207">
    <w:p w14:paraId="0AF69A8E" w14:textId="45676EB4" w:rsidR="0009368C" w:rsidRPr="00254D8B" w:rsidRDefault="0009368C">
      <w:pPr>
        <w:pStyle w:val="FootnoteText"/>
      </w:pPr>
      <w:r w:rsidRPr="002A4234">
        <w:rPr>
          <w:rStyle w:val="FootnoteReference"/>
        </w:rPr>
        <w:footnoteRef/>
      </w:r>
      <w:r>
        <w:t xml:space="preserve"> </w:t>
      </w:r>
      <w:r w:rsidR="00254D8B">
        <w:rPr>
          <w:i/>
          <w:iCs/>
        </w:rPr>
        <w:t xml:space="preserve">Id. </w:t>
      </w:r>
      <w:r w:rsidR="00254D8B">
        <w:t>at 7</w:t>
      </w:r>
      <w:r w:rsidR="006F4CF4">
        <w:t>49</w:t>
      </w:r>
      <w:r w:rsidR="00A205EF">
        <w:t>–5</w:t>
      </w:r>
      <w:r w:rsidR="006F4CF4">
        <w:t>0</w:t>
      </w:r>
      <w:r w:rsidR="00A205EF">
        <w:t>.</w:t>
      </w:r>
    </w:p>
  </w:footnote>
  <w:footnote w:id="208">
    <w:p w14:paraId="28230F8B" w14:textId="2C0EB932" w:rsidR="00F14828" w:rsidRPr="00F14828" w:rsidRDefault="00F14828">
      <w:pPr>
        <w:pStyle w:val="FootnoteText"/>
      </w:pPr>
      <w:r w:rsidRPr="002A4234">
        <w:rPr>
          <w:rStyle w:val="FootnoteReference"/>
        </w:rPr>
        <w:footnoteRef/>
      </w:r>
      <w:r>
        <w:t xml:space="preserve"> </w:t>
      </w:r>
      <w:r>
        <w:rPr>
          <w:i/>
          <w:iCs/>
        </w:rPr>
        <w:t>Id.</w:t>
      </w:r>
      <w:r>
        <w:t xml:space="preserve"> at 751</w:t>
      </w:r>
      <w:r w:rsidR="006D4F05">
        <w:t>-</w:t>
      </w:r>
      <w:r>
        <w:t>52.</w:t>
      </w:r>
    </w:p>
  </w:footnote>
  <w:footnote w:id="209">
    <w:p w14:paraId="1E95F348" w14:textId="664F331E" w:rsidR="000720B9" w:rsidRPr="000720B9" w:rsidRDefault="000720B9">
      <w:pPr>
        <w:pStyle w:val="FootnoteText"/>
      </w:pPr>
      <w:r w:rsidRPr="002A4234">
        <w:rPr>
          <w:rStyle w:val="FootnoteReference"/>
        </w:rPr>
        <w:footnoteRef/>
      </w:r>
      <w:r>
        <w:t xml:space="preserve"> </w:t>
      </w:r>
      <w:r>
        <w:rPr>
          <w:i/>
          <w:iCs/>
        </w:rPr>
        <w:t>Id.</w:t>
      </w:r>
      <w:r>
        <w:t xml:space="preserve"> at 752.</w:t>
      </w:r>
    </w:p>
  </w:footnote>
  <w:footnote w:id="210">
    <w:p w14:paraId="101F1FFC" w14:textId="5E0B7F71" w:rsidR="00FE147D" w:rsidRPr="00937F38" w:rsidRDefault="00FE147D" w:rsidP="00937F38">
      <w:pPr>
        <w:pStyle w:val="FootnoteText"/>
      </w:pPr>
      <w:r w:rsidRPr="002A4234">
        <w:rPr>
          <w:rStyle w:val="FootnoteReference"/>
        </w:rPr>
        <w:footnoteRef/>
      </w:r>
      <w:r>
        <w:t xml:space="preserve"> </w:t>
      </w:r>
      <w:r>
        <w:rPr>
          <w:i/>
          <w:iCs/>
        </w:rPr>
        <w:t>Id.</w:t>
      </w:r>
      <w:r w:rsidR="002164C5" w:rsidRPr="0061208C">
        <w:t>;</w:t>
      </w:r>
      <w:r w:rsidR="002164C5">
        <w:rPr>
          <w:i/>
          <w:iCs/>
        </w:rPr>
        <w:t xml:space="preserve"> see also</w:t>
      </w:r>
      <w:r w:rsidR="00937F38">
        <w:rPr>
          <w:i/>
          <w:iCs/>
        </w:rPr>
        <w:t xml:space="preserve"> </w:t>
      </w:r>
      <w:r w:rsidR="00937F38" w:rsidRPr="00937F38">
        <w:t>Silverman v. U</w:t>
      </w:r>
      <w:r w:rsidR="00937F38">
        <w:t>nited States</w:t>
      </w:r>
      <w:r w:rsidR="00937F38" w:rsidRPr="00937F38">
        <w:t>, 365 U.S. 505, 512 (1961)</w:t>
      </w:r>
      <w:r w:rsidR="00937F38">
        <w:t xml:space="preserve"> (rejecting the argument that Fourth Amendment </w:t>
      </w:r>
      <w:r w:rsidR="00B47470">
        <w:t xml:space="preserve">protections </w:t>
      </w:r>
      <w:r w:rsidR="008454A2">
        <w:t>“</w:t>
      </w:r>
      <w:r w:rsidR="00B47470">
        <w:t xml:space="preserve">turn </w:t>
      </w:r>
      <w:r w:rsidR="008454A2">
        <w:t>up</w:t>
      </w:r>
      <w:r w:rsidR="00B47470">
        <w:t xml:space="preserve">on </w:t>
      </w:r>
      <w:r w:rsidR="00B47470" w:rsidRPr="00B47470">
        <w:t>the technicality of a trespass upon a party wall as a matter of local law</w:t>
      </w:r>
      <w:r w:rsidR="00B47470">
        <w:t>”).</w:t>
      </w:r>
    </w:p>
  </w:footnote>
  <w:footnote w:id="211">
    <w:p w14:paraId="42A6374E" w14:textId="7A24FC98" w:rsidR="00E55616" w:rsidRPr="00E55616" w:rsidRDefault="00E55616">
      <w:pPr>
        <w:pStyle w:val="FootnoteText"/>
      </w:pPr>
      <w:r w:rsidRPr="002A4234">
        <w:rPr>
          <w:rStyle w:val="FootnoteReference"/>
        </w:rPr>
        <w:footnoteRef/>
      </w:r>
      <w:r>
        <w:t xml:space="preserve"> Under our approach, hard questions concern whether a search was “unreasonable,” whereas prevailing doctrine emphasizes the threshold question of whether a “search” or “seizure” occurred in the first place. </w:t>
      </w:r>
      <w:r>
        <w:rPr>
          <w:i/>
          <w:iCs/>
        </w:rPr>
        <w:t>See supra</w:t>
      </w:r>
      <w:r>
        <w:t xml:space="preserve"> </w:t>
      </w:r>
      <w:r w:rsidR="002F759A">
        <w:t>Section II.B</w:t>
      </w:r>
      <w:r>
        <w:t xml:space="preserve">. </w:t>
      </w:r>
      <w:r w:rsidR="00B90EA0">
        <w:t xml:space="preserve">In practice, though, </w:t>
      </w:r>
      <w:r w:rsidR="00EB6FBD">
        <w:t>the two approaches can reach the same destination even if they ask the key questions at different points along the conceptual route.</w:t>
      </w:r>
    </w:p>
  </w:footnote>
  <w:footnote w:id="212">
    <w:p w14:paraId="4ED66839" w14:textId="77FB5EA8" w:rsidR="005B39C9" w:rsidRDefault="005B39C9">
      <w:pPr>
        <w:pStyle w:val="FootnoteText"/>
      </w:pPr>
      <w:r w:rsidRPr="002A4234">
        <w:rPr>
          <w:rStyle w:val="FootnoteReference"/>
        </w:rPr>
        <w:footnoteRef/>
      </w:r>
      <w:r>
        <w:t xml:space="preserve"> </w:t>
      </w:r>
      <w:r w:rsidR="003764CC">
        <w:t>Florida v. Jardines, 569 U.S. 1, 13 (2013) (Kagan, J., concurring).</w:t>
      </w:r>
    </w:p>
  </w:footnote>
  <w:footnote w:id="213">
    <w:p w14:paraId="17F5BA27" w14:textId="016B5496" w:rsidR="00772312" w:rsidRPr="00772312" w:rsidRDefault="00772312">
      <w:pPr>
        <w:pStyle w:val="FootnoteText"/>
      </w:pPr>
      <w:r w:rsidRPr="002A4234">
        <w:rPr>
          <w:rStyle w:val="FootnoteReference"/>
        </w:rPr>
        <w:footnoteRef/>
      </w:r>
      <w:r>
        <w:t xml:space="preserve"> </w:t>
      </w:r>
      <w:r w:rsidR="00BB0D7C">
        <w:rPr>
          <w:i/>
          <w:iCs/>
        </w:rPr>
        <w:t>See i</w:t>
      </w:r>
      <w:r>
        <w:rPr>
          <w:i/>
          <w:iCs/>
        </w:rPr>
        <w:t>d.</w:t>
      </w:r>
    </w:p>
  </w:footnote>
  <w:footnote w:id="214">
    <w:p w14:paraId="70F87E39" w14:textId="4A64D4D0" w:rsidR="00C43ADE" w:rsidRPr="00C43ADE" w:rsidRDefault="00C43ADE">
      <w:pPr>
        <w:pStyle w:val="FootnoteText"/>
      </w:pPr>
      <w:r w:rsidRPr="002A4234">
        <w:rPr>
          <w:rStyle w:val="FootnoteReference"/>
        </w:rPr>
        <w:footnoteRef/>
      </w:r>
      <w:r>
        <w:t xml:space="preserve"> </w:t>
      </w:r>
      <w:r>
        <w:rPr>
          <w:i/>
          <w:iCs/>
        </w:rPr>
        <w:t>See</w:t>
      </w:r>
      <w:r w:rsidR="00731851">
        <w:t xml:space="preserve"> </w:t>
      </w:r>
      <w:r>
        <w:rPr>
          <w:i/>
          <w:iCs/>
        </w:rPr>
        <w:t>infra</w:t>
      </w:r>
      <w:r>
        <w:t xml:space="preserve"> Part III.</w:t>
      </w:r>
    </w:p>
  </w:footnote>
  <w:footnote w:id="215">
    <w:p w14:paraId="2D3D2BBE" w14:textId="0AAB8D64" w:rsidR="00103DF1" w:rsidRDefault="00103DF1" w:rsidP="00103DF1">
      <w:pPr>
        <w:pStyle w:val="FootnoteText"/>
      </w:pPr>
      <w:r w:rsidRPr="002A4234">
        <w:rPr>
          <w:rStyle w:val="FootnoteReference"/>
        </w:rPr>
        <w:footnoteRef/>
      </w:r>
      <w:r>
        <w:t xml:space="preserve"> </w:t>
      </w:r>
      <w:r w:rsidR="0018430D" w:rsidRPr="00E5116B">
        <w:t xml:space="preserve">Kerr, </w:t>
      </w:r>
      <w:r w:rsidR="0018430D" w:rsidRPr="00E5116B">
        <w:rPr>
          <w:i/>
          <w:iCs/>
        </w:rPr>
        <w:t>supra</w:t>
      </w:r>
      <w:r w:rsidR="0018430D" w:rsidRPr="00E5116B">
        <w:t xml:space="preserve"> note </w:t>
      </w:r>
      <w:r w:rsidR="00E54CAE">
        <w:fldChar w:fldCharType="begin"/>
      </w:r>
      <w:r w:rsidR="00E54CAE">
        <w:instrText xml:space="preserve"> NOTEREF _Ref113024607 \h </w:instrText>
      </w:r>
      <w:r w:rsidR="00E54CAE">
        <w:fldChar w:fldCharType="separate"/>
      </w:r>
      <w:r w:rsidR="00405D69">
        <w:t>166</w:t>
      </w:r>
      <w:r w:rsidR="00E54CAE">
        <w:fldChar w:fldCharType="end"/>
      </w:r>
      <w:r w:rsidR="0018430D">
        <w:t>, at 1091-94.</w:t>
      </w:r>
    </w:p>
  </w:footnote>
  <w:footnote w:id="216">
    <w:p w14:paraId="341DCA8E" w14:textId="05377B44" w:rsidR="00167717" w:rsidRPr="00794421" w:rsidRDefault="00167717">
      <w:pPr>
        <w:pStyle w:val="FootnoteText"/>
      </w:pPr>
      <w:r w:rsidRPr="002A4234">
        <w:rPr>
          <w:rStyle w:val="FootnoteReference"/>
        </w:rPr>
        <w:footnoteRef/>
      </w:r>
      <w:r>
        <w:t xml:space="preserve"> </w:t>
      </w:r>
      <w:r w:rsidR="00794421">
        <w:rPr>
          <w:i/>
          <w:iCs/>
        </w:rPr>
        <w:t xml:space="preserve">See infra </w:t>
      </w:r>
      <w:r w:rsidR="00794421">
        <w:t>Section III.D.</w:t>
      </w:r>
    </w:p>
  </w:footnote>
  <w:footnote w:id="217">
    <w:p w14:paraId="7430C6C4" w14:textId="2E3F5AA4" w:rsidR="00DF0AB5" w:rsidRDefault="00DF0AB5">
      <w:pPr>
        <w:pStyle w:val="FootnoteText"/>
      </w:pPr>
      <w:r w:rsidRPr="002A4234">
        <w:rPr>
          <w:rStyle w:val="FootnoteReference"/>
        </w:rPr>
        <w:footnoteRef/>
      </w:r>
      <w:r>
        <w:t xml:space="preserve"> Olmstead v. United States, 277 U.S. 438, </w:t>
      </w:r>
      <w:r w:rsidR="002027F4">
        <w:t xml:space="preserve">478 (1928) (Brandeis, J., dissenting). </w:t>
      </w:r>
    </w:p>
  </w:footnote>
  <w:footnote w:id="218">
    <w:p w14:paraId="4DD8D946" w14:textId="42B5BD03" w:rsidR="00E04055" w:rsidRPr="00E04055" w:rsidRDefault="00E04055">
      <w:pPr>
        <w:pStyle w:val="FootnoteText"/>
      </w:pPr>
      <w:r>
        <w:rPr>
          <w:rStyle w:val="FootnoteReference"/>
        </w:rPr>
        <w:footnoteRef/>
      </w:r>
      <w:r>
        <w:t xml:space="preserve"> Samuel D. Warren &amp; Louis D. Brandeis,</w:t>
      </w:r>
      <w:r w:rsidRPr="00E04055">
        <w:t xml:space="preserve"> </w:t>
      </w:r>
      <w:r>
        <w:rPr>
          <w:i/>
          <w:iCs/>
        </w:rPr>
        <w:t>The Right to Privacy</w:t>
      </w:r>
      <w:r>
        <w:t xml:space="preserve">, 4 </w:t>
      </w:r>
      <w:r>
        <w:rPr>
          <w:smallCaps/>
        </w:rPr>
        <w:t xml:space="preserve">Harv. L. Rev. </w:t>
      </w:r>
      <w:r>
        <w:t>193</w:t>
      </w:r>
      <w:r w:rsidR="003337D3">
        <w:t xml:space="preserve"> (1890).</w:t>
      </w:r>
    </w:p>
  </w:footnote>
  <w:footnote w:id="219">
    <w:p w14:paraId="4DAC6E16" w14:textId="418EE5D1" w:rsidR="007C1079" w:rsidRDefault="007C1079">
      <w:pPr>
        <w:pStyle w:val="FootnoteText"/>
      </w:pPr>
      <w:r w:rsidRPr="002A4234">
        <w:rPr>
          <w:rStyle w:val="FootnoteReference"/>
        </w:rPr>
        <w:footnoteRef/>
      </w:r>
      <w:r>
        <w:t xml:space="preserve"> Katz v. United States, 389 U.S. 347, </w:t>
      </w:r>
      <w:r w:rsidR="005C2F2C">
        <w:t>350</w:t>
      </w:r>
      <w:r w:rsidR="007C77DB">
        <w:t xml:space="preserve"> &amp; n.6</w:t>
      </w:r>
      <w:r w:rsidR="00044FDE">
        <w:t xml:space="preserve"> </w:t>
      </w:r>
      <w:r w:rsidR="000E01C5">
        <w:t>(19</w:t>
      </w:r>
      <w:r w:rsidR="00AD4726">
        <w:t>67)</w:t>
      </w:r>
      <w:r w:rsidR="005C2F2C">
        <w:t xml:space="preserve"> (citing </w:t>
      </w:r>
      <w:r w:rsidR="007C77DB">
        <w:fldChar w:fldCharType="begin"/>
      </w:r>
      <w:r w:rsidR="00E5116B">
        <w:instrText xml:space="preserve"> ADDIN ZOTERO_ITEM CSL_CITATION {"citationID":"yZalTi19","properties":{"formattedCitation":"Samuel D. Warren &amp; Louis D. Brandeis, {\\i{}The Right to Privacy}, 4 {\\scaps Harv. L. Rev.} 193 (1890)","plainCitation":"Samuel D. Warren &amp; Louis D. Brandeis, The Right to Privacy, 4 Harv. L. Rev. 193 (1890)","noteIndex":212},"citationItems":[{"id":3256,"uris":["http://zotero.org/groups/2816150/items/IBAJG2HF"],"uri":["http://zotero.org/groups/2816150/items/IBAJG2HF"],"itemData":{"id":3256,"type":"article-journal","container-title":"Harv. L. Rev.","page":"193","title":"The Right to Privacy","volume":"4","author":[{"family":"Warren","given":"Samuel D."},{"family":"Brandeis","given":"Louis D."}],"issued":{"date-parts":[["1890"]]}}}],"schema":"https://github.com/citation-style-language/schema/raw/master/csl-citation.json"} </w:instrText>
      </w:r>
      <w:r w:rsidR="007C77DB">
        <w:fldChar w:fldCharType="separate"/>
      </w:r>
      <w:r w:rsidR="00E5116B" w:rsidRPr="00E5116B">
        <w:t xml:space="preserve">Warren &amp; Brandeis, </w:t>
      </w:r>
      <w:r w:rsidR="007C77DB">
        <w:fldChar w:fldCharType="end"/>
      </w:r>
      <w:r w:rsidR="003337D3">
        <w:rPr>
          <w:i/>
          <w:iCs/>
        </w:rPr>
        <w:t xml:space="preserve">supra </w:t>
      </w:r>
      <w:r w:rsidR="003337D3">
        <w:t>note 214.</w:t>
      </w:r>
      <w:r w:rsidR="00D27CED">
        <w:t>).</w:t>
      </w:r>
    </w:p>
  </w:footnote>
  <w:footnote w:id="220">
    <w:p w14:paraId="372507F6" w14:textId="5CD4B19F" w:rsidR="00794919" w:rsidRPr="00BD2108" w:rsidRDefault="00794919" w:rsidP="00F830A1">
      <w:pPr>
        <w:pStyle w:val="FootnoteText"/>
      </w:pPr>
      <w:r w:rsidRPr="002A4234">
        <w:rPr>
          <w:rStyle w:val="FootnoteReference"/>
        </w:rPr>
        <w:footnoteRef/>
      </w:r>
      <w:r>
        <w:t xml:space="preserve"> </w:t>
      </w:r>
      <w:r>
        <w:rPr>
          <w:i/>
          <w:iCs/>
        </w:rPr>
        <w:t>See, e.g.</w:t>
      </w:r>
      <w:r>
        <w:t xml:space="preserve">, </w:t>
      </w:r>
      <w:r w:rsidR="00F830A1">
        <w:t xml:space="preserve">Ken Gormley, </w:t>
      </w:r>
      <w:r w:rsidR="00F830A1" w:rsidRPr="00BD2108">
        <w:rPr>
          <w:i/>
          <w:iCs/>
        </w:rPr>
        <w:t>One Hundred Years of Privacy</w:t>
      </w:r>
      <w:r w:rsidR="00F830A1">
        <w:t xml:space="preserve">, 1992 </w:t>
      </w:r>
      <w:r w:rsidR="00F830A1" w:rsidRPr="00BD2108">
        <w:rPr>
          <w:smallCaps/>
        </w:rPr>
        <w:t>Wis. L. Rev.</w:t>
      </w:r>
      <w:r w:rsidR="00F830A1">
        <w:t xml:space="preserve"> 1335, 1357</w:t>
      </w:r>
      <w:r w:rsidR="00DE2B43">
        <w:t>-</w:t>
      </w:r>
      <w:r w:rsidR="00F830A1">
        <w:t>74 (</w:t>
      </w:r>
      <w:r w:rsidR="00BD2108">
        <w:t xml:space="preserve">tracing the connections between Brandeis and Warren’s work and the </w:t>
      </w:r>
      <w:r w:rsidR="00BD2108">
        <w:rPr>
          <w:i/>
          <w:iCs/>
        </w:rPr>
        <w:t>Katz</w:t>
      </w:r>
      <w:r w:rsidR="00BD2108">
        <w:t xml:space="preserve"> test).</w:t>
      </w:r>
    </w:p>
  </w:footnote>
  <w:footnote w:id="221">
    <w:p w14:paraId="4A7D8FFA" w14:textId="66AF1340" w:rsidR="00F64E3A" w:rsidRDefault="00F64E3A">
      <w:pPr>
        <w:pStyle w:val="FootnoteText"/>
      </w:pPr>
      <w:r w:rsidRPr="002A4234">
        <w:rPr>
          <w:rStyle w:val="FootnoteReference"/>
        </w:rPr>
        <w:footnoteRef/>
      </w:r>
      <w:r>
        <w:t xml:space="preserve"> </w:t>
      </w:r>
      <w:r>
        <w:fldChar w:fldCharType="begin"/>
      </w:r>
      <w:r w:rsidR="00E5116B">
        <w:instrText xml:space="preserve"> ADDIN ZOTERO_ITEM CSL_CITATION {"citationID":"UUSo78Rk","properties":{"formattedCitation":"Baude &amp; Stern, {\\i{}supra} note 4, at 1858","plainCitation":"Baude &amp; Stern, supra note 4, at 1858","noteIndex":214},"citationItems":[{"id":2966,"uris":["http://zotero.org/groups/2816150/items/J6IBBYF4"],"uri":["http://zotero.org/groups/2816150/items/J6IBBYF4"],"itemData":{"id":2966,"type":"article-journal","container-title":"Harvard Law Review","journalAbbreviation":"Harv. L. Rev.","language":"eng","page":"1821-1889","source":"HeinOnline","title":"The Positive Law Model of the Fourth Amendment","volume":"129","author":[{"family":"Baude","given":"William"},{"family":"Stern","given":"James Y."}],"issued":{"date-parts":[["2016"]]}},"locator":"1858","label":"page"}],"schema":"https://github.com/citation-style-language/schema/raw/master/csl-citation.json"} </w:instrText>
      </w:r>
      <w:r>
        <w:fldChar w:fldCharType="separate"/>
      </w:r>
      <w:r w:rsidR="00E5116B" w:rsidRPr="00E5116B">
        <w:t xml:space="preserve">Baude &amp; Stern, </w:t>
      </w:r>
      <w:r w:rsidR="00E5116B" w:rsidRPr="00E5116B">
        <w:rPr>
          <w:i/>
          <w:iCs/>
        </w:rPr>
        <w:t>supra</w:t>
      </w:r>
      <w:r w:rsidR="00E5116B" w:rsidRPr="00E5116B">
        <w:t xml:space="preserve"> note </w:t>
      </w:r>
      <w:r w:rsidR="007C0657">
        <w:fldChar w:fldCharType="begin"/>
      </w:r>
      <w:r w:rsidR="007C0657">
        <w:instrText xml:space="preserve"> NOTEREF _Ref113024660 \h </w:instrText>
      </w:r>
      <w:r w:rsidR="007C0657">
        <w:fldChar w:fldCharType="separate"/>
      </w:r>
      <w:r w:rsidR="00405D69">
        <w:t>4</w:t>
      </w:r>
      <w:r w:rsidR="007C0657">
        <w:fldChar w:fldCharType="end"/>
      </w:r>
      <w:r w:rsidR="00E5116B" w:rsidRPr="00E5116B">
        <w:t>, at 1858</w:t>
      </w:r>
      <w:r>
        <w:fldChar w:fldCharType="end"/>
      </w:r>
      <w:r w:rsidR="00F515F9">
        <w:t>.</w:t>
      </w:r>
    </w:p>
  </w:footnote>
  <w:footnote w:id="222">
    <w:p w14:paraId="28782D65" w14:textId="00C90AC5" w:rsidR="00007D38" w:rsidRDefault="00007D38">
      <w:pPr>
        <w:pStyle w:val="FootnoteText"/>
      </w:pPr>
      <w:r w:rsidRPr="002A4234">
        <w:rPr>
          <w:rStyle w:val="FootnoteReference"/>
        </w:rPr>
        <w:footnoteRef/>
      </w:r>
      <w:r>
        <w:t xml:space="preserve"> </w:t>
      </w:r>
      <w:r w:rsidRPr="00007D38">
        <w:t>Barnes Coal Corp</w:t>
      </w:r>
      <w:r w:rsidR="00146DF5">
        <w:t>.</w:t>
      </w:r>
      <w:r w:rsidRPr="00007D38">
        <w:t xml:space="preserve"> v. Retail Coal Merchs</w:t>
      </w:r>
      <w:r w:rsidR="00BA05A8">
        <w:t>.</w:t>
      </w:r>
      <w:r w:rsidRPr="00007D38">
        <w:t xml:space="preserve"> Ass</w:t>
      </w:r>
      <w:r w:rsidR="003D2130">
        <w:t>’</w:t>
      </w:r>
      <w:r w:rsidRPr="00007D38">
        <w:t>n, 128 F.2d 645, 648 (4th Cir.</w:t>
      </w:r>
      <w:r w:rsidR="00D4204F">
        <w:t xml:space="preserve"> 1942</w:t>
      </w:r>
      <w:r w:rsidRPr="00007D38">
        <w:t>)</w:t>
      </w:r>
      <w:r w:rsidR="00C83424">
        <w:t>.</w:t>
      </w:r>
    </w:p>
  </w:footnote>
  <w:footnote w:id="223">
    <w:p w14:paraId="1689EEC7" w14:textId="3D750DE9" w:rsidR="002A4E0F" w:rsidRDefault="002A4E0F">
      <w:pPr>
        <w:pStyle w:val="FootnoteText"/>
      </w:pPr>
      <w:r w:rsidRPr="002A4234">
        <w:rPr>
          <w:rStyle w:val="FootnoteReference"/>
        </w:rPr>
        <w:footnoteRef/>
      </w:r>
      <w:r>
        <w:t xml:space="preserve"> </w:t>
      </w:r>
      <w:r>
        <w:fldChar w:fldCharType="begin"/>
      </w:r>
      <w:r w:rsidR="00E5116B">
        <w:instrText xml:space="preserve"> ADDIN ZOTERO_ITEM CSL_CITATION {"citationID":"iiHeQ6ed","properties":{"formattedCitation":"Holmes, {\\i{}supra} note 24, at 465","plainCitation":"Holmes, supra note 24, at 465","noteIndex":216},"citationItems":[{"id":3232,"uris":["http://zotero.org/groups/2816150/items/9FG4HZGF"],"uri":["http://zotero.org/groups/2816150/items/9FG4HZGF"],"itemData":{"id":3232,"type":"article-journal","container-title":"Harvard Law Review","issue":"8","journalAbbreviation":"Harv. L. Rev.","language":"eng","page":"457-478","source":"HeinOnline","title":"The Path of the Law","volume":"10","author":[{"family":"Holmes","given":"Oliver Wendell"}],"issued":{"date-parts":[["1897"]]}},"locator":"465","label":"page"}],"schema":"https://github.com/citation-style-language/schema/raw/master/csl-citation.json"} </w:instrText>
      </w:r>
      <w:r>
        <w:fldChar w:fldCharType="separate"/>
      </w:r>
      <w:r w:rsidR="00E5116B" w:rsidRPr="00E5116B">
        <w:t xml:space="preserve">Holmes, </w:t>
      </w:r>
      <w:r w:rsidR="00E5116B" w:rsidRPr="00E5116B">
        <w:rPr>
          <w:i/>
          <w:iCs/>
        </w:rPr>
        <w:t>supra</w:t>
      </w:r>
      <w:r w:rsidR="00E5116B" w:rsidRPr="00E5116B">
        <w:t xml:space="preserve"> note </w:t>
      </w:r>
      <w:r w:rsidR="00F90DCF">
        <w:fldChar w:fldCharType="begin"/>
      </w:r>
      <w:r w:rsidR="00F90DCF">
        <w:instrText xml:space="preserve"> NOTEREF _Ref113025834 \h </w:instrText>
      </w:r>
      <w:r w:rsidR="00F90DCF">
        <w:fldChar w:fldCharType="separate"/>
      </w:r>
      <w:r w:rsidR="00405D69">
        <w:t>25</w:t>
      </w:r>
      <w:r w:rsidR="00F90DCF">
        <w:fldChar w:fldCharType="end"/>
      </w:r>
      <w:r w:rsidR="00E5116B" w:rsidRPr="00E5116B">
        <w:t>, at 465</w:t>
      </w:r>
      <w:r>
        <w:fldChar w:fldCharType="end"/>
      </w:r>
      <w:r w:rsidR="00F515F9">
        <w:t>.</w:t>
      </w:r>
    </w:p>
  </w:footnote>
  <w:footnote w:id="224">
    <w:p w14:paraId="18998CE3" w14:textId="72CF5BAC" w:rsidR="004216FC" w:rsidRDefault="004216FC">
      <w:pPr>
        <w:pStyle w:val="FootnoteText"/>
      </w:pPr>
      <w:r w:rsidRPr="002A4234">
        <w:rPr>
          <w:rStyle w:val="FootnoteReference"/>
        </w:rPr>
        <w:footnoteRef/>
      </w:r>
      <w:r>
        <w:t xml:space="preserve"> </w:t>
      </w:r>
      <w:r w:rsidR="00293C53">
        <w:rPr>
          <w:i/>
          <w:iCs/>
        </w:rPr>
        <w:t>See</w:t>
      </w:r>
      <w:r w:rsidR="001F5BFC">
        <w:rPr>
          <w:i/>
          <w:iCs/>
        </w:rPr>
        <w:t>, e.g.</w:t>
      </w:r>
      <w:r w:rsidR="001F5BFC">
        <w:t>,</w:t>
      </w:r>
      <w:r w:rsidR="00293C53">
        <w:rPr>
          <w:i/>
          <w:iCs/>
        </w:rPr>
        <w:t xml:space="preserve"> </w:t>
      </w:r>
      <w:r>
        <w:fldChar w:fldCharType="begin"/>
      </w:r>
      <w:r w:rsidR="00E5116B">
        <w:instrText xml:space="preserve"> ADDIN ZOTERO_ITEM CSL_CITATION {"citationID":"dr4Z0iQh","properties":{"formattedCitation":"{\\scaps Abraham} &amp; {\\scaps White}, {\\i{}supra} note 114, at 166","plainCitation":"Abraham &amp; White, supra note 114, at 166","noteIndex":217},"citationItems":[{"id":3237,"uris":["http://zotero.org/groups/2816150/items/L5H6R383"],"uri":["http://zotero.org/groups/2816150/items/L5H6R383"],"itemData":{"id":3237,"type":"book","abstract":"\"This book has evolved out of a series of jointly authored articles on torts that we published in law reviews between 2013 and 2021.\"--","ISBN":"978-0-8139-4714-3","language":"en","number-of-pages":"300","source":"Google Books","title":"Tort Law and the Construction of Change: Studies in the Inevitability of History","title-short":"Tort Law and the Construction of Change","author":[{"family":"Abraham","given":"Kenneth S."},{"family":"White","given":"G. Edward"}],"issued":{"date-parts":[["2022"]]}},"locator":"166","label":"page"}],"schema":"https://github.com/citation-style-language/schema/raw/master/csl-citation.json"} </w:instrText>
      </w:r>
      <w:r>
        <w:fldChar w:fldCharType="separate"/>
      </w:r>
      <w:r w:rsidR="00E5116B" w:rsidRPr="00E5116B">
        <w:rPr>
          <w:smallCaps/>
        </w:rPr>
        <w:t>Abraham</w:t>
      </w:r>
      <w:r w:rsidR="00E5116B" w:rsidRPr="00E5116B">
        <w:t xml:space="preserve"> &amp; </w:t>
      </w:r>
      <w:r w:rsidR="00E5116B" w:rsidRPr="00E5116B">
        <w:rPr>
          <w:smallCaps/>
        </w:rPr>
        <w:t>White</w:t>
      </w:r>
      <w:r w:rsidR="00E5116B" w:rsidRPr="00E5116B">
        <w:t xml:space="preserve">, </w:t>
      </w:r>
      <w:r w:rsidR="00E5116B" w:rsidRPr="00E5116B">
        <w:rPr>
          <w:i/>
          <w:iCs/>
        </w:rPr>
        <w:t>supra</w:t>
      </w:r>
      <w:r w:rsidR="00E5116B" w:rsidRPr="00E5116B">
        <w:t xml:space="preserve"> note </w:t>
      </w:r>
      <w:r w:rsidR="00660CE5">
        <w:fldChar w:fldCharType="begin"/>
      </w:r>
      <w:r w:rsidR="00660CE5">
        <w:instrText xml:space="preserve"> NOTEREF _Ref113026058 \h </w:instrText>
      </w:r>
      <w:r w:rsidR="00660CE5">
        <w:fldChar w:fldCharType="separate"/>
      </w:r>
      <w:r w:rsidR="00405D69">
        <w:t>115</w:t>
      </w:r>
      <w:r w:rsidR="00660CE5">
        <w:fldChar w:fldCharType="end"/>
      </w:r>
      <w:r w:rsidR="00E5116B" w:rsidRPr="00E5116B">
        <w:t>, at 166</w:t>
      </w:r>
      <w:r>
        <w:fldChar w:fldCharType="end"/>
      </w:r>
      <w:r w:rsidR="00A87BDF">
        <w:t xml:space="preserve"> (</w:t>
      </w:r>
      <w:r w:rsidR="00293C53">
        <w:t>opining about how social change, especially around sexual misconduct, will change tort liability).</w:t>
      </w:r>
    </w:p>
  </w:footnote>
  <w:footnote w:id="225">
    <w:p w14:paraId="52A61E92" w14:textId="156B9796" w:rsidR="00947BC7" w:rsidRPr="00947BC7" w:rsidRDefault="00947BC7">
      <w:pPr>
        <w:pStyle w:val="FootnoteText"/>
      </w:pPr>
      <w:r w:rsidRPr="002A4234">
        <w:rPr>
          <w:rStyle w:val="FootnoteReference"/>
        </w:rPr>
        <w:footnoteRef/>
      </w:r>
      <w:r w:rsidRPr="00BD100B">
        <w:t xml:space="preserve"> </w:t>
      </w:r>
      <w:r w:rsidRPr="00BD100B">
        <w:rPr>
          <w:i/>
        </w:rPr>
        <w:t>See supra</w:t>
      </w:r>
      <w:r w:rsidRPr="00BD100B">
        <w:t xml:space="preserve"> </w:t>
      </w:r>
      <w:r w:rsidR="00F21A57">
        <w:t xml:space="preserve">Section </w:t>
      </w:r>
      <w:r w:rsidR="000C0A7F">
        <w:t>I</w:t>
      </w:r>
      <w:r w:rsidR="00F21A57">
        <w:t>I.C.1.</w:t>
      </w:r>
    </w:p>
  </w:footnote>
  <w:footnote w:id="226">
    <w:p w14:paraId="4504B4F7" w14:textId="0DD3B1CD" w:rsidR="00E353FE" w:rsidRDefault="00E353FE">
      <w:pPr>
        <w:pStyle w:val="FootnoteText"/>
      </w:pPr>
      <w:r w:rsidRPr="002A4234">
        <w:rPr>
          <w:rStyle w:val="FootnoteReference"/>
        </w:rPr>
        <w:footnoteRef/>
      </w:r>
      <w:r>
        <w:t xml:space="preserve"> </w:t>
      </w:r>
      <w:r>
        <w:fldChar w:fldCharType="begin"/>
      </w:r>
      <w:r w:rsidR="00E5116B">
        <w:instrText xml:space="preserve"> ADDIN ZOTERO_ITEM CSL_CITATION {"citationID":"Rz75wVxC","properties":{"formattedCitation":"Orin S. Kerr, {\\i{}An Equilibrium-Adjustment Theory of the Fourth Amendment}, 125 {\\scaps Harv. L. Rev.} 476, 485 (2011)","plainCitation":"Orin S. Kerr, An Equilibrium-Adjustment Theory of the Fourth Amendment, 125 Harv. L. Rev. 476, 485 (2011)","noteIndex":219},"citationItems":[{"id":2971,"uris":["http://zotero.org/groups/2816150/items/KXXRQRPH"],"uri":["http://zotero.org/groups/2816150/items/KXXRQRPH"],"itemData":{"id":2971,"type":"article-journal","abstract":"Fourth Amendment law is often considered a theoretical embarrassment. The law consists of dozens of rules for very specific situations that seem to lack a coherent explanation. Constitutional protection varies dramatically based on seemingly arcane distinctions. This Article introduces a new theory that explains and justifies both the structure and content of Fourth Amendment rules: the theory of equilibrium-adjustment. The theory of equilibrium-adjustment posits that the Supreme Court adjusts the scope of Fourth Amendment protection in response to new facts in order to restore the status quo level of protection. When changing technology or social practice expands government power, the Supreme Court tightens Fourth Amendment protection; when it threatens government power, the Supreme Court loosens constitutional protection. Existing Fourth Amendment law therefore reflects many decades of equilibrium-adjustment as facts have changed over time. This simple argument explains a wide range of puzzling Fourth Amendment doctrines, including the automobile exception; rules on using sense-enhancing devices; the decline of the mere evidence rule; how the Fourth Amendment applies to the telephone network; undercover investigations; the law of aerial surveillance; rules for subpoenas; and the special Fourth Amendment protection for the home. The Article then offers a normative defense of equilibrium-adjustment. Equilibriumadjustment maintains interpretive fidelity while permitting Fourth Amendment law to respond to changing facts. Its wide appeal and focus on deviations from the status quo facilitates coherent decisionmaking amidst empirical uncertainty and yet also gives Fourth Amendment law significant stability. The Article concludes by arguing that judicial delay is an important precondition to successful equilibrium-adjustment.","container-title":"Harvard Law Review","DOI":"10.2307/41306729","ISSN":"0017-811X","issue":"2","journalAbbreviation":"Harv. L. Rev.","page":"476-543","source":"JSTOR","title":"An Equilibrium-Adjustment Theory of the Fourth Amendment","volume":"125","author":[{"family":"Kerr","given":"Orin S."}],"issued":{"date-parts":[["2011"]]}},"locator":"485","label":"page"}],"schema":"https://github.com/citation-style-language/schema/raw/master/csl-citation.json"} </w:instrText>
      </w:r>
      <w:r>
        <w:fldChar w:fldCharType="separate"/>
      </w:r>
      <w:r w:rsidR="00E5116B" w:rsidRPr="00E5116B">
        <w:t xml:space="preserve">Orin S. Kerr, </w:t>
      </w:r>
      <w:r w:rsidR="00E5116B" w:rsidRPr="00E5116B">
        <w:rPr>
          <w:i/>
          <w:iCs/>
        </w:rPr>
        <w:t>An Equilibrium-Adjustment Theory of the Fourth Amendment</w:t>
      </w:r>
      <w:r w:rsidR="00E5116B" w:rsidRPr="00E5116B">
        <w:t xml:space="preserve">, 125 </w:t>
      </w:r>
      <w:r w:rsidR="00E5116B" w:rsidRPr="00E5116B">
        <w:rPr>
          <w:smallCaps/>
        </w:rPr>
        <w:t>Harv. L. Rev.</w:t>
      </w:r>
      <w:r w:rsidR="00E5116B" w:rsidRPr="00E5116B">
        <w:t xml:space="preserve"> 476, 485 (2011)</w:t>
      </w:r>
      <w:r>
        <w:fldChar w:fldCharType="end"/>
      </w:r>
      <w:r w:rsidR="00F515F9">
        <w:t>.</w:t>
      </w:r>
    </w:p>
  </w:footnote>
  <w:footnote w:id="227">
    <w:p w14:paraId="2DAD8EE9" w14:textId="7A1CDE23" w:rsidR="00262994" w:rsidRDefault="00262994">
      <w:pPr>
        <w:pStyle w:val="FootnoteText"/>
      </w:pPr>
      <w:r w:rsidRPr="002A4234">
        <w:rPr>
          <w:rStyle w:val="FootnoteReference"/>
        </w:rPr>
        <w:footnoteRef/>
      </w:r>
      <w:r>
        <w:t xml:space="preserve"> </w:t>
      </w:r>
      <w:r>
        <w:fldChar w:fldCharType="begin"/>
      </w:r>
      <w:r w:rsidR="00E5116B">
        <w:instrText xml:space="preserve"> ADDIN ZOTERO_ITEM CSL_CITATION {"citationID":"dWJgP2xm","properties":{"formattedCitation":"Paul Ohm, {\\i{}The Fourth Amendment in a World without Privacy}, 81 {\\scaps Miss. L.J.} 1309, 1347 (2012)","plainCitation":"Paul Ohm, The Fourth Amendment in a World without Privacy, 81 Miss. L.J. 1309, 1347 (2012)","noteIndex":220},"citationItems":[{"id":2976,"uris":["http://zotero.org/groups/2816150/items/ZUUACQV9"],"uri":["http://zotero.org/groups/2816150/items/ZUUACQV9"],"itemData":{"id":2976,"type":"article-journal","container-title":"Mississippi Law Journal","issue":"5","journalAbbreviation":"Miss. L.J.","language":"eng","page":"1309-1356","source":"HeinOnline","title":"The Fourth Amendment in a World without Privacy","volume":"81","author":[{"family":"Ohm","given":"Paul"}],"issued":{"date-parts":[["2012"]]}},"locator":"1347","label":"page"}],"schema":"https://github.com/citation-style-language/schema/raw/master/csl-citation.json"} </w:instrText>
      </w:r>
      <w:r>
        <w:fldChar w:fldCharType="separate"/>
      </w:r>
      <w:r w:rsidR="00E5116B" w:rsidRPr="00E5116B">
        <w:t xml:space="preserve">Paul Ohm, </w:t>
      </w:r>
      <w:r w:rsidR="00E5116B" w:rsidRPr="00E5116B">
        <w:rPr>
          <w:i/>
          <w:iCs/>
        </w:rPr>
        <w:t xml:space="preserve">The Fourth Amendment in a World </w:t>
      </w:r>
      <w:r w:rsidR="000F6722">
        <w:rPr>
          <w:i/>
          <w:iCs/>
        </w:rPr>
        <w:t>W</w:t>
      </w:r>
      <w:r w:rsidR="00E5116B" w:rsidRPr="00E5116B">
        <w:rPr>
          <w:i/>
          <w:iCs/>
        </w:rPr>
        <w:t>ithout Privacy</w:t>
      </w:r>
      <w:r w:rsidR="00E5116B" w:rsidRPr="00E5116B">
        <w:t xml:space="preserve">, 81 </w:t>
      </w:r>
      <w:r w:rsidR="00E5116B" w:rsidRPr="00E5116B">
        <w:rPr>
          <w:smallCaps/>
        </w:rPr>
        <w:t>Miss. L.J.</w:t>
      </w:r>
      <w:r w:rsidR="00E5116B" w:rsidRPr="00E5116B">
        <w:t xml:space="preserve"> 1309, 1347 (2012)</w:t>
      </w:r>
      <w:r>
        <w:fldChar w:fldCharType="end"/>
      </w:r>
      <w:r w:rsidR="00F515F9">
        <w:t>.</w:t>
      </w:r>
    </w:p>
  </w:footnote>
  <w:footnote w:id="228">
    <w:p w14:paraId="37A27587" w14:textId="4082E0A6" w:rsidR="00B959D3" w:rsidRDefault="00B959D3">
      <w:pPr>
        <w:pStyle w:val="FootnoteText"/>
      </w:pPr>
      <w:r w:rsidRPr="002A4234">
        <w:rPr>
          <w:rStyle w:val="FootnoteReference"/>
        </w:rPr>
        <w:footnoteRef/>
      </w:r>
      <w:r>
        <w:t xml:space="preserve"> </w:t>
      </w:r>
      <w:bookmarkStart w:id="59" w:name="_Hlk96202844"/>
      <w:r>
        <w:fldChar w:fldCharType="begin"/>
      </w:r>
      <w:r w:rsidR="00E5116B">
        <w:instrText xml:space="preserve"> ADDIN ZOTERO_ITEM CSL_CITATION {"citationID":"eNV5DWTC","properties":{"formattedCitation":"David Alan Sklansky, {\\i{}Two More Ways Not to Think about Privacy and the Fourth Amendment}, 82 {\\scaps U. Chi. L. Rev.} 223, 237 (2015)","plainCitation":"David Alan Sklansky, Two More Ways Not to Think about Privacy and the Fourth Amendment, 82 U. Chi. L. Rev. 223, 237 (2015)","noteIndex":221},"citationItems":[{"id":2980,"uris":["http://zotero.org/groups/2816150/items/VEUKEAG3"],"uri":["http://zotero.org/groups/2816150/items/VEUKEAG3"],"itemData":{"id":2980,"type":"article-journal","container-title":"University of Chicago Law Review","journalAbbreviation":"U. Chi. L. Rev.","language":"eng","page":"223-242","source":"HeinOnline","title":"Two More Ways Not to Think about Privacy and the Fourth Amendment","title-short":"Two More Ways Not to Think about Privacy and the Fourth Amendment","volume":"82","author":[{"family":"Sklansky","given":"David Alan"}],"issued":{"date-parts":[["2015"]]}},"locator":"237","label":"page"}],"schema":"https://github.com/citation-style-language/schema/raw/master/csl-citation.json"} </w:instrText>
      </w:r>
      <w:r>
        <w:fldChar w:fldCharType="separate"/>
      </w:r>
      <w:r w:rsidR="00E5116B" w:rsidRPr="00E5116B">
        <w:t xml:space="preserve">David Alan Sklansky, </w:t>
      </w:r>
      <w:r w:rsidR="00E5116B" w:rsidRPr="00E5116B">
        <w:rPr>
          <w:i/>
          <w:iCs/>
        </w:rPr>
        <w:t xml:space="preserve">Two More Ways Not to Think </w:t>
      </w:r>
      <w:r w:rsidR="002D5105">
        <w:rPr>
          <w:i/>
          <w:iCs/>
        </w:rPr>
        <w:t>A</w:t>
      </w:r>
      <w:r w:rsidR="00E5116B" w:rsidRPr="00E5116B">
        <w:rPr>
          <w:i/>
          <w:iCs/>
        </w:rPr>
        <w:t>bout Privacy and the Fourth Amendment</w:t>
      </w:r>
      <w:r w:rsidR="00E5116B" w:rsidRPr="00E5116B">
        <w:t xml:space="preserve">, 82 </w:t>
      </w:r>
      <w:r w:rsidR="00E5116B" w:rsidRPr="00E5116B">
        <w:rPr>
          <w:smallCaps/>
        </w:rPr>
        <w:t>U. Chi. L. Rev.</w:t>
      </w:r>
      <w:r w:rsidR="00E5116B" w:rsidRPr="00E5116B">
        <w:t xml:space="preserve"> 223, 237 (2015)</w:t>
      </w:r>
      <w:r>
        <w:fldChar w:fldCharType="end"/>
      </w:r>
      <w:bookmarkEnd w:id="59"/>
      <w:r w:rsidR="00F515F9">
        <w:t>.</w:t>
      </w:r>
    </w:p>
  </w:footnote>
  <w:footnote w:id="229">
    <w:p w14:paraId="5A47A302" w14:textId="3F7C8806" w:rsidR="007038A3" w:rsidRDefault="007038A3">
      <w:pPr>
        <w:pStyle w:val="FootnoteText"/>
      </w:pPr>
      <w:r w:rsidRPr="002A4234">
        <w:rPr>
          <w:rStyle w:val="FootnoteReference"/>
        </w:rPr>
        <w:footnoteRef/>
      </w:r>
      <w:r>
        <w:t xml:space="preserve"> </w:t>
      </w:r>
      <w:r>
        <w:fldChar w:fldCharType="begin"/>
      </w:r>
      <w:r w:rsidR="00E5116B">
        <w:instrText xml:space="preserve"> ADDIN ZOTERO_ITEM CSL_CITATION {"citationID":"CsE3bDa1","properties":{"formattedCitation":"{\\i{}Id.}","plainCitation":"Id.","noteIndex":222},"citationItems":[{"id":2980,"uris":["http://zotero.org/groups/2816150/items/VEUKEAG3"],"uri":["http://zotero.org/groups/2816150/items/VEUKEAG3"],"itemData":{"id":2980,"type":"article-journal","container-title":"University of Chicago Law Review","journalAbbreviation":"U. Chi. L. Rev.","language":"eng","page":"223-242","source":"HeinOnline","title":"Two More Ways Not to Think about Privacy and the Fourth Amendment","title-short":"Two More Ways Not to Think about Privacy and the Fourth Amendment","volume":"82","author":[{"family":"Sklansky","given":"David Alan"}],"issued":{"date-parts":[["2015"]]}},"locator":"237","label":"page"}],"schema":"https://github.com/citation-style-language/schema/raw/master/csl-citation.json"} </w:instrText>
      </w:r>
      <w:r>
        <w:fldChar w:fldCharType="separate"/>
      </w:r>
      <w:r w:rsidR="00E5116B" w:rsidRPr="00E5116B">
        <w:rPr>
          <w:i/>
          <w:iCs/>
        </w:rPr>
        <w:t>Id.</w:t>
      </w:r>
      <w:r>
        <w:fldChar w:fldCharType="end"/>
      </w:r>
    </w:p>
  </w:footnote>
  <w:footnote w:id="230">
    <w:p w14:paraId="4ED08F4A" w14:textId="77F10490" w:rsidR="00CB15B8" w:rsidRDefault="00CB15B8">
      <w:pPr>
        <w:pStyle w:val="FootnoteText"/>
      </w:pPr>
      <w:r w:rsidRPr="002A4234">
        <w:rPr>
          <w:rStyle w:val="FootnoteReference"/>
        </w:rPr>
        <w:footnoteRef/>
      </w:r>
      <w:r>
        <w:t xml:space="preserve"> </w:t>
      </w:r>
      <w:r>
        <w:fldChar w:fldCharType="begin"/>
      </w:r>
      <w:r w:rsidR="00E5116B">
        <w:instrText xml:space="preserve"> ADDIN ZOTERO_ITEM CSL_CITATION {"citationID":"QYeVmBGr","properties":{"formattedCitation":"Baude &amp; Stern, {\\i{}supra} note 4, at 1859","plainCitation":"Baude &amp; Stern, supra note 4, at 1859","noteIndex":223},"citationItems":[{"id":2966,"uris":["http://zotero.org/groups/2816150/items/J6IBBYF4"],"uri":["http://zotero.org/groups/2816150/items/J6IBBYF4"],"itemData":{"id":2966,"type":"article-journal","container-title":"Harvard Law Review","journalAbbreviation":"Harv. L. Rev.","language":"eng","page":"1821-1889","source":"HeinOnline","title":"The Positive Law Model of the Fourth Amendment","volume":"129","author":[{"family":"Baude","given":"William"},{"family":"Stern","given":"James Y."}],"issued":{"date-parts":[["2016"]]}},"locator":"1859","label":"page"}],"schema":"https://github.com/citation-style-language/schema/raw/master/csl-citation.json"} </w:instrText>
      </w:r>
      <w:r>
        <w:fldChar w:fldCharType="separate"/>
      </w:r>
      <w:r w:rsidR="00E5116B" w:rsidRPr="00E5116B">
        <w:t xml:space="preserve">Baude &amp; Stern, </w:t>
      </w:r>
      <w:r w:rsidR="00E5116B" w:rsidRPr="00E5116B">
        <w:rPr>
          <w:i/>
          <w:iCs/>
        </w:rPr>
        <w:t>supra</w:t>
      </w:r>
      <w:r w:rsidR="00E5116B" w:rsidRPr="00E5116B">
        <w:t xml:space="preserve"> note </w:t>
      </w:r>
      <w:r w:rsidR="000912B4">
        <w:fldChar w:fldCharType="begin"/>
      </w:r>
      <w:r w:rsidR="000912B4">
        <w:instrText xml:space="preserve"> NOTEREF _Ref113024660 \h </w:instrText>
      </w:r>
      <w:r w:rsidR="000912B4">
        <w:fldChar w:fldCharType="separate"/>
      </w:r>
      <w:r w:rsidR="00405D69">
        <w:t>4</w:t>
      </w:r>
      <w:r w:rsidR="000912B4">
        <w:fldChar w:fldCharType="end"/>
      </w:r>
      <w:r w:rsidR="00E5116B" w:rsidRPr="00E5116B">
        <w:t>, at 1859</w:t>
      </w:r>
      <w:r>
        <w:fldChar w:fldCharType="end"/>
      </w:r>
      <w:r w:rsidR="00F515F9">
        <w:t>.</w:t>
      </w:r>
    </w:p>
  </w:footnote>
  <w:footnote w:id="231">
    <w:p w14:paraId="35C910EE" w14:textId="7448F45B" w:rsidR="008401B7" w:rsidRDefault="008401B7">
      <w:pPr>
        <w:pStyle w:val="FootnoteText"/>
      </w:pPr>
      <w:r w:rsidRPr="002A4234">
        <w:rPr>
          <w:rStyle w:val="FootnoteReference"/>
        </w:rPr>
        <w:footnoteRef/>
      </w:r>
      <w:r>
        <w:t xml:space="preserve"> </w:t>
      </w:r>
      <w:r>
        <w:fldChar w:fldCharType="begin"/>
      </w:r>
      <w:r w:rsidR="00E5116B">
        <w:instrText xml:space="preserve"> ADDIN ZOTERO_ITEM CSL_CITATION {"citationID":"JQZ6G5w1","properties":{"formattedCitation":"{\\i{}Id.} at 1845\\uc0\\u8211{}50","plainCitation":"Id. at 1845–50","noteIndex":224},"citationItems":[{"id":2966,"uris":["http://zotero.org/groups/2816150/items/J6IBBYF4"],"uri":["http://zotero.org/groups/2816150/items/J6IBBYF4"],"itemData":{"id":2966,"type":"article-journal","container-title":"Harvard Law Review","journalAbbreviation":"Harv. L. Rev.","language":"eng","page":"1821-1889","source":"HeinOnline","title":"The Positive Law Model of the Fourth Amendment","volume":"129","author":[{"family":"Baude","given":"William"},{"family":"Stern","given":"James Y."}],"issued":{"date-parts":[["2016"]]}},"locator":"1845-50","label":"page"}],"schema":"https://github.com/citation-style-language/schema/raw/master/csl-citation.json"} </w:instrText>
      </w:r>
      <w:r>
        <w:fldChar w:fldCharType="separate"/>
      </w:r>
      <w:r w:rsidR="00E5116B" w:rsidRPr="00E5116B">
        <w:rPr>
          <w:i/>
          <w:iCs/>
        </w:rPr>
        <w:t>Id.</w:t>
      </w:r>
      <w:r w:rsidR="00E5116B" w:rsidRPr="00E5116B">
        <w:t xml:space="preserve"> at 1845</w:t>
      </w:r>
      <w:r w:rsidR="00AC7291">
        <w:t>-</w:t>
      </w:r>
      <w:r w:rsidR="00E5116B" w:rsidRPr="00E5116B">
        <w:t>50</w:t>
      </w:r>
      <w:r>
        <w:fldChar w:fldCharType="end"/>
      </w:r>
      <w:r w:rsidR="00F515F9">
        <w:t>.</w:t>
      </w:r>
    </w:p>
  </w:footnote>
  <w:footnote w:id="232">
    <w:p w14:paraId="3E2034B6" w14:textId="5440C373" w:rsidR="00CB201E" w:rsidRDefault="00CB201E">
      <w:pPr>
        <w:pStyle w:val="FootnoteText"/>
      </w:pPr>
      <w:r w:rsidRPr="002A4234">
        <w:rPr>
          <w:rStyle w:val="FootnoteReference"/>
        </w:rPr>
        <w:footnoteRef/>
      </w:r>
      <w:r>
        <w:t xml:space="preserve"> </w:t>
      </w:r>
      <w:r>
        <w:fldChar w:fldCharType="begin"/>
      </w:r>
      <w:r w:rsidR="00E5116B">
        <w:instrText xml:space="preserve"> ADDIN ZOTERO_ITEM CSL_CITATION {"citationID":"SQCWUKT7","properties":{"formattedCitation":"Matthew Tokson, {\\i{}The Normative Fourth Amendment}, 104 {\\scaps Minn. L. Rev.} 741, 796 (2019)","plainCitation":"Matthew Tokson, The Normative Fourth Amendment, 104 Minn. L. Rev. 741, 796 (2019)","noteIndex":225},"citationItems":[{"id":3003,"uris":["http://zotero.org/groups/2816150/items/GEVMVRVV"],"uri":["http://zotero.org/groups/2816150/items/GEVMVRVV"],"itemData":{"id":3003,"type":"article-journal","container-title":"Minnesota Law Review","journalAbbreviation":"Minn. L. Rev.","page":"741","title":"The Normative Fourth Amendment","volume":"104","author":[{"family":"Tokson","given":"Matthew"}],"issued":{"date-parts":[["2019"]]}},"locator":"796","label":"page"}],"schema":"https://github.com/citation-style-language/schema/raw/master/csl-citation.json"} </w:instrText>
      </w:r>
      <w:r>
        <w:fldChar w:fldCharType="separate"/>
      </w:r>
      <w:r w:rsidR="00E5116B" w:rsidRPr="00E5116B">
        <w:t xml:space="preserve">Matthew Tokson, </w:t>
      </w:r>
      <w:r w:rsidR="00E5116B" w:rsidRPr="00E5116B">
        <w:rPr>
          <w:i/>
          <w:iCs/>
        </w:rPr>
        <w:t>The Normative Fourth Amendment</w:t>
      </w:r>
      <w:r w:rsidR="00E5116B" w:rsidRPr="00E5116B">
        <w:t xml:space="preserve">, 104 </w:t>
      </w:r>
      <w:r w:rsidR="00E5116B" w:rsidRPr="00E5116B">
        <w:rPr>
          <w:smallCaps/>
        </w:rPr>
        <w:t>Minn. L. Rev.</w:t>
      </w:r>
      <w:r w:rsidR="00E5116B" w:rsidRPr="00E5116B">
        <w:t xml:space="preserve"> 741, 796 (2019)</w:t>
      </w:r>
      <w:r>
        <w:fldChar w:fldCharType="end"/>
      </w:r>
      <w:r w:rsidR="00F515F9">
        <w:t>.</w:t>
      </w:r>
    </w:p>
  </w:footnote>
  <w:footnote w:id="233">
    <w:p w14:paraId="5600A832" w14:textId="0545D191" w:rsidR="00067C5C" w:rsidRPr="00067C5C" w:rsidRDefault="00067C5C">
      <w:pPr>
        <w:pStyle w:val="FootnoteText"/>
      </w:pPr>
      <w:r w:rsidRPr="002A4234">
        <w:rPr>
          <w:rStyle w:val="FootnoteReference"/>
        </w:rPr>
        <w:footnoteRef/>
      </w:r>
      <w:r>
        <w:t xml:space="preserve"> </w:t>
      </w:r>
      <w:r>
        <w:rPr>
          <w:i/>
          <w:iCs/>
        </w:rPr>
        <w:t>See supra</w:t>
      </w:r>
      <w:r>
        <w:t xml:space="preserve"> </w:t>
      </w:r>
      <w:r w:rsidR="00584306">
        <w:t xml:space="preserve">Section </w:t>
      </w:r>
      <w:r w:rsidR="00677236">
        <w:t>I.</w:t>
      </w:r>
      <w:r w:rsidR="00A20887">
        <w:t>B</w:t>
      </w:r>
      <w:r>
        <w:t>.</w:t>
      </w:r>
    </w:p>
  </w:footnote>
  <w:footnote w:id="234">
    <w:p w14:paraId="1C3EE5D5" w14:textId="413586A2" w:rsidR="001E3088" w:rsidRDefault="001E3088">
      <w:pPr>
        <w:pStyle w:val="FootnoteText"/>
      </w:pPr>
      <w:r>
        <w:rPr>
          <w:rStyle w:val="FootnoteReference"/>
        </w:rPr>
        <w:footnoteRef/>
      </w:r>
      <w:r>
        <w:t xml:space="preserve"> </w:t>
      </w:r>
      <w:r w:rsidR="00BF015D">
        <w:t xml:space="preserve">The general law may even constrain </w:t>
      </w:r>
      <w:r w:rsidR="00BF015D">
        <w:rPr>
          <w:i/>
          <w:iCs/>
        </w:rPr>
        <w:t>more</w:t>
      </w:r>
      <w:r w:rsidR="00BF015D">
        <w:t xml:space="preserve"> than more hidebound approaches that look to 1791 common law. </w:t>
      </w:r>
      <w:r w:rsidR="0064253F">
        <w:rPr>
          <w:i/>
          <w:iCs/>
        </w:rPr>
        <w:t xml:space="preserve">See </w:t>
      </w:r>
      <w:r w:rsidR="0064253F">
        <w:rPr>
          <w:smallCaps/>
        </w:rPr>
        <w:t>David A. Strauss, The Living Constitution</w:t>
      </w:r>
      <w:r w:rsidR="00B860F6">
        <w:rPr>
          <w:smallCaps/>
        </w:rPr>
        <w:t xml:space="preserve"> 36 (2010) (</w:t>
      </w:r>
      <w:r w:rsidR="00A56897">
        <w:t>arguing that “the common law</w:t>
      </w:r>
      <w:r w:rsidR="00DE244B">
        <w:t xml:space="preserve"> has, for centuries, restrained judge</w:t>
      </w:r>
      <w:r w:rsidR="00EA2448">
        <w:t xml:space="preserve">s; in fact, it restrains judges more effectively than originalism does”). </w:t>
      </w:r>
    </w:p>
  </w:footnote>
  <w:footnote w:id="235">
    <w:p w14:paraId="25A4F474" w14:textId="2F7A0AB0" w:rsidR="0006493D" w:rsidRDefault="0006493D" w:rsidP="0006493D">
      <w:pPr>
        <w:pStyle w:val="FootnoteText"/>
      </w:pPr>
      <w:r w:rsidRPr="002A4234">
        <w:rPr>
          <w:rStyle w:val="FootnoteReference"/>
        </w:rPr>
        <w:footnoteRef/>
      </w:r>
      <w:r>
        <w:t xml:space="preserve"> </w:t>
      </w:r>
      <w:r>
        <w:fldChar w:fldCharType="begin"/>
      </w:r>
      <w:r w:rsidR="00E5116B">
        <w:instrText xml:space="preserve"> ADDIN ZOTERO_ITEM CSL_CITATION {"citationID":"mMvCpwZz","properties":{"formattedCitation":"Brady, {\\i{}supra} note 148, at 1000","plainCitation":"Brady, supra note 148, at 1000","noteIndex":227},"citationItems":[{"id":2943,"uris":["http://zotero.org/groups/2816150/items/GHXGMBTE"],"uri":["http://zotero.org/groups/2816150/items/GHXGMBTE"],"itemData":{"id":2943,"type":"article-journal","container-title":"Yale Law Journal","issue":"4","journalAbbreviation":"Yale L. J.","language":"eng","page":"946-1017","source":"HeinOnline","title":"The Lost Effects of the Fourth Amendment: Giving Personal Property Due Protection","title-short":"The Lost Effects of the Fourth Amendment","volume":"125","author":[{"family":"Brady","given":"Maureen E."}],"issued":{"date-parts":[["2016"]]}},"locator":"1000","label":"page"}],"schema":"https://github.com/citation-style-language/schema/raw/master/csl-citation.json"} </w:instrText>
      </w:r>
      <w:r>
        <w:fldChar w:fldCharType="separate"/>
      </w:r>
      <w:r w:rsidR="00E5116B" w:rsidRPr="00E5116B">
        <w:t xml:space="preserve">Brady, </w:t>
      </w:r>
      <w:r w:rsidR="00E5116B" w:rsidRPr="00E5116B">
        <w:rPr>
          <w:i/>
          <w:iCs/>
        </w:rPr>
        <w:t>supra</w:t>
      </w:r>
      <w:r w:rsidR="00E5116B" w:rsidRPr="00E5116B">
        <w:t xml:space="preserve"> note </w:t>
      </w:r>
      <w:r w:rsidR="00F81122">
        <w:fldChar w:fldCharType="begin"/>
      </w:r>
      <w:r w:rsidR="00F81122">
        <w:instrText xml:space="preserve"> NOTEREF _Ref113023859 \h </w:instrText>
      </w:r>
      <w:r w:rsidR="00F81122">
        <w:fldChar w:fldCharType="separate"/>
      </w:r>
      <w:r w:rsidR="00405D69">
        <w:t>150</w:t>
      </w:r>
      <w:r w:rsidR="00F81122">
        <w:fldChar w:fldCharType="end"/>
      </w:r>
      <w:r w:rsidR="00E5116B" w:rsidRPr="00E5116B">
        <w:t>, at 1000</w:t>
      </w:r>
      <w:r>
        <w:fldChar w:fldCharType="end"/>
      </w:r>
      <w:r w:rsidR="00F515F9">
        <w:t>.</w:t>
      </w:r>
    </w:p>
  </w:footnote>
  <w:footnote w:id="236">
    <w:p w14:paraId="4D6003E0" w14:textId="77F8D495" w:rsidR="00D074FD" w:rsidRDefault="00D074FD" w:rsidP="00D074FD">
      <w:pPr>
        <w:pStyle w:val="FootnoteText"/>
      </w:pPr>
      <w:r w:rsidRPr="002A4234">
        <w:rPr>
          <w:rStyle w:val="FootnoteReference"/>
        </w:rPr>
        <w:footnoteRef/>
      </w:r>
      <w:r w:rsidR="004A78DA">
        <w:t xml:space="preserve"> </w:t>
      </w:r>
      <w:r w:rsidR="00061FCE">
        <w:fldChar w:fldCharType="begin"/>
      </w:r>
      <w:r w:rsidR="00061FCE">
        <w:instrText xml:space="preserve"> ADDIN ZOTERO_ITEM CSL_CITATION {"citationID":"Nk7vtBPv","properties":{"formattedCitation":"{\\i{}The Fourth Amendment\\uc0\\u8217{}s Third Way}, {\\i{}supra} note 4, at 1743","plainCitation":"The Fourth Amendment’s Third Way, supra note 4, at 1743","noteIndex":228},"citationItems":[{"id":3006,"uris":["http://zotero.org/groups/2816150/items/CNGH7WJ5"],"uri":["http://zotero.org/groups/2816150/items/CNGH7WJ5"],"itemData":{"id":3006,"type":"article-journal","container-title":"Harvard Law Review","journalAbbreviation":"Harv. L. Rev.","page":"1627","title":"The Fourth Amendment's Third Way","volume":"120","issued":{"date-parts":[["2007"]]}},"locator":"1743","label":"page"}],"schema":"https://github.com/citation-style-language/schema/raw/master/csl-citation.json"} </w:instrText>
      </w:r>
      <w:r w:rsidR="00061FCE">
        <w:fldChar w:fldCharType="separate"/>
      </w:r>
      <w:r w:rsidR="00061FCE" w:rsidRPr="00F613FA">
        <w:t>Note</w:t>
      </w:r>
      <w:r w:rsidR="00061FCE" w:rsidRPr="00E5116B">
        <w:t xml:space="preserve">, </w:t>
      </w:r>
      <w:r w:rsidR="00061FCE" w:rsidRPr="00E5116B">
        <w:rPr>
          <w:i/>
          <w:iCs/>
        </w:rPr>
        <w:t>supra</w:t>
      </w:r>
      <w:r w:rsidR="00061FCE" w:rsidRPr="00E5116B">
        <w:t xml:space="preserve"> note </w:t>
      </w:r>
      <w:r w:rsidR="00061FCE">
        <w:fldChar w:fldCharType="begin"/>
      </w:r>
      <w:r w:rsidR="00061FCE">
        <w:instrText xml:space="preserve"> NOTEREF _Ref113024660 \h </w:instrText>
      </w:r>
      <w:r w:rsidR="00061FCE">
        <w:fldChar w:fldCharType="separate"/>
      </w:r>
      <w:r w:rsidR="00405D69">
        <w:t>4</w:t>
      </w:r>
      <w:r w:rsidR="00061FCE">
        <w:fldChar w:fldCharType="end"/>
      </w:r>
      <w:r w:rsidR="00061FCE" w:rsidRPr="00E5116B">
        <w:t xml:space="preserve">, at </w:t>
      </w:r>
      <w:r w:rsidR="00061FCE">
        <w:fldChar w:fldCharType="end"/>
      </w:r>
      <w:r w:rsidR="005904A0">
        <w:t>1643</w:t>
      </w:r>
      <w:r w:rsidR="00791A90">
        <w:t xml:space="preserve"> </w:t>
      </w:r>
      <w:r w:rsidR="005904A0">
        <w:t>(</w:t>
      </w:r>
      <w:r w:rsidR="004C6A83">
        <w:t>footnotes omitted)</w:t>
      </w:r>
      <w:r w:rsidR="00F515F9">
        <w:t>.</w:t>
      </w:r>
    </w:p>
  </w:footnote>
  <w:footnote w:id="237">
    <w:p w14:paraId="5552E803" w14:textId="71CADFFC" w:rsidR="00963971" w:rsidRDefault="00963971" w:rsidP="00963971">
      <w:pPr>
        <w:pStyle w:val="FootnoteText"/>
      </w:pPr>
      <w:r w:rsidRPr="002A4234">
        <w:rPr>
          <w:rStyle w:val="FootnoteReference"/>
        </w:rPr>
        <w:footnoteRef/>
      </w:r>
      <w:r>
        <w:t xml:space="preserve"> United States vs. Jones</w:t>
      </w:r>
      <w:r w:rsidR="001B305A">
        <w:t>, 565 U.S. 400, 425</w:t>
      </w:r>
      <w:r w:rsidR="00E1354C">
        <w:t>-</w:t>
      </w:r>
      <w:r w:rsidR="001B305A">
        <w:t>26 (</w:t>
      </w:r>
      <w:r w:rsidR="00C22AA6">
        <w:t>2012)</w:t>
      </w:r>
      <w:r w:rsidR="001B305A">
        <w:t xml:space="preserve"> (Alito, J., concurring in the judgment).</w:t>
      </w:r>
    </w:p>
  </w:footnote>
  <w:footnote w:id="238">
    <w:p w14:paraId="54D41CE8" w14:textId="08BD158B" w:rsidR="001B305A" w:rsidRPr="001B305A" w:rsidRDefault="001B305A">
      <w:pPr>
        <w:pStyle w:val="FootnoteText"/>
      </w:pPr>
      <w:r w:rsidRPr="002A4234">
        <w:rPr>
          <w:rStyle w:val="FootnoteReference"/>
        </w:rPr>
        <w:footnoteRef/>
      </w:r>
      <w:r>
        <w:t xml:space="preserve"> </w:t>
      </w:r>
      <w:r>
        <w:rPr>
          <w:i/>
          <w:iCs/>
        </w:rPr>
        <w:t>Id.</w:t>
      </w:r>
      <w:r>
        <w:t xml:space="preserve"> at 426.</w:t>
      </w:r>
    </w:p>
  </w:footnote>
  <w:footnote w:id="239">
    <w:p w14:paraId="214EAB10" w14:textId="3369AF9E" w:rsidR="008D1521" w:rsidRPr="00965528" w:rsidRDefault="008D1521">
      <w:pPr>
        <w:pStyle w:val="FootnoteText"/>
      </w:pPr>
      <w:r>
        <w:rPr>
          <w:rStyle w:val="FootnoteReference"/>
        </w:rPr>
        <w:footnoteRef/>
      </w:r>
      <w:r>
        <w:t xml:space="preserve"> </w:t>
      </w:r>
      <w:r>
        <w:rPr>
          <w:i/>
          <w:iCs/>
        </w:rPr>
        <w:t>See</w:t>
      </w:r>
      <w:r w:rsidR="00965528">
        <w:t xml:space="preserve"> </w:t>
      </w:r>
      <w:r w:rsidR="00965528">
        <w:rPr>
          <w:smallCaps/>
        </w:rPr>
        <w:t xml:space="preserve">U.S. Chamber of Commerce Institute for Legal Reform, Torts of the Future: Drones 11 </w:t>
      </w:r>
      <w:r w:rsidR="00965528">
        <w:t xml:space="preserve">(Jan. 2022) </w:t>
      </w:r>
      <w:r w:rsidR="00F91EF4">
        <w:t>(“</w:t>
      </w:r>
      <w:r w:rsidR="00F91EF4" w:rsidRPr="00F91EF4">
        <w:t>The ALI is currently in the process of developing the Fourth Restatement of Property, which will likely address the topic of aerial property rights, specifically in the context of drones.</w:t>
      </w:r>
      <w:r w:rsidR="00F91EF4">
        <w:t>”).</w:t>
      </w:r>
    </w:p>
  </w:footnote>
  <w:footnote w:id="240">
    <w:p w14:paraId="16512510" w14:textId="0EFFCB19" w:rsidR="00FF45F3" w:rsidRDefault="00FF45F3" w:rsidP="005F4E25">
      <w:pPr>
        <w:pStyle w:val="FootnoteText"/>
      </w:pPr>
      <w:r w:rsidRPr="002A4234">
        <w:rPr>
          <w:rStyle w:val="FootnoteReference"/>
        </w:rPr>
        <w:footnoteRef/>
      </w:r>
      <w:r>
        <w:t xml:space="preserve"> </w:t>
      </w:r>
      <w:r w:rsidR="0058208D">
        <w:t xml:space="preserve">The Supreme Court has called </w:t>
      </w:r>
      <w:r w:rsidR="005F4E25">
        <w:t>“flexibility and capacity for growth and adaptation” “the peculiar boast and excellence of the common law.” Hurtado v. California, 110 U.S. 516, 530 (1884).</w:t>
      </w:r>
    </w:p>
  </w:footnote>
  <w:footnote w:id="241">
    <w:p w14:paraId="17BC8237" w14:textId="061F3E00" w:rsidR="0050371B" w:rsidRDefault="0050371B" w:rsidP="0050371B">
      <w:pPr>
        <w:pStyle w:val="FootnoteText"/>
      </w:pPr>
      <w:r w:rsidRPr="002A4234">
        <w:rPr>
          <w:rStyle w:val="FootnoteReference"/>
        </w:rPr>
        <w:footnoteRef/>
      </w:r>
      <w:r>
        <w:t xml:space="preserve"> Carpenter v. United States, </w:t>
      </w:r>
      <w:r w:rsidRPr="00996BD6">
        <w:t>138 S. Ct. 2206</w:t>
      </w:r>
      <w:r>
        <w:t>, 2268 (2018) (Gorsuch, J., dissenting).</w:t>
      </w:r>
    </w:p>
  </w:footnote>
  <w:footnote w:id="242">
    <w:p w14:paraId="15CB7795" w14:textId="3C1165BA" w:rsidR="0050371B" w:rsidRPr="0050371B" w:rsidRDefault="0050371B">
      <w:pPr>
        <w:pStyle w:val="FootnoteText"/>
      </w:pPr>
      <w:r w:rsidRPr="002A4234">
        <w:rPr>
          <w:rStyle w:val="FootnoteReference"/>
        </w:rPr>
        <w:footnoteRef/>
      </w:r>
      <w:r>
        <w:t xml:space="preserve"> </w:t>
      </w:r>
      <w:r>
        <w:rPr>
          <w:i/>
          <w:iCs/>
        </w:rPr>
        <w:t>Id.</w:t>
      </w:r>
    </w:p>
  </w:footnote>
  <w:footnote w:id="243">
    <w:p w14:paraId="6A8D762C" w14:textId="7A7311F1" w:rsidR="00191C9E" w:rsidRPr="00F515F9" w:rsidRDefault="00191C9E">
      <w:pPr>
        <w:pStyle w:val="FootnoteText"/>
      </w:pPr>
      <w:r w:rsidRPr="002A4234">
        <w:rPr>
          <w:rStyle w:val="FootnoteReference"/>
        </w:rPr>
        <w:footnoteRef/>
      </w:r>
      <w:r>
        <w:t xml:space="preserve"> </w:t>
      </w:r>
      <w:r w:rsidR="00912F20">
        <w:t>(1765) 95 Eng. Rep. 807 (K.B.); 2 Wils. K.B. 275.</w:t>
      </w:r>
      <w:r w:rsidR="003A757B">
        <w:t xml:space="preserve"> </w:t>
      </w:r>
      <w:r w:rsidR="003A757B" w:rsidRPr="003A757B">
        <w:t>For</w:t>
      </w:r>
      <w:r w:rsidR="003A757B">
        <w:t xml:space="preserve"> a discussion </w:t>
      </w:r>
      <w:r w:rsidR="00EC6E68">
        <w:t xml:space="preserve">of </w:t>
      </w:r>
      <w:r w:rsidR="001E710B">
        <w:t xml:space="preserve">how </w:t>
      </w:r>
      <w:r w:rsidR="00EC6E68">
        <w:t>a newly uncovered manuscript report</w:t>
      </w:r>
      <w:r w:rsidR="0022185A">
        <w:t xml:space="preserve"> of </w:t>
      </w:r>
      <w:r w:rsidR="0022185A">
        <w:rPr>
          <w:i/>
          <w:iCs/>
        </w:rPr>
        <w:t>Entick</w:t>
      </w:r>
      <w:r w:rsidR="001E710B">
        <w:t xml:space="preserve"> m</w:t>
      </w:r>
      <w:r w:rsidR="007319DD">
        <w:t>ight</w:t>
      </w:r>
      <w:r w:rsidR="001E710B">
        <w:t xml:space="preserve"> have implications for </w:t>
      </w:r>
      <w:r w:rsidR="00D40C43">
        <w:t xml:space="preserve">prevailing assumptions about </w:t>
      </w:r>
      <w:r w:rsidR="00D40C43">
        <w:rPr>
          <w:i/>
          <w:iCs/>
        </w:rPr>
        <w:t>Entick</w:t>
      </w:r>
      <w:r w:rsidR="00550EEA">
        <w:t>, see</w:t>
      </w:r>
      <w:r w:rsidR="004764C8">
        <w:rPr>
          <w:i/>
          <w:iCs/>
        </w:rPr>
        <w:t xml:space="preserve"> </w:t>
      </w:r>
      <w:r w:rsidR="005F4652">
        <w:rPr>
          <w:i/>
          <w:iCs/>
        </w:rPr>
        <w:fldChar w:fldCharType="begin"/>
      </w:r>
      <w:r w:rsidR="00E5116B">
        <w:rPr>
          <w:i/>
          <w:iCs/>
        </w:rPr>
        <w:instrText xml:space="preserve"> ADDIN ZOTERO_ITEM CSL_CITATION {"citationID":"SmAQWUSP","properties":{"formattedCitation":"T.T. Arvind &amp; Christian R. Burset, {\\i{}A New Report of Entick v. Carrington (1765)}, 110 {\\scaps Ky. L.J.} _ (forthcoming 2022)","plainCitation":"T.T. Arvind &amp; Christian R. Burset, A New Report of Entick v. Carrington (1765), 110 Ky. L.J. _ (forthcoming 2022)","noteIndex":234},"citationItems":[{"id":2931,"uris":["http://zotero.org/groups/2816150/items/MFB7XWF9"],"uri":["http://zotero.org/groups/2816150/items/MFB7XWF9"],"itemData":{"id":2931,"type":"article-journal","abstract":"The Supreme Court has described Entick v. Carrington (1765) as “the true and ultimate expression of constitutional law” for the Founding generation. For more than 250 years, judges and commentators have read that case for guidance about the rule of law, executive authority, and the original meaning of the Fourth and Fifth Amendments. But we have been reading a flawed version. This Article publishes, for the first time, a previously unknown manuscript report of Entick v. Carrington. We explain why this version is more reliable than other reports of the case, and how this new discovery challenges prevailing assumptions about Entick’s legal and historical meaning. Although we leave a full reevaluation of Entick for future scholarship, we show that any future judicial or academic discussion of the case must take this new report into account.","container-title":"Kentucky Law Journal","DOI":"10.2139/ssrn.3529420","journalAbbreviation":"Ky. L.J.","language":"en","page":"_","source":"papers.ssrn.com","title":"A New Report of Entick v. Carrington (1765)","volume":"110","author":[{"family":"Arvind","given":"T.T."},{"family":"Burset","given":"Christian R."}],"issued":{"date-parts":[["2022"]],"season":"forthcoming"}}}],"schema":"https://github.com/citation-style-language/schema/raw/master/csl-citation.json"} </w:instrText>
      </w:r>
      <w:r w:rsidR="005F4652">
        <w:rPr>
          <w:i/>
          <w:iCs/>
        </w:rPr>
        <w:fldChar w:fldCharType="separate"/>
      </w:r>
      <w:r w:rsidR="00E5116B" w:rsidRPr="00E5116B">
        <w:t xml:space="preserve">T.T. Arvind &amp; Christian R. Burset, </w:t>
      </w:r>
      <w:r w:rsidR="00E5116B" w:rsidRPr="00E5116B">
        <w:rPr>
          <w:i/>
          <w:iCs/>
        </w:rPr>
        <w:t>A New Report of</w:t>
      </w:r>
      <w:r w:rsidR="00E5116B" w:rsidRPr="00DD5D27">
        <w:t xml:space="preserve"> Entick v. Carrington </w:t>
      </w:r>
      <w:r w:rsidR="00E5116B" w:rsidRPr="00E5116B">
        <w:rPr>
          <w:i/>
          <w:iCs/>
        </w:rPr>
        <w:t>(1765)</w:t>
      </w:r>
      <w:r w:rsidR="00E5116B" w:rsidRPr="00E5116B">
        <w:t xml:space="preserve">, 110 </w:t>
      </w:r>
      <w:r w:rsidR="00E5116B" w:rsidRPr="00E5116B">
        <w:rPr>
          <w:smallCaps/>
        </w:rPr>
        <w:t>Ky. L.J.</w:t>
      </w:r>
      <w:r w:rsidR="003A70DD" w:rsidRPr="00E5116B">
        <w:t xml:space="preserve"> </w:t>
      </w:r>
      <w:r w:rsidR="00A0589C">
        <w:t xml:space="preserve">265 </w:t>
      </w:r>
      <w:r w:rsidR="00E5116B" w:rsidRPr="00E5116B">
        <w:t>(202</w:t>
      </w:r>
      <w:r w:rsidR="00A0589C">
        <w:t>1</w:t>
      </w:r>
      <w:r w:rsidR="00E5116B" w:rsidRPr="00E5116B">
        <w:t>)</w:t>
      </w:r>
      <w:r w:rsidR="005F4652">
        <w:rPr>
          <w:i/>
          <w:iCs/>
        </w:rPr>
        <w:fldChar w:fldCharType="end"/>
      </w:r>
      <w:r w:rsidR="00F515F9">
        <w:t>.</w:t>
      </w:r>
    </w:p>
  </w:footnote>
  <w:footnote w:id="244">
    <w:p w14:paraId="1C2C313D" w14:textId="2B8445F6" w:rsidR="00191C9E" w:rsidRDefault="00191C9E">
      <w:pPr>
        <w:pStyle w:val="FootnoteText"/>
      </w:pPr>
      <w:r w:rsidRPr="002A4234">
        <w:rPr>
          <w:rStyle w:val="FootnoteReference"/>
        </w:rPr>
        <w:footnoteRef/>
      </w:r>
      <w:r>
        <w:t xml:space="preserve"> </w:t>
      </w:r>
      <w:r w:rsidR="006956B7">
        <w:t xml:space="preserve">(1763) </w:t>
      </w:r>
      <w:r w:rsidRPr="00191C9E">
        <w:t>98 Eng.</w:t>
      </w:r>
      <w:r w:rsidR="006956B7">
        <w:t xml:space="preserve"> Rep.</w:t>
      </w:r>
      <w:r w:rsidRPr="00191C9E">
        <w:t xml:space="preserve"> 489 (C.P.)</w:t>
      </w:r>
      <w:r w:rsidR="00990ECB">
        <w:t>.</w:t>
      </w:r>
    </w:p>
  </w:footnote>
  <w:footnote w:id="245">
    <w:p w14:paraId="2716F078" w14:textId="4E6ED648" w:rsidR="00A0619A" w:rsidRPr="00475418" w:rsidRDefault="00A0619A">
      <w:pPr>
        <w:pStyle w:val="FootnoteText"/>
      </w:pPr>
      <w:r w:rsidRPr="002A4234">
        <w:rPr>
          <w:rStyle w:val="FootnoteReference"/>
        </w:rPr>
        <w:footnoteRef/>
      </w:r>
      <w:r>
        <w:t xml:space="preserve"> </w:t>
      </w:r>
      <w:r w:rsidR="00475418">
        <w:rPr>
          <w:i/>
          <w:iCs/>
        </w:rPr>
        <w:t>See supra</w:t>
      </w:r>
      <w:r w:rsidR="00475418">
        <w:t xml:space="preserve"> at </w:t>
      </w:r>
      <w:r w:rsidR="00F21A57">
        <w:t xml:space="preserve">Section </w:t>
      </w:r>
      <w:r w:rsidR="004D51C5">
        <w:fldChar w:fldCharType="begin"/>
      </w:r>
      <w:r w:rsidR="004D51C5">
        <w:instrText xml:space="preserve"> REF _Ref113024340 \r \h </w:instrText>
      </w:r>
      <w:r w:rsidR="004D51C5">
        <w:fldChar w:fldCharType="separate"/>
      </w:r>
      <w:r w:rsidR="00405D69">
        <w:t>I.B</w:t>
      </w:r>
      <w:r w:rsidR="004D51C5">
        <w:fldChar w:fldCharType="end"/>
      </w:r>
      <w:r w:rsidR="004D51C5">
        <w:t>.</w:t>
      </w:r>
    </w:p>
  </w:footnote>
  <w:footnote w:id="246">
    <w:p w14:paraId="6D7437D0" w14:textId="2C077530" w:rsidR="008A0DEC" w:rsidRDefault="008A0DEC" w:rsidP="008A0DEC">
      <w:pPr>
        <w:pStyle w:val="FootnoteText"/>
      </w:pPr>
      <w:r w:rsidRPr="002A4234">
        <w:rPr>
          <w:rStyle w:val="FootnoteReference"/>
        </w:rPr>
        <w:footnoteRef/>
      </w:r>
      <w:r>
        <w:t xml:space="preserve"> </w:t>
      </w:r>
      <w:r>
        <w:fldChar w:fldCharType="begin"/>
      </w:r>
      <w:r w:rsidR="00E5116B">
        <w:instrText xml:space="preserve"> ADDIN ZOTERO_ITEM CSL_CITATION {"citationID":"ZrKUdsQS","properties":{"formattedCitation":"{\\i{}See} Orin S. Kerr, {\\i{}Applying the Fourth Amendment to the Internet: A General Approach}, 62 {\\scaps Stan. L. Rev.} 1005, 1009 (2010)","plainCitation":"See Orin S. Kerr, Applying the Fourth Amendment to the Internet: A General Approach, 62 Stan. L. Rev. 1005, 1009 (2010)","noteIndex":237},"citationItems":[{"id":3265,"uris":["http://zotero.org/groups/2816150/items/NBZD9DTD"],"uri":["http://zotero.org/groups/2816150/items/NBZD9DTD"],"itemData":{"id":3265,"type":"article-journal","container-title":"Stanford Law Review","issue":"4","journalAbbreviation":"Stan. L. Rev.","language":"eng","page":"1005-1050","source":"HeinOnline","title":"Applying the Fourth Amendment to the Internet: A General Approach","title-short":"Applying the Fourth Amendment to the Internet","volume":"62","author":[{"family":"Kerr","given":"Orin S."}],"issued":{"date-parts":[["2010"]]}},"locator":"1009","label":"page","prefix":"&lt;i&gt;See&lt;/i&gt; "}],"schema":"https://github.com/citation-style-language/schema/raw/master/csl-citation.json"} </w:instrText>
      </w:r>
      <w:r>
        <w:fldChar w:fldCharType="separate"/>
      </w:r>
      <w:r w:rsidR="00E5116B" w:rsidRPr="00E5116B">
        <w:rPr>
          <w:i/>
          <w:iCs/>
        </w:rPr>
        <w:t>See</w:t>
      </w:r>
      <w:r w:rsidR="00E5116B" w:rsidRPr="00E5116B">
        <w:t xml:space="preserve"> Orin S. Kerr, </w:t>
      </w:r>
      <w:r w:rsidR="00E5116B" w:rsidRPr="00E5116B">
        <w:rPr>
          <w:i/>
          <w:iCs/>
        </w:rPr>
        <w:t>Applying the Fourth Amendment to the Internet: A General Approach</w:t>
      </w:r>
      <w:r w:rsidR="00E5116B" w:rsidRPr="00E5116B">
        <w:t xml:space="preserve">, 62 </w:t>
      </w:r>
      <w:r w:rsidR="00E5116B" w:rsidRPr="00E5116B">
        <w:rPr>
          <w:smallCaps/>
        </w:rPr>
        <w:t>Stan. L. Rev.</w:t>
      </w:r>
      <w:r w:rsidR="00E5116B" w:rsidRPr="00E5116B">
        <w:t xml:space="preserve"> 1005, 1009 (2010)</w:t>
      </w:r>
      <w:r>
        <w:fldChar w:fldCharType="end"/>
      </w:r>
      <w:r w:rsidR="00E7615E">
        <w:t>.</w:t>
      </w:r>
    </w:p>
  </w:footnote>
  <w:footnote w:id="247">
    <w:p w14:paraId="1564A53C" w14:textId="307710D7" w:rsidR="00184EF7" w:rsidRDefault="00184EF7">
      <w:pPr>
        <w:pStyle w:val="FootnoteText"/>
      </w:pPr>
      <w:r w:rsidRPr="002A4234">
        <w:rPr>
          <w:rStyle w:val="FootnoteReference"/>
        </w:rPr>
        <w:footnoteRef/>
      </w:r>
      <w:r>
        <w:t xml:space="preserve"> </w:t>
      </w:r>
      <w:r w:rsidRPr="00184EF7">
        <w:t>Kaiser Aetna v. United States, 444 U.S. 164, 179</w:t>
      </w:r>
      <w:r w:rsidR="003512BA">
        <w:t>-</w:t>
      </w:r>
      <w:r w:rsidRPr="00184EF7">
        <w:t>180 (1979)</w:t>
      </w:r>
      <w:r w:rsidR="00990ECB">
        <w:t>.</w:t>
      </w:r>
    </w:p>
  </w:footnote>
  <w:footnote w:id="248">
    <w:p w14:paraId="16E6D0F2" w14:textId="4521C32F" w:rsidR="00D70B69" w:rsidRPr="00EF55F0" w:rsidRDefault="00D70B69">
      <w:pPr>
        <w:pStyle w:val="FootnoteText"/>
      </w:pPr>
      <w:r w:rsidRPr="002A4234">
        <w:rPr>
          <w:rStyle w:val="FootnoteReference"/>
        </w:rPr>
        <w:footnoteRef/>
      </w:r>
      <w:r>
        <w:t xml:space="preserve"> </w:t>
      </w:r>
      <w:r w:rsidR="00800817">
        <w:fldChar w:fldCharType="begin"/>
      </w:r>
      <w:r w:rsidR="00E5116B">
        <w:instrText xml:space="preserve"> ADDIN ZOTERO_ITEM CSL_CITATION {"citationID":"4WeS9w7b","properties":{"formattedCitation":"Thomas W. Merrill, {\\i{}Property and the Right to Exclude}, 77 {\\scaps Neb. L. Rev.} 730, 730 (1998)","plainCitation":"Thomas W. Merrill, Property and the Right to Exclude, 77 Neb. L. Rev. 730, 730 (1998)","noteIndex":239},"citationItems":[{"id":2910,"uris":["http://zotero.org/groups/2816150/items/5H5LZPQT"],"uri":["http://zotero.org/groups/2816150/items/5H5LZPQT"],"itemData":{"id":2910,"type":"article-journal","container-title":"Nebraska Law Review","journalAbbreviation":"Neb. L. Rev.","page":"730","source":"HeinOnline","title":"Property and the Right to Exclude","volume":"77","author":[{"family":"Merrill","given":"Thomas W."}],"issued":{"date-parts":[["1998"]]}},"locator":"730","label":"page"}],"schema":"https://github.com/citation-style-language/schema/raw/master/csl-citation.json"} </w:instrText>
      </w:r>
      <w:r w:rsidR="00800817">
        <w:fldChar w:fldCharType="separate"/>
      </w:r>
      <w:r w:rsidR="00E5116B" w:rsidRPr="00E5116B">
        <w:t xml:space="preserve">Thomas W. Merrill, </w:t>
      </w:r>
      <w:r w:rsidR="00E5116B" w:rsidRPr="00E5116B">
        <w:rPr>
          <w:i/>
          <w:iCs/>
        </w:rPr>
        <w:t>Property and the Right to Exclude</w:t>
      </w:r>
      <w:r w:rsidR="00E5116B" w:rsidRPr="00E5116B">
        <w:t xml:space="preserve">, 77 </w:t>
      </w:r>
      <w:r w:rsidR="00E5116B" w:rsidRPr="00E5116B">
        <w:rPr>
          <w:smallCaps/>
        </w:rPr>
        <w:t>Neb. L. Rev.</w:t>
      </w:r>
      <w:r w:rsidR="00E5116B" w:rsidRPr="00E5116B">
        <w:t xml:space="preserve"> 730, 730 (1998)</w:t>
      </w:r>
      <w:r w:rsidR="00800817">
        <w:fldChar w:fldCharType="end"/>
      </w:r>
      <w:r w:rsidR="00EE5DE5">
        <w:t>.</w:t>
      </w:r>
      <w:r w:rsidR="00EF55F0">
        <w:t xml:space="preserve"> </w:t>
      </w:r>
      <w:r w:rsidR="00EE5DE5">
        <w:rPr>
          <w:i/>
          <w:iCs/>
        </w:rPr>
        <w:t>S</w:t>
      </w:r>
      <w:r w:rsidR="00EF55F0">
        <w:rPr>
          <w:i/>
          <w:iCs/>
        </w:rPr>
        <w:t xml:space="preserve">ee also </w:t>
      </w:r>
      <w:r w:rsidR="00EF55F0">
        <w:t xml:space="preserve">Cedar Point Nursery v. Hassid, </w:t>
      </w:r>
      <w:r w:rsidR="001C2F8D" w:rsidRPr="001C2F8D">
        <w:t>141 S.</w:t>
      </w:r>
      <w:r w:rsidR="001C2F8D">
        <w:t xml:space="preserve"> </w:t>
      </w:r>
      <w:r w:rsidR="001C2F8D" w:rsidRPr="001C2F8D">
        <w:t>Ct. 2063</w:t>
      </w:r>
      <w:r w:rsidR="00135368">
        <w:t>, 2072</w:t>
      </w:r>
      <w:r w:rsidR="001407FB">
        <w:t>-73</w:t>
      </w:r>
      <w:r w:rsidR="001C2F8D">
        <w:t xml:space="preserve"> (2021).</w:t>
      </w:r>
    </w:p>
  </w:footnote>
  <w:footnote w:id="249">
    <w:p w14:paraId="67B66BFF" w14:textId="1730AC61" w:rsidR="00D401EE" w:rsidRDefault="00D401EE">
      <w:pPr>
        <w:pStyle w:val="FootnoteText"/>
      </w:pPr>
      <w:r w:rsidRPr="002A4234">
        <w:rPr>
          <w:rStyle w:val="FootnoteReference"/>
        </w:rPr>
        <w:footnoteRef/>
      </w:r>
      <w:r>
        <w:t xml:space="preserve"> </w:t>
      </w:r>
      <w:r w:rsidR="00091ACB" w:rsidRPr="00A76D08">
        <w:rPr>
          <w:i/>
          <w:iCs/>
        </w:rPr>
        <w:t>See, e.g.</w:t>
      </w:r>
      <w:r w:rsidR="00091ACB">
        <w:t xml:space="preserve">, </w:t>
      </w:r>
      <w:r>
        <w:t>S</w:t>
      </w:r>
      <w:r w:rsidR="00D27B96">
        <w:t>em</w:t>
      </w:r>
      <w:r w:rsidR="00DF6737">
        <w:t>ayne</w:t>
      </w:r>
      <w:r>
        <w:t xml:space="preserve">’s Case, </w:t>
      </w:r>
      <w:r w:rsidR="00625C3A">
        <w:t xml:space="preserve">(1604) </w:t>
      </w:r>
      <w:r w:rsidRPr="00D401EE">
        <w:t>77 Eng. Rep. 194 (K.B.)</w:t>
      </w:r>
      <w:r w:rsidR="00432D48">
        <w:t xml:space="preserve"> 198</w:t>
      </w:r>
      <w:r w:rsidR="00625C3A">
        <w:t>; 5 Co. Rep. 91 a</w:t>
      </w:r>
      <w:r w:rsidR="00432D48">
        <w:t>, 93 a</w:t>
      </w:r>
      <w:r w:rsidR="00C977D7">
        <w:t xml:space="preserve"> (</w:t>
      </w:r>
      <w:r w:rsidR="007F5EF0">
        <w:t>“the house of every one is to him as his</w:t>
      </w:r>
      <w:r w:rsidR="00794765">
        <w:t xml:space="preserve"> </w:t>
      </w:r>
      <w:r w:rsidR="007F5EF0">
        <w:t>castle”)</w:t>
      </w:r>
      <w:r>
        <w:t>.</w:t>
      </w:r>
    </w:p>
  </w:footnote>
  <w:footnote w:id="250">
    <w:p w14:paraId="63BEC333" w14:textId="4B69BD24" w:rsidR="00177431" w:rsidRDefault="00177431">
      <w:pPr>
        <w:pStyle w:val="FootnoteText"/>
      </w:pPr>
      <w:r w:rsidRPr="002A4234">
        <w:rPr>
          <w:rStyle w:val="FootnoteReference"/>
        </w:rPr>
        <w:footnoteRef/>
      </w:r>
      <w:r>
        <w:t xml:space="preserve"> </w:t>
      </w:r>
      <w:r w:rsidR="00D766FC" w:rsidRPr="00D766FC">
        <w:t>Miller v. United States, 357 U.S. 301, 307</w:t>
      </w:r>
      <w:r w:rsidR="008C59AD">
        <w:t xml:space="preserve"> </w:t>
      </w:r>
      <w:r w:rsidR="000A65E8">
        <w:t xml:space="preserve">&amp; </w:t>
      </w:r>
      <w:r w:rsidR="008C59AD">
        <w:t>n.7</w:t>
      </w:r>
      <w:r w:rsidR="00D766FC" w:rsidRPr="00D766FC">
        <w:t xml:space="preserve"> (1958) (quoting</w:t>
      </w:r>
      <w:r w:rsidR="00C750D2">
        <w:t xml:space="preserve"> </w:t>
      </w:r>
      <w:r w:rsidR="00C750D2" w:rsidRPr="00A76D08">
        <w:rPr>
          <w:smallCaps/>
        </w:rPr>
        <w:t>The Oxford Dictionary of Quotations</w:t>
      </w:r>
      <w:r w:rsidR="00C750D2">
        <w:t xml:space="preserve"> </w:t>
      </w:r>
      <w:r w:rsidR="008231CA">
        <w:t>379 (2d ed. 1953)</w:t>
      </w:r>
      <w:r w:rsidR="008C59AD">
        <w:t xml:space="preserve"> (tracing the quotation to a 1763 speech given </w:t>
      </w:r>
      <w:r w:rsidR="00DD7717">
        <w:t xml:space="preserve">by William Pitt </w:t>
      </w:r>
      <w:r w:rsidR="008C59AD">
        <w:t>in the House of Commons)</w:t>
      </w:r>
      <w:r w:rsidR="00517914">
        <w:t>)</w:t>
      </w:r>
      <w:r w:rsidR="0053225F">
        <w:t>.</w:t>
      </w:r>
    </w:p>
  </w:footnote>
  <w:footnote w:id="251">
    <w:p w14:paraId="0F292CF2" w14:textId="607275E6" w:rsidR="00982FA2" w:rsidRDefault="00982FA2">
      <w:pPr>
        <w:pStyle w:val="FootnoteText"/>
      </w:pPr>
      <w:r w:rsidRPr="002A4234">
        <w:rPr>
          <w:rStyle w:val="FootnoteReference"/>
        </w:rPr>
        <w:footnoteRef/>
      </w:r>
      <w:r>
        <w:t xml:space="preserve"> </w:t>
      </w:r>
      <w:r w:rsidR="00AC1D7C">
        <w:fldChar w:fldCharType="begin"/>
      </w:r>
      <w:r w:rsidR="00E5116B">
        <w:instrText xml:space="preserve"> ADDIN ZOTERO_ITEM CSL_CITATION {"citationID":"iRhHdSLI","properties":{"formattedCitation":"{\\scaps Restatement (Second) of Torts}, {\\i{}supra} note 16, \\uc0\\u167{} 329","plainCitation":"Restatement (Second) of Torts, supra note 16, § 329","noteIndex":242},"citationItems":[{"id":3235,"uris":["http://zotero.org/groups/2816150/items/LZ9KP39U"],"uri":["http://zotero.org/groups/2816150/items/LZ9KP39U"],"itemData":{"id":3235,"type":"book","publisher":"Am. L. Inst.","title":"Restatement (Second) of Torts","issued":{"date-parts":[["1965"]]}},"locator":"329","label":"section"}],"schema":"https://github.com/citation-style-language/schema/raw/master/csl-citation.json"} </w:instrText>
      </w:r>
      <w:r w:rsidR="00AC1D7C">
        <w:fldChar w:fldCharType="separate"/>
      </w:r>
      <w:r w:rsidR="00E5116B" w:rsidRPr="00E5116B">
        <w:rPr>
          <w:smallCaps/>
        </w:rPr>
        <w:t>Restatement (Second) of Torts</w:t>
      </w:r>
      <w:r w:rsidR="00E5116B" w:rsidRPr="00E5116B" w:rsidDel="00DD708A">
        <w:t xml:space="preserve"> </w:t>
      </w:r>
      <w:r w:rsidR="00E5116B" w:rsidRPr="00E5116B">
        <w:t>§</w:t>
      </w:r>
      <w:r w:rsidR="00564F21">
        <w:t> </w:t>
      </w:r>
      <w:r w:rsidR="00E5116B" w:rsidRPr="00E5116B">
        <w:t>329</w:t>
      </w:r>
      <w:r w:rsidR="00AC1D7C">
        <w:fldChar w:fldCharType="end"/>
      </w:r>
      <w:r w:rsidR="00BA340F">
        <w:t xml:space="preserve"> (</w:t>
      </w:r>
      <w:r w:rsidR="00BA340F" w:rsidRPr="00A76D08">
        <w:rPr>
          <w:smallCaps/>
        </w:rPr>
        <w:t>Am. L. Inst.</w:t>
      </w:r>
      <w:r w:rsidR="00BA340F" w:rsidRPr="00E5116B">
        <w:t xml:space="preserve"> 1965</w:t>
      </w:r>
      <w:r w:rsidR="00BA340F">
        <w:t>)</w:t>
      </w:r>
      <w:r w:rsidR="00F515F9">
        <w:t>.</w:t>
      </w:r>
    </w:p>
  </w:footnote>
  <w:footnote w:id="252">
    <w:p w14:paraId="27AFB82B" w14:textId="1003EB37" w:rsidR="002D7D61" w:rsidRPr="000E6DF9" w:rsidRDefault="002D7D61">
      <w:pPr>
        <w:pStyle w:val="FootnoteText"/>
      </w:pPr>
      <w:r w:rsidRPr="002A4234">
        <w:rPr>
          <w:rStyle w:val="FootnoteReference"/>
        </w:rPr>
        <w:footnoteRef/>
      </w:r>
      <w:r>
        <w:t xml:space="preserve"> </w:t>
      </w:r>
      <w:r w:rsidR="000E6DF9">
        <w:t xml:space="preserve">Focusing on the right to exclude is consistent with the Court’s approach in </w:t>
      </w:r>
      <w:r w:rsidR="000E6DF9">
        <w:rPr>
          <w:i/>
          <w:iCs/>
        </w:rPr>
        <w:t>Byrd</w:t>
      </w:r>
      <w:r w:rsidR="004B3D6E">
        <w:rPr>
          <w:i/>
          <w:iCs/>
        </w:rPr>
        <w:t xml:space="preserve"> </w:t>
      </w:r>
      <w:r w:rsidR="00183AD9">
        <w:rPr>
          <w:i/>
          <w:iCs/>
        </w:rPr>
        <w:t>v. United States</w:t>
      </w:r>
      <w:r w:rsidR="000E6DF9">
        <w:t xml:space="preserve">, where the </w:t>
      </w:r>
      <w:r w:rsidR="00183AD9">
        <w:t>C</w:t>
      </w:r>
      <w:r w:rsidR="000E6DF9">
        <w:t xml:space="preserve">ourt explained that reasonable expectations of privacy needed a source external to the Fourth Amendment and identified the </w:t>
      </w:r>
      <w:r w:rsidR="002C74D5">
        <w:t xml:space="preserve">right to exclude as </w:t>
      </w:r>
      <w:r w:rsidR="00C3521F">
        <w:t xml:space="preserve">one such guiding principle. </w:t>
      </w:r>
      <w:r w:rsidR="00FC3A94" w:rsidRPr="00FC3A94">
        <w:t>138 S. Ct. 1518, 1527 (2018)</w:t>
      </w:r>
      <w:r w:rsidR="00627FBC">
        <w:t xml:space="preserve"> (</w:t>
      </w:r>
      <w:r w:rsidR="005625CB">
        <w:t>quoting</w:t>
      </w:r>
      <w:r w:rsidR="00A52B5D">
        <w:t xml:space="preserve"> </w:t>
      </w:r>
      <w:r w:rsidR="00A52B5D" w:rsidRPr="00A76D08">
        <w:t>Rakas</w:t>
      </w:r>
      <w:r w:rsidR="002B4CB0" w:rsidRPr="00A76D08">
        <w:t xml:space="preserve"> v. Illinois</w:t>
      </w:r>
      <w:r w:rsidR="00A52B5D" w:rsidRPr="00A52B5D">
        <w:t xml:space="preserve">, 439 U.S. </w:t>
      </w:r>
      <w:r w:rsidR="002B4CB0">
        <w:t xml:space="preserve">128, </w:t>
      </w:r>
      <w:r w:rsidR="00A52B5D" w:rsidRPr="00A52B5D">
        <w:t>144</w:t>
      </w:r>
      <w:r w:rsidR="00670BB2">
        <w:t xml:space="preserve"> n.12</w:t>
      </w:r>
      <w:r w:rsidR="002B4CB0">
        <w:t xml:space="preserve"> (1978)</w:t>
      </w:r>
      <w:r w:rsidR="00B7464A">
        <w:t>).</w:t>
      </w:r>
    </w:p>
  </w:footnote>
  <w:footnote w:id="253">
    <w:p w14:paraId="573F9251" w14:textId="17F853ED" w:rsidR="00101004" w:rsidRDefault="00101004">
      <w:pPr>
        <w:pStyle w:val="FootnoteText"/>
      </w:pPr>
      <w:r w:rsidRPr="002A4234">
        <w:rPr>
          <w:rStyle w:val="FootnoteReference"/>
        </w:rPr>
        <w:footnoteRef/>
      </w:r>
      <w:r>
        <w:t xml:space="preserve"> </w:t>
      </w:r>
      <w:r w:rsidR="00325914">
        <w:fldChar w:fldCharType="begin"/>
      </w:r>
      <w:r w:rsidR="00E5116B">
        <w:instrText xml:space="preserve"> ADDIN ZOTERO_ITEM CSL_CITATION {"citationID":"8PjiqPsw","properties":{"formattedCitation":"{\\scaps Restatement (Second) of Torts}, {\\i{}supra} note 16, at \\uc0\\u167{}330","plainCitation":"Restatement (Second) of Torts, supra note 16, at §330","noteIndex":244},"citationItems":[{"id":3235,"uris":["http://zotero.org/groups/2816150/items/LZ9KP39U"],"uri":["http://zotero.org/groups/2816150/items/LZ9KP39U"],"itemData":{"id":3235,"type":"book","publisher":"Am. L. Inst.","title":"Restatement (Second) of Torts","issued":{"date-parts":[["1965"]]}},"locator":"§330","label":"page"}],"schema":"https://github.com/citation-style-language/schema/raw/master/csl-citation.json"} </w:instrText>
      </w:r>
      <w:r w:rsidR="00325914">
        <w:fldChar w:fldCharType="separate"/>
      </w:r>
      <w:r w:rsidR="00E5116B" w:rsidRPr="00E5116B">
        <w:rPr>
          <w:smallCaps/>
        </w:rPr>
        <w:t>Restatement (Second) of Torts</w:t>
      </w:r>
      <w:r w:rsidR="00A5697A">
        <w:t xml:space="preserve"> </w:t>
      </w:r>
      <w:r w:rsidR="00E5116B" w:rsidRPr="00E5116B">
        <w:t>§330</w:t>
      </w:r>
      <w:r w:rsidR="00325914">
        <w:fldChar w:fldCharType="end"/>
      </w:r>
      <w:r w:rsidR="00A138E6">
        <w:t xml:space="preserve"> (</w:t>
      </w:r>
      <w:r w:rsidR="00A138E6" w:rsidRPr="00FE31AC">
        <w:rPr>
          <w:smallCaps/>
        </w:rPr>
        <w:t>Am. L. Inst.</w:t>
      </w:r>
      <w:r w:rsidR="00A138E6" w:rsidRPr="00E5116B">
        <w:t xml:space="preserve"> 1965</w:t>
      </w:r>
      <w:r w:rsidR="00A138E6">
        <w:t>)</w:t>
      </w:r>
      <w:r w:rsidR="00A138E6" w:rsidDel="00BA340F">
        <w:t>.</w:t>
      </w:r>
    </w:p>
  </w:footnote>
  <w:footnote w:id="254">
    <w:p w14:paraId="6EA60551" w14:textId="08EFC094" w:rsidR="00E84782" w:rsidRDefault="00E84782">
      <w:pPr>
        <w:pStyle w:val="FootnoteText"/>
      </w:pPr>
      <w:r w:rsidRPr="002A4234">
        <w:rPr>
          <w:rStyle w:val="FootnoteReference"/>
        </w:rPr>
        <w:footnoteRef/>
      </w:r>
      <w:r>
        <w:t xml:space="preserve"> </w:t>
      </w:r>
      <w:r w:rsidR="0089214A">
        <w:t>If the guest later became a tenant, property doctrine m</w:t>
      </w:r>
      <w:r w:rsidR="00735C4E">
        <w:t>ight</w:t>
      </w:r>
      <w:r w:rsidR="0089214A">
        <w:t xml:space="preserve"> give </w:t>
      </w:r>
      <w:r w:rsidR="000678E8">
        <w:t>her</w:t>
      </w:r>
      <w:r w:rsidR="0089214A">
        <w:t xml:space="preserve"> the right to exclude the landlord.</w:t>
      </w:r>
      <w:r w:rsidR="00F45894">
        <w:t xml:space="preserve"> </w:t>
      </w:r>
      <w:r w:rsidR="000678E8">
        <w:rPr>
          <w:i/>
          <w:iCs/>
        </w:rPr>
        <w:t xml:space="preserve">See </w:t>
      </w:r>
      <w:r w:rsidR="0013519B">
        <w:rPr>
          <w:i/>
          <w:iCs/>
        </w:rPr>
        <w:fldChar w:fldCharType="begin"/>
      </w:r>
      <w:r w:rsidR="00E5116B">
        <w:rPr>
          <w:i/>
          <w:iCs/>
        </w:rPr>
        <w:instrText xml:space="preserve"> ADDIN ZOTERO_ITEM CSL_CITATION {"citationID":"KmyFyuqo","properties":{"formattedCitation":"Michelle Maese, {\\i{}Rethinking Host and Guest Relations in the Advent of Airbnb and the Sharing Economy}, 2 {\\scaps Tex. A&amp;M J. Prop. L.} 481, 495 (2015 2014)","plainCitation":"Michelle Maese, Rethinking Host and Guest Relations in the Advent of Airbnb and the Sharing Economy, 2 Tex. A&amp;M J. Prop. L. 481, 495 (2015 2014)","noteIndex":245},"citationItems":[{"id":3223,"uris":["http://zotero.org/groups/2816150/items/I9LCM4NJ"],"uri":["http://zotero.org/groups/2816150/items/I9LCM4NJ"],"itemData":{"id":3223,"type":"article-journal","container-title":"Texas A&amp;M Journal of Property Law","issue":"3","journalAbbreviation":"Tex. A&amp;M J. Prop. L.","language":"eng","page":"481-510","source":"HeinOnline","title":"Rethinking Host and Guest Relations in the Advent of Airbnb and the Sharing Economy","volume":"2","author":[{"family":"Maese","given":"Michelle"}],"issued":{"date-parts":[["2014"]],"season":"2015"}},"locator":"495","label":"page"}],"schema":"https://github.com/citation-style-language/schema/raw/master/csl-citation.json"} </w:instrText>
      </w:r>
      <w:r w:rsidR="0013519B">
        <w:rPr>
          <w:i/>
          <w:iCs/>
        </w:rPr>
        <w:fldChar w:fldCharType="separate"/>
      </w:r>
      <w:r w:rsidR="00E5116B" w:rsidRPr="00E5116B">
        <w:t xml:space="preserve">Michelle Maese, </w:t>
      </w:r>
      <w:r w:rsidR="00E5116B" w:rsidRPr="00E5116B">
        <w:rPr>
          <w:i/>
          <w:iCs/>
        </w:rPr>
        <w:t>Rethinking Host and Guest Relations in the Advent of Airbnb and the Sharing Economy</w:t>
      </w:r>
      <w:r w:rsidR="00E5116B" w:rsidRPr="00E5116B">
        <w:t xml:space="preserve">, 2 </w:t>
      </w:r>
      <w:r w:rsidR="00E5116B" w:rsidRPr="00E5116B">
        <w:rPr>
          <w:smallCaps/>
        </w:rPr>
        <w:t>Tex. A&amp;M J. Prop. L.</w:t>
      </w:r>
      <w:r w:rsidR="00E5116B" w:rsidRPr="00E5116B">
        <w:t xml:space="preserve"> 481, 495 (2015</w:t>
      </w:r>
      <w:r w:rsidR="0013519B">
        <w:rPr>
          <w:i/>
          <w:iCs/>
        </w:rPr>
        <w:fldChar w:fldCharType="end"/>
      </w:r>
      <w:r w:rsidR="00E05421">
        <w:t>.</w:t>
      </w:r>
    </w:p>
  </w:footnote>
  <w:footnote w:id="255">
    <w:p w14:paraId="64898C71" w14:textId="0E1A7CCD" w:rsidR="00D35FCE" w:rsidRPr="00846A14" w:rsidRDefault="00D35FCE">
      <w:pPr>
        <w:pStyle w:val="FootnoteText"/>
        <w:rPr>
          <w:smallCaps/>
        </w:rPr>
      </w:pPr>
      <w:r w:rsidRPr="002A4234">
        <w:rPr>
          <w:rStyle w:val="FootnoteReference"/>
        </w:rPr>
        <w:footnoteRef/>
      </w:r>
      <w:r>
        <w:t xml:space="preserve"> </w:t>
      </w:r>
      <w:r w:rsidR="00185B6C">
        <w:t xml:space="preserve">Although likely a more ancient concept, Lord Coke famously used </w:t>
      </w:r>
      <w:r w:rsidR="00185B6C">
        <w:rPr>
          <w:i/>
          <w:iCs/>
        </w:rPr>
        <w:t xml:space="preserve">ad </w:t>
      </w:r>
      <w:r w:rsidR="00185B6C" w:rsidRPr="00185B6C">
        <w:rPr>
          <w:i/>
          <w:iCs/>
        </w:rPr>
        <w:t>coelum</w:t>
      </w:r>
      <w:r w:rsidR="00185B6C">
        <w:t xml:space="preserve"> to justify his decision in </w:t>
      </w:r>
      <w:r w:rsidR="00185B6C" w:rsidRPr="00BA7844">
        <w:t>Bury v. Pope (15</w:t>
      </w:r>
      <w:r w:rsidR="00742B11">
        <w:t>8</w:t>
      </w:r>
      <w:r w:rsidR="00185B6C" w:rsidRPr="00BA7844">
        <w:t>7)</w:t>
      </w:r>
      <w:r w:rsidR="00BE4FF6">
        <w:t xml:space="preserve"> </w:t>
      </w:r>
      <w:r w:rsidR="00D5378C">
        <w:t>Cro. Eliz. 118</w:t>
      </w:r>
      <w:r w:rsidR="00185A4A">
        <w:t>, 375</w:t>
      </w:r>
      <w:r w:rsidR="00185B6C">
        <w:t xml:space="preserve">; </w:t>
      </w:r>
      <w:r w:rsidR="00185B6C">
        <w:rPr>
          <w:i/>
          <w:iCs/>
        </w:rPr>
        <w:t xml:space="preserve">see also </w:t>
      </w:r>
      <w:r w:rsidR="00A71A1E">
        <w:rPr>
          <w:i/>
          <w:iCs/>
        </w:rPr>
        <w:fldChar w:fldCharType="begin"/>
      </w:r>
      <w:r w:rsidR="00E5116B">
        <w:rPr>
          <w:i/>
          <w:iCs/>
        </w:rPr>
        <w:instrText xml:space="preserve"> ADDIN ZOTERO_ITEM CSL_CITATION {"citationID":"l1879i8n","properties":{"formattedCitation":"2 {\\scaps Blackstone}, {\\i{}supra} note 143, at *18","plainCitation":"2 Blackstone, supra note 143, at *18","noteIndex":246},"citationItems":[{"id":3233,"uris":["http://zotero.org/groups/2816150/items/ENRPQI2J"],"uri":["http://zotero.org/groups/2816150/items/ENRPQI2J"],"itemData":{"id":3233,"type":"book","number-of-volumes":"4","title":"Commentaries","author":[{"family":"Blackstone","given":"William"}]},"locator":"*18","label":"page","prefix":"2"}],"schema":"https://github.com/citation-style-language/schema/raw/master/csl-citation.json"} </w:instrText>
      </w:r>
      <w:r w:rsidR="00A71A1E">
        <w:rPr>
          <w:i/>
          <w:iCs/>
        </w:rPr>
        <w:fldChar w:fldCharType="separate"/>
      </w:r>
      <w:r w:rsidR="00E5116B" w:rsidRPr="00E5116B">
        <w:t xml:space="preserve">2 </w:t>
      </w:r>
      <w:r w:rsidR="00E5116B" w:rsidRPr="00E5116B">
        <w:rPr>
          <w:smallCaps/>
        </w:rPr>
        <w:t>Blackstone</w:t>
      </w:r>
      <w:r w:rsidR="00E5116B" w:rsidRPr="00E5116B">
        <w:t xml:space="preserve">, </w:t>
      </w:r>
      <w:r w:rsidR="00E5116B" w:rsidRPr="00E5116B">
        <w:rPr>
          <w:i/>
          <w:iCs/>
        </w:rPr>
        <w:t>supra</w:t>
      </w:r>
      <w:r w:rsidR="00E5116B" w:rsidRPr="00E5116B">
        <w:t xml:space="preserve"> note 143, at *18</w:t>
      </w:r>
      <w:r w:rsidR="00A71A1E">
        <w:rPr>
          <w:i/>
          <w:iCs/>
        </w:rPr>
        <w:fldChar w:fldCharType="end"/>
      </w:r>
      <w:r w:rsidR="00F515F9">
        <w:rPr>
          <w:i/>
          <w:iCs/>
        </w:rPr>
        <w:t>.</w:t>
      </w:r>
    </w:p>
  </w:footnote>
  <w:footnote w:id="256">
    <w:p w14:paraId="75690D27" w14:textId="4CBA92D4" w:rsidR="000869DC" w:rsidRDefault="000869DC" w:rsidP="00315173">
      <w:pPr>
        <w:pStyle w:val="FootnoteText"/>
      </w:pPr>
      <w:r w:rsidRPr="002A4234">
        <w:rPr>
          <w:rStyle w:val="FootnoteReference"/>
        </w:rPr>
        <w:footnoteRef/>
      </w:r>
      <w:r>
        <w:t xml:space="preserve"> </w:t>
      </w:r>
      <w:r w:rsidR="00735C4E">
        <w:rPr>
          <w:i/>
          <w:iCs/>
        </w:rPr>
        <w:t>See, e.g.</w:t>
      </w:r>
      <w:r w:rsidR="00735C4E">
        <w:t>,</w:t>
      </w:r>
      <w:r w:rsidR="00735C4E">
        <w:rPr>
          <w:i/>
          <w:iCs/>
        </w:rPr>
        <w:t xml:space="preserve"> </w:t>
      </w:r>
      <w:r w:rsidR="0029248A">
        <w:t>Hinman v. Pac. Air Transp., 84 F.2d 755, 757 (9th Cir. 1936)</w:t>
      </w:r>
      <w:r w:rsidR="00990ECB">
        <w:t>.</w:t>
      </w:r>
    </w:p>
  </w:footnote>
  <w:footnote w:id="257">
    <w:p w14:paraId="43043441" w14:textId="6DCD8273" w:rsidR="00766C87" w:rsidRDefault="00766C87">
      <w:pPr>
        <w:pStyle w:val="FootnoteText"/>
      </w:pPr>
      <w:r w:rsidRPr="002A4234">
        <w:rPr>
          <w:rStyle w:val="FootnoteReference"/>
        </w:rPr>
        <w:footnoteRef/>
      </w:r>
      <w:r>
        <w:t xml:space="preserve"> </w:t>
      </w:r>
      <w:r w:rsidR="005C6283" w:rsidRPr="005C6283">
        <w:t>United States v. Causby, 328 U.S. 256, 261</w:t>
      </w:r>
      <w:r w:rsidR="005C6283">
        <w:t xml:space="preserve"> </w:t>
      </w:r>
      <w:r w:rsidR="005C6283" w:rsidRPr="005C6283">
        <w:t>(1946)</w:t>
      </w:r>
      <w:r w:rsidR="005C6283">
        <w:t>.</w:t>
      </w:r>
    </w:p>
  </w:footnote>
  <w:footnote w:id="258">
    <w:p w14:paraId="443019A1" w14:textId="56BC0446" w:rsidR="00477BF1" w:rsidRDefault="00477BF1">
      <w:pPr>
        <w:pStyle w:val="FootnoteText"/>
      </w:pPr>
      <w:r w:rsidRPr="002A4234">
        <w:rPr>
          <w:rStyle w:val="FootnoteReference"/>
        </w:rPr>
        <w:footnoteRef/>
      </w:r>
      <w:r>
        <w:t xml:space="preserve"> </w:t>
      </w:r>
      <w:r>
        <w:fldChar w:fldCharType="begin"/>
      </w:r>
      <w:r w:rsidR="00E5116B">
        <w:instrText xml:space="preserve"> ADDIN ZOTERO_ITEM CSL_CITATION {"citationID":"KslTJla9","properties":{"formattedCitation":"Baude &amp; Stern, {\\i{}supra} note 4, at 1883","plainCitation":"Baude &amp; Stern, supra note 4, at 1883","noteIndex":249},"citationItems":[{"id":2966,"uris":["http://zotero.org/groups/2816150/items/J6IBBYF4"],"uri":["http://zotero.org/groups/2816150/items/J6IBBYF4"],"itemData":{"id":2966,"type":"article-journal","container-title":"Harvard Law Review","journalAbbreviation":"Harv. L. Rev.","language":"eng","page":"1821-1889","source":"HeinOnline","title":"The Positive Law Model of the Fourth Amendment","volume":"129","author":[{"family":"Baude","given":"William"},{"family":"Stern","given":"James Y."}],"issued":{"date-parts":[["2016"]]}},"locator":"1883","label":"page"}],"schema":"https://github.com/citation-style-language/schema/raw/master/csl-citation.json"} </w:instrText>
      </w:r>
      <w:r>
        <w:fldChar w:fldCharType="separate"/>
      </w:r>
      <w:r w:rsidR="00E5116B" w:rsidRPr="00E5116B">
        <w:t xml:space="preserve">Baude &amp; Stern, </w:t>
      </w:r>
      <w:r w:rsidR="00E5116B" w:rsidRPr="00E5116B">
        <w:rPr>
          <w:i/>
          <w:iCs/>
        </w:rPr>
        <w:t>supra</w:t>
      </w:r>
      <w:r w:rsidR="00E5116B" w:rsidRPr="00E5116B">
        <w:t xml:space="preserve"> note </w:t>
      </w:r>
      <w:r w:rsidR="00466AFB">
        <w:fldChar w:fldCharType="begin"/>
      </w:r>
      <w:r w:rsidR="00466AFB">
        <w:instrText xml:space="preserve"> NOTEREF _Ref113024660 \h </w:instrText>
      </w:r>
      <w:r w:rsidR="00466AFB">
        <w:fldChar w:fldCharType="separate"/>
      </w:r>
      <w:r w:rsidR="00405D69">
        <w:t>4</w:t>
      </w:r>
      <w:r w:rsidR="00466AFB">
        <w:fldChar w:fldCharType="end"/>
      </w:r>
      <w:r w:rsidR="001E420B">
        <w:t>,</w:t>
      </w:r>
      <w:r w:rsidR="00E5116B" w:rsidRPr="00E5116B">
        <w:t xml:space="preserve"> at 1883</w:t>
      </w:r>
      <w:r>
        <w:fldChar w:fldCharType="end"/>
      </w:r>
      <w:r w:rsidR="00F515F9">
        <w:t>.</w:t>
      </w:r>
    </w:p>
  </w:footnote>
  <w:footnote w:id="259">
    <w:p w14:paraId="1A2ECB43" w14:textId="187B19BC" w:rsidR="004104F2" w:rsidRDefault="004104F2">
      <w:pPr>
        <w:pStyle w:val="FootnoteText"/>
      </w:pPr>
      <w:r w:rsidRPr="002A4234">
        <w:rPr>
          <w:rStyle w:val="FootnoteReference"/>
        </w:rPr>
        <w:footnoteRef/>
      </w:r>
      <w:r>
        <w:t xml:space="preserve"> </w:t>
      </w:r>
      <w:r>
        <w:fldChar w:fldCharType="begin"/>
      </w:r>
      <w:r w:rsidR="00E5116B">
        <w:instrText xml:space="preserve"> ADDIN ZOTERO_ITEM CSL_CITATION {"citationID":"kNE7eNOe","properties":{"formattedCitation":"{\\i{}Id.} at 1883\\uc0\\u8211{}84","plainCitation":"Id. at 1883–84","noteIndex":250},"citationItems":[{"id":2966,"uris":["http://zotero.org/groups/2816150/items/J6IBBYF4"],"uri":["http://zotero.org/groups/2816150/items/J6IBBYF4"],"itemData":{"id":2966,"type":"article-journal","container-title":"Harvard Law Review","journalAbbreviation":"Harv. L. Rev.","language":"eng","page":"1821-1889","source":"HeinOnline","title":"The Positive Law Model of the Fourth Amendment","volume":"129","author":[{"family":"Baude","given":"William"},{"family":"Stern","given":"James Y."}],"issued":{"date-parts":[["2016"]]}},"locator":"1883-84","label":"page","suppress-author":true}],"schema":"https://github.com/citation-style-language/schema/raw/master/csl-citation.json"} </w:instrText>
      </w:r>
      <w:r>
        <w:fldChar w:fldCharType="separate"/>
      </w:r>
      <w:r w:rsidR="00E5116B" w:rsidRPr="00E5116B">
        <w:rPr>
          <w:i/>
          <w:iCs/>
        </w:rPr>
        <w:t>Id.</w:t>
      </w:r>
      <w:r w:rsidR="00E5116B" w:rsidRPr="00E5116B">
        <w:t xml:space="preserve"> at 1883</w:t>
      </w:r>
      <w:r w:rsidR="006765E7">
        <w:t>-</w:t>
      </w:r>
      <w:r w:rsidR="00E5116B" w:rsidRPr="00E5116B">
        <w:t>84</w:t>
      </w:r>
      <w:r>
        <w:fldChar w:fldCharType="end"/>
      </w:r>
      <w:r w:rsidR="00F515F9">
        <w:t>.</w:t>
      </w:r>
    </w:p>
  </w:footnote>
  <w:footnote w:id="260">
    <w:p w14:paraId="1194824E" w14:textId="028B8ADC" w:rsidR="00741437" w:rsidRDefault="00741437">
      <w:pPr>
        <w:pStyle w:val="FootnoteText"/>
      </w:pPr>
      <w:r w:rsidRPr="002A4234">
        <w:rPr>
          <w:rStyle w:val="FootnoteReference"/>
        </w:rPr>
        <w:footnoteRef/>
      </w:r>
      <w:r>
        <w:t xml:space="preserve"> </w:t>
      </w:r>
      <w:r w:rsidR="005D1A3A">
        <w:rPr>
          <w:i/>
          <w:iCs/>
        </w:rPr>
        <w:t xml:space="preserve">See </w:t>
      </w:r>
      <w:r w:rsidR="005D1A3A">
        <w:rPr>
          <w:smallCaps/>
        </w:rPr>
        <w:t>Torts of the Future: Drones</w:t>
      </w:r>
      <w:r w:rsidR="005D1A3A">
        <w:t xml:space="preserve">, </w:t>
      </w:r>
      <w:r w:rsidR="005D1A3A">
        <w:rPr>
          <w:i/>
          <w:iCs/>
        </w:rPr>
        <w:t xml:space="preserve">supra </w:t>
      </w:r>
      <w:r w:rsidR="005D1A3A">
        <w:t>note _;</w:t>
      </w:r>
      <w:r w:rsidR="007A564B">
        <w:t xml:space="preserve"> </w:t>
      </w:r>
      <w:r w:rsidR="00990850">
        <w:rPr>
          <w:i/>
          <w:iCs/>
        </w:rPr>
        <w:t>s</w:t>
      </w:r>
      <w:r w:rsidR="007A564B">
        <w:rPr>
          <w:i/>
          <w:iCs/>
        </w:rPr>
        <w:t>ee also</w:t>
      </w:r>
      <w:r w:rsidR="007A564B">
        <w:t xml:space="preserve"> </w:t>
      </w:r>
      <w:r w:rsidR="007A564B" w:rsidRPr="00FB7B6A">
        <w:rPr>
          <w:smallCaps/>
        </w:rPr>
        <w:t>Unif</w:t>
      </w:r>
      <w:r w:rsidR="002D7BEA">
        <w:rPr>
          <w:smallCaps/>
        </w:rPr>
        <w:t>.</w:t>
      </w:r>
      <w:r w:rsidR="007A564B" w:rsidRPr="00FB7B6A">
        <w:rPr>
          <w:smallCaps/>
        </w:rPr>
        <w:t xml:space="preserve"> Tort Law Relating to Drones Act</w:t>
      </w:r>
      <w:r w:rsidR="00D21B47" w:rsidRPr="00FB7B6A">
        <w:rPr>
          <w:smallCaps/>
        </w:rPr>
        <w:t xml:space="preserve"> </w:t>
      </w:r>
      <w:r w:rsidR="00D21B47">
        <w:t>(</w:t>
      </w:r>
      <w:r w:rsidR="00C661A6">
        <w:rPr>
          <w:smallCaps/>
        </w:rPr>
        <w:t>Unif. L. Comm’n</w:t>
      </w:r>
      <w:r w:rsidR="00D21B47">
        <w:t xml:space="preserve"> 2019) </w:t>
      </w:r>
      <w:r w:rsidR="002D7BEA">
        <w:t>(</w:t>
      </w:r>
      <w:r w:rsidR="00122BCD">
        <w:t xml:space="preserve">providing a </w:t>
      </w:r>
      <w:r w:rsidR="00DE3B67">
        <w:t>uniform</w:t>
      </w:r>
      <w:r w:rsidR="00662C95">
        <w:t xml:space="preserve"> state tort law related to drones</w:t>
      </w:r>
      <w:r w:rsidR="002D7BEA">
        <w:t>)</w:t>
      </w:r>
      <w:r w:rsidR="002F7DFF">
        <w:t>.</w:t>
      </w:r>
    </w:p>
  </w:footnote>
  <w:footnote w:id="261">
    <w:p w14:paraId="298F3EA8" w14:textId="284E0D1A" w:rsidR="00451825" w:rsidRPr="00F71E2B" w:rsidRDefault="00451825">
      <w:pPr>
        <w:pStyle w:val="FootnoteText"/>
      </w:pPr>
      <w:r w:rsidRPr="002A4234">
        <w:rPr>
          <w:rStyle w:val="FootnoteReference"/>
        </w:rPr>
        <w:footnoteRef/>
      </w:r>
      <w:r>
        <w:t xml:space="preserve"> For an argument that courts too often defer to the </w:t>
      </w:r>
      <w:r>
        <w:rPr>
          <w:i/>
          <w:iCs/>
        </w:rPr>
        <w:t>Restatements</w:t>
      </w:r>
      <w:r>
        <w:t xml:space="preserve"> as if they were binding law, see S</w:t>
      </w:r>
      <w:r w:rsidR="00F71E2B">
        <w:t xml:space="preserve">hyamkrishna Balganesh, </w:t>
      </w:r>
      <w:r w:rsidR="00F71E2B">
        <w:rPr>
          <w:i/>
          <w:iCs/>
        </w:rPr>
        <w:t>Relying on Restatements</w:t>
      </w:r>
      <w:r w:rsidR="00F71E2B">
        <w:t xml:space="preserve">, 122 </w:t>
      </w:r>
      <w:r w:rsidR="00F71E2B">
        <w:rPr>
          <w:smallCaps/>
        </w:rPr>
        <w:t>Colum. L. Rev.</w:t>
      </w:r>
      <w:r w:rsidR="00F71E2B">
        <w:t xml:space="preserve"> (forthcoming 2022), </w:t>
      </w:r>
      <w:r w:rsidR="00893E4E" w:rsidRPr="00893E4E">
        <w:t xml:space="preserve">https://ssrn.com/abstract=4037911 </w:t>
      </w:r>
      <w:r w:rsidR="00810423">
        <w:t>[</w:t>
      </w:r>
      <w:r w:rsidR="00E12658" w:rsidRPr="00E12658">
        <w:t>https://perma.cc/GK4V-V3ZN</w:t>
      </w:r>
      <w:r w:rsidR="00810423">
        <w:t>].</w:t>
      </w:r>
    </w:p>
  </w:footnote>
  <w:footnote w:id="262">
    <w:p w14:paraId="437C6C13" w14:textId="31CC4C2D" w:rsidR="007C10B0" w:rsidRPr="007C10B0" w:rsidRDefault="007C10B0">
      <w:pPr>
        <w:pStyle w:val="FootnoteText"/>
      </w:pPr>
      <w:r w:rsidRPr="002A4234">
        <w:rPr>
          <w:rStyle w:val="FootnoteReference"/>
        </w:rPr>
        <w:footnoteRef/>
      </w:r>
      <w:r>
        <w:t xml:space="preserve"> </w:t>
      </w:r>
      <w:r>
        <w:rPr>
          <w:i/>
          <w:iCs/>
        </w:rPr>
        <w:t>See infra</w:t>
      </w:r>
      <w:r>
        <w:t xml:space="preserve"> </w:t>
      </w:r>
      <w:r w:rsidR="00990850">
        <w:t>Section</w:t>
      </w:r>
      <w:r w:rsidR="004C4DEB">
        <w:t xml:space="preserve"> III.D.</w:t>
      </w:r>
    </w:p>
  </w:footnote>
  <w:footnote w:id="263">
    <w:p w14:paraId="7D52C7BF" w14:textId="1FC96776" w:rsidR="00BB11DA" w:rsidRDefault="00BB11DA">
      <w:pPr>
        <w:pStyle w:val="FootnoteText"/>
      </w:pPr>
      <w:r w:rsidRPr="002A4234">
        <w:rPr>
          <w:rStyle w:val="FootnoteReference"/>
        </w:rPr>
        <w:footnoteRef/>
      </w:r>
      <w:r>
        <w:t xml:space="preserve"> </w:t>
      </w:r>
      <w:r w:rsidR="004F3363" w:rsidRPr="004F3363">
        <w:rPr>
          <w:i/>
          <w:iCs/>
        </w:rPr>
        <w:t>See</w:t>
      </w:r>
      <w:r w:rsidR="004F3363">
        <w:t xml:space="preserve"> </w:t>
      </w:r>
      <w:r w:rsidR="00FA2728" w:rsidRPr="004F3363">
        <w:t>Oliver</w:t>
      </w:r>
      <w:r w:rsidR="00FA2728" w:rsidRPr="00FA2728">
        <w:t xml:space="preserve"> v. United States, </w:t>
      </w:r>
      <w:r w:rsidR="00923AF8" w:rsidRPr="00923AF8">
        <w:t xml:space="preserve">466 U.S. 170, 180 (1984) </w:t>
      </w:r>
      <w:r w:rsidR="00D405D8">
        <w:t xml:space="preserve">(explaining that </w:t>
      </w:r>
      <w:r w:rsidR="00FA2728" w:rsidRPr="00FA2728">
        <w:t>“no expectation of privacy legitimately attaches to open fields”</w:t>
      </w:r>
      <w:r w:rsidR="00BD4262">
        <w:t>)</w:t>
      </w:r>
      <w:r w:rsidR="00D405D8">
        <w:t>. This is consistent with pre-</w:t>
      </w:r>
      <w:r w:rsidR="00D405D8" w:rsidRPr="00EB5CA8">
        <w:rPr>
          <w:i/>
        </w:rPr>
        <w:t>Katz</w:t>
      </w:r>
      <w:r w:rsidR="00D405D8">
        <w:t xml:space="preserve"> doctrine as well. </w:t>
      </w:r>
      <w:r w:rsidR="004F3363">
        <w:rPr>
          <w:i/>
          <w:iCs/>
        </w:rPr>
        <w:t xml:space="preserve">See </w:t>
      </w:r>
      <w:r w:rsidR="00D60CA8" w:rsidRPr="00D405D8">
        <w:t>Hester</w:t>
      </w:r>
      <w:r w:rsidR="00D60CA8">
        <w:t xml:space="preserve"> v. United States, </w:t>
      </w:r>
      <w:r w:rsidR="001504FE" w:rsidRPr="001504FE">
        <w:t>265 U.S. 57, 59 (1924)</w:t>
      </w:r>
      <w:r w:rsidR="00153985">
        <w:t xml:space="preserve"> (“</w:t>
      </w:r>
      <w:r w:rsidR="00BE6A4B">
        <w:t>[T]</w:t>
      </w:r>
      <w:r w:rsidR="00153985" w:rsidRPr="00153985">
        <w:t>he special protection accorded by the Fourth Amendment to the people in their ‘persons, houses, papers, and effects,’ is not extended to the open fields</w:t>
      </w:r>
      <w:r w:rsidR="00BE6A4B">
        <w:t>.</w:t>
      </w:r>
      <w:r w:rsidR="008A04E7">
        <w:t>”)</w:t>
      </w:r>
      <w:r w:rsidR="002306F2">
        <w:t>.</w:t>
      </w:r>
    </w:p>
  </w:footnote>
  <w:footnote w:id="264">
    <w:p w14:paraId="5D47A959" w14:textId="1E974849" w:rsidR="00F534E0" w:rsidRPr="00D208EA" w:rsidRDefault="00F534E0" w:rsidP="0048467B">
      <w:pPr>
        <w:pStyle w:val="FootnoteText"/>
      </w:pPr>
      <w:r w:rsidRPr="002A4234">
        <w:rPr>
          <w:rStyle w:val="FootnoteReference"/>
        </w:rPr>
        <w:footnoteRef/>
      </w:r>
      <w:r>
        <w:t xml:space="preserve"> </w:t>
      </w:r>
      <w:r w:rsidR="002838D9">
        <w:rPr>
          <w:i/>
          <w:iCs/>
        </w:rPr>
        <w:t>See, e</w:t>
      </w:r>
      <w:r>
        <w:rPr>
          <w:i/>
        </w:rPr>
        <w:t>.g.</w:t>
      </w:r>
      <w:r>
        <w:t xml:space="preserve">, </w:t>
      </w:r>
      <w:r w:rsidR="00031D59">
        <w:t xml:space="preserve">McConico v. Singleton, 9 S.C.L. </w:t>
      </w:r>
      <w:r w:rsidR="00814ECF">
        <w:t>(1 Nott &amp; McC</w:t>
      </w:r>
      <w:r w:rsidR="00F40DF4">
        <w:t>.</w:t>
      </w:r>
      <w:r w:rsidR="00814ECF">
        <w:t>)</w:t>
      </w:r>
      <w:r w:rsidR="00F40DF4">
        <w:t xml:space="preserve"> </w:t>
      </w:r>
      <w:r w:rsidR="00031D59">
        <w:t xml:space="preserve">244, </w:t>
      </w:r>
      <w:r w:rsidR="00E1071D">
        <w:t xml:space="preserve">245 </w:t>
      </w:r>
      <w:r w:rsidR="00031D59">
        <w:t xml:space="preserve">(S.C. Const. App. 1818) (explaining </w:t>
      </w:r>
      <w:r w:rsidR="0048467B">
        <w:t>“</w:t>
      </w:r>
      <w:r w:rsidR="0048467B" w:rsidRPr="0048467B">
        <w:t xml:space="preserve">the several acts of the </w:t>
      </w:r>
      <w:r w:rsidR="00915C38">
        <w:t>L</w:t>
      </w:r>
      <w:r w:rsidR="0048467B" w:rsidRPr="0048467B">
        <w:t>egislature on the subject; particularly the act of 1769</w:t>
      </w:r>
      <w:r w:rsidR="00930A0A">
        <w:t> </w:t>
      </w:r>
      <w:r w:rsidR="00635637">
        <w:t>.</w:t>
      </w:r>
      <w:r w:rsidR="00930A0A">
        <w:t> </w:t>
      </w:r>
      <w:r w:rsidR="00635637">
        <w:t>.</w:t>
      </w:r>
      <w:r w:rsidR="00930A0A">
        <w:t> </w:t>
      </w:r>
      <w:r w:rsidR="00635637">
        <w:t>.</w:t>
      </w:r>
      <w:r w:rsidR="00930A0A">
        <w:t> </w:t>
      </w:r>
      <w:r w:rsidR="0048467B" w:rsidRPr="0048467B">
        <w:t>which restrains the right to hunt within seven miles of the residence of the hunter. Now if the right to hunt beyond that, did not before exist, this act was nugatory</w:t>
      </w:r>
      <w:r w:rsidR="0048467B">
        <w:t xml:space="preserve">.”); </w:t>
      </w:r>
      <w:r w:rsidRPr="00855487">
        <w:t>Payne v. Gould, 52 A. 421, 421 (</w:t>
      </w:r>
      <w:r w:rsidR="00710520">
        <w:t xml:space="preserve">Vt. </w:t>
      </w:r>
      <w:r w:rsidRPr="00855487">
        <w:t>1902)</w:t>
      </w:r>
      <w:r>
        <w:t xml:space="preserve"> (interpreting the Vermont constitution’s provision </w:t>
      </w:r>
      <w:r w:rsidR="002C1323">
        <w:t>guaranteeing</w:t>
      </w:r>
      <w:r>
        <w:t xml:space="preserve"> Vermonters “</w:t>
      </w:r>
      <w:r w:rsidRPr="00855487">
        <w:t xml:space="preserve">the liberty in seasonable times to hunt and fowl on the lands they hold, and on other lands not </w:t>
      </w:r>
      <w:r w:rsidR="003D1BA7">
        <w:t>i</w:t>
      </w:r>
      <w:r w:rsidRPr="00855487">
        <w:t>nclosed</w:t>
      </w:r>
      <w:r>
        <w:t>” as permitting hunting on private unenclosed land</w:t>
      </w:r>
      <w:r w:rsidR="00E30ABE">
        <w:t xml:space="preserve"> (quoting </w:t>
      </w:r>
      <w:r w:rsidR="006C2E72">
        <w:rPr>
          <w:smallCaps/>
        </w:rPr>
        <w:t>V</w:t>
      </w:r>
      <w:r w:rsidR="001162BC">
        <w:rPr>
          <w:smallCaps/>
        </w:rPr>
        <w:t>t</w:t>
      </w:r>
      <w:r w:rsidR="006C2E72">
        <w:rPr>
          <w:smallCaps/>
        </w:rPr>
        <w:t>. Const.</w:t>
      </w:r>
      <w:r w:rsidR="006C2E72">
        <w:t xml:space="preserve"> </w:t>
      </w:r>
      <w:r w:rsidR="006E3313">
        <w:t>c</w:t>
      </w:r>
      <w:r w:rsidR="002226F1">
        <w:t>h</w:t>
      </w:r>
      <w:r w:rsidR="006E3313">
        <w:t xml:space="preserve">. </w:t>
      </w:r>
      <w:r w:rsidR="00E83A14">
        <w:t>II</w:t>
      </w:r>
      <w:r w:rsidR="006E3313">
        <w:t>, § </w:t>
      </w:r>
      <w:r w:rsidR="00D07FF0">
        <w:t>67</w:t>
      </w:r>
      <w:r w:rsidR="0056034D">
        <w:t>)</w:t>
      </w:r>
      <w:r>
        <w:t>)</w:t>
      </w:r>
      <w:r w:rsidR="00F4766B">
        <w:t>.</w:t>
      </w:r>
      <w:r>
        <w:t xml:space="preserve"> </w:t>
      </w:r>
      <w:r w:rsidR="00F4766B">
        <w:rPr>
          <w:i/>
          <w:iCs/>
        </w:rPr>
        <w:t>S</w:t>
      </w:r>
      <w:r>
        <w:rPr>
          <w:i/>
          <w:iCs/>
        </w:rPr>
        <w:t>ee generally</w:t>
      </w:r>
      <w:r>
        <w:t xml:space="preserve"> </w:t>
      </w:r>
      <w:r>
        <w:fldChar w:fldCharType="begin"/>
      </w:r>
      <w:r w:rsidR="00E5116B">
        <w:instrText xml:space="preserve"> ADDIN ZOTERO_ITEM CSL_CITATION {"citationID":"dvcfitZ3","properties":{"formattedCitation":"Stephen P. Halbrook, {\\i{}The Constitutional Right to Hunt: New Recognition of an Old Liberty in Virginia}, 19 {\\scaps Wm. &amp; Mary Bill Rts. J.} 197 (2010)","plainCitation":"Stephen P. Halbrook, The Constitutional Right to Hunt: New Recognition of an Old Liberty in Virginia, 19 Wm. &amp; Mary Bill Rts. J. 197 (2010)","noteIndex":255},"citationItems":[{"id":3257,"uris":["http://zotero.org/groups/2816150/items/IHHZ5ISK"],"uri":["http://zotero.org/groups/2816150/items/IHHZ5ISK"],"itemData":{"id":3257,"type":"article-journal","container-title":"William &amp; Mary Bill of Rights Journal","issue":"1","journalAbbreviation":"Wm. &amp; Mary Bill Rts. J.","language":"eng","page":"197-234","source":"HeinOnline","title":"The Constitutional Right to Hunt: New Recognition of an Old Liberty in Virginia","title-short":"The Constitutional Right to Hunt","volume":"19","author":[{"family":"Halbrook","given":"Stephen P."}],"issued":{"date-parts":[["2010"]]}}}],"schema":"https://github.com/citation-style-language/schema/raw/master/csl-citation.json"} </w:instrText>
      </w:r>
      <w:r>
        <w:fldChar w:fldCharType="separate"/>
      </w:r>
      <w:r w:rsidR="00E5116B" w:rsidRPr="00E5116B">
        <w:t xml:space="preserve">Stephen P. Halbrook, </w:t>
      </w:r>
      <w:r w:rsidR="00E5116B" w:rsidRPr="00E5116B">
        <w:rPr>
          <w:i/>
          <w:iCs/>
        </w:rPr>
        <w:t>The Constitutional Right to Hunt: New Recognition of an Old Liberty in Virginia</w:t>
      </w:r>
      <w:r w:rsidR="00E5116B" w:rsidRPr="00E5116B">
        <w:t xml:space="preserve">, 19 </w:t>
      </w:r>
      <w:r w:rsidR="00E5116B" w:rsidRPr="00E5116B">
        <w:rPr>
          <w:smallCaps/>
        </w:rPr>
        <w:t>Wm. &amp; Mary Bill Rts. J.</w:t>
      </w:r>
      <w:r w:rsidR="00E5116B" w:rsidRPr="00E5116B">
        <w:t xml:space="preserve"> 197 (2010)</w:t>
      </w:r>
      <w:r>
        <w:fldChar w:fldCharType="end"/>
      </w:r>
      <w:r>
        <w:t xml:space="preserve"> (explaining</w:t>
      </w:r>
      <w:r w:rsidR="00C815A8">
        <w:t xml:space="preserve"> the</w:t>
      </w:r>
      <w:r>
        <w:t xml:space="preserve"> </w:t>
      </w:r>
      <w:r w:rsidR="00C815A8">
        <w:t xml:space="preserve">Virginia </w:t>
      </w:r>
      <w:r w:rsidR="005567C4">
        <w:t xml:space="preserve">constitutional </w:t>
      </w:r>
      <w:r>
        <w:t>right to hunt).</w:t>
      </w:r>
    </w:p>
  </w:footnote>
  <w:footnote w:id="265">
    <w:p w14:paraId="2138A3A2" w14:textId="661AF711" w:rsidR="00F534E0" w:rsidRDefault="00F534E0" w:rsidP="00F534E0">
      <w:pPr>
        <w:pStyle w:val="FootnoteText"/>
      </w:pPr>
      <w:r w:rsidRPr="002A4234">
        <w:rPr>
          <w:rStyle w:val="FootnoteReference"/>
        </w:rPr>
        <w:footnoteRef/>
      </w:r>
      <w:r>
        <w:t xml:space="preserve"> </w:t>
      </w:r>
      <w:r>
        <w:fldChar w:fldCharType="begin"/>
      </w:r>
      <w:r w:rsidR="00E5116B">
        <w:instrText xml:space="preserve"> ADDIN ZOTERO_ITEM CSL_CITATION {"citationID":"hlNvmkn5","properties":{"formattedCitation":"Traci Eatherton, {\\i{}Electronic Posting: New Law Allows North Dakota Landowners to Post \\uc0\\u8216{}No Hunting\\uc0\\u8217{} Using State Site}, {\\scaps Tri-State Livestock News} (Jul. 9, 2021), https://www.tsln.com/news/electronic-posting-new-law-allows-north-dakota-landowners-to-post-no-hunting-using-state-site/","plainCitation":"Traci Eatherton, Electronic Posting: New Law Allows North Dakota Landowners to Post ‘No Hunting’ Using State Site, Tri-State Livestock News (Jul. 9, 2021), https://www.tsln.com/news/electronic-posting-new-law-allows-north-dakota-landowners-to-post-no-hunting-using-state-site/","noteIndex":256},"citationItems":[{"id":3255,"uris":["http://zotero.org/groups/2816150/items/Y2A5ICF8"],"uri":["http://zotero.org/groups/2816150/items/Y2A5ICF8"],"itemData":{"id":3255,"type":"article-newspaper","abstract":"In North Dakota, private land is considered open to hunting unless the landowner, or an individual authorized by the owner, posts the land with signs notifying hunters that no hunting is permitted unless they obtain…","container-title":"Tri-State Livestock News","language":"en-US","title":"Electronic posting: New law allows North Dakota landowners to post ‘no hunting’ using state site","title-short":"Electronic posting","URL":"https://www.tsln.com/news/electronic-posting-new-law-allows-north-dakota-landowners-to-post-no-hunting-using-state-site/","author":[{"family":"Eatherton","given":"Traci"}],"accessed":{"date-parts":[["2022",2,4]]},"issued":{"date-parts":[["2021",7,9]]}}}],"schema":"https://github.com/citation-style-language/schema/raw/master/csl-citation.json"} </w:instrText>
      </w:r>
      <w:r>
        <w:fldChar w:fldCharType="separate"/>
      </w:r>
      <w:r w:rsidR="00E5116B" w:rsidRPr="00E5116B">
        <w:t xml:space="preserve">Traci Eatherton, </w:t>
      </w:r>
      <w:r w:rsidR="00E5116B" w:rsidRPr="00E5116B">
        <w:rPr>
          <w:i/>
          <w:iCs/>
        </w:rPr>
        <w:t>Electronic Posting: New Law Allows North Dakota Landowners to Post ‘No Hunting’ Using State Site</w:t>
      </w:r>
      <w:r w:rsidR="00E5116B" w:rsidRPr="00E5116B">
        <w:t xml:space="preserve">, </w:t>
      </w:r>
      <w:r w:rsidR="00E5116B" w:rsidRPr="00E5116B">
        <w:rPr>
          <w:smallCaps/>
        </w:rPr>
        <w:t>Tri-State Livestock News</w:t>
      </w:r>
      <w:r w:rsidR="00E5116B" w:rsidRPr="00E5116B">
        <w:t xml:space="preserve"> (Jul</w:t>
      </w:r>
      <w:r w:rsidR="00EA5862">
        <w:t>y</w:t>
      </w:r>
      <w:r w:rsidR="00E5116B" w:rsidRPr="00E5116B">
        <w:t xml:space="preserve"> 9, 2021), https://www.tsln.com/news/electronic-posting-new-law-allows-north-dakota-landowners-to-post-no-hunting-using-state-site [https://perma.cc/XM5Y-CVDU]</w:t>
      </w:r>
      <w:r>
        <w:fldChar w:fldCharType="end"/>
      </w:r>
      <w:r w:rsidR="004E6B39">
        <w:t>.</w:t>
      </w:r>
    </w:p>
  </w:footnote>
  <w:footnote w:id="266">
    <w:p w14:paraId="14EA51B3" w14:textId="7CB78EA3" w:rsidR="00F534E0" w:rsidRPr="000B6985" w:rsidRDefault="00F534E0" w:rsidP="00F534E0">
      <w:pPr>
        <w:pStyle w:val="FootnoteText"/>
      </w:pPr>
      <w:r w:rsidRPr="002A4234">
        <w:rPr>
          <w:rStyle w:val="FootnoteReference"/>
        </w:rPr>
        <w:footnoteRef/>
      </w:r>
      <w:r>
        <w:t xml:space="preserve"> </w:t>
      </w:r>
      <w:r w:rsidR="00D6640D">
        <w:rPr>
          <w:i/>
          <w:iCs/>
        </w:rPr>
        <w:t xml:space="preserve">See </w:t>
      </w:r>
      <w:r w:rsidRPr="00822E26">
        <w:t>United States v. Grabler, 907 F. Supp. 499, 503 (D. Mass. 1995)</w:t>
      </w:r>
      <w:r w:rsidR="00710520">
        <w:t xml:space="preserve"> </w:t>
      </w:r>
      <w:r>
        <w:t xml:space="preserve">(tracing the right of the public to </w:t>
      </w:r>
      <w:r w:rsidRPr="000B6985">
        <w:t xml:space="preserve">access so-called </w:t>
      </w:r>
      <w:r w:rsidR="000678E8" w:rsidRPr="000B6985">
        <w:t>“</w:t>
      </w:r>
      <w:r w:rsidRPr="000B6985">
        <w:t>great ponds</w:t>
      </w:r>
      <w:r w:rsidR="000678E8" w:rsidRPr="000B6985">
        <w:t>”</w:t>
      </w:r>
      <w:r w:rsidRPr="000B6985">
        <w:t xml:space="preserve"> to Colony Ordinances of 1641</w:t>
      </w:r>
      <w:r w:rsidR="007E6652">
        <w:t>-</w:t>
      </w:r>
      <w:r w:rsidRPr="000B6985">
        <w:t>47).</w:t>
      </w:r>
    </w:p>
  </w:footnote>
  <w:footnote w:id="267">
    <w:p w14:paraId="7C4CFD51" w14:textId="28E80A76" w:rsidR="00F534E0" w:rsidRPr="000B6985" w:rsidRDefault="00F534E0" w:rsidP="00F534E0">
      <w:pPr>
        <w:pStyle w:val="FootnoteText"/>
      </w:pPr>
      <w:r w:rsidRPr="002A4234">
        <w:rPr>
          <w:rStyle w:val="FootnoteReference"/>
        </w:rPr>
        <w:footnoteRef/>
      </w:r>
      <w:r w:rsidRPr="000B6985">
        <w:t xml:space="preserve"> </w:t>
      </w:r>
      <w:r w:rsidR="00D6640D" w:rsidRPr="00FB7B6A">
        <w:rPr>
          <w:i/>
          <w:iCs/>
        </w:rPr>
        <w:t>See</w:t>
      </w:r>
      <w:r w:rsidR="00D6640D">
        <w:t xml:space="preserve"> </w:t>
      </w:r>
      <w:r w:rsidRPr="000B6985">
        <w:t>State ex rel. Thornton v. Hay, 462 P.2d 671, 676</w:t>
      </w:r>
      <w:r w:rsidR="00B26C13">
        <w:t>-77</w:t>
      </w:r>
      <w:r w:rsidRPr="000B6985">
        <w:t xml:space="preserve"> (Or. 1969)</w:t>
      </w:r>
      <w:r w:rsidR="002767DA" w:rsidRPr="000B6985">
        <w:t>.</w:t>
      </w:r>
    </w:p>
  </w:footnote>
  <w:footnote w:id="268">
    <w:p w14:paraId="4849DF89" w14:textId="6037FC7A" w:rsidR="00B26B89" w:rsidRPr="000B6985" w:rsidRDefault="00B26B89">
      <w:pPr>
        <w:pStyle w:val="FootnoteText"/>
      </w:pPr>
      <w:r w:rsidRPr="002A4234">
        <w:rPr>
          <w:rStyle w:val="FootnoteReference"/>
        </w:rPr>
        <w:footnoteRef/>
      </w:r>
      <w:r w:rsidRPr="000B6985">
        <w:t xml:space="preserve"> </w:t>
      </w:r>
      <w:r w:rsidR="000B6985" w:rsidRPr="000B6985">
        <w:rPr>
          <w:i/>
          <w:iCs/>
        </w:rPr>
        <w:t>See</w:t>
      </w:r>
      <w:r w:rsidR="009F60EB" w:rsidRPr="000B6985">
        <w:t xml:space="preserve"> </w:t>
      </w:r>
      <w:r w:rsidR="00986367" w:rsidRPr="000B6985">
        <w:fldChar w:fldCharType="begin"/>
      </w:r>
      <w:r w:rsidR="00E5116B">
        <w:instrText xml:space="preserve"> ADDIN ZOTERO_ITEM CSL_CITATION {"citationID":"t6hYTHtW","properties":{"formattedCitation":"Maureen E. Brady, {\\i{}Property Convergence in Takings Law The Past, Present, and Future of Federalism}, 46 {\\scaps Pepp. L. Rev.} 695, 700\\uc0\\u8211{}704 (2019)","plainCitation":"Maureen E. Brady, Property Convergence in Takings Law The Past, Present, and Future of Federalism, 46 Pepp. L. Rev. 695, 700–704 (2019)","noteIndex":259},"citationItems":[{"id":3208,"uris":["http://zotero.org/groups/2816150/items/XDCCKLF5"],"uri":["http://zotero.org/groups/2816150/items/XDCCKLF5"],"itemData":{"id":3208,"type":"article-journal","container-title":"Pepperdine Law Review","issue":"4","journalAbbreviation":"Pepp. L. Rev.","language":"eng","page":"695-724","source":"HeinOnline","title":"Property Convergence in Takings Law The Past, Present, and Future of Federalism","volume":"46","author":[{"family":"Brady","given":"Maureen E."}],"issued":{"date-parts":[["2019"]]}},"locator":"700-04","label":"page"}],"schema":"https://github.com/citation-style-language/schema/raw/master/csl-citation.json"} </w:instrText>
      </w:r>
      <w:r w:rsidR="00986367" w:rsidRPr="000B6985">
        <w:fldChar w:fldCharType="separate"/>
      </w:r>
      <w:r w:rsidR="00E5116B" w:rsidRPr="00E5116B">
        <w:t xml:space="preserve">Maureen E. Brady, </w:t>
      </w:r>
      <w:r w:rsidR="00E5116B" w:rsidRPr="00E5116B">
        <w:rPr>
          <w:i/>
          <w:iCs/>
        </w:rPr>
        <w:t>Property Convergence in Takings Law</w:t>
      </w:r>
      <w:r w:rsidR="00E5116B" w:rsidRPr="00E5116B">
        <w:t xml:space="preserve">, 46 </w:t>
      </w:r>
      <w:r w:rsidR="00E5116B" w:rsidRPr="00E5116B">
        <w:rPr>
          <w:smallCaps/>
        </w:rPr>
        <w:t>Pepp. L. Rev.</w:t>
      </w:r>
      <w:r w:rsidR="00E5116B" w:rsidRPr="00E5116B">
        <w:t xml:space="preserve"> 695, 700</w:t>
      </w:r>
      <w:r w:rsidR="00C705A0">
        <w:t>-</w:t>
      </w:r>
      <w:r w:rsidR="00E5116B" w:rsidRPr="00E5116B">
        <w:t>704 (2019)</w:t>
      </w:r>
      <w:r w:rsidR="00986367" w:rsidRPr="000B6985">
        <w:fldChar w:fldCharType="end"/>
      </w:r>
      <w:r w:rsidR="00F515F9">
        <w:t>.</w:t>
      </w:r>
    </w:p>
  </w:footnote>
  <w:footnote w:id="269">
    <w:p w14:paraId="7B937BAE" w14:textId="45A3C091" w:rsidR="001C3BEB" w:rsidRPr="00DB1FFC" w:rsidRDefault="001C3BEB">
      <w:pPr>
        <w:pStyle w:val="FootnoteText"/>
      </w:pPr>
      <w:r w:rsidRPr="002A4234">
        <w:rPr>
          <w:rStyle w:val="FootnoteReference"/>
        </w:rPr>
        <w:footnoteRef/>
      </w:r>
      <w:r w:rsidRPr="000B6985">
        <w:t xml:space="preserve"> </w:t>
      </w:r>
      <w:r w:rsidR="00DB1FFC" w:rsidRPr="000B6985">
        <w:rPr>
          <w:i/>
          <w:iCs/>
        </w:rPr>
        <w:t>But see</w:t>
      </w:r>
      <w:r w:rsidR="00DB1FFC" w:rsidRPr="000B6985">
        <w:t xml:space="preserve"> </w:t>
      </w:r>
      <w:r w:rsidR="00FC6BBB" w:rsidRPr="000B6985">
        <w:fldChar w:fldCharType="begin"/>
      </w:r>
      <w:r w:rsidR="00E5116B">
        <w:instrText xml:space="preserve"> ADDIN ZOTERO_ITEM CSL_CITATION {"citationID":"pY7YOCWk","properties":{"formattedCitation":"Baude &amp; Stern, {\\i{}supra} note 4, at 1886\\uc0\\u8211{}87","plainCitation":"Baude &amp; Stern, supra note 4, at 1886–87","noteIndex":260},"citationItems":[{"id":2966,"uris":["http://zotero.org/groups/2816150/items/J6IBBYF4"],"uri":["http://zotero.org/groups/2816150/items/J6IBBYF4"],"itemData":{"id":2966,"type":"article-journal","container-title":"Harvard Law Review","journalAbbreviation":"Harv. L. Rev.","language":"eng","page":"1821-1889","source":"HeinOnline","title":"The Positive Law Model of the Fourth Amendment","volume":"129","author":[{"family":"Baude","given":"William"},{"family":"Stern","given":"James Y."}],"issued":{"date-parts":[["2016"]]}},"locator":"1886-87","label":"page"}],"schema":"https://github.com/citation-style-language/schema/raw/master/csl-citation.json"} </w:instrText>
      </w:r>
      <w:r w:rsidR="00FC6BBB" w:rsidRPr="000B6985">
        <w:fldChar w:fldCharType="separate"/>
      </w:r>
      <w:r w:rsidR="00E5116B" w:rsidRPr="00E5116B">
        <w:t xml:space="preserve">Baude &amp; Stern, </w:t>
      </w:r>
      <w:r w:rsidR="00E5116B" w:rsidRPr="00E5116B">
        <w:rPr>
          <w:i/>
          <w:iCs/>
        </w:rPr>
        <w:t>supra</w:t>
      </w:r>
      <w:r w:rsidR="00E5116B" w:rsidRPr="00E5116B">
        <w:t xml:space="preserve"> note </w:t>
      </w:r>
      <w:r w:rsidR="00DE7CEB">
        <w:fldChar w:fldCharType="begin"/>
      </w:r>
      <w:r w:rsidR="00DE7CEB">
        <w:instrText xml:space="preserve"> NOTEREF _Ref113024660 \h </w:instrText>
      </w:r>
      <w:r w:rsidR="00DE7CEB">
        <w:fldChar w:fldCharType="separate"/>
      </w:r>
      <w:r w:rsidR="00405D69">
        <w:t>4</w:t>
      </w:r>
      <w:r w:rsidR="00DE7CEB">
        <w:fldChar w:fldCharType="end"/>
      </w:r>
      <w:r w:rsidR="00E5116B" w:rsidRPr="00E5116B">
        <w:t>, at 1886</w:t>
      </w:r>
      <w:r w:rsidR="00F77900">
        <w:t>-</w:t>
      </w:r>
      <w:r w:rsidR="00E5116B" w:rsidRPr="00E5116B">
        <w:t>87</w:t>
      </w:r>
      <w:r w:rsidR="00FC6BBB" w:rsidRPr="000B6985">
        <w:fldChar w:fldCharType="end"/>
      </w:r>
      <w:r w:rsidR="002767DA">
        <w:t xml:space="preserve"> (applying </w:t>
      </w:r>
      <w:r w:rsidR="00B30F6F">
        <w:t xml:space="preserve">the </w:t>
      </w:r>
      <w:r w:rsidR="002767DA">
        <w:t>positive</w:t>
      </w:r>
      <w:r w:rsidR="000678E8">
        <w:t>-</w:t>
      </w:r>
      <w:r w:rsidR="002767DA">
        <w:t>law model to open fields).</w:t>
      </w:r>
    </w:p>
  </w:footnote>
  <w:footnote w:id="270">
    <w:p w14:paraId="68B6206B" w14:textId="696CCE46" w:rsidR="00CE5B69" w:rsidRDefault="00CE5B69">
      <w:pPr>
        <w:pStyle w:val="FootnoteText"/>
      </w:pPr>
      <w:r w:rsidRPr="002A4234">
        <w:rPr>
          <w:rStyle w:val="FootnoteReference"/>
        </w:rPr>
        <w:footnoteRef/>
      </w:r>
      <w:r>
        <w:t xml:space="preserve"> Chad Flanders has </w:t>
      </w:r>
      <w:r w:rsidR="00A97E9C">
        <w:t>noted the possibility</w:t>
      </w:r>
      <w:r>
        <w:t xml:space="preserve"> that “effects” might be read to extend to real property, and not merely personal property. </w:t>
      </w:r>
      <w:r>
        <w:fldChar w:fldCharType="begin"/>
      </w:r>
      <w:r w:rsidR="00E5116B">
        <w:instrText xml:space="preserve"> ADDIN ZOTERO_ITEM CSL_CITATION {"citationID":"4P0SUHPw","properties":{"formattedCitation":"{\\i{}See} Flanders, {\\i{}supra} note 129, at 769; {\\i{}but see} Brady, {\\i{}supra} note 148, at 985","plainCitation":"See Flanders, supra note 129, at 769; but see Brady, supra note 148, at 985","noteIndex":261},"citationItems":[{"id":2936,"uris":["http://zotero.org/groups/2816150/items/YPG4ZS98"],"uri":["http://zotero.org/groups/2816150/items/YPG4ZS98"],"itemData":{"id":2936,"type":"article-journal","container-title":"University of Pennsylvania Journal of Constitutional Law","issue":"3","journalAbbreviation":"U. Pa. J. Const. L.","language":"eng","page":"755-792","source":"HeinOnline","title":"&lt;i&gt;Collins&lt;/i&gt; and the Invention of 'Curtilage'","volume":"22","author":[{"family":"Flanders","given":"Chad"}],"issued":{"date-parts":[["2020"]]}},"locator":"769","label":"page","prefix":"&lt;i&gt;See&lt;/i&gt; "},{"id":2943,"uris":["http://zotero.org/groups/2816150/items/GHXGMBTE"],"uri":["http://zotero.org/groups/2816150/items/GHXGMBTE"],"itemData":{"id":2943,"type":"article-journal","container-title":"Yale Law Journal","issue":"4","journalAbbreviation":"Yale L. J.","language":"eng","page":"946-1017","source":"HeinOnline","title":"The Lost Effects of the Fourth Amendment: Giving Personal Property Due Protection","title-short":"The Lost Effects of the Fourth Amendment","volume":"125","author":[{"family":"Brady","given":"Maureen E."}],"issued":{"date-parts":[["2016"]]}},"locator":"985","label":"page","prefix":"&lt;i&gt;but see&lt;/i&gt; "}],"schema":"https://github.com/citation-style-language/schema/raw/master/csl-citation.json"} </w:instrText>
      </w:r>
      <w:r>
        <w:fldChar w:fldCharType="separate"/>
      </w:r>
      <w:r w:rsidR="00E5116B" w:rsidRPr="00E5116B">
        <w:rPr>
          <w:i/>
          <w:iCs/>
        </w:rPr>
        <w:t>See</w:t>
      </w:r>
      <w:r w:rsidR="00E5116B" w:rsidRPr="00E5116B">
        <w:t xml:space="preserve"> Flanders, </w:t>
      </w:r>
      <w:r w:rsidR="00E5116B" w:rsidRPr="00E5116B">
        <w:rPr>
          <w:i/>
          <w:iCs/>
        </w:rPr>
        <w:t>supra</w:t>
      </w:r>
      <w:r w:rsidR="00E5116B" w:rsidRPr="00E5116B">
        <w:t xml:space="preserve"> note </w:t>
      </w:r>
      <w:r w:rsidR="00A74313">
        <w:fldChar w:fldCharType="begin"/>
      </w:r>
      <w:r w:rsidR="00A74313">
        <w:instrText xml:space="preserve"> NOTEREF _Ref114138555 \h </w:instrText>
      </w:r>
      <w:r w:rsidR="00A74313">
        <w:fldChar w:fldCharType="separate"/>
      </w:r>
      <w:r w:rsidR="00405D69">
        <w:t>130</w:t>
      </w:r>
      <w:r w:rsidR="00A74313">
        <w:fldChar w:fldCharType="end"/>
      </w:r>
      <w:r w:rsidR="00E5116B" w:rsidRPr="00E5116B">
        <w:t>, at 769</w:t>
      </w:r>
      <w:r w:rsidR="00C472B7">
        <w:t>.</w:t>
      </w:r>
      <w:r w:rsidR="00E5116B" w:rsidRPr="00E5116B">
        <w:t xml:space="preserve"> </w:t>
      </w:r>
      <w:r w:rsidR="00C472B7">
        <w:rPr>
          <w:i/>
          <w:iCs/>
        </w:rPr>
        <w:t>B</w:t>
      </w:r>
      <w:r w:rsidR="00E5116B" w:rsidRPr="00E5116B">
        <w:rPr>
          <w:i/>
          <w:iCs/>
        </w:rPr>
        <w:t>ut see</w:t>
      </w:r>
      <w:r w:rsidR="00E5116B" w:rsidRPr="00E5116B">
        <w:t xml:space="preserve"> Brady, </w:t>
      </w:r>
      <w:r w:rsidR="00E5116B" w:rsidRPr="00E5116B">
        <w:rPr>
          <w:i/>
          <w:iCs/>
        </w:rPr>
        <w:t>supra</w:t>
      </w:r>
      <w:r w:rsidR="00E5116B" w:rsidRPr="00E5116B">
        <w:t xml:space="preserve"> note </w:t>
      </w:r>
      <w:r w:rsidR="001127E1">
        <w:fldChar w:fldCharType="begin"/>
      </w:r>
      <w:r w:rsidR="001127E1">
        <w:instrText xml:space="preserve"> NOTEREF _Ref113023859 \h </w:instrText>
      </w:r>
      <w:r w:rsidR="001127E1">
        <w:fldChar w:fldCharType="separate"/>
      </w:r>
      <w:r w:rsidR="00405D69">
        <w:t>150</w:t>
      </w:r>
      <w:r w:rsidR="001127E1">
        <w:fldChar w:fldCharType="end"/>
      </w:r>
      <w:r w:rsidR="00E5116B" w:rsidRPr="00E5116B">
        <w:t>, at 985</w:t>
      </w:r>
      <w:r>
        <w:fldChar w:fldCharType="end"/>
      </w:r>
      <w:r w:rsidR="00A97E9C">
        <w:t xml:space="preserve"> (suggesting that the original meaning of “effects” is restricted to personal property)</w:t>
      </w:r>
      <w:r w:rsidR="000478BF">
        <w:t xml:space="preserve">; </w:t>
      </w:r>
      <w:r w:rsidR="000478BF">
        <w:fldChar w:fldCharType="begin"/>
      </w:r>
      <w:r w:rsidR="00E5116B">
        <w:instrText xml:space="preserve"> ADDIN ZOTERO_ITEM CSL_CITATION {"citationID":"4jQnw6un","properties":{"formattedCitation":"Ferguson, {\\i{}The Internet of Things and the Fourth Amendment of Effects}, {\\i{}supra} note 128, at 826\\uc0\\u8211{}27","plainCitation":"Ferguson, The Internet of Things and the Fourth Amendment of Effects, supra note 128, at 826–27","noteIndex":261},"citationItems":[{"id":3207,"uris":["http://zotero.org/groups/2816150/items/BZW4XW8D"],"uri":["http://zotero.org/groups/2816150/items/BZW4XW8D"],"itemData":{"id":3207,"type":"article-journal","container-title":"California Law Review","issue":"4","journalAbbreviation":"Calif. L. Rev.","language":"eng","page":"805-880","source":"HeinOnline","title":"The Internet of Things and the Fourth Amendment of Effects","volume":"104","author":[{"family":"Ferguson","given":"Andrew Guthrie"}],"issued":{"date-parts":[["2016"]]}},"locator":"826-27","label":"page"}],"schema":"https://github.com/citation-style-language/schema/raw/master/csl-citation.json"} </w:instrText>
      </w:r>
      <w:r w:rsidR="000478BF">
        <w:fldChar w:fldCharType="separate"/>
      </w:r>
      <w:r w:rsidR="00E5116B" w:rsidRPr="00E5116B">
        <w:t xml:space="preserve">Ferguson, </w:t>
      </w:r>
      <w:r w:rsidR="00E5116B" w:rsidRPr="00E5116B">
        <w:rPr>
          <w:i/>
          <w:iCs/>
        </w:rPr>
        <w:t>The Internet of Things and the Fourth Amendment of Effects</w:t>
      </w:r>
      <w:r w:rsidR="00E5116B" w:rsidRPr="00E5116B">
        <w:t xml:space="preserve">, </w:t>
      </w:r>
      <w:r w:rsidR="00E5116B" w:rsidRPr="00E5116B">
        <w:rPr>
          <w:i/>
          <w:iCs/>
        </w:rPr>
        <w:t>supra</w:t>
      </w:r>
      <w:r w:rsidR="00E5116B" w:rsidRPr="00E5116B">
        <w:t xml:space="preserve"> note </w:t>
      </w:r>
      <w:r w:rsidR="005C0AF8">
        <w:fldChar w:fldCharType="begin"/>
      </w:r>
      <w:r w:rsidR="005C0AF8">
        <w:instrText xml:space="preserve"> NOTEREF _Ref114150599 \h </w:instrText>
      </w:r>
      <w:r w:rsidR="005C0AF8">
        <w:fldChar w:fldCharType="separate"/>
      </w:r>
      <w:r w:rsidR="00405D69">
        <w:t>129</w:t>
      </w:r>
      <w:r w:rsidR="005C0AF8">
        <w:fldChar w:fldCharType="end"/>
      </w:r>
      <w:r w:rsidR="00E5116B" w:rsidRPr="00E5116B">
        <w:t>, at 826</w:t>
      </w:r>
      <w:r w:rsidR="00B76D52">
        <w:t>-</w:t>
      </w:r>
      <w:r w:rsidR="00E5116B" w:rsidRPr="00E5116B">
        <w:t>27</w:t>
      </w:r>
      <w:r w:rsidR="000478BF">
        <w:fldChar w:fldCharType="end"/>
      </w:r>
      <w:r w:rsidR="000478BF">
        <w:t xml:space="preserve"> </w:t>
      </w:r>
      <w:r w:rsidR="003126CC">
        <w:t>(arguing that</w:t>
      </w:r>
      <w:r w:rsidR="00B21F92">
        <w:t xml:space="preserve"> while</w:t>
      </w:r>
      <w:r w:rsidR="003126CC">
        <w:t xml:space="preserve"> </w:t>
      </w:r>
      <w:r w:rsidR="009C7A50">
        <w:t>English juries might have understood “effects” as encompassing real property</w:t>
      </w:r>
      <w:r w:rsidR="00B21F92">
        <w:t>,</w:t>
      </w:r>
      <w:r w:rsidR="009C7A50">
        <w:t xml:space="preserve"> </w:t>
      </w:r>
      <w:r w:rsidR="00B5243B">
        <w:t>the Framers understood it only to include personal property)</w:t>
      </w:r>
      <w:r w:rsidR="000478BF">
        <w:t>.</w:t>
      </w:r>
    </w:p>
  </w:footnote>
  <w:footnote w:id="271">
    <w:p w14:paraId="527E80E8" w14:textId="75DA9F16" w:rsidR="00DB1FFC" w:rsidRDefault="00DB1FFC">
      <w:pPr>
        <w:pStyle w:val="FootnoteText"/>
      </w:pPr>
      <w:r w:rsidRPr="002A4234">
        <w:rPr>
          <w:rStyle w:val="FootnoteReference"/>
        </w:rPr>
        <w:footnoteRef/>
      </w:r>
      <w:r>
        <w:t xml:space="preserve"> 466 U.S. 170, 178 (1984)</w:t>
      </w:r>
      <w:r w:rsidR="002767DA">
        <w:t>.</w:t>
      </w:r>
    </w:p>
  </w:footnote>
  <w:footnote w:id="272">
    <w:p w14:paraId="4C380B8D" w14:textId="0DFC5F50" w:rsidR="00E95AC0" w:rsidRPr="008E1A30" w:rsidRDefault="00E95AC0">
      <w:pPr>
        <w:pStyle w:val="FootnoteText"/>
      </w:pPr>
      <w:r w:rsidRPr="002A4234">
        <w:rPr>
          <w:rStyle w:val="FootnoteReference"/>
        </w:rPr>
        <w:footnoteRef/>
      </w:r>
      <w:r>
        <w:t xml:space="preserve"> </w:t>
      </w:r>
      <w:r w:rsidR="008E1A30">
        <w:rPr>
          <w:i/>
          <w:iCs/>
        </w:rPr>
        <w:t>Id</w:t>
      </w:r>
      <w:r w:rsidR="008E1A30" w:rsidRPr="00FB7B6A">
        <w:rPr>
          <w:i/>
          <w:iCs/>
        </w:rPr>
        <w:t>.</w:t>
      </w:r>
      <w:r w:rsidR="008E1A30">
        <w:t xml:space="preserve"> at 179</w:t>
      </w:r>
      <w:r w:rsidR="001F30D1">
        <w:t>.</w:t>
      </w:r>
    </w:p>
  </w:footnote>
  <w:footnote w:id="273">
    <w:p w14:paraId="3F738B69" w14:textId="31A7787C" w:rsidR="00AB25CB" w:rsidRPr="00D22E9A" w:rsidRDefault="00AB25CB">
      <w:pPr>
        <w:pStyle w:val="FootnoteText"/>
      </w:pPr>
      <w:r w:rsidRPr="002A4234">
        <w:rPr>
          <w:rStyle w:val="FootnoteReference"/>
        </w:rPr>
        <w:footnoteRef/>
      </w:r>
      <w:r>
        <w:t xml:space="preserve"> </w:t>
      </w:r>
      <w:r w:rsidR="00D22E9A">
        <w:rPr>
          <w:i/>
          <w:iCs/>
        </w:rPr>
        <w:t>Id</w:t>
      </w:r>
      <w:r w:rsidR="00D22E9A" w:rsidRPr="00FB7B6A">
        <w:rPr>
          <w:i/>
          <w:iCs/>
        </w:rPr>
        <w:t>.</w:t>
      </w:r>
    </w:p>
  </w:footnote>
  <w:footnote w:id="274">
    <w:p w14:paraId="6AF8C226" w14:textId="79506954" w:rsidR="00C77210" w:rsidRDefault="00C77210">
      <w:pPr>
        <w:pStyle w:val="FootnoteText"/>
      </w:pPr>
      <w:r w:rsidRPr="002A4234">
        <w:rPr>
          <w:rStyle w:val="FootnoteReference"/>
        </w:rPr>
        <w:footnoteRef/>
      </w:r>
      <w:r>
        <w:t xml:space="preserve"> </w:t>
      </w:r>
      <w:r w:rsidRPr="00C77210">
        <w:t>United States v. Jones, 565 U.S. 400, 411</w:t>
      </w:r>
      <w:r w:rsidR="00D8370A">
        <w:t xml:space="preserve"> </w:t>
      </w:r>
      <w:r w:rsidRPr="00C77210">
        <w:t>(2012)</w:t>
      </w:r>
      <w:r w:rsidR="0016353E">
        <w:t xml:space="preserve"> (citation omitted)</w:t>
      </w:r>
      <w:r w:rsidR="005C17F6">
        <w:t>.</w:t>
      </w:r>
    </w:p>
  </w:footnote>
  <w:footnote w:id="275">
    <w:p w14:paraId="7AF971CC" w14:textId="199A2A7E" w:rsidR="00056128" w:rsidRDefault="00056128">
      <w:pPr>
        <w:pStyle w:val="FootnoteText"/>
      </w:pPr>
      <w:r w:rsidRPr="002A4234">
        <w:rPr>
          <w:rStyle w:val="FootnoteReference"/>
        </w:rPr>
        <w:footnoteRef/>
      </w:r>
      <w:r>
        <w:t xml:space="preserve"> </w:t>
      </w:r>
      <w:r w:rsidR="00045F90">
        <w:rPr>
          <w:i/>
          <w:iCs/>
        </w:rPr>
        <w:t xml:space="preserve">See </w:t>
      </w:r>
      <w:r w:rsidR="00045F90">
        <w:fldChar w:fldCharType="begin"/>
      </w:r>
      <w:r w:rsidR="00045F90">
        <w:instrText xml:space="preserve"> ADDIN ZOTERO_ITEM CSL_CITATION {"citationID":"BFyhQMfC","properties":{"formattedCitation":"William J. Stuntz, {\\i{}The Distribution of Fourth Amendment Privacy}, 67 {\\scaps Geo. Wash. L. Rev.} 1265, 1270 (1999)","plainCitation":"William J. Stuntz, The Distribution of Fourth Amendment Privacy, 67 Geo. Wash. L. Rev. 1265, 1270 (1999)","noteIndex":266},"citationItems":[{"id":2983,"uris":["http://zotero.org/groups/2816150/items/FYGQB7S2"],"uri":["http://zotero.org/groups/2816150/items/FYGQB7S2"],"itemData":{"id":2983,"type":"article-journal","container-title":"George Washington Law Review","journalAbbreviation":"Geo. Wash. L. Rev.","page":"1265","title":"The Distribution of Fourth Amendment Privacy","volume":"67","author":[{"family":"Stuntz","given":"William J."}],"issued":{"date-parts":[["1999"]]}},"locator":"1270","label":"page"}],"schema":"https://github.com/citation-style-language/schema/raw/master/csl-citation.json"} </w:instrText>
      </w:r>
      <w:r w:rsidR="00045F90">
        <w:fldChar w:fldCharType="separate"/>
      </w:r>
      <w:r w:rsidR="00045F90" w:rsidRPr="00E5116B">
        <w:t xml:space="preserve">William J. Stuntz, </w:t>
      </w:r>
      <w:r w:rsidR="00045F90" w:rsidRPr="00E5116B">
        <w:rPr>
          <w:i/>
          <w:iCs/>
        </w:rPr>
        <w:t>The Distribution of Fourth Amendment Privacy</w:t>
      </w:r>
      <w:r w:rsidR="00045F90" w:rsidRPr="00E5116B">
        <w:t xml:space="preserve">, 67 </w:t>
      </w:r>
      <w:r w:rsidR="00045F90" w:rsidRPr="00E5116B">
        <w:rPr>
          <w:smallCaps/>
        </w:rPr>
        <w:t>Geo. Wash. L. Rev.</w:t>
      </w:r>
      <w:r w:rsidR="00045F90" w:rsidRPr="00E5116B">
        <w:t xml:space="preserve"> 1265, 1270 (1999)</w:t>
      </w:r>
      <w:r w:rsidR="00045F90">
        <w:fldChar w:fldCharType="end"/>
      </w:r>
      <w:r w:rsidR="00045F90">
        <w:t xml:space="preserve"> (explaining how class impacts access to the kinds of places that current Fourth Amendment doctrine protects). </w:t>
      </w:r>
      <w:r>
        <w:fldChar w:fldCharType="begin"/>
      </w:r>
      <w:r w:rsidR="00E5116B">
        <w:instrText xml:space="preserve"> ADDIN ZOTERO_ITEM CSL_CITATION {"citationID":"OFj28VT2","properties":{"formattedCitation":"{\\i{}See generally} Brady, {\\i{}supra} note 148","plainCitation":"See generally Brady, supra note 148","noteIndex":266},"citationItems":[{"id":2943,"uris":["http://zotero.org/groups/2816150/items/GHXGMBTE"],"uri":["http://zotero.org/groups/2816150/items/GHXGMBTE"],"itemData":{"id":2943,"type":"article-journal","container-title":"Yale Law Journal","issue":"4","journalAbbreviation":"Yale L. J.","language":"eng","page":"946-1017","source":"HeinOnline","title":"The Lost Effects of the Fourth Amendment: Giving Personal Property Due Protection","title-short":"The Lost Effects of the Fourth Amendment","volume":"125","author":[{"family":"Brady","given":"Maureen E."}],"issued":{"date-parts":[["2016"]]}},"prefix":"&lt;i&gt;See generally&lt;/i&gt; "}],"schema":"https://github.com/citation-style-language/schema/raw/master/csl-citation.json"} </w:instrText>
      </w:r>
      <w:r>
        <w:fldChar w:fldCharType="separate"/>
      </w:r>
      <w:r w:rsidR="00E5116B" w:rsidRPr="00E5116B">
        <w:rPr>
          <w:i/>
          <w:iCs/>
        </w:rPr>
        <w:t>See generally</w:t>
      </w:r>
      <w:r w:rsidR="00E5116B" w:rsidRPr="00E5116B">
        <w:t xml:space="preserve"> Brady, </w:t>
      </w:r>
      <w:r w:rsidR="00E5116B" w:rsidRPr="00E5116B">
        <w:rPr>
          <w:i/>
          <w:iCs/>
        </w:rPr>
        <w:t>supra</w:t>
      </w:r>
      <w:r w:rsidR="00E5116B" w:rsidRPr="00E5116B">
        <w:t xml:space="preserve"> note </w:t>
      </w:r>
      <w:r>
        <w:fldChar w:fldCharType="end"/>
      </w:r>
      <w:r w:rsidR="0060273A">
        <w:fldChar w:fldCharType="begin"/>
      </w:r>
      <w:r w:rsidR="0060273A">
        <w:instrText xml:space="preserve"> NOTEREF _Ref113023859 \h </w:instrText>
      </w:r>
      <w:r w:rsidR="0060273A">
        <w:fldChar w:fldCharType="separate"/>
      </w:r>
      <w:r w:rsidR="00405D69">
        <w:t>150</w:t>
      </w:r>
      <w:r w:rsidR="0060273A">
        <w:fldChar w:fldCharType="end"/>
      </w:r>
      <w:r w:rsidR="00EC4170">
        <w:t xml:space="preserve"> (arguing that </w:t>
      </w:r>
      <w:r w:rsidR="003A4C4E">
        <w:t xml:space="preserve">the current doctrinal focus on houses as opposed to “effects” </w:t>
      </w:r>
      <w:r w:rsidR="00BE3F0D">
        <w:t>underprotects groups such as the unhoused)</w:t>
      </w:r>
      <w:r w:rsidR="00045F90">
        <w:t>.</w:t>
      </w:r>
      <w:r w:rsidR="00387AAF">
        <w:t xml:space="preserve"> </w:t>
      </w:r>
    </w:p>
  </w:footnote>
  <w:footnote w:id="276">
    <w:p w14:paraId="488776BE" w14:textId="4A5CDEAB" w:rsidR="00B50979" w:rsidRDefault="00B50979">
      <w:pPr>
        <w:pStyle w:val="FootnoteText"/>
      </w:pPr>
      <w:r w:rsidRPr="002A4234">
        <w:rPr>
          <w:rStyle w:val="FootnoteReference"/>
        </w:rPr>
        <w:footnoteRef/>
      </w:r>
      <w:r>
        <w:t xml:space="preserve"> </w:t>
      </w:r>
      <w:r>
        <w:fldChar w:fldCharType="begin"/>
      </w:r>
      <w:r w:rsidR="00E5116B">
        <w:instrText xml:space="preserve"> ADDIN ZOTERO_ITEM CSL_CITATION {"citationID":"IT9McIpo","properties":{"formattedCitation":"Brady, {\\i{}supra} note 148, at 974","plainCitation":"Brady, supra note 148, at 974","noteIndex":267},"citationItems":[{"id":2943,"uris":["http://zotero.org/groups/2816150/items/GHXGMBTE"],"uri":["http://zotero.org/groups/2816150/items/GHXGMBTE"],"itemData":{"id":2943,"type":"article-journal","container-title":"Yale Law Journal","issue":"4","journalAbbreviation":"Yale L. J.","language":"eng","page":"946-1017","source":"HeinOnline","title":"The Lost Effects of the Fourth Amendment: Giving Personal Property Due Protection","title-short":"The Lost Effects of the Fourth Amendment","volume":"125","author":[{"family":"Brady","given":"Maureen E."}],"issued":{"date-parts":[["2016"]]}},"locator":"974","label":"page"}],"schema":"https://github.com/citation-style-language/schema/raw/master/csl-citation.json"} </w:instrText>
      </w:r>
      <w:r>
        <w:fldChar w:fldCharType="separate"/>
      </w:r>
      <w:r w:rsidR="00E5116B" w:rsidRPr="00E5116B">
        <w:t xml:space="preserve">Brady, </w:t>
      </w:r>
      <w:r w:rsidR="00E5116B" w:rsidRPr="00E5116B">
        <w:rPr>
          <w:i/>
          <w:iCs/>
        </w:rPr>
        <w:t>supra</w:t>
      </w:r>
      <w:r w:rsidR="00E5116B" w:rsidRPr="00E5116B">
        <w:t xml:space="preserve"> note, at 974</w:t>
      </w:r>
      <w:r>
        <w:fldChar w:fldCharType="end"/>
      </w:r>
      <w:r w:rsidR="00F515F9">
        <w:t>.</w:t>
      </w:r>
    </w:p>
  </w:footnote>
  <w:footnote w:id="277">
    <w:p w14:paraId="0223A8D1" w14:textId="16C23B4E" w:rsidR="00B939BD" w:rsidRDefault="00B939BD">
      <w:pPr>
        <w:pStyle w:val="FootnoteText"/>
      </w:pPr>
      <w:r w:rsidRPr="002A4234">
        <w:rPr>
          <w:rStyle w:val="FootnoteReference"/>
        </w:rPr>
        <w:footnoteRef/>
      </w:r>
      <w:r>
        <w:t xml:space="preserve"> </w:t>
      </w:r>
      <w:r w:rsidRPr="00B939BD">
        <w:t>810 F. Supp. 1551, 1559 (S.D. Fla. 1992)</w:t>
      </w:r>
      <w:r>
        <w:t>.</w:t>
      </w:r>
    </w:p>
  </w:footnote>
  <w:footnote w:id="278">
    <w:p w14:paraId="70FE55F8" w14:textId="67D7171E" w:rsidR="00F56292" w:rsidRPr="00763AEB" w:rsidRDefault="00F56292">
      <w:pPr>
        <w:pStyle w:val="FootnoteText"/>
      </w:pPr>
      <w:r w:rsidRPr="002A4234">
        <w:rPr>
          <w:rStyle w:val="FootnoteReference"/>
        </w:rPr>
        <w:footnoteRef/>
      </w:r>
      <w:r>
        <w:t xml:space="preserve"> </w:t>
      </w:r>
      <w:r w:rsidR="00763AEB">
        <w:rPr>
          <w:i/>
          <w:iCs/>
        </w:rPr>
        <w:t>Id</w:t>
      </w:r>
      <w:r w:rsidR="00763AEB" w:rsidRPr="00FB7B6A">
        <w:rPr>
          <w:i/>
          <w:iCs/>
        </w:rPr>
        <w:t>.</w:t>
      </w:r>
      <w:r w:rsidR="00763AEB">
        <w:t xml:space="preserve"> at 1571</w:t>
      </w:r>
      <w:r w:rsidR="00F91A44">
        <w:t xml:space="preserve"> (</w:t>
      </w:r>
      <w:r w:rsidR="00671242">
        <w:t>citing</w:t>
      </w:r>
      <w:r w:rsidR="00F91A44">
        <w:t xml:space="preserve"> </w:t>
      </w:r>
      <w:r w:rsidR="00671242" w:rsidRPr="00671242">
        <w:t xml:space="preserve">United States v. Jacobsen, 466 U.S. 109, </w:t>
      </w:r>
      <w:r w:rsidR="007A187E">
        <w:t>125</w:t>
      </w:r>
      <w:r w:rsidR="007A187E" w:rsidRPr="00671242">
        <w:t xml:space="preserve"> </w:t>
      </w:r>
      <w:r w:rsidR="00671242" w:rsidRPr="00671242">
        <w:t>(1984)</w:t>
      </w:r>
      <w:r w:rsidR="00671242">
        <w:t>).</w:t>
      </w:r>
    </w:p>
  </w:footnote>
  <w:footnote w:id="279">
    <w:p w14:paraId="13E70E8B" w14:textId="1B24BEE3" w:rsidR="00B841D5" w:rsidRPr="009A1665" w:rsidRDefault="00B841D5">
      <w:pPr>
        <w:pStyle w:val="FootnoteText"/>
      </w:pPr>
      <w:r w:rsidRPr="002A4234">
        <w:rPr>
          <w:rStyle w:val="FootnoteReference"/>
        </w:rPr>
        <w:footnoteRef/>
      </w:r>
      <w:r>
        <w:t xml:space="preserve"> </w:t>
      </w:r>
      <w:r w:rsidR="009A1665">
        <w:rPr>
          <w:i/>
          <w:iCs/>
        </w:rPr>
        <w:t>Id</w:t>
      </w:r>
      <w:r w:rsidR="009A1665" w:rsidRPr="00FB7B6A">
        <w:rPr>
          <w:i/>
          <w:iCs/>
        </w:rPr>
        <w:t>.</w:t>
      </w:r>
      <w:r w:rsidR="009A1665">
        <w:t xml:space="preserve"> at 1572</w:t>
      </w:r>
      <w:r w:rsidR="003325B4">
        <w:t xml:space="preserve"> (citing </w:t>
      </w:r>
      <w:r w:rsidR="009147E2">
        <w:t xml:space="preserve">State v. </w:t>
      </w:r>
      <w:r w:rsidR="003325B4">
        <w:t>Mooney</w:t>
      </w:r>
      <w:r w:rsidR="003325B4" w:rsidRPr="00671242">
        <w:t xml:space="preserve">, </w:t>
      </w:r>
      <w:r w:rsidR="003325B4">
        <w:t>588</w:t>
      </w:r>
      <w:r w:rsidR="003325B4" w:rsidRPr="00671242">
        <w:t xml:space="preserve"> </w:t>
      </w:r>
      <w:r w:rsidR="003325B4">
        <w:t>A</w:t>
      </w:r>
      <w:r w:rsidR="003325B4" w:rsidRPr="00671242">
        <w:t>.</w:t>
      </w:r>
      <w:r w:rsidR="003325B4">
        <w:t>2d</w:t>
      </w:r>
      <w:r w:rsidR="003325B4" w:rsidRPr="00671242">
        <w:t xml:space="preserve"> </w:t>
      </w:r>
      <w:r w:rsidR="00EA6D4D">
        <w:t>145</w:t>
      </w:r>
      <w:r w:rsidR="003325B4" w:rsidRPr="00671242">
        <w:t xml:space="preserve">, </w:t>
      </w:r>
      <w:r w:rsidR="002E1442">
        <w:t>161</w:t>
      </w:r>
      <w:r w:rsidR="003325B4" w:rsidRPr="00671242">
        <w:t xml:space="preserve"> (</w:t>
      </w:r>
      <w:r w:rsidR="00A63F92">
        <w:t xml:space="preserve">Conn. </w:t>
      </w:r>
      <w:r w:rsidR="003325B4" w:rsidRPr="00671242">
        <w:t>19</w:t>
      </w:r>
      <w:r w:rsidR="00F336E9">
        <w:t>91</w:t>
      </w:r>
      <w:r w:rsidR="003325B4" w:rsidRPr="00671242">
        <w:t>)</w:t>
      </w:r>
      <w:r w:rsidR="003325B4">
        <w:t>)</w:t>
      </w:r>
      <w:r w:rsidR="009A1665">
        <w:t>.</w:t>
      </w:r>
    </w:p>
  </w:footnote>
  <w:footnote w:id="280">
    <w:p w14:paraId="1F32BA9F" w14:textId="456A8AA3" w:rsidR="00216A1B" w:rsidRPr="009B5162" w:rsidRDefault="00216A1B">
      <w:pPr>
        <w:pStyle w:val="FootnoteText"/>
      </w:pPr>
      <w:r w:rsidRPr="002A4234">
        <w:rPr>
          <w:rStyle w:val="FootnoteReference"/>
        </w:rPr>
        <w:footnoteRef/>
      </w:r>
      <w:r>
        <w:t xml:space="preserve"> </w:t>
      </w:r>
      <w:r w:rsidR="009B5162">
        <w:rPr>
          <w:i/>
          <w:iCs/>
        </w:rPr>
        <w:t>See infra</w:t>
      </w:r>
      <w:r w:rsidR="009B5162">
        <w:t xml:space="preserve"> </w:t>
      </w:r>
      <w:r w:rsidR="008162CB">
        <w:t>Section</w:t>
      </w:r>
      <w:r w:rsidR="009B5162">
        <w:t xml:space="preserve"> III.B.</w:t>
      </w:r>
    </w:p>
  </w:footnote>
  <w:footnote w:id="281">
    <w:p w14:paraId="19B09440" w14:textId="3D7BBEA8" w:rsidR="005735B6" w:rsidRDefault="005735B6" w:rsidP="00B816E9">
      <w:pPr>
        <w:pStyle w:val="FootnoteText"/>
      </w:pPr>
      <w:r w:rsidRPr="002A4234">
        <w:rPr>
          <w:rStyle w:val="FootnoteReference"/>
        </w:rPr>
        <w:footnoteRef/>
      </w:r>
      <w:r>
        <w:t xml:space="preserve"> </w:t>
      </w:r>
      <w:r w:rsidR="00B816E9">
        <w:t>525 U.S. 83, 95 (1998).</w:t>
      </w:r>
    </w:p>
  </w:footnote>
  <w:footnote w:id="282">
    <w:p w14:paraId="319AC8E8" w14:textId="7E1D3207" w:rsidR="00EE38C8" w:rsidRDefault="00EE38C8">
      <w:pPr>
        <w:pStyle w:val="FootnoteText"/>
      </w:pPr>
      <w:r w:rsidRPr="002A4234">
        <w:rPr>
          <w:rStyle w:val="FootnoteReference"/>
        </w:rPr>
        <w:footnoteRef/>
      </w:r>
      <w:r>
        <w:t xml:space="preserve"> </w:t>
      </w:r>
      <w:r w:rsidR="00BF0C06" w:rsidRPr="0098604E">
        <w:t>Wood v. Leadbitter</w:t>
      </w:r>
      <w:r w:rsidR="00F307A7">
        <w:t xml:space="preserve"> </w:t>
      </w:r>
      <w:r w:rsidR="00BF6B85" w:rsidRPr="0098604E">
        <w:t>(1845)</w:t>
      </w:r>
      <w:r w:rsidR="0098604E" w:rsidRPr="0098604E">
        <w:t xml:space="preserve"> 153 Eng. Rep. 351</w:t>
      </w:r>
      <w:r w:rsidR="00BF6B85">
        <w:t>.</w:t>
      </w:r>
      <w:r w:rsidR="0098604E" w:rsidRPr="0098604E">
        <w:t xml:space="preserve"> </w:t>
      </w:r>
    </w:p>
  </w:footnote>
  <w:footnote w:id="283">
    <w:p w14:paraId="4B1AB76C" w14:textId="41153865" w:rsidR="00C61267" w:rsidRDefault="00C61267">
      <w:pPr>
        <w:pStyle w:val="FootnoteText"/>
      </w:pPr>
      <w:r w:rsidRPr="002A4234">
        <w:rPr>
          <w:rStyle w:val="FootnoteReference"/>
        </w:rPr>
        <w:footnoteRef/>
      </w:r>
      <w:r>
        <w:t xml:space="preserve"> </w:t>
      </w:r>
      <w:r w:rsidR="00FD6EF2" w:rsidRPr="00FD6EF2">
        <w:t>439 U.S. 128, 143 (1978)</w:t>
      </w:r>
      <w:r w:rsidR="00206CDE">
        <w:t xml:space="preserve"> (citing Jones v. United States, 362 U.S. 257, 266 (1960))</w:t>
      </w:r>
      <w:r w:rsidR="00C466EA">
        <w:t>.</w:t>
      </w:r>
    </w:p>
  </w:footnote>
  <w:footnote w:id="284">
    <w:p w14:paraId="5AFB7A55" w14:textId="715E15F0" w:rsidR="00274027" w:rsidRDefault="00274027">
      <w:pPr>
        <w:pStyle w:val="FootnoteText"/>
      </w:pPr>
      <w:r w:rsidRPr="002A4234">
        <w:rPr>
          <w:rStyle w:val="FootnoteReference"/>
        </w:rPr>
        <w:footnoteRef/>
      </w:r>
      <w:r>
        <w:t xml:space="preserve"> </w:t>
      </w:r>
      <w:r w:rsidR="00AC1D7C">
        <w:fldChar w:fldCharType="begin"/>
      </w:r>
      <w:r w:rsidR="00E5116B">
        <w:instrText xml:space="preserve"> ADDIN ZOTERO_ITEM CSL_CITATION {"citationID":"Yf9Nyj91","properties":{"formattedCitation":"{\\scaps Restatement (Second) of Torts}, {\\i{}supra} note 16, \\uc0\\u167{} 330 cmt. h.3","plainCitation":"Restatement (Second) of Torts, supra note 16, § 330 cmt. h.3","noteIndex":275},"citationItems":[{"id":3235,"uris":["http://zotero.org/groups/2816150/items/LZ9KP39U"],"uri":["http://zotero.org/groups/2816150/items/LZ9KP39U"],"itemData":{"id":3235,"type":"book","publisher":"Am. L. Inst.","title":"Restatement (Second) of Torts","issued":{"date-parts":[["1965"]]}},"locator":"330 cmt. h.3","label":"section"}],"schema":"https://github.com/citation-style-language/schema/raw/master/csl-citation.json"} </w:instrText>
      </w:r>
      <w:r w:rsidR="00AC1D7C">
        <w:fldChar w:fldCharType="separate"/>
      </w:r>
      <w:r w:rsidR="00E5116B" w:rsidRPr="00E5116B">
        <w:rPr>
          <w:smallCaps/>
        </w:rPr>
        <w:t>Restatement (Second) of Torts</w:t>
      </w:r>
      <w:r w:rsidR="001967F6">
        <w:t xml:space="preserve"> </w:t>
      </w:r>
      <w:r w:rsidR="00E5116B" w:rsidRPr="00E5116B">
        <w:t>§</w:t>
      </w:r>
      <w:r w:rsidR="00B4231C">
        <w:t> </w:t>
      </w:r>
      <w:r w:rsidR="00E5116B" w:rsidRPr="00E5116B">
        <w:t>330 cmt. h.3</w:t>
      </w:r>
      <w:r w:rsidR="00AC1D7C">
        <w:fldChar w:fldCharType="end"/>
      </w:r>
      <w:r w:rsidR="001B46E3">
        <w:t xml:space="preserve"> (</w:t>
      </w:r>
      <w:r w:rsidR="001B46E3" w:rsidRPr="00FE31AC">
        <w:rPr>
          <w:smallCaps/>
        </w:rPr>
        <w:t>Am. L. Inst. 1965</w:t>
      </w:r>
      <w:r w:rsidR="001B46E3">
        <w:t>).</w:t>
      </w:r>
    </w:p>
  </w:footnote>
  <w:footnote w:id="285">
    <w:p w14:paraId="191EE0D9" w14:textId="67AF6660" w:rsidR="0046731A" w:rsidRDefault="0046731A" w:rsidP="0046731A">
      <w:pPr>
        <w:pStyle w:val="FootnoteText"/>
      </w:pPr>
      <w:r w:rsidRPr="002A4234">
        <w:rPr>
          <w:rStyle w:val="FootnoteReference"/>
        </w:rPr>
        <w:footnoteRef/>
      </w:r>
      <w:r>
        <w:t xml:space="preserve"> 495 U.S. 91</w:t>
      </w:r>
      <w:r w:rsidR="002A6620">
        <w:t>, 91</w:t>
      </w:r>
      <w:r>
        <w:t xml:space="preserve"> (1990).</w:t>
      </w:r>
    </w:p>
  </w:footnote>
  <w:footnote w:id="286">
    <w:p w14:paraId="1004491D" w14:textId="1C525E02" w:rsidR="00801FD3" w:rsidRDefault="00801FD3">
      <w:pPr>
        <w:pStyle w:val="FootnoteText"/>
      </w:pPr>
      <w:r w:rsidRPr="002A4234">
        <w:rPr>
          <w:rStyle w:val="FootnoteReference"/>
        </w:rPr>
        <w:footnoteRef/>
      </w:r>
      <w:r>
        <w:t xml:space="preserve"> </w:t>
      </w:r>
      <w:r w:rsidR="00541348">
        <w:rPr>
          <w:i/>
          <w:iCs/>
        </w:rPr>
        <w:t>See, e.g.</w:t>
      </w:r>
      <w:r w:rsidR="00541348">
        <w:t>,</w:t>
      </w:r>
      <w:r>
        <w:t xml:space="preserve"> </w:t>
      </w:r>
      <w:r w:rsidR="00F750E9">
        <w:t xml:space="preserve">Handy v. Nejam, </w:t>
      </w:r>
      <w:r w:rsidR="00CF13B1" w:rsidRPr="00CF13B1">
        <w:t>111 So.3d 610</w:t>
      </w:r>
      <w:r w:rsidR="00691EC0">
        <w:t>, 613</w:t>
      </w:r>
      <w:r w:rsidR="00CF27F4">
        <w:t xml:space="preserve"> (Miss. 2013)</w:t>
      </w:r>
      <w:r w:rsidR="005C630C">
        <w:t xml:space="preserve"> ) (holding that an </w:t>
      </w:r>
      <w:r w:rsidR="005C630C" w:rsidRPr="008E6698">
        <w:t xml:space="preserve">apartment tenant’s guests were trespassers in </w:t>
      </w:r>
      <w:r w:rsidR="005C630C">
        <w:t xml:space="preserve">a </w:t>
      </w:r>
      <w:r w:rsidR="005C630C" w:rsidRPr="008E6698">
        <w:t>pool area</w:t>
      </w:r>
      <w:r w:rsidR="005C630C">
        <w:t xml:space="preserve"> and that the</w:t>
      </w:r>
      <w:r w:rsidR="005C630C" w:rsidRPr="008E6698">
        <w:t xml:space="preserve"> landlord did not breach duty of care owed to trespassers</w:t>
      </w:r>
      <w:r w:rsidR="005C630C">
        <w:t>)</w:t>
      </w:r>
      <w:r w:rsidR="00CF27F4">
        <w:t>.</w:t>
      </w:r>
    </w:p>
  </w:footnote>
  <w:footnote w:id="287">
    <w:p w14:paraId="08BCEE6D" w14:textId="6367F79E" w:rsidR="00427B43" w:rsidRPr="00E133A0" w:rsidRDefault="00427B43">
      <w:pPr>
        <w:pStyle w:val="FootnoteText"/>
      </w:pPr>
      <w:r w:rsidRPr="002A4234">
        <w:rPr>
          <w:rStyle w:val="FootnoteReference"/>
        </w:rPr>
        <w:footnoteRef/>
      </w:r>
      <w:r>
        <w:t xml:space="preserve"> </w:t>
      </w:r>
      <w:r w:rsidR="00AD0553">
        <w:t xml:space="preserve">1 </w:t>
      </w:r>
      <w:r w:rsidR="00AD0553">
        <w:rPr>
          <w:smallCaps/>
        </w:rPr>
        <w:t xml:space="preserve">Am. Jur. 2d </w:t>
      </w:r>
      <w:r w:rsidR="00AD0553" w:rsidRPr="00FB7B6A">
        <w:rPr>
          <w:i/>
        </w:rPr>
        <w:t xml:space="preserve">Abandoned, Lost, and Unclaimed Property </w:t>
      </w:r>
      <w:r w:rsidR="00AD0553">
        <w:rPr>
          <w:smallCaps/>
        </w:rPr>
        <w:t>§</w:t>
      </w:r>
      <w:r w:rsidR="002F716E">
        <w:rPr>
          <w:smallCaps/>
        </w:rPr>
        <w:t> </w:t>
      </w:r>
      <w:r w:rsidR="00AD0553">
        <w:rPr>
          <w:smallCaps/>
        </w:rPr>
        <w:t>4 (202</w:t>
      </w:r>
      <w:r w:rsidR="00A41300">
        <w:rPr>
          <w:smallCaps/>
        </w:rPr>
        <w:t>2</w:t>
      </w:r>
      <w:r w:rsidR="00AD0553">
        <w:rPr>
          <w:smallCaps/>
        </w:rPr>
        <w:t>)</w:t>
      </w:r>
      <w:r w:rsidR="00BB3C34">
        <w:rPr>
          <w:smallCaps/>
        </w:rPr>
        <w:t>.</w:t>
      </w:r>
    </w:p>
  </w:footnote>
  <w:footnote w:id="288">
    <w:p w14:paraId="59613CF6" w14:textId="7C31CA35" w:rsidR="00D63C91" w:rsidRDefault="00D63C91" w:rsidP="00D63C91">
      <w:pPr>
        <w:pStyle w:val="FootnoteText"/>
      </w:pPr>
      <w:r w:rsidRPr="002A4234">
        <w:rPr>
          <w:rStyle w:val="FootnoteReference"/>
        </w:rPr>
        <w:footnoteRef/>
      </w:r>
      <w:r>
        <w:t xml:space="preserve"> </w:t>
      </w:r>
      <w:r w:rsidR="005768D9" w:rsidRPr="00752E31">
        <w:rPr>
          <w:i/>
          <w:iCs/>
        </w:rPr>
        <w:t>See</w:t>
      </w:r>
      <w:r w:rsidR="007C50A0">
        <w:t xml:space="preserve"> </w:t>
      </w:r>
      <w:r w:rsidR="00786A59">
        <w:t>United States v</w:t>
      </w:r>
      <w:r w:rsidR="00C47857">
        <w:t>.</w:t>
      </w:r>
      <w:r w:rsidR="009020A5">
        <w:t xml:space="preserve"> Ferebee, 957 </w:t>
      </w:r>
      <w:r w:rsidR="008F3B7D">
        <w:t>F.3d</w:t>
      </w:r>
      <w:r w:rsidR="009020A5">
        <w:t xml:space="preserve"> 406, 412</w:t>
      </w:r>
      <w:r w:rsidR="00BD5F79">
        <w:t>-</w:t>
      </w:r>
      <w:r w:rsidR="009020A5">
        <w:t>13 (4th Cir</w:t>
      </w:r>
      <w:r w:rsidR="0099570B">
        <w:t>.</w:t>
      </w:r>
      <w:r w:rsidR="009020A5">
        <w:t xml:space="preserve"> 2020) (“</w:t>
      </w:r>
      <w:r w:rsidR="005A6A44">
        <w:t>[</w:t>
      </w:r>
      <w:r w:rsidR="009020A5">
        <w:t>O</w:t>
      </w:r>
      <w:r w:rsidR="005A6A44">
        <w:t>]</w:t>
      </w:r>
      <w:r w:rsidR="009020A5">
        <w:t>ne who abandons property would have no subjective expectation that the property would remain private, nor would society recognize any such expectation as reasonable</w:t>
      </w:r>
      <w:r w:rsidR="007E5A78">
        <w:t>.</w:t>
      </w:r>
      <w:r w:rsidR="009020A5">
        <w:t xml:space="preserve">”); </w:t>
      </w:r>
      <w:r w:rsidR="00786A59">
        <w:t>United States v. Zapata, 18 F.3d 971</w:t>
      </w:r>
      <w:r w:rsidR="00B12793">
        <w:t>, 978</w:t>
      </w:r>
      <w:r w:rsidR="005527C7">
        <w:t xml:space="preserve"> (1st Cir. 1994) </w:t>
      </w:r>
      <w:r w:rsidR="00AA50FB">
        <w:t>(</w:t>
      </w:r>
      <w:r w:rsidR="002C1323">
        <w:t>similar</w:t>
      </w:r>
      <w:r w:rsidR="008B720B">
        <w:t>)</w:t>
      </w:r>
      <w:r w:rsidR="0040372C">
        <w:t xml:space="preserve">; </w:t>
      </w:r>
      <w:r w:rsidR="0040372C" w:rsidRPr="0040372C">
        <w:rPr>
          <w:i/>
          <w:iCs/>
        </w:rPr>
        <w:t>see also</w:t>
      </w:r>
      <w:r w:rsidR="007C50A0">
        <w:t xml:space="preserve"> Tex</w:t>
      </w:r>
      <w:r w:rsidR="00C47857">
        <w:t>as</w:t>
      </w:r>
      <w:r w:rsidR="007C50A0">
        <w:t xml:space="preserve"> </w:t>
      </w:r>
      <w:r w:rsidR="00C47857">
        <w:t>v</w:t>
      </w:r>
      <w:r w:rsidR="007C50A0">
        <w:t xml:space="preserve">. Brown, 460 U.S. 730, </w:t>
      </w:r>
      <w:r w:rsidR="006A5589">
        <w:t>748 (</w:t>
      </w:r>
      <w:r w:rsidR="006A70CC">
        <w:t>“</w:t>
      </w:r>
      <w:r w:rsidR="006A70CC" w:rsidRPr="006A70CC">
        <w:t>Since seizure of such an object threatens only the interest in possession, circumstances diminishing that interest may justify exceptions to the Fourth Amendment's usual requirements.</w:t>
      </w:r>
      <w:r w:rsidR="002C4D47">
        <w:t>”)</w:t>
      </w:r>
      <w:r w:rsidR="008E2399">
        <w:t xml:space="preserve">. This framework predates </w:t>
      </w:r>
      <w:r w:rsidR="008E2399">
        <w:rPr>
          <w:i/>
          <w:iCs/>
        </w:rPr>
        <w:t>Katz</w:t>
      </w:r>
      <w:r w:rsidR="008E2399">
        <w:t xml:space="preserve">. </w:t>
      </w:r>
      <w:r w:rsidR="008E2399" w:rsidRPr="008E2399">
        <w:rPr>
          <w:i/>
          <w:iCs/>
        </w:rPr>
        <w:t>See</w:t>
      </w:r>
      <w:r w:rsidR="007C50A0">
        <w:t xml:space="preserve"> </w:t>
      </w:r>
      <w:r w:rsidRPr="001D355C">
        <w:t>Abel v</w:t>
      </w:r>
      <w:r w:rsidR="00C47857">
        <w:t>.</w:t>
      </w:r>
      <w:r w:rsidRPr="001D355C">
        <w:t xml:space="preserve"> United States, 362 U</w:t>
      </w:r>
      <w:r w:rsidR="00C00112">
        <w:t>.</w:t>
      </w:r>
      <w:r w:rsidRPr="001D355C">
        <w:t>S</w:t>
      </w:r>
      <w:r w:rsidR="00C00112">
        <w:t>.</w:t>
      </w:r>
      <w:r w:rsidRPr="001D355C">
        <w:t xml:space="preserve"> 217, 241 </w:t>
      </w:r>
      <w:r>
        <w:t xml:space="preserve">(1960) (finding that personal property left in the wastepaper basket of a vacated hotel room </w:t>
      </w:r>
      <w:r w:rsidRPr="00A66E24">
        <w:t xml:space="preserve">were </w:t>
      </w:r>
      <w:r w:rsidR="005449D1">
        <w:t>“</w:t>
      </w:r>
      <w:r w:rsidRPr="00FB7B6A">
        <w:rPr>
          <w:i/>
        </w:rPr>
        <w:t>bona vacantia</w:t>
      </w:r>
      <w:r w:rsidR="005449D1">
        <w:t>”</w:t>
      </w:r>
      <w:r>
        <w:t xml:space="preserve"> and therefor</w:t>
      </w:r>
      <w:r w:rsidR="005246C2">
        <w:t>e</w:t>
      </w:r>
      <w:r>
        <w:t xml:space="preserve"> subject to seizure without a warrant)</w:t>
      </w:r>
      <w:r w:rsidR="00C06B0E">
        <w:t>.</w:t>
      </w:r>
    </w:p>
  </w:footnote>
  <w:footnote w:id="289">
    <w:p w14:paraId="199BC6CA" w14:textId="0FBF2FD5" w:rsidR="00D63C91" w:rsidRDefault="00D63C91" w:rsidP="00D63C91">
      <w:pPr>
        <w:pStyle w:val="FootnoteText"/>
      </w:pPr>
      <w:r w:rsidRPr="002A4234">
        <w:rPr>
          <w:rStyle w:val="FootnoteReference"/>
        </w:rPr>
        <w:footnoteRef/>
      </w:r>
      <w:r>
        <w:t xml:space="preserve"> </w:t>
      </w:r>
      <w:r w:rsidRPr="005E496E">
        <w:t>Commonwealth v</w:t>
      </w:r>
      <w:r w:rsidR="008F3B7D">
        <w:t>.</w:t>
      </w:r>
      <w:r w:rsidRPr="005E496E">
        <w:t xml:space="preserve"> Shaffer, 177 A</w:t>
      </w:r>
      <w:r w:rsidR="00C00112">
        <w:t>.</w:t>
      </w:r>
      <w:r w:rsidRPr="005E496E">
        <w:t xml:space="preserve">3d 241, </w:t>
      </w:r>
      <w:r w:rsidR="002E7EA1">
        <w:t xml:space="preserve">244, </w:t>
      </w:r>
      <w:r w:rsidRPr="005E496E">
        <w:t>245</w:t>
      </w:r>
      <w:r>
        <w:t xml:space="preserve"> (Pa. </w:t>
      </w:r>
      <w:r w:rsidR="00BD296E">
        <w:t>Super. Ct.</w:t>
      </w:r>
      <w:r>
        <w:t xml:space="preserve"> </w:t>
      </w:r>
      <w:r w:rsidRPr="005E496E">
        <w:t>2017)</w:t>
      </w:r>
      <w:r w:rsidR="002E7EA1">
        <w:t xml:space="preserve"> (quoting </w:t>
      </w:r>
      <w:r w:rsidR="002E7EA1" w:rsidRPr="00FB7B6A">
        <w:t>Commonwealth v. Sodomsky</w:t>
      </w:r>
      <w:r w:rsidR="002E7EA1">
        <w:t>, 939 A.2d 363</w:t>
      </w:r>
      <w:r w:rsidR="004C257C">
        <w:t>, 366</w:t>
      </w:r>
      <w:r w:rsidR="004C11B7">
        <w:t>, 3</w:t>
      </w:r>
      <w:r w:rsidR="004C257C">
        <w:t>67</w:t>
      </w:r>
      <w:r w:rsidR="00F0223D">
        <w:t xml:space="preserve"> (Pa. Super. Ct. 2007)</w:t>
      </w:r>
      <w:r w:rsidR="004C257C">
        <w:t>)</w:t>
      </w:r>
      <w:r w:rsidR="001529E4">
        <w:t xml:space="preserve">; </w:t>
      </w:r>
      <w:r w:rsidR="00F9116F">
        <w:rPr>
          <w:i/>
          <w:iCs/>
        </w:rPr>
        <w:t xml:space="preserve">see also </w:t>
      </w:r>
      <w:r w:rsidR="001529E4">
        <w:t>United States v</w:t>
      </w:r>
      <w:r w:rsidR="0099570B">
        <w:t>.</w:t>
      </w:r>
      <w:r w:rsidR="001529E4">
        <w:t xml:space="preserve"> Lewis, 921 F</w:t>
      </w:r>
      <w:r w:rsidR="00BD37AA">
        <w:t>.</w:t>
      </w:r>
      <w:r w:rsidR="001529E4">
        <w:t xml:space="preserve">2d 1294, 1302 </w:t>
      </w:r>
      <w:r w:rsidR="00BD37AA">
        <w:t>(</w:t>
      </w:r>
      <w:r w:rsidR="0009534A">
        <w:t>D</w:t>
      </w:r>
      <w:r w:rsidR="00BD37AA">
        <w:t>.C</w:t>
      </w:r>
      <w:r w:rsidR="00E621D6">
        <w:t>.</w:t>
      </w:r>
      <w:r w:rsidR="0009534A">
        <w:t xml:space="preserve"> Cir. </w:t>
      </w:r>
      <w:r w:rsidR="001529E4">
        <w:t>1990</w:t>
      </w:r>
      <w:r w:rsidR="0009534A">
        <w:t xml:space="preserve">) (“Abandonment </w:t>
      </w:r>
      <w:r w:rsidR="001529E4">
        <w:t>for purposes of the Fourth Amendment differs from abandonment in property law; here, the analysis examines the individual</w:t>
      </w:r>
      <w:r w:rsidR="00675059">
        <w:t>’</w:t>
      </w:r>
      <w:r w:rsidR="001529E4">
        <w:t>s reasonable expectation of privacy, not his property interest in the item</w:t>
      </w:r>
      <w:r w:rsidR="00675059">
        <w:t>.</w:t>
      </w:r>
      <w:r w:rsidR="0009534A">
        <w:t>”</w:t>
      </w:r>
      <w:r w:rsidR="001529E4">
        <w:t>)</w:t>
      </w:r>
      <w:r w:rsidR="003B2E84">
        <w:t xml:space="preserve">; </w:t>
      </w:r>
      <w:r w:rsidR="00721756" w:rsidRPr="009B6711">
        <w:t>United States v. Tsarnaev, 53 F. Supp. 3d 450, 456 (D. Mass. 2014)</w:t>
      </w:r>
      <w:r w:rsidR="00721756">
        <w:t xml:space="preserve"> (</w:t>
      </w:r>
      <w:r w:rsidR="00C9519E">
        <w:t xml:space="preserve">holding that </w:t>
      </w:r>
      <w:r w:rsidR="00721756">
        <w:t xml:space="preserve">leaving an apartment without the intention of returning alive </w:t>
      </w:r>
      <w:r w:rsidR="00EE3AD5">
        <w:t>is</w:t>
      </w:r>
      <w:r w:rsidR="00721756">
        <w:t xml:space="preserve"> not an “unambiguous abandonment” of an expectation of privacy in the apartment and its contents)</w:t>
      </w:r>
      <w:r w:rsidR="0074037E">
        <w:t>.</w:t>
      </w:r>
    </w:p>
  </w:footnote>
  <w:footnote w:id="290">
    <w:p w14:paraId="0825EA50" w14:textId="7D489473" w:rsidR="00D63C91" w:rsidRDefault="00D63C91" w:rsidP="00D63C91">
      <w:pPr>
        <w:pStyle w:val="FootnoteText"/>
      </w:pPr>
      <w:r w:rsidRPr="002A4234">
        <w:rPr>
          <w:rStyle w:val="FootnoteReference"/>
        </w:rPr>
        <w:footnoteRef/>
      </w:r>
      <w:r>
        <w:t xml:space="preserve"> United States v</w:t>
      </w:r>
      <w:r w:rsidR="00C47857">
        <w:t>.</w:t>
      </w:r>
      <w:r>
        <w:t xml:space="preserve"> Jones, 707 F</w:t>
      </w:r>
      <w:r w:rsidR="00C00112">
        <w:t>.</w:t>
      </w:r>
      <w:r>
        <w:t>2d 1169, 1172 (10th Cir</w:t>
      </w:r>
      <w:r w:rsidR="003B2E84">
        <w:t>.</w:t>
      </w:r>
      <w:r>
        <w:t xml:space="preserve"> 1983) (citations omitted)</w:t>
      </w:r>
      <w:r w:rsidR="00484307">
        <w:t>.</w:t>
      </w:r>
    </w:p>
  </w:footnote>
  <w:footnote w:id="291">
    <w:p w14:paraId="4E5931C6" w14:textId="77AB5145" w:rsidR="00706A97" w:rsidRDefault="00706A97" w:rsidP="00706A97">
      <w:pPr>
        <w:pStyle w:val="FootnoteText"/>
      </w:pPr>
      <w:r w:rsidRPr="002A4234">
        <w:rPr>
          <w:rStyle w:val="FootnoteReference"/>
        </w:rPr>
        <w:footnoteRef/>
      </w:r>
      <w:r>
        <w:t xml:space="preserve"> </w:t>
      </w:r>
      <w:r w:rsidR="00703E9E" w:rsidRPr="00703E9E">
        <w:t xml:space="preserve">California v. Greenwood, </w:t>
      </w:r>
      <w:bookmarkStart w:id="73" w:name="_Hlk111805164"/>
      <w:r w:rsidR="00703E9E" w:rsidRPr="00703E9E">
        <w:t>486 U.S. 35, 40</w:t>
      </w:r>
      <w:r w:rsidR="00C43807">
        <w:t>-</w:t>
      </w:r>
      <w:r w:rsidR="00703E9E" w:rsidRPr="00703E9E">
        <w:t>41 (1988).</w:t>
      </w:r>
      <w:bookmarkEnd w:id="73"/>
    </w:p>
  </w:footnote>
  <w:footnote w:id="292">
    <w:p w14:paraId="681C0D61" w14:textId="469AD5F5" w:rsidR="005B76C8" w:rsidRDefault="005B76C8" w:rsidP="005B76C8">
      <w:pPr>
        <w:pStyle w:val="FootnoteText"/>
      </w:pPr>
      <w:r w:rsidRPr="002A4234">
        <w:rPr>
          <w:rStyle w:val="FootnoteReference"/>
        </w:rPr>
        <w:footnoteRef/>
      </w:r>
      <w:r>
        <w:t xml:space="preserve"> </w:t>
      </w:r>
      <w:r w:rsidRPr="00FC63B2">
        <w:rPr>
          <w:i/>
        </w:rPr>
        <w:t>Jones</w:t>
      </w:r>
      <w:r>
        <w:t>, 707 F.2d at 1172</w:t>
      </w:r>
      <w:r w:rsidR="002F716E">
        <w:t>-</w:t>
      </w:r>
      <w:r w:rsidR="00CE4806">
        <w:t>73</w:t>
      </w:r>
      <w:r>
        <w:t xml:space="preserve">; </w:t>
      </w:r>
      <w:r>
        <w:rPr>
          <w:i/>
          <w:iCs/>
        </w:rPr>
        <w:t>c</w:t>
      </w:r>
      <w:r w:rsidR="007F7C3E">
        <w:rPr>
          <w:i/>
          <w:iCs/>
        </w:rPr>
        <w:t>f.</w:t>
      </w:r>
      <w:r>
        <w:rPr>
          <w:i/>
          <w:iCs/>
        </w:rPr>
        <w:t xml:space="preserve"> </w:t>
      </w:r>
      <w:r>
        <w:t>United States v. Burnette, 698 F.2d 1038, 1047</w:t>
      </w:r>
      <w:r w:rsidR="002F716E">
        <w:t>-</w:t>
      </w:r>
      <w:r>
        <w:t>48 (9th Cir. 1983) (finding that the defendant had not objectively manifested an intent to abandon her privacy interest in a purse where she referred to it as “my purse” and attempted to shield its contents from officers).</w:t>
      </w:r>
    </w:p>
  </w:footnote>
  <w:footnote w:id="293">
    <w:p w14:paraId="0AD4EE09" w14:textId="438461A0" w:rsidR="00E96844" w:rsidRDefault="00E96844">
      <w:pPr>
        <w:pStyle w:val="FootnoteText"/>
      </w:pPr>
      <w:r w:rsidRPr="002A4234">
        <w:rPr>
          <w:rStyle w:val="FootnoteReference"/>
        </w:rPr>
        <w:footnoteRef/>
      </w:r>
      <w:r>
        <w:t xml:space="preserve"> </w:t>
      </w:r>
      <w:r w:rsidR="004D3520" w:rsidRPr="004D3520">
        <w:t>Commonwealth v. Wetmore, 447 A.2d 1012, 1014 (</w:t>
      </w:r>
      <w:r w:rsidR="00FC63B2">
        <w:t xml:space="preserve">Pa. Super. Ct. </w:t>
      </w:r>
      <w:r w:rsidR="004D3520" w:rsidRPr="004D3520">
        <w:t>1982)</w:t>
      </w:r>
      <w:r w:rsidR="00AD1F33">
        <w:t xml:space="preserve"> (citation omitted)</w:t>
      </w:r>
      <w:r w:rsidR="00484307">
        <w:t>.</w:t>
      </w:r>
    </w:p>
  </w:footnote>
  <w:footnote w:id="294">
    <w:p w14:paraId="37E2D1E5" w14:textId="271EE77D" w:rsidR="00D90B0B" w:rsidRPr="0089189C" w:rsidRDefault="00D90B0B">
      <w:pPr>
        <w:pStyle w:val="FootnoteText"/>
      </w:pPr>
      <w:r w:rsidRPr="002A4234">
        <w:rPr>
          <w:rStyle w:val="FootnoteReference"/>
        </w:rPr>
        <w:footnoteRef/>
      </w:r>
      <w:r>
        <w:t xml:space="preserve"> The Fourth Amendment is less protective than some state constitutions on this front. For example, in </w:t>
      </w:r>
      <w:r w:rsidR="0089189C">
        <w:rPr>
          <w:i/>
          <w:iCs/>
        </w:rPr>
        <w:t>State v. Wright</w:t>
      </w:r>
      <w:r w:rsidR="0089189C">
        <w:t xml:space="preserve">, the Iowa Supreme Court </w:t>
      </w:r>
      <w:r w:rsidR="00181F5F">
        <w:t>relied on a positive-law test to hold</w:t>
      </w:r>
      <w:r w:rsidR="0089189C">
        <w:t xml:space="preserve"> that officers violated a defendant’s rights when they searched opaque trash bags placed out for collection. </w:t>
      </w:r>
      <w:r w:rsidR="004F51A3">
        <w:t xml:space="preserve">961 N.W.2d </w:t>
      </w:r>
      <w:r w:rsidR="00D04BEE">
        <w:t>396, 415</w:t>
      </w:r>
      <w:r w:rsidR="00F47E87">
        <w:t>–</w:t>
      </w:r>
      <w:r w:rsidR="00D04BEE">
        <w:t>16 (</w:t>
      </w:r>
      <w:r w:rsidR="00F47E87">
        <w:t xml:space="preserve">Iowa </w:t>
      </w:r>
      <w:r w:rsidR="00D04BEE">
        <w:t>2021)</w:t>
      </w:r>
      <w:r w:rsidR="00294C45">
        <w:t xml:space="preserve">; </w:t>
      </w:r>
      <w:r w:rsidR="00294C45">
        <w:rPr>
          <w:i/>
          <w:iCs/>
        </w:rPr>
        <w:t>see also</w:t>
      </w:r>
      <w:r w:rsidR="00735A90">
        <w:t xml:space="preserve"> </w:t>
      </w:r>
      <w:r w:rsidR="00294C45" w:rsidRPr="00294C45">
        <w:t xml:space="preserve">Tanner M. Russo, Note, </w:t>
      </w:r>
      <w:r w:rsidR="00294C45" w:rsidRPr="00EC7B14">
        <w:rPr>
          <w:i/>
          <w:iCs/>
        </w:rPr>
        <w:t>Garbage Pulls Under the Physical Trespass Test,</w:t>
      </w:r>
      <w:r w:rsidR="00294C45" w:rsidRPr="00294C45">
        <w:t xml:space="preserve"> 105 </w:t>
      </w:r>
      <w:r w:rsidR="00294C45" w:rsidRPr="00EC7B14">
        <w:rPr>
          <w:smallCaps/>
        </w:rPr>
        <w:t xml:space="preserve">Va. L. Rev. </w:t>
      </w:r>
      <w:r w:rsidR="00294C45" w:rsidRPr="00294C45">
        <w:t>1217</w:t>
      </w:r>
      <w:r w:rsidR="00294C45">
        <w:t>, 1243</w:t>
      </w:r>
      <w:r w:rsidR="00256D6D">
        <w:t>-</w:t>
      </w:r>
      <w:r w:rsidR="00294C45">
        <w:t>48</w:t>
      </w:r>
      <w:r w:rsidR="00294C45" w:rsidRPr="00294C45">
        <w:t xml:space="preserve"> (2019)</w:t>
      </w:r>
      <w:r w:rsidR="00294C45">
        <w:t>.</w:t>
      </w:r>
    </w:p>
  </w:footnote>
  <w:footnote w:id="295">
    <w:p w14:paraId="6A02906D" w14:textId="2E2A5304" w:rsidR="00F66CB6" w:rsidRDefault="00F66CB6">
      <w:pPr>
        <w:pStyle w:val="FootnoteText"/>
      </w:pPr>
      <w:r w:rsidRPr="004041E0">
        <w:rPr>
          <w:rStyle w:val="FootnoteReference"/>
        </w:rPr>
        <w:footnoteRef/>
      </w:r>
      <w:r>
        <w:t xml:space="preserve"> </w:t>
      </w:r>
      <w:r w:rsidR="009D52C4">
        <w:t xml:space="preserve">United States v. Scott, </w:t>
      </w:r>
      <w:r w:rsidR="00A764A7">
        <w:t>975 F.2d 927, 928</w:t>
      </w:r>
      <w:r w:rsidR="003B2E84">
        <w:t>–</w:t>
      </w:r>
      <w:r w:rsidR="00FE0A16">
        <w:t>30</w:t>
      </w:r>
      <w:r w:rsidR="00A764A7">
        <w:t xml:space="preserve"> (</w:t>
      </w:r>
      <w:r w:rsidR="001547A1">
        <w:t>1</w:t>
      </w:r>
      <w:r w:rsidR="0027080A">
        <w:t xml:space="preserve">st </w:t>
      </w:r>
      <w:r w:rsidR="001547A1">
        <w:t>Cir. 1992)</w:t>
      </w:r>
      <w:r w:rsidR="005B5C91">
        <w:t xml:space="preserve"> (holding that </w:t>
      </w:r>
      <w:r w:rsidR="0068382E">
        <w:t>shredding documents does not create a privacy interest that persists when shreds are later placed in the public trash</w:t>
      </w:r>
      <w:r w:rsidR="00B61A35">
        <w:t xml:space="preserve">, </w:t>
      </w:r>
      <w:r w:rsidR="00FE0A16">
        <w:t>thereby abandoning any property interes</w:t>
      </w:r>
      <w:r w:rsidR="0019463D">
        <w:t>t</w:t>
      </w:r>
      <w:r w:rsidR="0068382E">
        <w:t>).</w:t>
      </w:r>
    </w:p>
  </w:footnote>
  <w:footnote w:id="296">
    <w:p w14:paraId="2BD29DE7" w14:textId="4967E2A9" w:rsidR="000B15A0" w:rsidRPr="00164916" w:rsidRDefault="000B15A0">
      <w:pPr>
        <w:pStyle w:val="FootnoteText"/>
      </w:pPr>
      <w:r w:rsidRPr="002A4234">
        <w:rPr>
          <w:rStyle w:val="FootnoteReference"/>
        </w:rPr>
        <w:footnoteRef/>
      </w:r>
      <w:r>
        <w:t xml:space="preserve"> </w:t>
      </w:r>
      <w:r>
        <w:rPr>
          <w:i/>
          <w:iCs/>
        </w:rPr>
        <w:t>But see id</w:t>
      </w:r>
      <w:r w:rsidR="00164916">
        <w:rPr>
          <w:i/>
          <w:iCs/>
        </w:rPr>
        <w:t xml:space="preserve">. </w:t>
      </w:r>
      <w:r w:rsidR="00164916">
        <w:t>at</w:t>
      </w:r>
      <w:r w:rsidR="00566998">
        <w:t xml:space="preserve"> 930</w:t>
      </w:r>
      <w:r w:rsidR="00164916">
        <w:t xml:space="preserve"> (</w:t>
      </w:r>
      <w:r w:rsidR="00841F30">
        <w:t>“</w:t>
      </w:r>
      <w:r w:rsidR="00841F30" w:rsidRPr="00841F30">
        <w:t>Appellee here thought that reducing the documents to 5/32 inch pieces made them undecipherable. It turned out he was wrong</w:t>
      </w:r>
      <w:r w:rsidR="00BC3846">
        <w:t>.”).</w:t>
      </w:r>
    </w:p>
  </w:footnote>
  <w:footnote w:id="297">
    <w:p w14:paraId="301D8D9D" w14:textId="02FDF9A2" w:rsidR="00917A36" w:rsidRPr="00917A36" w:rsidRDefault="00917A36">
      <w:pPr>
        <w:pStyle w:val="FootnoteText"/>
      </w:pPr>
      <w:r w:rsidRPr="002A4234">
        <w:rPr>
          <w:rStyle w:val="FootnoteReference"/>
        </w:rPr>
        <w:footnoteRef/>
      </w:r>
      <w:r>
        <w:t xml:space="preserve"> </w:t>
      </w:r>
      <w:r>
        <w:rPr>
          <w:i/>
          <w:iCs/>
        </w:rPr>
        <w:t xml:space="preserve">See infra </w:t>
      </w:r>
      <w:r w:rsidR="007C6808">
        <w:t xml:space="preserve">Section </w:t>
      </w:r>
      <w:r w:rsidR="00484307">
        <w:t>III.C.</w:t>
      </w:r>
    </w:p>
  </w:footnote>
  <w:footnote w:id="298">
    <w:p w14:paraId="5F6783AA" w14:textId="5888A19B" w:rsidR="007A1299" w:rsidRPr="00B74372" w:rsidRDefault="007A1299">
      <w:pPr>
        <w:pStyle w:val="FootnoteText"/>
        <w:rPr>
          <w:i/>
        </w:rPr>
      </w:pPr>
      <w:r w:rsidRPr="002A4234">
        <w:rPr>
          <w:rStyle w:val="FootnoteReference"/>
        </w:rPr>
        <w:footnoteRef/>
      </w:r>
      <w:r>
        <w:t xml:space="preserve"> </w:t>
      </w:r>
      <w:r w:rsidR="005A4DBA">
        <w:t xml:space="preserve">See, for example, </w:t>
      </w:r>
      <w:r w:rsidR="00F3748A" w:rsidRPr="0027080A">
        <w:rPr>
          <w:i/>
          <w:iCs/>
        </w:rPr>
        <w:t>United States v. Quashie</w:t>
      </w:r>
      <w:r w:rsidR="00F3748A" w:rsidRPr="00F3748A">
        <w:t>,</w:t>
      </w:r>
      <w:bookmarkStart w:id="74" w:name="_Hlk96190411"/>
      <w:r w:rsidR="00F3748A" w:rsidRPr="00F3748A">
        <w:t xml:space="preserve"> 162 F. Supp. 3d </w:t>
      </w:r>
      <w:bookmarkEnd w:id="74"/>
      <w:r w:rsidR="00F3748A" w:rsidRPr="00F3748A">
        <w:t>135</w:t>
      </w:r>
      <w:r w:rsidR="00D142B9">
        <w:t>, 141 (</w:t>
      </w:r>
      <w:r w:rsidR="00EF04CD">
        <w:t xml:space="preserve">E.D.N.Y. </w:t>
      </w:r>
      <w:r w:rsidR="00D142B9">
        <w:t>2016)</w:t>
      </w:r>
      <w:r w:rsidR="005A4DBA">
        <w:t>, which</w:t>
      </w:r>
      <w:r w:rsidR="00F5239F">
        <w:t xml:space="preserve"> </w:t>
      </w:r>
      <w:r w:rsidR="00802BD6">
        <w:t>holds</w:t>
      </w:r>
      <w:r w:rsidR="00F5239F">
        <w:t xml:space="preserve"> that i</w:t>
      </w:r>
      <w:r w:rsidR="00802BD6">
        <w:t>f</w:t>
      </w:r>
      <w:r w:rsidR="00F5239F">
        <w:t xml:space="preserve"> a suspect accidentally drops her phone at the scene of a robbery, the phone is “abandoned” and subject</w:t>
      </w:r>
      <w:r w:rsidR="00802BD6">
        <w:t>able</w:t>
      </w:r>
      <w:r w:rsidR="00F5239F">
        <w:t xml:space="preserve"> to a warrantless search</w:t>
      </w:r>
      <w:r w:rsidR="00D142B9">
        <w:t xml:space="preserve">. </w:t>
      </w:r>
      <w:r w:rsidR="00FC2504">
        <w:rPr>
          <w:i/>
          <w:iCs/>
        </w:rPr>
        <w:t>Quashie</w:t>
      </w:r>
      <w:r w:rsidR="00FC2504">
        <w:t xml:space="preserve"> is a particularly grating example of the abandonment framework because the suspects returned to the property to attempt to retrieve the phone</w:t>
      </w:r>
      <w:r w:rsidR="00B74372">
        <w:t xml:space="preserve">—an act that in the property context would be an objective manifestation of an intent </w:t>
      </w:r>
      <w:r w:rsidR="00B74372">
        <w:rPr>
          <w:i/>
          <w:iCs/>
        </w:rPr>
        <w:t>not</w:t>
      </w:r>
      <w:r w:rsidR="00B74372">
        <w:t xml:space="preserve"> to abandon the property—but because they were unsuccessful, the court held the phone to be abandoned. </w:t>
      </w:r>
      <w:r w:rsidR="008C26AE">
        <w:rPr>
          <w:i/>
          <w:iCs/>
        </w:rPr>
        <w:t>See i</w:t>
      </w:r>
      <w:r w:rsidR="00B74372">
        <w:rPr>
          <w:i/>
          <w:iCs/>
        </w:rPr>
        <w:t>d.</w:t>
      </w:r>
    </w:p>
  </w:footnote>
  <w:footnote w:id="299">
    <w:p w14:paraId="5356BC22" w14:textId="202F5B04" w:rsidR="005766E9" w:rsidRDefault="005766E9">
      <w:pPr>
        <w:pStyle w:val="FootnoteText"/>
      </w:pPr>
      <w:r w:rsidRPr="002A4234">
        <w:rPr>
          <w:rStyle w:val="FootnoteReference"/>
        </w:rPr>
        <w:footnoteRef/>
      </w:r>
      <w:r>
        <w:t xml:space="preserve"> </w:t>
      </w:r>
      <w:r w:rsidR="0036508E">
        <w:t xml:space="preserve">Hamaker v. Blanchard, 90 Pa. </w:t>
      </w:r>
      <w:r w:rsidR="002D7A3A">
        <w:t xml:space="preserve">377, </w:t>
      </w:r>
      <w:r w:rsidR="0036508E">
        <w:t>377</w:t>
      </w:r>
      <w:r w:rsidR="00C91617">
        <w:t xml:space="preserve"> (1879)</w:t>
      </w:r>
      <w:r w:rsidR="005B4AA5">
        <w:t xml:space="preserve"> (“</w:t>
      </w:r>
      <w:r w:rsidR="006905A0">
        <w:t>[F]</w:t>
      </w:r>
      <w:r w:rsidR="005B4AA5" w:rsidRPr="005B4AA5">
        <w:t>inder of a lost chattel is entitled to the possession and use of it as against all the world except the true owner</w:t>
      </w:r>
      <w:r w:rsidR="00210213">
        <w:t>”)</w:t>
      </w:r>
      <w:r w:rsidR="003D11C2">
        <w:t>; Weeks v</w:t>
      </w:r>
      <w:r w:rsidR="008F3B7D">
        <w:t>.</w:t>
      </w:r>
      <w:r w:rsidR="003D11C2">
        <w:t xml:space="preserve"> Hackett, 71 A</w:t>
      </w:r>
      <w:r w:rsidR="00623DD0">
        <w:t>.</w:t>
      </w:r>
      <w:r w:rsidR="003D11C2">
        <w:t xml:space="preserve"> 858, 860 (</w:t>
      </w:r>
      <w:r w:rsidR="00623DD0">
        <w:t xml:space="preserve">Me. </w:t>
      </w:r>
      <w:r w:rsidR="003D11C2">
        <w:t>1908) (“</w:t>
      </w:r>
      <w:r w:rsidR="00623DD0">
        <w:t>[W]</w:t>
      </w:r>
      <w:r w:rsidR="003D11C2">
        <w:t>ith respect to both lost goods, properly so termed, and treasure-</w:t>
      </w:r>
      <w:r w:rsidR="002D7A3A">
        <w:t>trove . . . </w:t>
      </w:r>
      <w:r w:rsidR="003D11C2">
        <w:t>the title to such property belongs to the finder as against all the world except the true owner and that ordinarily the place where it is found is immaterial.</w:t>
      </w:r>
      <w:r w:rsidR="00623DD0">
        <w:t>”</w:t>
      </w:r>
      <w:r w:rsidR="003D11C2">
        <w:t>)</w:t>
      </w:r>
      <w:r w:rsidR="000538ED">
        <w:t>.</w:t>
      </w:r>
    </w:p>
  </w:footnote>
  <w:footnote w:id="300">
    <w:p w14:paraId="71743CB8" w14:textId="38AB55D4" w:rsidR="000E2735" w:rsidRPr="000E2735" w:rsidRDefault="000E2735">
      <w:pPr>
        <w:pStyle w:val="FootnoteText"/>
      </w:pPr>
      <w:r w:rsidRPr="002A4234">
        <w:rPr>
          <w:rStyle w:val="FootnoteReference"/>
        </w:rPr>
        <w:footnoteRef/>
      </w:r>
      <w:r>
        <w:t xml:space="preserve"> </w:t>
      </w:r>
      <w:r>
        <w:rPr>
          <w:i/>
          <w:iCs/>
        </w:rPr>
        <w:t xml:space="preserve">See </w:t>
      </w:r>
      <w:r>
        <w:t xml:space="preserve">United States v. Harrison, </w:t>
      </w:r>
      <w:r w:rsidR="00666F6E">
        <w:t>689 F.3d 301</w:t>
      </w:r>
      <w:r w:rsidR="00992D7B">
        <w:t>, 307</w:t>
      </w:r>
      <w:r w:rsidR="00074041">
        <w:t xml:space="preserve"> (3d Cir. 2012) (“</w:t>
      </w:r>
      <w:r w:rsidR="006C1E96">
        <w:t>[T]</w:t>
      </w:r>
      <w:r w:rsidR="00074041">
        <w:t>he fact that for common law purposes real property cannot be abandoned is not dispositive</w:t>
      </w:r>
      <w:r w:rsidR="006C1E96">
        <w:t>.</w:t>
      </w:r>
      <w:r w:rsidR="00074041">
        <w:t>”</w:t>
      </w:r>
      <w:r w:rsidR="00E21D87">
        <w:t xml:space="preserve"> (internal citations omitted)</w:t>
      </w:r>
      <w:r w:rsidR="006C1E96">
        <w:t>)</w:t>
      </w:r>
      <w:r w:rsidR="00E21D87">
        <w:t>.</w:t>
      </w:r>
    </w:p>
  </w:footnote>
  <w:footnote w:id="301">
    <w:p w14:paraId="0A2BB732" w14:textId="0BC6C750" w:rsidR="00D8721A" w:rsidRDefault="00D8721A">
      <w:pPr>
        <w:pStyle w:val="FootnoteText"/>
      </w:pPr>
      <w:r w:rsidRPr="002A4234">
        <w:rPr>
          <w:rStyle w:val="FootnoteReference"/>
        </w:rPr>
        <w:footnoteRef/>
      </w:r>
      <w:r>
        <w:t xml:space="preserve"> </w:t>
      </w:r>
      <w:r w:rsidR="00EC67C3" w:rsidRPr="00EC67C3">
        <w:t xml:space="preserve">Pocono Springs Civic </w:t>
      </w:r>
      <w:r w:rsidR="00992D7B" w:rsidRPr="00EC67C3">
        <w:t>Ass</w:t>
      </w:r>
      <w:r w:rsidR="00992D7B">
        <w:t>’n</w:t>
      </w:r>
      <w:r w:rsidR="00EC67C3" w:rsidRPr="00EC67C3">
        <w:t xml:space="preserve">., v. MacKenzie, </w:t>
      </w:r>
      <w:bookmarkStart w:id="76" w:name="_Hlk74310352"/>
      <w:r w:rsidR="00EC67C3" w:rsidRPr="00EC67C3">
        <w:t>667 A.2d 233</w:t>
      </w:r>
      <w:bookmarkEnd w:id="76"/>
      <w:r w:rsidR="00EC67C3" w:rsidRPr="00EC67C3">
        <w:t>, 236 (Pa. Super Ct. 1995)</w:t>
      </w:r>
      <w:r w:rsidR="000538ED">
        <w:t>.</w:t>
      </w:r>
    </w:p>
  </w:footnote>
  <w:footnote w:id="302">
    <w:p w14:paraId="6BE1F3B6" w14:textId="6EF881E0" w:rsidR="00A07FFE" w:rsidRDefault="00A07FFE">
      <w:pPr>
        <w:pStyle w:val="FootnoteText"/>
      </w:pPr>
      <w:r>
        <w:rPr>
          <w:rStyle w:val="FootnoteReference"/>
        </w:rPr>
        <w:footnoteRef/>
      </w:r>
      <w:r>
        <w:t xml:space="preserve"> </w:t>
      </w:r>
      <w:r>
        <w:rPr>
          <w:i/>
          <w:iCs/>
        </w:rPr>
        <w:t>See</w:t>
      </w:r>
      <w:r>
        <w:t xml:space="preserve"> </w:t>
      </w:r>
      <w:r w:rsidRPr="00A07FFE">
        <w:t>Aldrich v. Olson, 531 P.2d 825, 828 (Wash. 1975) (explaining that abandonment is an intention to surrender the leasehold to the landlord)</w:t>
      </w:r>
      <w:r>
        <w:t>.</w:t>
      </w:r>
    </w:p>
  </w:footnote>
  <w:footnote w:id="303">
    <w:p w14:paraId="03CF6B5B" w14:textId="126069AC" w:rsidR="00837948" w:rsidRDefault="00837948">
      <w:pPr>
        <w:pStyle w:val="FootnoteText"/>
      </w:pPr>
      <w:r w:rsidRPr="002A4234">
        <w:rPr>
          <w:rStyle w:val="FootnoteReference"/>
        </w:rPr>
        <w:footnoteRef/>
      </w:r>
      <w:r>
        <w:t xml:space="preserve"> </w:t>
      </w:r>
      <w:r w:rsidRPr="0027080A">
        <w:rPr>
          <w:i/>
        </w:rPr>
        <w:t>Harrison</w:t>
      </w:r>
      <w:r w:rsidRPr="00837948">
        <w:t>, 689 F</w:t>
      </w:r>
      <w:r w:rsidR="008349FC">
        <w:t>.</w:t>
      </w:r>
      <w:r w:rsidRPr="00837948">
        <w:t xml:space="preserve">3d </w:t>
      </w:r>
      <w:r w:rsidR="00992D7B">
        <w:t xml:space="preserve">at </w:t>
      </w:r>
      <w:r w:rsidRPr="00837948">
        <w:t>307</w:t>
      </w:r>
      <w:r w:rsidR="00E50518">
        <w:t xml:space="preserve">; </w:t>
      </w:r>
      <w:r w:rsidR="00E50518">
        <w:rPr>
          <w:i/>
          <w:iCs/>
        </w:rPr>
        <w:t>see also</w:t>
      </w:r>
      <w:r w:rsidR="00E50518">
        <w:t xml:space="preserve"> </w:t>
      </w:r>
      <w:r w:rsidR="004A4F59" w:rsidRPr="004A4F59">
        <w:t>United States v</w:t>
      </w:r>
      <w:r w:rsidR="008F3B7D">
        <w:t>.</w:t>
      </w:r>
      <w:r w:rsidR="004A4F59" w:rsidRPr="004A4F59">
        <w:t xml:space="preserve"> Stevenson, 396 F</w:t>
      </w:r>
      <w:r w:rsidR="008349FC">
        <w:t>.</w:t>
      </w:r>
      <w:r w:rsidR="004A4F59" w:rsidRPr="004A4F59">
        <w:t xml:space="preserve">3d 538, </w:t>
      </w:r>
      <w:r w:rsidR="00992D7B" w:rsidRPr="004A4F59">
        <w:t>54</w:t>
      </w:r>
      <w:r w:rsidR="00992D7B">
        <w:t>2</w:t>
      </w:r>
      <w:r w:rsidR="004A4F59" w:rsidRPr="004A4F59">
        <w:t xml:space="preserve"> </w:t>
      </w:r>
      <w:r w:rsidR="004A4F59">
        <w:t>(</w:t>
      </w:r>
      <w:r w:rsidR="004A4F59" w:rsidRPr="004A4F59">
        <w:t>4th Cir</w:t>
      </w:r>
      <w:r w:rsidR="008349FC">
        <w:t>.</w:t>
      </w:r>
      <w:r w:rsidR="004A4F59" w:rsidRPr="004A4F59">
        <w:t xml:space="preserve"> 2005)</w:t>
      </w:r>
      <w:r w:rsidR="004A4F59">
        <w:t xml:space="preserve"> (allowing</w:t>
      </w:r>
      <w:r w:rsidR="00E273B8">
        <w:t xml:space="preserve"> admission of</w:t>
      </w:r>
      <w:r w:rsidR="00992D7B">
        <w:t xml:space="preserve"> evidence gained during</w:t>
      </w:r>
      <w:r w:rsidR="004A4F59">
        <w:t xml:space="preserve"> a warrantless search of an apartment where </w:t>
      </w:r>
      <w:r w:rsidR="00EB6B62">
        <w:t xml:space="preserve">the defendant </w:t>
      </w:r>
      <w:r w:rsidR="00EB6B62" w:rsidRPr="00EB6B62">
        <w:t xml:space="preserve">had </w:t>
      </w:r>
      <w:r w:rsidR="00EB6B62">
        <w:t>“</w:t>
      </w:r>
      <w:r w:rsidR="00EB6B62" w:rsidRPr="00EB6B62">
        <w:t>no intention of returning to his apartment</w:t>
      </w:r>
      <w:r w:rsidR="00EB6B62">
        <w:t>”</w:t>
      </w:r>
      <w:r w:rsidR="00EB6B62" w:rsidRPr="00EB6B62">
        <w:t xml:space="preserve"> and </w:t>
      </w:r>
      <w:r w:rsidR="00EB6B62">
        <w:t>“</w:t>
      </w:r>
      <w:r w:rsidR="00EB6B62" w:rsidRPr="00EB6B62">
        <w:t>no longer considered himself a resident of the apartment.</w:t>
      </w:r>
      <w:r w:rsidR="00EB6B62">
        <w:t>”)</w:t>
      </w:r>
      <w:r w:rsidR="000538ED">
        <w:t>.</w:t>
      </w:r>
    </w:p>
  </w:footnote>
  <w:footnote w:id="304">
    <w:p w14:paraId="1238398E" w14:textId="6FB9098D" w:rsidR="00C85A64" w:rsidRPr="00C85A64" w:rsidRDefault="00C85A64">
      <w:pPr>
        <w:pStyle w:val="FootnoteText"/>
        <w:rPr>
          <w:i/>
          <w:iCs/>
        </w:rPr>
      </w:pPr>
      <w:r w:rsidRPr="002A4234">
        <w:rPr>
          <w:rStyle w:val="FootnoteReference"/>
        </w:rPr>
        <w:footnoteRef/>
      </w:r>
      <w:r>
        <w:t xml:space="preserve"> </w:t>
      </w:r>
      <w:r w:rsidR="00E50518" w:rsidRPr="00402A02">
        <w:t>689 F</w:t>
      </w:r>
      <w:r w:rsidR="004C4775" w:rsidRPr="00402A02">
        <w:t>.</w:t>
      </w:r>
      <w:r w:rsidR="00E50518" w:rsidRPr="00402A02">
        <w:t>3d</w:t>
      </w:r>
      <w:r w:rsidRPr="00012777">
        <w:t xml:space="preserve"> at </w:t>
      </w:r>
      <w:r w:rsidR="00012777" w:rsidRPr="00012777">
        <w:t>309.</w:t>
      </w:r>
    </w:p>
  </w:footnote>
  <w:footnote w:id="305">
    <w:p w14:paraId="72F383FB" w14:textId="17C2B0A5" w:rsidR="004E22C2" w:rsidRDefault="004E22C2">
      <w:pPr>
        <w:pStyle w:val="FootnoteText"/>
      </w:pPr>
      <w:r w:rsidRPr="002A4234">
        <w:rPr>
          <w:rStyle w:val="FootnoteReference"/>
        </w:rPr>
        <w:footnoteRef/>
      </w:r>
      <w:r>
        <w:t xml:space="preserve"> </w:t>
      </w:r>
      <w:r w:rsidR="00EC1687" w:rsidRPr="00EC1687">
        <w:t>United States v. Robinson, 430 F.2d 1141, 1143</w:t>
      </w:r>
      <w:r w:rsidR="00617CC9">
        <w:t>-</w:t>
      </w:r>
      <w:r w:rsidR="00EC1687" w:rsidRPr="00EC1687">
        <w:t>44 (6th Cir. 1970)</w:t>
      </w:r>
      <w:r w:rsidR="000538ED">
        <w:t>.</w:t>
      </w:r>
    </w:p>
  </w:footnote>
  <w:footnote w:id="306">
    <w:p w14:paraId="7AFFD87F" w14:textId="7ABECAE0" w:rsidR="00971C6D" w:rsidRDefault="00971C6D">
      <w:pPr>
        <w:pStyle w:val="FootnoteText"/>
      </w:pPr>
      <w:r w:rsidRPr="002A4234">
        <w:rPr>
          <w:rStyle w:val="FootnoteReference"/>
        </w:rPr>
        <w:footnoteRef/>
      </w:r>
      <w:r>
        <w:t xml:space="preserve"> Mann v. Cannon, 731 </w:t>
      </w:r>
      <w:r w:rsidR="00C3419F">
        <w:t>F</w:t>
      </w:r>
      <w:r>
        <w:t>.2d 54</w:t>
      </w:r>
      <w:r w:rsidR="004765CA">
        <w:t>, 59 (</w:t>
      </w:r>
      <w:r w:rsidR="000538ED">
        <w:t>1st</w:t>
      </w:r>
      <w:r w:rsidR="008349FC">
        <w:t xml:space="preserve"> Cir. </w:t>
      </w:r>
      <w:r w:rsidR="004765CA">
        <w:t>1984).</w:t>
      </w:r>
    </w:p>
  </w:footnote>
  <w:footnote w:id="307">
    <w:p w14:paraId="069D35C6" w14:textId="76FF05D8" w:rsidR="007B40B8" w:rsidRDefault="007B40B8">
      <w:pPr>
        <w:pStyle w:val="FootnoteText"/>
      </w:pPr>
      <w:r w:rsidRPr="002A4234">
        <w:rPr>
          <w:rStyle w:val="FootnoteReference"/>
        </w:rPr>
        <w:footnoteRef/>
      </w:r>
      <w:r>
        <w:t xml:space="preserve"> 816 F.2d 37 (2d Cir. 1987).</w:t>
      </w:r>
    </w:p>
  </w:footnote>
  <w:footnote w:id="308">
    <w:p w14:paraId="60556C8E" w14:textId="1ADADBD5" w:rsidR="007B40B8" w:rsidRDefault="007B40B8">
      <w:pPr>
        <w:pStyle w:val="FootnoteText"/>
      </w:pPr>
      <w:r w:rsidRPr="002A4234">
        <w:rPr>
          <w:rStyle w:val="FootnoteReference"/>
        </w:rPr>
        <w:footnoteRef/>
      </w:r>
      <w:r>
        <w:rPr>
          <w:i/>
        </w:rPr>
        <w:t xml:space="preserve"> </w:t>
      </w:r>
      <w:r w:rsidR="00A3781C">
        <w:rPr>
          <w:i/>
          <w:iCs/>
        </w:rPr>
        <w:t>Id.</w:t>
      </w:r>
      <w:r>
        <w:rPr>
          <w:i/>
        </w:rPr>
        <w:t xml:space="preserve"> </w:t>
      </w:r>
      <w:r>
        <w:t>at 44.</w:t>
      </w:r>
    </w:p>
  </w:footnote>
  <w:footnote w:id="309">
    <w:p w14:paraId="425FF382" w14:textId="22FF7685" w:rsidR="00341E10" w:rsidRDefault="00341E10">
      <w:pPr>
        <w:pStyle w:val="FootnoteText"/>
      </w:pPr>
      <w:r w:rsidRPr="002A4234">
        <w:rPr>
          <w:rStyle w:val="FootnoteReference"/>
        </w:rPr>
        <w:footnoteRef/>
      </w:r>
      <w:r>
        <w:t xml:space="preserve"> State v. Linton, </w:t>
      </w:r>
      <w:r w:rsidR="007912A3">
        <w:t>356</w:t>
      </w:r>
      <w:r>
        <w:t xml:space="preserve"> N.J. Super. </w:t>
      </w:r>
      <w:r w:rsidR="0006018E">
        <w:t>255</w:t>
      </w:r>
      <w:r w:rsidR="00B56936">
        <w:t>, 257</w:t>
      </w:r>
      <w:r w:rsidR="0006018E">
        <w:t xml:space="preserve"> (2002).</w:t>
      </w:r>
    </w:p>
  </w:footnote>
  <w:footnote w:id="310">
    <w:p w14:paraId="5320FDE7" w14:textId="3D729838" w:rsidR="00B56936" w:rsidRPr="002C1772" w:rsidRDefault="00B56936" w:rsidP="00A16E9D">
      <w:pPr>
        <w:pStyle w:val="FootnoteText"/>
      </w:pPr>
      <w:r w:rsidRPr="002A4234">
        <w:rPr>
          <w:rStyle w:val="FootnoteReference"/>
        </w:rPr>
        <w:footnoteRef/>
      </w:r>
      <w:r>
        <w:t xml:space="preserve"> </w:t>
      </w:r>
      <w:r>
        <w:rPr>
          <w:i/>
          <w:iCs/>
        </w:rPr>
        <w:t>Id.</w:t>
      </w:r>
      <w:r w:rsidR="0012660B">
        <w:t>;</w:t>
      </w:r>
      <w:r w:rsidR="002C1772">
        <w:rPr>
          <w:i/>
          <w:iCs/>
        </w:rPr>
        <w:t xml:space="preserve"> </w:t>
      </w:r>
      <w:r w:rsidR="0012660B">
        <w:rPr>
          <w:i/>
          <w:iCs/>
        </w:rPr>
        <w:t>s</w:t>
      </w:r>
      <w:r w:rsidR="002C1772">
        <w:rPr>
          <w:i/>
          <w:iCs/>
        </w:rPr>
        <w:t>ee also</w:t>
      </w:r>
      <w:r w:rsidR="008B6618">
        <w:rPr>
          <w:i/>
          <w:iCs/>
        </w:rPr>
        <w:t>, e.g.</w:t>
      </w:r>
      <w:r w:rsidR="008B6618">
        <w:t>,</w:t>
      </w:r>
      <w:r w:rsidR="002C1772">
        <w:t xml:space="preserve"> People v. Taylor, 655 N.W.2d 291, 297 (</w:t>
      </w:r>
      <w:r w:rsidR="00EE671D">
        <w:t xml:space="preserve">Mich. Ct. App. </w:t>
      </w:r>
      <w:r w:rsidR="002C1772">
        <w:t>2002)</w:t>
      </w:r>
      <w:r w:rsidR="00BE715C">
        <w:t xml:space="preserve"> (</w:t>
      </w:r>
      <w:r w:rsidR="008E5FE3">
        <w:t>considering “</w:t>
      </w:r>
      <w:r w:rsidR="008E5FE3" w:rsidRPr="008E5FE3">
        <w:t>(1) the outward appearance, (2) the overall condition, (3) the state of the vegetation on the premises, (4) barriers erected and securely fastened in all openings, (5) indications that the home is not being independently serviced with gas or electricity, (6) the lack of appliances, furniture, or other furnishings typically found in a dwelling house, (7) the length of time that it takes for temporary barriers to be replaced with functional doors and windows, (8) the history surrounding the premises and prior use, and (9) complaints of illicit activity occurring in the structure</w:t>
      </w:r>
      <w:r w:rsidR="008E5FE3">
        <w:t>”)</w:t>
      </w:r>
      <w:r w:rsidR="008876EB">
        <w:t>.</w:t>
      </w:r>
    </w:p>
  </w:footnote>
  <w:footnote w:id="311">
    <w:p w14:paraId="0C150F3A" w14:textId="5287855D" w:rsidR="00D245BF" w:rsidRDefault="00D245BF">
      <w:pPr>
        <w:pStyle w:val="FootnoteText"/>
      </w:pPr>
      <w:r w:rsidRPr="002A4234">
        <w:rPr>
          <w:rStyle w:val="FootnoteReference"/>
        </w:rPr>
        <w:footnoteRef/>
      </w:r>
      <w:r>
        <w:t xml:space="preserve"> </w:t>
      </w:r>
      <w:r>
        <w:rPr>
          <w:i/>
          <w:iCs/>
        </w:rPr>
        <w:t xml:space="preserve">See </w:t>
      </w:r>
      <w:r>
        <w:fldChar w:fldCharType="begin"/>
      </w:r>
      <w:r w:rsidR="00E5116B">
        <w:instrText xml:space="preserve"> ADDIN ZOTERO_ITEM CSL_CITATION {"citationID":"q9ziH7YG","properties":{"formattedCitation":"Stuntz, {\\i{}supra} note 266, at 1270","plainCitation":"Stuntz, supra note 266, at 1270","noteIndex":301},"citationItems":[{"id":2983,"uris":["http://zotero.org/groups/2816150/items/FYGQB7S2"],"uri":["http://zotero.org/groups/2816150/items/FYGQB7S2"],"itemData":{"id":2983,"type":"article-journal","container-title":"George Washington Law Review","journalAbbreviation":"Geo. Wash. L. Rev.","page":"1265","title":"The Distribution of Fourth Amendment Privacy","volume":"67","author":[{"family":"Stuntz","given":"William J."}],"issued":{"date-parts":[["1999"]]}},"locator":"1270","label":"page"}],"schema":"https://github.com/citation-style-language/schema/raw/master/csl-citation.json"} </w:instrText>
      </w:r>
      <w:r>
        <w:fldChar w:fldCharType="separate"/>
      </w:r>
      <w:r w:rsidR="00E5116B" w:rsidRPr="00E5116B">
        <w:t xml:space="preserve">Stuntz, </w:t>
      </w:r>
      <w:r w:rsidR="00E5116B" w:rsidRPr="00E5116B">
        <w:rPr>
          <w:i/>
          <w:iCs/>
        </w:rPr>
        <w:t>supra</w:t>
      </w:r>
      <w:r w:rsidR="00E5116B" w:rsidRPr="00E5116B">
        <w:t xml:space="preserve"> </w:t>
      </w:r>
      <w:r w:rsidR="008430F8">
        <w:t xml:space="preserve">note </w:t>
      </w:r>
      <w:r w:rsidR="007912A3">
        <w:fldChar w:fldCharType="begin"/>
      </w:r>
      <w:r w:rsidR="007912A3">
        <w:instrText xml:space="preserve"> NOTEREF _Ref113028242 \h </w:instrText>
      </w:r>
      <w:r w:rsidR="007912A3">
        <w:fldChar w:fldCharType="separate"/>
      </w:r>
      <w:r w:rsidR="00405D69">
        <w:t>269</w:t>
      </w:r>
      <w:r w:rsidR="007912A3">
        <w:fldChar w:fldCharType="end"/>
      </w:r>
      <w:r w:rsidR="008430F8">
        <w:t>,</w:t>
      </w:r>
      <w:r w:rsidR="007912A3">
        <w:t xml:space="preserve"> </w:t>
      </w:r>
      <w:r w:rsidR="00E5116B" w:rsidRPr="00E5116B">
        <w:t>at 1270</w:t>
      </w:r>
      <w:r>
        <w:fldChar w:fldCharType="end"/>
      </w:r>
      <w:r>
        <w:t xml:space="preserve"> (explaining how Fourth Amendment protections map onto class).</w:t>
      </w:r>
    </w:p>
  </w:footnote>
  <w:footnote w:id="312">
    <w:p w14:paraId="64181C27" w14:textId="1FB4BD54" w:rsidR="00394768" w:rsidRDefault="00394768">
      <w:pPr>
        <w:pStyle w:val="FootnoteText"/>
      </w:pPr>
      <w:r w:rsidRPr="002A4234">
        <w:rPr>
          <w:rStyle w:val="FootnoteReference"/>
        </w:rPr>
        <w:footnoteRef/>
      </w:r>
      <w:r>
        <w:t xml:space="preserve"> </w:t>
      </w:r>
      <w:r w:rsidR="004060D3">
        <w:rPr>
          <w:i/>
          <w:iCs/>
        </w:rPr>
        <w:t>Cf.</w:t>
      </w:r>
      <w:r w:rsidR="00CB55D4">
        <w:rPr>
          <w:i/>
          <w:iCs/>
        </w:rPr>
        <w:t xml:space="preserve"> </w:t>
      </w:r>
      <w:r>
        <w:t>United States v. Wilson, 472 F.2d 901</w:t>
      </w:r>
      <w:r w:rsidR="002B623E">
        <w:t xml:space="preserve">, </w:t>
      </w:r>
      <w:r w:rsidR="00626FDC">
        <w:t>903 (9th Cir. 1972)</w:t>
      </w:r>
      <w:r w:rsidR="00BA1462">
        <w:t xml:space="preserve"> (</w:t>
      </w:r>
      <w:r w:rsidR="001908B4">
        <w:t xml:space="preserve">upholding a warrantless search when the landlord called police after entering leased property through an open front door and </w:t>
      </w:r>
      <w:r w:rsidR="00E869D7">
        <w:t>seeing explosives)</w:t>
      </w:r>
      <w:r w:rsidR="00322489">
        <w:t>.</w:t>
      </w:r>
    </w:p>
  </w:footnote>
  <w:footnote w:id="313">
    <w:p w14:paraId="0726BABD" w14:textId="3390D271" w:rsidR="00E341BB" w:rsidRDefault="00E341BB">
      <w:pPr>
        <w:pStyle w:val="FootnoteText"/>
      </w:pPr>
      <w:r w:rsidRPr="002A4234">
        <w:rPr>
          <w:rStyle w:val="FootnoteReference"/>
        </w:rPr>
        <w:footnoteRef/>
      </w:r>
      <w:r>
        <w:t xml:space="preserve"> </w:t>
      </w:r>
      <w:r w:rsidR="00833289">
        <w:t>Pub. Law 99-508</w:t>
      </w:r>
      <w:r w:rsidR="00DC0EA4">
        <w:t>, 100 Stat. 1848</w:t>
      </w:r>
      <w:r w:rsidR="00833289">
        <w:t xml:space="preserve"> (1986).</w:t>
      </w:r>
    </w:p>
  </w:footnote>
  <w:footnote w:id="314">
    <w:p w14:paraId="5C6F8163" w14:textId="72756616" w:rsidR="00833289" w:rsidRDefault="00833289" w:rsidP="00833289">
      <w:pPr>
        <w:pStyle w:val="FootnoteText"/>
      </w:pPr>
      <w:r w:rsidRPr="004041E0">
        <w:rPr>
          <w:rStyle w:val="FootnoteReference"/>
        </w:rPr>
        <w:footnoteRef/>
      </w:r>
      <w:r>
        <w:t xml:space="preserve"> </w:t>
      </w:r>
      <w:r w:rsidR="007773E0">
        <w:fldChar w:fldCharType="begin"/>
      </w:r>
      <w:r w:rsidR="00E5116B">
        <w:instrText xml:space="preserve"> ADDIN ZOTERO_ITEM CSL_CITATION {"citationID":"ePA7124R","properties":{"formattedCitation":"David Kravets, {\\i{}Aging \\uc0\\u8220{}Privacy\\uc0\\u8221{} Law Leaves Cloud E-Mail Open to Cops}, {\\scaps Wired} (Oct. 21, 2011), https://www.wired.com/2011/10/ecpa-turns-twenty-five/; Miguel Helft &amp; Claire Cain Miller, {\\i{}1986 Privacy Law Is Outrun by the Web}, {\\scaps The New York Times} (Jan. 10, 2011), https://www.nytimes.com/2011/01/10/technology/10privacy.html","plainCitation":"David Kravets, Aging “Privacy” Law Leaves Cloud E-Mail Open to Cops, Wired (Oct. 21, 2011), https://www.wired.com/2011/10/ecpa-turns-twenty-five/; Miguel Helft &amp; Claire Cain Miller, 1986 Privacy Law Is Outrun by the Web, The New York Times (Jan. 10, 2011), https://www.nytimes.com/2011/01/10/technology/10privacy.html","noteIndex":304},"citationItems":[{"id":3267,"uris":["http://zotero.org/groups/2816150/items/XINQLKBR"],"uri":["http://zotero.org/groups/2816150/items/XINQLKBR"],"itemData":{"id":3267,"type":"article-magazine","abstract":"Twenty-five years ago Friday, President Ronald Reagan signed legislation that for the first time provided Americans with sweeping digital-privacy protections. The law came at a time when e-mail was used mostly by nerdy scientists, when phones without wires hardly worked as you stepped out into the backyard, and when the World Wide Web didn’t exist. Four […]","container-title":"Wired","ISSN":"1059-1028","language":"en-US","note":"section: tags","source":"www.wired.com","title":"Aging 'Privacy' Law Leaves Cloud E-Mail Open to Cops","URL":"https://www.wired.com/2011/10/ecpa-turns-twenty-five/","author":[{"family":"Kravets","given":"David"}],"accessed":{"date-parts":[["2022",1,31]]},"issued":{"date-parts":[["2011",10,21]]}},"label":"page"},{"id":3268,"uris":["http://zotero.org/groups/2816150/items/G2KJ76EM"],"uri":["http://zotero.org/groups/2816150/items/G2KJ76EM"],"itemData":{"id":3268,"type":"article-newspaper","abstract":"Many Internet companies and consumer advocates say that the main law governing communication privacy is outdated.","container-title":"The New York Times","ISSN":"0362-4331","language":"en-US","section":"Technology","source":"NYTimes.com","title":"1986 Privacy Law Is Outrun by the Web","URL":"https://www.nytimes.com/2011/01/10/technology/10privacy.html","author":[{"family":"Helft","given":"Miguel"},{"family":"Miller","given":"Claire Cain"}],"accessed":{"date-parts":[["2022",1,31]]},"issued":{"date-parts":[["2011",1,10]]}},"label":"page"}],"schema":"https://github.com/citation-style-language/schema/raw/master/csl-citation.json"} </w:instrText>
      </w:r>
      <w:r w:rsidR="007773E0">
        <w:fldChar w:fldCharType="separate"/>
      </w:r>
      <w:r w:rsidR="00E5116B" w:rsidRPr="00E5116B">
        <w:t xml:space="preserve">David Kravets, </w:t>
      </w:r>
      <w:r w:rsidR="00E5116B" w:rsidRPr="00E5116B">
        <w:rPr>
          <w:i/>
          <w:iCs/>
        </w:rPr>
        <w:t xml:space="preserve">Aging </w:t>
      </w:r>
      <w:r w:rsidR="007912A3">
        <w:t>‘</w:t>
      </w:r>
      <w:r w:rsidR="007912A3" w:rsidRPr="00E5116B">
        <w:rPr>
          <w:i/>
          <w:iCs/>
        </w:rPr>
        <w:t>Privacy</w:t>
      </w:r>
      <w:r w:rsidR="007912A3">
        <w:t>’</w:t>
      </w:r>
      <w:r w:rsidR="00E5116B" w:rsidRPr="00E5116B">
        <w:rPr>
          <w:i/>
          <w:iCs/>
        </w:rPr>
        <w:t xml:space="preserve"> Law Leaves Cloud E-Mail Open to Cops</w:t>
      </w:r>
      <w:r w:rsidR="00E5116B" w:rsidRPr="00E5116B">
        <w:t xml:space="preserve">, </w:t>
      </w:r>
      <w:r w:rsidR="00E5116B" w:rsidRPr="00E5116B">
        <w:rPr>
          <w:smallCaps/>
        </w:rPr>
        <w:t>Wired</w:t>
      </w:r>
      <w:r w:rsidR="00E5116B" w:rsidRPr="00E5116B">
        <w:t xml:space="preserve"> (Oct. 21, 2011</w:t>
      </w:r>
      <w:r w:rsidR="007912A3">
        <w:t>, 6:30 AM</w:t>
      </w:r>
      <w:r w:rsidR="00E5116B" w:rsidRPr="00E5116B">
        <w:t xml:space="preserve">), https://www.wired.com/2011/10/ecpa-turns-twenty-five [https://perma.cc/YAM5-MJHD]; Miguel Helft &amp; Claire Cain Miller, </w:t>
      </w:r>
      <w:r w:rsidR="00E5116B" w:rsidRPr="00E5116B">
        <w:rPr>
          <w:i/>
          <w:iCs/>
        </w:rPr>
        <w:t>1986 Privacy Law Is Outrun by the Web</w:t>
      </w:r>
      <w:r w:rsidR="00E5116B" w:rsidRPr="00E5116B">
        <w:t xml:space="preserve">, </w:t>
      </w:r>
      <w:r w:rsidR="007912A3" w:rsidRPr="00B42447">
        <w:rPr>
          <w:smallCaps/>
        </w:rPr>
        <w:t>N.Y.</w:t>
      </w:r>
      <w:r w:rsidR="00E5116B" w:rsidRPr="00E5116B">
        <w:rPr>
          <w:smallCaps/>
        </w:rPr>
        <w:t xml:space="preserve"> Times</w:t>
      </w:r>
      <w:r w:rsidR="00E5116B" w:rsidRPr="0027080A">
        <w:rPr>
          <w:smallCaps/>
        </w:rPr>
        <w:t xml:space="preserve"> </w:t>
      </w:r>
      <w:r w:rsidR="00E5116B" w:rsidRPr="00E5116B">
        <w:t xml:space="preserve">(Jan. </w:t>
      </w:r>
      <w:r w:rsidR="007912A3">
        <w:t>9,</w:t>
      </w:r>
      <w:r w:rsidR="00E5116B" w:rsidRPr="00E5116B">
        <w:t xml:space="preserve"> 2011), https://www.nytimes.com/2011/01/10/technology/10privacy.html [https://perma.cc/FTN8-BAC7]</w:t>
      </w:r>
      <w:r w:rsidR="007773E0">
        <w:fldChar w:fldCharType="end"/>
      </w:r>
      <w:r w:rsidR="00741D69">
        <w:t>.</w:t>
      </w:r>
    </w:p>
  </w:footnote>
  <w:footnote w:id="315">
    <w:p w14:paraId="02E56D64" w14:textId="1CDA5EEB" w:rsidR="00DF1F5C" w:rsidRDefault="00DF1F5C">
      <w:pPr>
        <w:pStyle w:val="FootnoteText"/>
      </w:pPr>
      <w:r w:rsidRPr="002A4234">
        <w:rPr>
          <w:rStyle w:val="FootnoteReference"/>
        </w:rPr>
        <w:footnoteRef/>
      </w:r>
      <w:r>
        <w:t xml:space="preserve"> 18 U.S.C. §</w:t>
      </w:r>
      <w:r w:rsidR="00EA6A36">
        <w:t> </w:t>
      </w:r>
      <w:r w:rsidR="00C13427">
        <w:t>2703(</w:t>
      </w:r>
      <w:r w:rsidR="00827F4D">
        <w:t>a</w:t>
      </w:r>
      <w:r w:rsidR="00C13427">
        <w:t>)</w:t>
      </w:r>
      <w:r w:rsidR="00170B0C">
        <w:t>.</w:t>
      </w:r>
    </w:p>
  </w:footnote>
  <w:footnote w:id="316">
    <w:p w14:paraId="635D87A1" w14:textId="404FBBAC" w:rsidR="00926D1C" w:rsidRDefault="00926D1C">
      <w:pPr>
        <w:pStyle w:val="FootnoteText"/>
      </w:pPr>
      <w:r w:rsidRPr="002A4234">
        <w:rPr>
          <w:rStyle w:val="FootnoteReference"/>
        </w:rPr>
        <w:footnoteRef/>
      </w:r>
      <w:r>
        <w:t xml:space="preserve"> </w:t>
      </w:r>
      <w:r w:rsidR="00C063B9">
        <w:t xml:space="preserve">Kravets, </w:t>
      </w:r>
      <w:r w:rsidR="00C063B9">
        <w:rPr>
          <w:i/>
          <w:iCs/>
        </w:rPr>
        <w:t xml:space="preserve">supra </w:t>
      </w:r>
      <w:r w:rsidR="00C063B9">
        <w:t xml:space="preserve">note </w:t>
      </w:r>
      <w:r w:rsidR="00C063B9">
        <w:fldChar w:fldCharType="begin"/>
      </w:r>
      <w:r w:rsidR="00C063B9">
        <w:instrText xml:space="preserve"> NOTEREF _Ref114133070 \h </w:instrText>
      </w:r>
      <w:r w:rsidR="00C063B9">
        <w:fldChar w:fldCharType="separate"/>
      </w:r>
      <w:r w:rsidR="00405D69">
        <w:t>308</w:t>
      </w:r>
      <w:r w:rsidR="00C063B9">
        <w:fldChar w:fldCharType="end"/>
      </w:r>
      <w:r w:rsidR="008D1B41">
        <w:t xml:space="preserve"> (explaining that when Congress passed the ECPA email users typically </w:t>
      </w:r>
      <w:r w:rsidR="00C2191D">
        <w:t>kept their email on their local hard drives).</w:t>
      </w:r>
    </w:p>
  </w:footnote>
  <w:footnote w:id="317">
    <w:p w14:paraId="260EC99D" w14:textId="2CE8BAF2" w:rsidR="00ED2FE1" w:rsidRDefault="00ED2FE1">
      <w:pPr>
        <w:pStyle w:val="FootnoteText"/>
      </w:pPr>
      <w:r w:rsidRPr="002A4234">
        <w:rPr>
          <w:rStyle w:val="FootnoteReference"/>
        </w:rPr>
        <w:footnoteRef/>
      </w:r>
      <w:r>
        <w:t xml:space="preserve"> </w:t>
      </w:r>
      <w:r w:rsidRPr="00ED2FE1">
        <w:rPr>
          <w:i/>
          <w:iCs/>
        </w:rPr>
        <w:t>See</w:t>
      </w:r>
      <w:r>
        <w:t xml:space="preserve"> </w:t>
      </w:r>
      <w:r w:rsidRPr="00ED2FE1">
        <w:t>United States v. Barr, 605 F. Supp. 114, 116 (S.D.N.Y. 1985) (</w:t>
      </w:r>
      <w:r>
        <w:t xml:space="preserve">explaining that not </w:t>
      </w:r>
      <w:r w:rsidR="00AD0624">
        <w:t xml:space="preserve">picking up </w:t>
      </w:r>
      <w:r w:rsidR="00361F73">
        <w:t xml:space="preserve">physical </w:t>
      </w:r>
      <w:r w:rsidRPr="00ED2FE1">
        <w:t xml:space="preserve">mail for six weeks </w:t>
      </w:r>
      <w:r w:rsidR="00AD0624">
        <w:t>does not manifest an intent to abandon the mail</w:t>
      </w:r>
      <w:r w:rsidRPr="00ED2FE1">
        <w:t>).</w:t>
      </w:r>
    </w:p>
  </w:footnote>
  <w:footnote w:id="318">
    <w:p w14:paraId="1B2BD666" w14:textId="476D45FB" w:rsidR="008473C0" w:rsidRDefault="008473C0">
      <w:pPr>
        <w:pStyle w:val="FootnoteText"/>
      </w:pPr>
      <w:r w:rsidRPr="002A4234">
        <w:rPr>
          <w:rStyle w:val="FootnoteReference"/>
        </w:rPr>
        <w:footnoteRef/>
      </w:r>
      <w:r>
        <w:t xml:space="preserve"> </w:t>
      </w:r>
      <w:r w:rsidR="0001384D">
        <w:t>631 F.3d 266 (6th Cir. 2010).</w:t>
      </w:r>
    </w:p>
  </w:footnote>
  <w:footnote w:id="319">
    <w:p w14:paraId="34872E56" w14:textId="25C03B3B" w:rsidR="0001384D" w:rsidRPr="0001384D" w:rsidRDefault="0001384D">
      <w:pPr>
        <w:pStyle w:val="FootnoteText"/>
      </w:pPr>
      <w:r w:rsidRPr="002A4234">
        <w:rPr>
          <w:rStyle w:val="FootnoteReference"/>
        </w:rPr>
        <w:footnoteRef/>
      </w:r>
      <w:r>
        <w:t xml:space="preserve"> </w:t>
      </w:r>
      <w:r>
        <w:rPr>
          <w:i/>
          <w:iCs/>
        </w:rPr>
        <w:t>Id</w:t>
      </w:r>
      <w:r>
        <w:t xml:space="preserve">. at </w:t>
      </w:r>
      <w:r w:rsidR="00A02C0E">
        <w:t>285</w:t>
      </w:r>
      <w:r w:rsidR="005D147D">
        <w:t>-</w:t>
      </w:r>
      <w:r w:rsidR="00A02C0E">
        <w:t xml:space="preserve">86; </w:t>
      </w:r>
      <w:r w:rsidR="00A02C0E" w:rsidRPr="00A02C0E">
        <w:rPr>
          <w:i/>
          <w:iCs/>
        </w:rPr>
        <w:t>see also</w:t>
      </w:r>
      <w:r w:rsidR="00A02C0E">
        <w:t xml:space="preserve"> </w:t>
      </w:r>
      <w:r w:rsidR="002B5795" w:rsidRPr="002B5795">
        <w:t xml:space="preserve">Patricia L. Bellia &amp; Susan Freiwald, </w:t>
      </w:r>
      <w:r w:rsidR="002B5795" w:rsidRPr="0004704C">
        <w:rPr>
          <w:i/>
          <w:iCs/>
        </w:rPr>
        <w:t>Fourth Amendment Protection for Stored E–Mail</w:t>
      </w:r>
      <w:r w:rsidR="002B5795" w:rsidRPr="002B5795">
        <w:t xml:space="preserve">, 2008 </w:t>
      </w:r>
      <w:r w:rsidR="002B5795" w:rsidRPr="0004704C">
        <w:rPr>
          <w:smallCaps/>
        </w:rPr>
        <w:t>U. Chi. Legal F.</w:t>
      </w:r>
      <w:r w:rsidR="002B5795" w:rsidRPr="002B5795">
        <w:t xml:space="preserve"> 121, 13</w:t>
      </w:r>
      <w:r w:rsidR="00EA3DE9">
        <w:t>8</w:t>
      </w:r>
      <w:r w:rsidR="00EB02BE">
        <w:t xml:space="preserve"> (</w:t>
      </w:r>
      <w:r w:rsidR="00EA3DE9">
        <w:t>“</w:t>
      </w:r>
      <w:r w:rsidR="00EA3DE9" w:rsidRPr="00EA3DE9">
        <w:t>Because we expect privacy in these more traditional forms of communication, we should be entitled to expect privacy in e-mail as well</w:t>
      </w:r>
      <w:r w:rsidR="002D52F9">
        <w:t> </w:t>
      </w:r>
      <w:r w:rsidR="00585DDA">
        <w:t>.</w:t>
      </w:r>
      <w:r w:rsidR="002D52F9">
        <w:t> </w:t>
      </w:r>
      <w:r w:rsidR="00585DDA">
        <w:t>.</w:t>
      </w:r>
      <w:r w:rsidR="002D52F9">
        <w:t> </w:t>
      </w:r>
      <w:r w:rsidR="00585DDA">
        <w:t>.</w:t>
      </w:r>
      <w:r w:rsidR="002D52F9">
        <w:t> </w:t>
      </w:r>
      <w:r w:rsidR="001C53F5">
        <w:t>.</w:t>
      </w:r>
      <w:r w:rsidR="00ED74AD">
        <w:t>”).</w:t>
      </w:r>
    </w:p>
  </w:footnote>
  <w:footnote w:id="320">
    <w:p w14:paraId="74A27378" w14:textId="0A84B983" w:rsidR="00DC107A" w:rsidRDefault="00DC107A">
      <w:pPr>
        <w:pStyle w:val="FootnoteText"/>
      </w:pPr>
      <w:r w:rsidRPr="002A4234">
        <w:rPr>
          <w:rStyle w:val="FootnoteReference"/>
        </w:rPr>
        <w:footnoteRef/>
      </w:r>
      <w:r>
        <w:t xml:space="preserve"> </w:t>
      </w:r>
      <w:r w:rsidR="00DB2D4E" w:rsidRPr="00CF1245">
        <w:rPr>
          <w:i/>
          <w:iCs/>
        </w:rPr>
        <w:t>Warshak</w:t>
      </w:r>
      <w:r w:rsidR="001E62CE">
        <w:t>,</w:t>
      </w:r>
      <w:r>
        <w:t xml:space="preserve"> 631 F.3d at 286.</w:t>
      </w:r>
    </w:p>
  </w:footnote>
  <w:footnote w:id="321">
    <w:p w14:paraId="36C477EC" w14:textId="1129952A" w:rsidR="00446293" w:rsidRDefault="00446293">
      <w:pPr>
        <w:pStyle w:val="FootnoteText"/>
      </w:pPr>
      <w:r w:rsidRPr="002A4234">
        <w:rPr>
          <w:rStyle w:val="FootnoteReference"/>
        </w:rPr>
        <w:footnoteRef/>
      </w:r>
      <w:r>
        <w:t xml:space="preserve"> </w:t>
      </w:r>
      <w:r>
        <w:fldChar w:fldCharType="begin"/>
      </w:r>
      <w:r w:rsidR="00E5116B">
        <w:instrText xml:space="preserve"> ADDIN ZOTERO_ITEM CSL_CITATION {"citationID":"QfG0LUjJ","properties":{"formattedCitation":"{\\i{}See generally} Orin S. Kerr, {\\i{}The Case for the Third-Party Doctrine}, 107 {\\scaps Mich. L. Rev.} 561 (2009)","plainCitation":"See generally Orin S. Kerr, The Case for the Third-Party Doctrine, 107 Mich. L. Rev. 561 (2009)","noteIndex":311},"citationItems":[{"id":3005,"uris":["http://zotero.org/groups/2816150/items/ZPSZLWDC"],"uri":["http://zotero.org/groups/2816150/items/ZPSZLWDC"],"itemData":{"id":3005,"type":"article-journal","container-title":"Michigan Law Review","issue":"4","journalAbbreviation":"Mich. L. Rev.","language":"eng","page":"561-602","source":"HeinOnline","title":"The Case for the Third-Party Doctrine","volume":"107","author":[{"family":"Kerr","given":"Orin S."}],"issued":{"date-parts":[["2009"]]}},"prefix":"&lt;i&gt;See generally&lt;/i&gt; "}],"schema":"https://github.com/citation-style-language/schema/raw/master/csl-citation.json"} </w:instrText>
      </w:r>
      <w:r>
        <w:fldChar w:fldCharType="separate"/>
      </w:r>
      <w:r w:rsidR="00E5116B" w:rsidRPr="00E5116B">
        <w:rPr>
          <w:i/>
          <w:iCs/>
        </w:rPr>
        <w:t>See generally</w:t>
      </w:r>
      <w:r w:rsidR="00E5116B" w:rsidRPr="00E5116B">
        <w:t xml:space="preserve"> Orin S. Kerr, </w:t>
      </w:r>
      <w:r w:rsidR="00E5116B" w:rsidRPr="00E5116B">
        <w:rPr>
          <w:i/>
          <w:iCs/>
        </w:rPr>
        <w:t>The Case for the Third-Party Doctrine</w:t>
      </w:r>
      <w:r w:rsidR="00E5116B" w:rsidRPr="00E5116B">
        <w:t xml:space="preserve">, 107 </w:t>
      </w:r>
      <w:r w:rsidR="00E5116B" w:rsidRPr="00E5116B">
        <w:rPr>
          <w:smallCaps/>
        </w:rPr>
        <w:t>Mich. L. Rev.</w:t>
      </w:r>
      <w:r w:rsidR="00E5116B" w:rsidRPr="00E5116B">
        <w:t xml:space="preserve"> 561 (2009)</w:t>
      </w:r>
      <w:r>
        <w:fldChar w:fldCharType="end"/>
      </w:r>
      <w:r w:rsidR="009E0AEF">
        <w:t xml:space="preserve"> (</w:t>
      </w:r>
      <w:r w:rsidR="005B0A9F">
        <w:t>offering a</w:t>
      </w:r>
      <w:r w:rsidR="009037D1">
        <w:t>n overview and</w:t>
      </w:r>
      <w:r w:rsidR="005B0A9F">
        <w:t xml:space="preserve"> defense of the Fourth Amendment’s third-party doctrine)</w:t>
      </w:r>
      <w:r w:rsidR="00C36321">
        <w:t>.</w:t>
      </w:r>
    </w:p>
  </w:footnote>
  <w:footnote w:id="322">
    <w:p w14:paraId="3849B6A6" w14:textId="0564D629" w:rsidR="00816DFA" w:rsidRDefault="00816DFA">
      <w:pPr>
        <w:pStyle w:val="FootnoteText"/>
      </w:pPr>
      <w:r w:rsidRPr="002A4234">
        <w:rPr>
          <w:rStyle w:val="FootnoteReference"/>
        </w:rPr>
        <w:footnoteRef/>
      </w:r>
      <w:r>
        <w:t xml:space="preserve"> </w:t>
      </w:r>
      <w:r w:rsidR="00DA2B8E">
        <w:fldChar w:fldCharType="begin"/>
      </w:r>
      <w:r w:rsidR="00E5116B">
        <w:instrText xml:space="preserve"> ADDIN ZOTERO_ITEM CSL_CITATION {"citationID":"8IWOxbM1","properties":{"formattedCitation":"{\\scaps John Baker}, {\\scaps Introduction to English Legal History} 389 (4th ed. 2007)","plainCitation":"John Baker, Introduction to English Legal History 389 (4th ed. 2007)","noteIndex":312},"citationItems":[{"id":3226,"uris":["http://zotero.org/groups/2816150/items/WSQZCTK3"],"uri":["http://zotero.org/groups/2816150/items/WSQZCTK3"],"itemData":{"id":3226,"type":"book","edition":"4th","language":"en","number-of-pages":"704","source":"Google Books","title":"Introduction to English Legal History","author":[{"family":"Baker","given":"John"}],"issued":{"date-parts":[["2007"]]}},"locator":"389","label":"page"}],"schema":"https://github.com/citation-style-language/schema/raw/master/csl-citation.json"} </w:instrText>
      </w:r>
      <w:r w:rsidR="00DA2B8E">
        <w:fldChar w:fldCharType="separate"/>
      </w:r>
      <w:r w:rsidR="007912A3" w:rsidRPr="00E5116B">
        <w:rPr>
          <w:smallCaps/>
        </w:rPr>
        <w:t>John</w:t>
      </w:r>
      <w:r w:rsidR="00E5116B" w:rsidRPr="00E5116B">
        <w:rPr>
          <w:smallCaps/>
        </w:rPr>
        <w:t xml:space="preserve"> Baker</w:t>
      </w:r>
      <w:r w:rsidR="00E5116B" w:rsidRPr="00E5116B">
        <w:t xml:space="preserve">, </w:t>
      </w:r>
      <w:r w:rsidR="00E5116B" w:rsidRPr="00E5116B">
        <w:rPr>
          <w:smallCaps/>
        </w:rPr>
        <w:t>Introduction to English Legal History</w:t>
      </w:r>
      <w:r w:rsidR="00E5116B" w:rsidRPr="00E5116B">
        <w:t xml:space="preserve"> 389 (4th ed. 2007)</w:t>
      </w:r>
      <w:r w:rsidR="00DA2B8E">
        <w:fldChar w:fldCharType="end"/>
      </w:r>
      <w:r w:rsidR="006D3A44">
        <w:t xml:space="preserve">; </w:t>
      </w:r>
      <w:r w:rsidR="006D3A44">
        <w:fldChar w:fldCharType="begin"/>
      </w:r>
      <w:r w:rsidR="00E5116B">
        <w:instrText xml:space="preserve"> ADDIN ZOTERO_ITEM CSL_CITATION {"citationID":"z6JHygMt","properties":{"formattedCitation":"{\\scaps Joseph Story}, {\\scaps Commentaries on the Law of Bailments} \\uc0\\u167{} 2 (1832)","plainCitation":"Joseph Story, Commentaries on the Law of Bailments § 2 (1832)","noteIndex":312},"citationItems":[{"id":3228,"uris":["http://zotero.org/groups/2816150/items/63MSZRQK"],"uri":["http://zotero.org/groups/2816150/items/63MSZRQK"],"itemData":{"id":3228,"type":"book","title":"Commentaries on the Law of Bailments","author":[{"family":"Story","given":"Joseph"}],"issued":{"date-parts":[["1832"]]}},"locator":"2","label":"section"}],"schema":"https://github.com/citation-style-language/schema/raw/master/csl-citation.json"} </w:instrText>
      </w:r>
      <w:r w:rsidR="006D3A44">
        <w:fldChar w:fldCharType="separate"/>
      </w:r>
      <w:r w:rsidR="00E5116B" w:rsidRPr="00E5116B">
        <w:rPr>
          <w:smallCaps/>
        </w:rPr>
        <w:t>Joseph Story</w:t>
      </w:r>
      <w:r w:rsidR="00E5116B" w:rsidRPr="00E5116B">
        <w:t xml:space="preserve">, </w:t>
      </w:r>
      <w:r w:rsidR="00E5116B" w:rsidRPr="00E5116B">
        <w:rPr>
          <w:smallCaps/>
        </w:rPr>
        <w:t>Commentaries on the Law of Bailments</w:t>
      </w:r>
      <w:r w:rsidR="00E5116B">
        <w:rPr>
          <w:smallCaps/>
        </w:rPr>
        <w:t xml:space="preserve"> </w:t>
      </w:r>
      <w:r w:rsidR="008D6ED4">
        <w:rPr>
          <w:smallCaps/>
        </w:rPr>
        <w:t>with Illustrations from the Civil and the Foreign Law</w:t>
      </w:r>
      <w:r w:rsidR="00EA2FF8" w:rsidRPr="00E5116B">
        <w:t xml:space="preserve"> </w:t>
      </w:r>
      <w:r w:rsidR="008D6ED4">
        <w:t>1</w:t>
      </w:r>
      <w:r w:rsidR="008D7DB9">
        <w:t>-2</w:t>
      </w:r>
      <w:r w:rsidR="00E5116B" w:rsidRPr="00E5116B">
        <w:t xml:space="preserve"> (1832)</w:t>
      </w:r>
      <w:r w:rsidR="006D3A44">
        <w:fldChar w:fldCharType="end"/>
      </w:r>
      <w:r w:rsidR="00C36321">
        <w:t>.</w:t>
      </w:r>
    </w:p>
  </w:footnote>
  <w:footnote w:id="323">
    <w:p w14:paraId="5FD83E81" w14:textId="087899F8" w:rsidR="00F2621F" w:rsidRPr="000151EF" w:rsidRDefault="00F2621F">
      <w:pPr>
        <w:pStyle w:val="FootnoteText"/>
      </w:pPr>
      <w:r w:rsidRPr="002A4234">
        <w:rPr>
          <w:rStyle w:val="FootnoteReference"/>
        </w:rPr>
        <w:footnoteRef/>
      </w:r>
      <w:r>
        <w:t xml:space="preserve"> </w:t>
      </w:r>
      <w:r w:rsidR="00D90ADA">
        <w:rPr>
          <w:i/>
          <w:iCs/>
        </w:rPr>
        <w:t>Id.</w:t>
      </w:r>
      <w:r w:rsidR="0046535A">
        <w:t xml:space="preserve"> at 311.</w:t>
      </w:r>
    </w:p>
  </w:footnote>
  <w:footnote w:id="324">
    <w:p w14:paraId="02631003" w14:textId="15B785FB" w:rsidR="00F2621F" w:rsidRDefault="00F2621F">
      <w:pPr>
        <w:pStyle w:val="FootnoteText"/>
      </w:pPr>
      <w:r w:rsidRPr="002A4234">
        <w:rPr>
          <w:rStyle w:val="FootnoteReference"/>
        </w:rPr>
        <w:footnoteRef/>
      </w:r>
      <w:r>
        <w:t xml:space="preserve"> </w:t>
      </w:r>
      <w:r w:rsidR="0080552D">
        <w:fldChar w:fldCharType="begin"/>
      </w:r>
      <w:r w:rsidR="00E5116B">
        <w:instrText xml:space="preserve"> ADDIN ZOTERO_ITEM CSL_CITATION {"citationID":"kBzzL2rJ","properties":{"formattedCitation":"Paul J. McGeady, {\\i{}Liability of Garage Keepers and Parking Lot Owners}, 1952 {\\scaps Ins. L.J.} 89, 90\\uc0\\u8211{}94 (1952)","plainCitation":"Paul J. McGeady, Liability of Garage Keepers and Parking Lot Owners, 1952 Ins. L.J. 89, 90–94 (1952)","noteIndex":314},"citationItems":[{"id":3225,"uris":["http://zotero.org/groups/2816150/items/TBR6F6V4"],"uri":["http://zotero.org/groups/2816150/items/TBR6F6V4"],"itemData":{"id":3225,"type":"article-journal","container-title":"Insurance Law Journal","issue":"2","journalAbbreviation":"Ins. L.J.","language":"eng","page":"89-96","source":"HeinOnline","title":"Liability of Garage Keepers and Parking Lot Owners","volume":"1952","author":[{"family":"McGeady","given":"Paul J."}],"issued":{"date-parts":[["1952"]]}},"locator":"90-94","label":"page"}],"schema":"https://github.com/citation-style-language/schema/raw/master/csl-citation.json"} </w:instrText>
      </w:r>
      <w:r w:rsidR="0080552D">
        <w:fldChar w:fldCharType="separate"/>
      </w:r>
      <w:r w:rsidR="00E5116B" w:rsidRPr="00E5116B">
        <w:t xml:space="preserve">Paul J. McGeady, </w:t>
      </w:r>
      <w:r w:rsidR="00E5116B" w:rsidRPr="00E5116B">
        <w:rPr>
          <w:i/>
          <w:iCs/>
        </w:rPr>
        <w:t>Liability of Garage Keepers and Parking Lot Owners</w:t>
      </w:r>
      <w:r w:rsidR="00E5116B" w:rsidRPr="00E5116B">
        <w:t xml:space="preserve">, 1952 </w:t>
      </w:r>
      <w:r w:rsidR="00E5116B" w:rsidRPr="00E5116B">
        <w:rPr>
          <w:smallCaps/>
        </w:rPr>
        <w:t>Ins. L.J.</w:t>
      </w:r>
      <w:r w:rsidR="00E5116B" w:rsidRPr="00E5116B">
        <w:t xml:space="preserve"> 89, 90–94</w:t>
      </w:r>
      <w:r w:rsidR="0080552D">
        <w:fldChar w:fldCharType="end"/>
      </w:r>
      <w:r w:rsidR="00C36321">
        <w:t>.</w:t>
      </w:r>
    </w:p>
  </w:footnote>
  <w:footnote w:id="325">
    <w:p w14:paraId="48033D61" w14:textId="3C9B9B37" w:rsidR="006D18A8" w:rsidRDefault="00105405" w:rsidP="00643F8F">
      <w:pPr>
        <w:pStyle w:val="FootnoteText"/>
      </w:pPr>
      <w:r w:rsidRPr="002A4234">
        <w:rPr>
          <w:rStyle w:val="FootnoteReference"/>
        </w:rPr>
        <w:footnoteRef/>
      </w:r>
      <w:r w:rsidR="00643F8F">
        <w:t xml:space="preserve"> </w:t>
      </w:r>
      <w:r w:rsidR="00B14CFF" w:rsidRPr="00B14CFF">
        <w:t xml:space="preserve">Paper Magic Group, Inc. v. J.B. Hunt Transp., Inc., 318 </w:t>
      </w:r>
      <w:r w:rsidR="008F3B7D">
        <w:t>F.3d</w:t>
      </w:r>
      <w:r w:rsidR="00B14CFF" w:rsidRPr="00B14CFF">
        <w:t xml:space="preserve"> 458, 461 (3d </w:t>
      </w:r>
      <w:r w:rsidR="0099570B">
        <w:t xml:space="preserve">Cir. </w:t>
      </w:r>
      <w:r w:rsidR="00B14CFF" w:rsidRPr="00B14CFF">
        <w:t>2003)</w:t>
      </w:r>
      <w:r w:rsidR="006D18A8">
        <w:t>.</w:t>
      </w:r>
    </w:p>
  </w:footnote>
  <w:footnote w:id="326">
    <w:p w14:paraId="652F9347" w14:textId="389E6D30" w:rsidR="00585B58" w:rsidRDefault="00585B58">
      <w:pPr>
        <w:pStyle w:val="FootnoteText"/>
      </w:pPr>
      <w:r w:rsidRPr="002A4234">
        <w:rPr>
          <w:rStyle w:val="FootnoteReference"/>
        </w:rPr>
        <w:footnoteRef/>
      </w:r>
      <w:r>
        <w:t xml:space="preserve"> </w:t>
      </w:r>
      <w:r w:rsidR="00704EAF" w:rsidRPr="00704EAF">
        <w:t>U.C.C.§</w:t>
      </w:r>
      <w:r w:rsidR="00EB3EFD">
        <w:t> </w:t>
      </w:r>
      <w:r w:rsidR="00704EAF" w:rsidRPr="00704EAF">
        <w:t>7-204(a)</w:t>
      </w:r>
      <w:r w:rsidR="00337F5F">
        <w:t>.</w:t>
      </w:r>
    </w:p>
  </w:footnote>
  <w:footnote w:id="327">
    <w:p w14:paraId="5B8CAD68" w14:textId="0344F249" w:rsidR="00704EAF" w:rsidRDefault="00704EAF">
      <w:pPr>
        <w:pStyle w:val="FootnoteText"/>
      </w:pPr>
      <w:r w:rsidRPr="002A4234">
        <w:rPr>
          <w:rStyle w:val="FootnoteReference"/>
        </w:rPr>
        <w:footnoteRef/>
      </w:r>
      <w:r>
        <w:t xml:space="preserve"> </w:t>
      </w:r>
      <w:r w:rsidR="00CD31A8" w:rsidRPr="00CD31A8">
        <w:t>Fletcher v</w:t>
      </w:r>
      <w:r w:rsidR="00DB0F39">
        <w:t>.</w:t>
      </w:r>
      <w:r w:rsidR="00CD31A8" w:rsidRPr="00CD31A8">
        <w:t xml:space="preserve"> U-Haul Co.</w:t>
      </w:r>
      <w:r w:rsidR="00CF1F94">
        <w:t xml:space="preserve"> of Ariz.</w:t>
      </w:r>
      <w:r w:rsidR="00CD31A8" w:rsidRPr="00CD31A8">
        <w:t xml:space="preserve">, </w:t>
      </w:r>
      <w:r w:rsidR="009D1C5B">
        <w:t xml:space="preserve">No. </w:t>
      </w:r>
      <w:r w:rsidR="004C32CE" w:rsidRPr="004C32CE">
        <w:t>07-cv-01193</w:t>
      </w:r>
      <w:r w:rsidR="00192CEE">
        <w:t>,</w:t>
      </w:r>
      <w:r w:rsidR="009D1C5B">
        <w:t xml:space="preserve"> </w:t>
      </w:r>
      <w:r w:rsidR="00CD31A8" w:rsidRPr="00CD31A8">
        <w:t>2009 U</w:t>
      </w:r>
      <w:r w:rsidR="00E00837">
        <w:t>.</w:t>
      </w:r>
      <w:r w:rsidR="00CD31A8" w:rsidRPr="00CD31A8">
        <w:t>S</w:t>
      </w:r>
      <w:r w:rsidR="00E00837">
        <w:t>.</w:t>
      </w:r>
      <w:r w:rsidR="00CD31A8" w:rsidRPr="00CD31A8">
        <w:t xml:space="preserve"> Dist</w:t>
      </w:r>
      <w:r w:rsidR="00E00837">
        <w:t>.</w:t>
      </w:r>
      <w:r w:rsidR="00CD31A8" w:rsidRPr="00CD31A8">
        <w:t xml:space="preserve"> LEXIS 135008</w:t>
      </w:r>
      <w:r w:rsidR="0072095B">
        <w:t>, at *</w:t>
      </w:r>
      <w:r w:rsidR="00397352">
        <w:t>5</w:t>
      </w:r>
      <w:r w:rsidR="00CD31A8" w:rsidRPr="00CD31A8">
        <w:t xml:space="preserve"> </w:t>
      </w:r>
      <w:r w:rsidR="00CD31A8">
        <w:t>(</w:t>
      </w:r>
      <w:r w:rsidR="00CD31A8" w:rsidRPr="00CD31A8">
        <w:t>D</w:t>
      </w:r>
      <w:r w:rsidR="00CD31A8">
        <w:t>.</w:t>
      </w:r>
      <w:r w:rsidR="00CD31A8" w:rsidRPr="00CD31A8">
        <w:t xml:space="preserve"> Ariz</w:t>
      </w:r>
      <w:r w:rsidR="00CD31A8">
        <w:t>.</w:t>
      </w:r>
      <w:r w:rsidR="00CD31A8" w:rsidRPr="00CD31A8">
        <w:t xml:space="preserve"> Mar. 5, 2009</w:t>
      </w:r>
      <w:r w:rsidR="00CD31A8">
        <w:t>)</w:t>
      </w:r>
      <w:r w:rsidR="006D18A8">
        <w:t>.</w:t>
      </w:r>
    </w:p>
  </w:footnote>
  <w:footnote w:id="328">
    <w:p w14:paraId="23281FEB" w14:textId="21DFCF17" w:rsidR="00EA242B" w:rsidRDefault="00EA242B">
      <w:pPr>
        <w:pStyle w:val="FootnoteText"/>
      </w:pPr>
      <w:r w:rsidRPr="002A4234">
        <w:rPr>
          <w:rStyle w:val="FootnoteReference"/>
        </w:rPr>
        <w:footnoteRef/>
      </w:r>
      <w:r>
        <w:t xml:space="preserve"> </w:t>
      </w:r>
      <w:r w:rsidR="0020398F" w:rsidRPr="0020398F">
        <w:t>Huddl</w:t>
      </w:r>
      <w:r w:rsidR="0020398F">
        <w:t>e</w:t>
      </w:r>
      <w:r w:rsidR="0020398F" w:rsidRPr="0020398F">
        <w:t>ston v. U</w:t>
      </w:r>
      <w:r w:rsidR="00FD6DAB">
        <w:t>nited States,</w:t>
      </w:r>
      <w:r w:rsidR="0020398F" w:rsidRPr="0020398F">
        <w:t xml:space="preserve"> 415 U.S. 814, 819 (1974)</w:t>
      </w:r>
      <w:r w:rsidR="006D18A8">
        <w:t>.</w:t>
      </w:r>
    </w:p>
  </w:footnote>
  <w:footnote w:id="329">
    <w:p w14:paraId="4CE9BB40" w14:textId="6105EEEF" w:rsidR="00337F5F" w:rsidRDefault="00337F5F">
      <w:pPr>
        <w:pStyle w:val="FootnoteText"/>
      </w:pPr>
      <w:r w:rsidRPr="002A4234">
        <w:rPr>
          <w:rStyle w:val="FootnoteReference"/>
        </w:rPr>
        <w:footnoteRef/>
      </w:r>
      <w:r>
        <w:t xml:space="preserve"> </w:t>
      </w:r>
      <w:r w:rsidR="002A64C8" w:rsidRPr="00490D07">
        <w:rPr>
          <w:i/>
          <w:iCs/>
        </w:rPr>
        <w:t>Carpenter</w:t>
      </w:r>
      <w:r w:rsidR="002A64C8">
        <w:t xml:space="preserve">, </w:t>
      </w:r>
      <w:r w:rsidR="002A64C8" w:rsidRPr="002A64C8">
        <w:t xml:space="preserve">138 S. Ct. at </w:t>
      </w:r>
      <w:r w:rsidR="002A64C8">
        <w:t>226</w:t>
      </w:r>
      <w:r w:rsidR="00130637">
        <w:t>8</w:t>
      </w:r>
      <w:r w:rsidR="002A64C8">
        <w:t xml:space="preserve"> (Gorsuch, J.</w:t>
      </w:r>
      <w:r w:rsidR="00B1346D">
        <w:t>, dissenting</w:t>
      </w:r>
      <w:r w:rsidR="002A64C8">
        <w:t>)</w:t>
      </w:r>
      <w:r w:rsidR="000D7FFC">
        <w:t>.</w:t>
      </w:r>
    </w:p>
  </w:footnote>
  <w:footnote w:id="330">
    <w:p w14:paraId="410D5B49" w14:textId="0274A94F" w:rsidR="00DB659D" w:rsidRPr="00962EFF" w:rsidRDefault="00DB659D">
      <w:pPr>
        <w:pStyle w:val="FootnoteText"/>
        <w:rPr>
          <w:i/>
          <w:iCs/>
        </w:rPr>
      </w:pPr>
      <w:r w:rsidRPr="002A4234">
        <w:rPr>
          <w:rStyle w:val="FootnoteReference"/>
        </w:rPr>
        <w:footnoteRef/>
      </w:r>
      <w:r>
        <w:t xml:space="preserve"> </w:t>
      </w:r>
      <w:r w:rsidR="00F03C6A">
        <w:t>Burns v. State, 1</w:t>
      </w:r>
      <w:r w:rsidR="00DA4C79">
        <w:t xml:space="preserve">28 </w:t>
      </w:r>
      <w:r w:rsidR="00B52766">
        <w:t>N.W.</w:t>
      </w:r>
      <w:r w:rsidR="00A8076D">
        <w:t xml:space="preserve"> 987, </w:t>
      </w:r>
      <w:r w:rsidR="00EE62CE">
        <w:t xml:space="preserve">990 </w:t>
      </w:r>
      <w:r w:rsidR="0058579C">
        <w:t>(</w:t>
      </w:r>
      <w:r w:rsidR="00465825">
        <w:t>191</w:t>
      </w:r>
      <w:r w:rsidR="009F6FA2">
        <w:t>0</w:t>
      </w:r>
      <w:r w:rsidR="0058579C">
        <w:t>)</w:t>
      </w:r>
      <w:r w:rsidR="006D18A8">
        <w:t xml:space="preserve">; </w:t>
      </w:r>
      <w:r w:rsidR="00962EFF" w:rsidRPr="000151EF">
        <w:rPr>
          <w:smallCaps/>
        </w:rPr>
        <w:t>Story</w:t>
      </w:r>
      <w:r w:rsidR="00962EFF" w:rsidRPr="00962EFF">
        <w:t xml:space="preserve">, </w:t>
      </w:r>
      <w:r w:rsidR="00B3179C" w:rsidRPr="000151EF">
        <w:rPr>
          <w:i/>
          <w:iCs/>
        </w:rPr>
        <w:t>supra</w:t>
      </w:r>
      <w:r w:rsidR="00B3179C">
        <w:t xml:space="preserve"> note</w:t>
      </w:r>
      <w:r w:rsidR="00DB6395">
        <w:fldChar w:fldCharType="begin"/>
      </w:r>
      <w:r w:rsidR="00DB6395">
        <w:instrText xml:space="preserve"> NOTEREF _Ref113028700 \h </w:instrText>
      </w:r>
      <w:r w:rsidR="00DB6395">
        <w:fldChar w:fldCharType="separate"/>
      </w:r>
      <w:r w:rsidR="00405D69">
        <w:t>316</w:t>
      </w:r>
      <w:r w:rsidR="00DB6395">
        <w:fldChar w:fldCharType="end"/>
      </w:r>
      <w:r w:rsidR="00B57E4F">
        <w:t>,</w:t>
      </w:r>
      <w:r w:rsidR="00927B41">
        <w:t xml:space="preserve"> at</w:t>
      </w:r>
      <w:r w:rsidR="00B57E4F">
        <w:t xml:space="preserve"> </w:t>
      </w:r>
      <w:r w:rsidR="004F1342">
        <w:t>62-66</w:t>
      </w:r>
      <w:r w:rsidR="00962EFF">
        <w:t>.</w:t>
      </w:r>
    </w:p>
  </w:footnote>
  <w:footnote w:id="331">
    <w:p w14:paraId="34E74972" w14:textId="508FFDEF" w:rsidR="005F37D9" w:rsidRDefault="005F37D9">
      <w:pPr>
        <w:pStyle w:val="FootnoteText"/>
      </w:pPr>
      <w:r w:rsidRPr="002A4234">
        <w:rPr>
          <w:rStyle w:val="FootnoteReference"/>
        </w:rPr>
        <w:footnoteRef/>
      </w:r>
      <w:r>
        <w:t xml:space="preserve"> </w:t>
      </w:r>
      <w:r w:rsidR="003C5A7D">
        <w:fldChar w:fldCharType="begin"/>
      </w:r>
      <w:r w:rsidR="00E5116B">
        <w:instrText xml:space="preserve"> ADDIN ZOTERO_ITEM CSL_CITATION {"citationID":"oIryyxAe","properties":{"formattedCitation":"D\\uc0\\u8217{}Onfro, {\\i{}supra} note 12; Richard H. Helmholz, {\\i{}Bailment Theories and the Liability of Bailees: The Elusive Uniform Standard of Reasonable Care}, 41 {\\scaps Kan. L. Rev.} 41 (1992)","plainCitation":"D’Onfro, supra note 12; Richard H. Helmholz, Bailment Theories and the Liability of Bailees: The Elusive Uniform Standard of Reasonable Care, 41 Kan. L. Rev. 41 (1992)","noteIndex":321},"citationItems":[{"id":3243,"uris":["http://zotero.org/groups/2816150/items/S6DUJKA2"],"uri":["http://zotero.org/groups/2816150/items/S6DUJKA2"],"itemData":{"id":3243,"type":"article-journal","abstract":"The rise of cloud computing has dramatically changed how consumers and firms store their belongings. Property that owners once managed directly now exists primarily on infrastruc-ture maintained by intermediaries. Consumers entrust their photos to Apple instead of scrap-books; businesses put their documents on Amazon’s servers instead of in file cabinets; seemingly everything runs in the cloud. Were these belongings tangible, the relationship between owner and intermediary would be governed by the common-law doctrine of bailment. Bailments are mandatory relationships formed when one party entrusts their property to another. Within this relationship, the bailees owe the bailors a duty of care and may be liable if they failed to return the property. The parties can use contract to customize the relationship but not to disclaim entirely. Tracing the law of bailment relationships from its ancient roots to the present, this Article argues that cloud storage should be understood as creating a bailment relationship. The law of bailment, though developed in the Middle Ages, provides a robust framework for govern-ing twenty-first century electronic intermediaries. Though the kind of stored property has changed, the parties’ expectations and incentives have not. Yet the decline of litigation, the rise of arbitration, federal diversity jurisdiction, and the ever-growing dominance of contract has thus far prevented courts from applying the law of bailments to these new services. Recognizing cloud storage as a bailment would have significant implications. Most immedi-ately, it would suggest that important provisions in many cloud storage services’ contracts are unenforceable. A hand-collected dataset of 61 cloud storage contracts, reveals that most have include general disclaimers for any liability for lost data. These disclaimers are inconsistent with the duty of care that is the foundation of the law of bailment. In addition, understand-ing cloud storage as a bailment would have important implications for both the law of con-sumer protection and Fourth Amendment protections.","container-title":"Washington University Law Review","DOI":"10.2139/ssrn.3785711","journalAbbreviation":"Wash. L. Rev.","language":"en","page":"__","source":"papers.ssrn.com","title":"The New Bailments","volume":"97","author":[{"family":"D'Onfro","given":"Danielle"}],"issued":{"date-parts":[["2022"]],"season":"forthcoming"}},"label":"page"},{"id":3242,"uris":["http://zotero.org/groups/2816150/items/C3LCZ42J"],"uri":["http://zotero.org/groups/2816150/items/C3LCZ42J"],"itemData":{"id":3242,"type":"article-journal","container-title":"Kansas Law Review","journalAbbreviation":"Kan. L. Rev.","language":"en","page":"41","source":"Zotero","title":"Bailment Theories and the Liability of Bailees: The Elusive Uniform Standard of Reasonable Care","volume":"41","author":[{"family":"Helmholz","given":"Richard H."}],"issued":{"date-parts":[["1992"]]}},"label":"page"}],"schema":"https://github.com/citation-style-language/schema/raw/master/csl-citation.json"} </w:instrText>
      </w:r>
      <w:r w:rsidR="003C5A7D">
        <w:fldChar w:fldCharType="separate"/>
      </w:r>
      <w:r w:rsidR="00E5116B" w:rsidRPr="00E5116B">
        <w:t xml:space="preserve">D’Onfro, </w:t>
      </w:r>
      <w:r w:rsidR="00E5116B" w:rsidRPr="00E5116B">
        <w:rPr>
          <w:i/>
          <w:iCs/>
        </w:rPr>
        <w:t>supra</w:t>
      </w:r>
      <w:r w:rsidR="00E5116B" w:rsidRPr="00E5116B">
        <w:t xml:space="preserve"> note </w:t>
      </w:r>
      <w:r w:rsidR="00742DDB">
        <w:fldChar w:fldCharType="begin"/>
      </w:r>
      <w:r w:rsidR="00742DDB">
        <w:instrText xml:space="preserve"> NOTEREF _Ref114085953 \h </w:instrText>
      </w:r>
      <w:r w:rsidR="00742DDB">
        <w:fldChar w:fldCharType="separate"/>
      </w:r>
      <w:r w:rsidR="00405D69">
        <w:t>12</w:t>
      </w:r>
      <w:r w:rsidR="00742DDB">
        <w:fldChar w:fldCharType="end"/>
      </w:r>
      <w:r w:rsidR="00E5116B" w:rsidRPr="00E5116B">
        <w:t xml:space="preserve">; </w:t>
      </w:r>
      <w:r w:rsidR="007912A3" w:rsidRPr="00E5116B">
        <w:t>Richard H.</w:t>
      </w:r>
      <w:r w:rsidR="00E5116B" w:rsidRPr="00E5116B">
        <w:t xml:space="preserve"> Helmholz, </w:t>
      </w:r>
      <w:r w:rsidR="00E5116B" w:rsidRPr="00E5116B">
        <w:rPr>
          <w:i/>
          <w:iCs/>
        </w:rPr>
        <w:t>Bailment Theories and the Liability of Bailees: The Elusive Uniform Standard of Reasonable Care</w:t>
      </w:r>
      <w:r w:rsidR="00E5116B" w:rsidRPr="00E5116B">
        <w:t xml:space="preserve">, 41 </w:t>
      </w:r>
      <w:r w:rsidR="00E5116B" w:rsidRPr="00E5116B">
        <w:rPr>
          <w:smallCaps/>
        </w:rPr>
        <w:t>Kan. L. Rev.</w:t>
      </w:r>
      <w:r w:rsidR="00E5116B" w:rsidRPr="00E5116B">
        <w:t xml:space="preserve"> 41 (1992)</w:t>
      </w:r>
      <w:r w:rsidR="003C5A7D">
        <w:fldChar w:fldCharType="end"/>
      </w:r>
      <w:r w:rsidR="001319CF">
        <w:t>.</w:t>
      </w:r>
    </w:p>
  </w:footnote>
  <w:footnote w:id="332">
    <w:p w14:paraId="01A6BA55" w14:textId="0DB1AB1A" w:rsidR="00784186" w:rsidRDefault="00784186">
      <w:pPr>
        <w:pStyle w:val="FootnoteText"/>
      </w:pPr>
      <w:r w:rsidRPr="002A4234">
        <w:rPr>
          <w:rStyle w:val="FootnoteReference"/>
        </w:rPr>
        <w:footnoteRef/>
      </w:r>
      <w:r>
        <w:t xml:space="preserve"> Justice Gorsuch’s discussion of bailment has inspired </w:t>
      </w:r>
      <w:r w:rsidR="00137D2A">
        <w:t>many student notes</w:t>
      </w:r>
      <w:r w:rsidR="00DB1368">
        <w:t>.</w:t>
      </w:r>
      <w:r w:rsidR="004B398B">
        <w:t xml:space="preserve"> </w:t>
      </w:r>
      <w:r w:rsidR="00014C4D">
        <w:rPr>
          <w:i/>
          <w:iCs/>
        </w:rPr>
        <w:t>E</w:t>
      </w:r>
      <w:r w:rsidR="009329FE">
        <w:rPr>
          <w:i/>
          <w:iCs/>
        </w:rPr>
        <w:t>.g.</w:t>
      </w:r>
      <w:r w:rsidR="009329FE">
        <w:t xml:space="preserve">, </w:t>
      </w:r>
      <w:r w:rsidR="005C4476">
        <w:fldChar w:fldCharType="begin"/>
      </w:r>
      <w:r w:rsidR="00E5116B">
        <w:instrText xml:space="preserve"> ADDIN ZOTERO_ITEM CSL_CITATION {"citationID":"gEaBynd7","properties":{"formattedCitation":"Jeremy M. Hall, {\\i{}Bailment Law as Part of a Property-Based Fourth Amendment Framework}, 28 {\\scaps Geo. Mason L. Rev.} 481 (2020); Aaron J. Gold, {\\i{}Obscured by Clouds: The Fourth Amendment and Searching Cloud Storage Accounts through Locally Installed Software}, 56 {\\scaps Wm. &amp; Mary L. Rev.} 2321 (2015); Eric Johnson, {\\i{}Lost in the Cloud: Cloud Storage, Privacy, and Suggestions for Protecting Users\\uc0\\u8217{} Data}, 69 {\\scaps Stan. L. Rev.} 867 (2017)","plainCitation":"Jeremy M. Hall, Bailment Law as Part of a Property-Based Fourth Amendment Framework, 28 Geo. Mason L. Rev. 481 (2020); Aaron J. Gold, Obscured by Clouds: The Fourth Amendment and Searching Cloud Storage Accounts through Locally Installed Software, 56 Wm. &amp; Mary L. Rev. 2321 (2015); Eric Johnson, Lost in the Cloud: Cloud Storage, Privacy, and Suggestions for Protecting Users’ Data, 69 Stan. L. Rev. 867 (2017)","noteIndex":322},"citationItems":[{"id":3281,"uris":["http://zotero.org/groups/2816150/items/K7USUDVA"],"uri":["http://zotero.org/groups/2816150/items/K7USUDVA"],"itemData":{"id":3281,"type":"article-journal","container-title":"George Mason Law Review","issue":"1","journalAbbreviation":"Geo. Mason L. Rev.","language":"eng","page":"481-508","source":"HeinOnline","title":"Bailment Law as Part of a Property-Based Fourth Amendment Framework","volume":"28","author":[{"family":"Hall","given":"Jeremy M."}],"issued":{"date-parts":[["2020"]]}},"label":"page"},{"id":3246,"uris":["http://zotero.org/groups/2816150/items/8LA7MQJE"],"uri":["http://zotero.org/groups/2816150/items/8LA7MQJE"],"itemData":{"id":3246,"type":"article-journal","container-title":"William &amp; Mary Law Review","issue":"6","journalAbbreviation":"Wm. &amp; Mary L. Rev.","language":"eng","page":"2321-2350","source":"HeinOnline","title":"Obscured by Clouds: The Fourth Amendment and Searching Cloud Storage Accounts through Locally Installed Software","title-short":"Obscured by Clouds","volume":"56","author":[{"family":"Gold","given":"Aaron J."}],"issued":{"date-parts":[["2015"]]}},"label":"page"},{"id":3245,"uris":["http://zotero.org/groups/2816150/items/PPX7SDSN"],"uri":["http://zotero.org/groups/2816150/items/PPX7SDSN"],"itemData":{"id":3245,"type":"article-journal","container-title":"Stanford Law Review","issue":"3","journalAbbreviation":"Stan. L. Rev.","language":"eng","page":"867-910","source":"HeinOnline","title":"Lost in the Cloud: Cloud Storage, Privacy, and Suggestions for Protecting Users' Data","title-short":"Lost in the Cloud","volume":"69","author":[{"family":"Johnson","given":"Eric"}],"issued":{"date-parts":[["2017"]]}},"label":"page"}],"schema":"https://github.com/citation-style-language/schema/raw/master/csl-citation.json"} </w:instrText>
      </w:r>
      <w:r w:rsidR="005C4476">
        <w:fldChar w:fldCharType="separate"/>
      </w:r>
      <w:r w:rsidR="00E5116B" w:rsidRPr="00E5116B">
        <w:t xml:space="preserve">Jeremy M. Hall, </w:t>
      </w:r>
      <w:r w:rsidR="00E5116B" w:rsidRPr="00E5116B">
        <w:rPr>
          <w:i/>
          <w:iCs/>
        </w:rPr>
        <w:t>Bailment Law as Part of a Property-Based Fourth Amendment Framework</w:t>
      </w:r>
      <w:r w:rsidR="00E5116B" w:rsidRPr="00E5116B">
        <w:t xml:space="preserve">, 28 </w:t>
      </w:r>
      <w:r w:rsidR="00E5116B" w:rsidRPr="00E5116B">
        <w:rPr>
          <w:smallCaps/>
        </w:rPr>
        <w:t>Geo. Mason L. Rev.</w:t>
      </w:r>
      <w:r w:rsidR="00E5116B" w:rsidRPr="00E5116B">
        <w:t xml:space="preserve"> 481 (2020); Aaron J. Gold, </w:t>
      </w:r>
      <w:r w:rsidR="00E5116B" w:rsidRPr="00E5116B">
        <w:rPr>
          <w:i/>
          <w:iCs/>
        </w:rPr>
        <w:t xml:space="preserve">Obscured by Clouds: The Fourth Amendment and Searching Cloud Storage Accounts </w:t>
      </w:r>
      <w:r w:rsidR="00BD4F34">
        <w:rPr>
          <w:i/>
          <w:iCs/>
        </w:rPr>
        <w:t>T</w:t>
      </w:r>
      <w:r w:rsidR="007912A3" w:rsidRPr="00E5116B">
        <w:rPr>
          <w:i/>
          <w:iCs/>
        </w:rPr>
        <w:t>hrough</w:t>
      </w:r>
      <w:r w:rsidR="00E5116B" w:rsidRPr="00E5116B">
        <w:rPr>
          <w:i/>
          <w:iCs/>
        </w:rPr>
        <w:t xml:space="preserve"> Locally Installed Software</w:t>
      </w:r>
      <w:r w:rsidR="00E5116B" w:rsidRPr="00E5116B">
        <w:t xml:space="preserve">, 56 </w:t>
      </w:r>
      <w:r w:rsidR="00E5116B" w:rsidRPr="00E5116B">
        <w:rPr>
          <w:smallCaps/>
        </w:rPr>
        <w:t>Wm. &amp; Mary L. Rev.</w:t>
      </w:r>
      <w:r w:rsidR="00E5116B" w:rsidRPr="00E5116B">
        <w:t xml:space="preserve"> 2321 (2015); Eric Johnson, </w:t>
      </w:r>
      <w:r w:rsidR="00E5116B" w:rsidRPr="00E5116B">
        <w:rPr>
          <w:i/>
          <w:iCs/>
        </w:rPr>
        <w:t>Lost in the Cloud: Cloud Storage, Privacy, and Suggestions for Protecting Users’ Data</w:t>
      </w:r>
      <w:r w:rsidR="00E5116B" w:rsidRPr="00E5116B">
        <w:t xml:space="preserve">, 69 </w:t>
      </w:r>
      <w:r w:rsidR="00E5116B" w:rsidRPr="00E5116B">
        <w:rPr>
          <w:smallCaps/>
        </w:rPr>
        <w:t>Stan. L. Rev.</w:t>
      </w:r>
      <w:r w:rsidR="00E5116B" w:rsidRPr="00E5116B">
        <w:t xml:space="preserve"> 867 (2017)</w:t>
      </w:r>
      <w:r w:rsidR="005C4476">
        <w:fldChar w:fldCharType="end"/>
      </w:r>
      <w:r w:rsidR="00C1733E">
        <w:t>.</w:t>
      </w:r>
      <w:r w:rsidR="00137D2A">
        <w:t xml:space="preserve"> </w:t>
      </w:r>
      <w:r w:rsidR="006C6A23">
        <w:t xml:space="preserve">For additional commentary, see, </w:t>
      </w:r>
      <w:r w:rsidR="00850C53">
        <w:fldChar w:fldCharType="begin"/>
      </w:r>
      <w:r w:rsidR="00E5116B">
        <w:instrText xml:space="preserve"> ADDIN ZOTERO_ITEM CSL_CITATION {"citationID":"HHHW02zy","properties":{"formattedCitation":"Ian Samuel, {\\i{}Carpenter and the Property Vocabulary}, {\\scaps Harv. L. Rev. Blog} (Dec. 8, 2017), https://blog.harvardlawreview.org/carpenter-and-the-property-vocabulary/","plainCitation":"Ian Samuel, Carpenter and the Property Vocabulary, Harv. L. Rev. Blog (Dec. 8, 2017), https://blog.harvardlawreview.org/carpenter-and-the-property-vocabulary/","noteIndex":322},"citationItems":[{"id":3206,"uris":["http://zotero.org/groups/2816150/items/49YGE2J6"],"uri":["http://zotero.org/groups/2816150/items/49YGE2J6"],"itemData":{"id":3206,"type":"post-weblog","abstract":"Last week, the Supreme Court heard oral argument in Carpenter v. United States, which will decide whether the government may…","container-title":"Harv. L. Rev. Blog","language":"en-us","title":"Carpenter and the Property Vocabulary","title-short":"Harv. L. Rev. Blog","URL":"https://blog.harvardlawreview.org/carpenter-and-the-property-vocabulary/","author":[{"family":"Samuel","given":"Ian"}],"accessed":{"date-parts":[["2021",1,21]]},"issued":{"date-parts":[["2017",12,8]]}}}],"schema":"https://github.com/citation-style-language/schema/raw/master/csl-citation.json"} </w:instrText>
      </w:r>
      <w:r w:rsidR="00850C53">
        <w:fldChar w:fldCharType="separate"/>
      </w:r>
      <w:r w:rsidR="00E5116B" w:rsidRPr="00E5116B">
        <w:t xml:space="preserve">Ian Samuel, </w:t>
      </w:r>
      <w:r w:rsidR="00E5116B" w:rsidRPr="000151EF">
        <w:t>Carpenter</w:t>
      </w:r>
      <w:r w:rsidR="00E5116B" w:rsidRPr="00E5116B">
        <w:rPr>
          <w:i/>
          <w:iCs/>
        </w:rPr>
        <w:t xml:space="preserve"> and the Property Vocabulary</w:t>
      </w:r>
      <w:r w:rsidR="00E5116B" w:rsidRPr="00E5116B">
        <w:t xml:space="preserve">, </w:t>
      </w:r>
      <w:r w:rsidR="00E5116B" w:rsidRPr="00E5116B">
        <w:rPr>
          <w:smallCaps/>
        </w:rPr>
        <w:t>Harv. L. Rev. Blog</w:t>
      </w:r>
      <w:r w:rsidR="00E5116B" w:rsidRPr="00E5116B">
        <w:t xml:space="preserve"> (Dec. 8, 2017), https://blog.harvardlawreview.org/carpenter-and-the-property-vocabulary [https://perma.cc/ZX68-FMHY]</w:t>
      </w:r>
      <w:r w:rsidR="00850C53">
        <w:fldChar w:fldCharType="end"/>
      </w:r>
      <w:r w:rsidR="00060AA3">
        <w:t>.</w:t>
      </w:r>
    </w:p>
  </w:footnote>
  <w:footnote w:id="333">
    <w:p w14:paraId="52DF4B1D" w14:textId="2E1DDB0F" w:rsidR="00461A31" w:rsidRDefault="00461A31">
      <w:pPr>
        <w:pStyle w:val="FootnoteText"/>
      </w:pPr>
      <w:r w:rsidRPr="002A4234">
        <w:rPr>
          <w:rStyle w:val="FootnoteReference"/>
        </w:rPr>
        <w:footnoteRef/>
      </w:r>
      <w:r>
        <w:t xml:space="preserve"> 138 S.</w:t>
      </w:r>
      <w:r w:rsidR="008D2D3D">
        <w:t xml:space="preserve"> </w:t>
      </w:r>
      <w:r>
        <w:t xml:space="preserve">Ct. </w:t>
      </w:r>
      <w:r w:rsidR="00DD79E0">
        <w:t xml:space="preserve">at </w:t>
      </w:r>
      <w:r>
        <w:t>2268</w:t>
      </w:r>
      <w:r w:rsidR="00DD79E0">
        <w:t>.</w:t>
      </w:r>
    </w:p>
  </w:footnote>
  <w:footnote w:id="334">
    <w:p w14:paraId="5E8ACF9B" w14:textId="4FF0F5E6" w:rsidR="00B87AEA" w:rsidRPr="007D7E6D" w:rsidRDefault="00B87AEA">
      <w:pPr>
        <w:pStyle w:val="FootnoteText"/>
      </w:pPr>
      <w:r w:rsidRPr="002A4234">
        <w:rPr>
          <w:rStyle w:val="FootnoteReference"/>
        </w:rPr>
        <w:footnoteRef/>
      </w:r>
      <w:r>
        <w:t xml:space="preserve"> </w:t>
      </w:r>
      <w:r w:rsidR="00B92476">
        <w:rPr>
          <w:i/>
          <w:iCs/>
        </w:rPr>
        <w:t>Id</w:t>
      </w:r>
      <w:r w:rsidR="00B92476">
        <w:t>.</w:t>
      </w:r>
      <w:r w:rsidR="003C7F90">
        <w:t xml:space="preserve"> (citing</w:t>
      </w:r>
      <w:r>
        <w:t xml:space="preserve"> </w:t>
      </w:r>
      <w:r w:rsidR="007D7E6D" w:rsidRPr="00490D07">
        <w:t xml:space="preserve">Ex parte Jackson, </w:t>
      </w:r>
      <w:r w:rsidR="0051243D">
        <w:t>96 U.S. 727, 733 (1877)</w:t>
      </w:r>
      <w:r w:rsidR="00F719C3">
        <w:t>)</w:t>
      </w:r>
      <w:r w:rsidR="0051243D">
        <w:t>.</w:t>
      </w:r>
    </w:p>
  </w:footnote>
  <w:footnote w:id="335">
    <w:p w14:paraId="338F198D" w14:textId="01A27755" w:rsidR="007B00F6" w:rsidRPr="007B00F6" w:rsidRDefault="007B00F6">
      <w:pPr>
        <w:pStyle w:val="FootnoteText"/>
      </w:pPr>
      <w:r w:rsidRPr="002A4234">
        <w:rPr>
          <w:rStyle w:val="FootnoteReference"/>
        </w:rPr>
        <w:footnoteRef/>
      </w:r>
      <w:r>
        <w:t xml:space="preserve"> </w:t>
      </w:r>
      <w:r w:rsidR="00BE1305">
        <w:t>138 S. Ct. at 2269</w:t>
      </w:r>
      <w:r>
        <w:t>.</w:t>
      </w:r>
    </w:p>
  </w:footnote>
  <w:footnote w:id="336">
    <w:p w14:paraId="421CAF56" w14:textId="1086F453" w:rsidR="002B5D85" w:rsidRDefault="002B5D85">
      <w:pPr>
        <w:pStyle w:val="FootnoteText"/>
      </w:pPr>
      <w:r w:rsidRPr="002A4234">
        <w:rPr>
          <w:rStyle w:val="FootnoteReference"/>
        </w:rPr>
        <w:footnoteRef/>
      </w:r>
      <w:r>
        <w:t xml:space="preserve"> </w:t>
      </w:r>
      <w:r w:rsidR="00E92602">
        <w:fldChar w:fldCharType="begin"/>
      </w:r>
      <w:r w:rsidR="00E5116B">
        <w:instrText xml:space="preserve"> ADDIN ZOTERO_ITEM CSL_CITATION {"citationID":"s7OUlPy8","properties":{"formattedCitation":"4 {\\scaps Blackstone}, {\\i{}supra} note 143, at *230","plainCitation":"4 Blackstone, supra note 143, at *230","noteIndex":327},"citationItems":[{"id":3233,"uris":["http://zotero.org/groups/2816150/items/ENRPQI2J"],"uri":["http://zotero.org/groups/2816150/items/ENRPQI2J"],"itemData":{"id":3233,"type":"book","number-of-volumes":"4","title":"Commentaries","author":[{"family":"Blackstone","given":"William"}]},"locator":"*230","label":"page","prefix":"4"}],"schema":"https://github.com/citation-style-language/schema/raw/master/csl-citation.json"} </w:instrText>
      </w:r>
      <w:r w:rsidR="00E92602">
        <w:fldChar w:fldCharType="separate"/>
      </w:r>
      <w:r w:rsidR="00E5116B" w:rsidRPr="00E5116B">
        <w:t xml:space="preserve">4 </w:t>
      </w:r>
      <w:r w:rsidR="00E5116B" w:rsidRPr="00E5116B">
        <w:rPr>
          <w:smallCaps/>
        </w:rPr>
        <w:t>Blackstone</w:t>
      </w:r>
      <w:r w:rsidR="00E5116B" w:rsidRPr="00E5116B">
        <w:t xml:space="preserve">, </w:t>
      </w:r>
      <w:r w:rsidR="00E5116B" w:rsidRPr="00E5116B">
        <w:rPr>
          <w:i/>
          <w:iCs/>
        </w:rPr>
        <w:t>supra</w:t>
      </w:r>
      <w:r w:rsidR="00E5116B" w:rsidRPr="00E5116B">
        <w:t xml:space="preserve"> note 143, at *230</w:t>
      </w:r>
      <w:r w:rsidR="00E92602">
        <w:fldChar w:fldCharType="end"/>
      </w:r>
      <w:r w:rsidR="00C36321">
        <w:t>.</w:t>
      </w:r>
      <w:r w:rsidR="00CE169D" w:rsidRPr="00CE169D">
        <w:rPr>
          <w:i/>
          <w:iCs/>
        </w:rPr>
        <w:t xml:space="preserve"> </w:t>
      </w:r>
      <w:r w:rsidR="00623F81" w:rsidRPr="00CE169D">
        <w:t>In</w:t>
      </w:r>
      <w:r w:rsidR="00623F81">
        <w:t xml:space="preserve"> the late </w:t>
      </w:r>
      <w:r w:rsidR="0074735F">
        <w:t xml:space="preserve">nineteenth </w:t>
      </w:r>
      <w:r w:rsidR="00623F81">
        <w:t xml:space="preserve">century, states </w:t>
      </w:r>
      <w:r w:rsidR="00F2369A">
        <w:t>began</w:t>
      </w:r>
      <w:r w:rsidR="00F42972">
        <w:t xml:space="preserve"> </w:t>
      </w:r>
      <w:r w:rsidR="00C55215">
        <w:t>amending</w:t>
      </w:r>
      <w:r w:rsidR="00F42972">
        <w:t xml:space="preserve"> their laws to eliminate the element of breaking bulk and </w:t>
      </w:r>
      <w:r w:rsidR="008C3744">
        <w:t xml:space="preserve">to </w:t>
      </w:r>
      <w:r w:rsidR="00F42972">
        <w:t>hold bailees liable for any conversion for personal use</w:t>
      </w:r>
      <w:r w:rsidR="00930BDF">
        <w:t xml:space="preserve">. </w:t>
      </w:r>
      <w:r w:rsidR="00B304A1">
        <w:rPr>
          <w:i/>
          <w:iCs/>
        </w:rPr>
        <w:t xml:space="preserve">See </w:t>
      </w:r>
      <w:r w:rsidR="00930BDF">
        <w:t xml:space="preserve">Burns v. State, </w:t>
      </w:r>
      <w:r w:rsidR="00D9170A">
        <w:t xml:space="preserve">128 N.W. 987, </w:t>
      </w:r>
      <w:r w:rsidR="00833A63">
        <w:t>991</w:t>
      </w:r>
      <w:r w:rsidR="00446881" w:rsidRPr="00446881">
        <w:t xml:space="preserve"> (191</w:t>
      </w:r>
      <w:r w:rsidR="00833A63">
        <w:t>0</w:t>
      </w:r>
      <w:r w:rsidR="00446881" w:rsidRPr="00446881">
        <w:t>)</w:t>
      </w:r>
      <w:r w:rsidR="00A60935">
        <w:t xml:space="preserve">; </w:t>
      </w:r>
      <w:r w:rsidR="00D10C65" w:rsidRPr="00D10C65">
        <w:t>In re Adoption of the 2005 Revisions, 119 P</w:t>
      </w:r>
      <w:r w:rsidR="00DC5364">
        <w:t>.</w:t>
      </w:r>
      <w:r w:rsidR="00D10C65" w:rsidRPr="00D10C65">
        <w:t>3d 753</w:t>
      </w:r>
      <w:r w:rsidR="00781624">
        <w:t xml:space="preserve">, </w:t>
      </w:r>
      <w:r w:rsidR="00B64991">
        <w:t>762</w:t>
      </w:r>
      <w:r w:rsidR="00D10C65">
        <w:t xml:space="preserve"> (O</w:t>
      </w:r>
      <w:r w:rsidR="00E22494">
        <w:t>kla</w:t>
      </w:r>
      <w:r w:rsidR="00E575D9">
        <w:t>.</w:t>
      </w:r>
      <w:r w:rsidR="00E22494">
        <w:t xml:space="preserve"> Ct. Crim. App.</w:t>
      </w:r>
      <w:r w:rsidR="00D10C65">
        <w:t xml:space="preserve"> 2005)</w:t>
      </w:r>
      <w:r w:rsidR="00E22494">
        <w:t>. Before these revisions</w:t>
      </w:r>
      <w:r w:rsidR="00C81D0F">
        <w:t>,</w:t>
      </w:r>
      <w:r w:rsidR="00E22494">
        <w:t xml:space="preserve"> bailees were only guilty of embezzlement</w:t>
      </w:r>
      <w:r w:rsidR="0017248C">
        <w:t xml:space="preserve"> (if anything)</w:t>
      </w:r>
      <w:r w:rsidR="00E22494">
        <w:t xml:space="preserve"> when they appropriated the whole of the bailment without breaking bulk</w:t>
      </w:r>
      <w:r w:rsidR="00501350">
        <w:t>.</w:t>
      </w:r>
    </w:p>
  </w:footnote>
  <w:footnote w:id="337">
    <w:p w14:paraId="4BDB3DEF" w14:textId="77777777" w:rsidR="004A7FD7" w:rsidRDefault="004A7FD7" w:rsidP="004A7FD7">
      <w:pPr>
        <w:pStyle w:val="FootnoteText"/>
      </w:pPr>
      <w:r>
        <w:rPr>
          <w:rStyle w:val="FootnoteReference"/>
        </w:rPr>
        <w:footnoteRef/>
      </w:r>
      <w:r>
        <w:t xml:space="preserve"> </w:t>
      </w:r>
      <w:r>
        <w:rPr>
          <w:i/>
          <w:iCs/>
        </w:rPr>
        <w:t>See, e.g.</w:t>
      </w:r>
      <w:r>
        <w:t>, United States v. Perea, 986 F.2d 633, 640 (2d Cir. 1993) (“A bailee has the right—and often the duty—to exclude others from possession of the property entrusted to him.”)</w:t>
      </w:r>
    </w:p>
  </w:footnote>
  <w:footnote w:id="338">
    <w:p w14:paraId="1E4684BC" w14:textId="1EC0B122" w:rsidR="002D350A" w:rsidRDefault="002D350A" w:rsidP="00CB6A58">
      <w:pPr>
        <w:pStyle w:val="FootnoteText"/>
      </w:pPr>
      <w:r w:rsidRPr="002A4234">
        <w:rPr>
          <w:rStyle w:val="FootnoteReference"/>
        </w:rPr>
        <w:footnoteRef/>
      </w:r>
      <w:r w:rsidR="00A71A1E">
        <w:t xml:space="preserve"> </w:t>
      </w:r>
      <w:r w:rsidR="00A71A1E">
        <w:fldChar w:fldCharType="begin"/>
      </w:r>
      <w:r w:rsidR="00E5116B">
        <w:instrText xml:space="preserve"> ADDIN ZOTERO_ITEM CSL_CITATION {"citationID":"Da6v9w3d","properties":{"formattedCitation":"4 {\\scaps Wayne R. LaFave}, {\\scaps Search and Seizure: A Treatise on the Fourth Amendment} \\uc0\\u167{} 8.6(a) (6th ed. 2021)","plainCitation":"4 Wayne R. LaFave, Search and Seizure: A Treatise on the Fourth Amendment § 8.6(a) (6th ed. 2021)","noteIndex":328},"citationItems":[{"id":3229,"uris":["http://zotero.org/groups/2816150/items/DKQKYZPE"],"uri":["http://zotero.org/groups/2816150/items/DKQKYZPE"],"itemData":{"id":3229,"type":"book","edition":"6th","title":"Search and Seizure: A Treatise on the Fourth Amendment","author":[{"family":"LaFave","given":"Wayne R."}],"issued":{"date-parts":[["2021"]]}},"locator":"8.6(a)","label":"section","prefix":"4"}],"schema":"https://github.com/citation-style-language/schema/raw/master/csl-citation.json"} </w:instrText>
      </w:r>
      <w:r w:rsidR="00A71A1E">
        <w:fldChar w:fldCharType="separate"/>
      </w:r>
      <w:r w:rsidR="00E5116B" w:rsidRPr="00E5116B">
        <w:t xml:space="preserve">4 </w:t>
      </w:r>
      <w:r w:rsidR="00E5116B" w:rsidRPr="00E5116B">
        <w:rPr>
          <w:smallCaps/>
        </w:rPr>
        <w:t>Wayne R. LaFave</w:t>
      </w:r>
      <w:r w:rsidR="00E5116B" w:rsidRPr="00E5116B">
        <w:t xml:space="preserve">, </w:t>
      </w:r>
      <w:r w:rsidR="00E5116B" w:rsidRPr="00E5116B">
        <w:rPr>
          <w:smallCaps/>
        </w:rPr>
        <w:t>Search and Seizure: A Treatise on the Fourth Amendment</w:t>
      </w:r>
      <w:r w:rsidR="00E5116B" w:rsidRPr="00E5116B">
        <w:t xml:space="preserve"> § 8.6(a) (6th ed. </w:t>
      </w:r>
      <w:r w:rsidR="007912A3" w:rsidRPr="00E5116B">
        <w:t>2021)</w:t>
      </w:r>
      <w:r w:rsidR="00A71A1E">
        <w:fldChar w:fldCharType="end"/>
      </w:r>
      <w:r w:rsidR="00785B4F">
        <w:t xml:space="preserve">; </w:t>
      </w:r>
      <w:r w:rsidR="003A5F21">
        <w:t>Rawlings v. Kentucky, 448 U.S. 98, 106 (1980)</w:t>
      </w:r>
      <w:r w:rsidR="006758A9">
        <w:t xml:space="preserve"> (explaining that with respect to property held by a bailee, </w:t>
      </w:r>
      <w:r w:rsidR="001815C0">
        <w:t>the relevant inquiry is “</w:t>
      </w:r>
      <w:r w:rsidR="001815C0" w:rsidRPr="001815C0">
        <w:t xml:space="preserve">whether governmental officials violated any legitimate expectation of privacy held by </w:t>
      </w:r>
      <w:r w:rsidR="008C3744">
        <w:t>[the bailor]</w:t>
      </w:r>
      <w:r w:rsidR="00E93364">
        <w:t>.</w:t>
      </w:r>
      <w:r w:rsidR="005B5FE1">
        <w:t>”)</w:t>
      </w:r>
      <w:r w:rsidR="001319CF">
        <w:t>.</w:t>
      </w:r>
    </w:p>
  </w:footnote>
  <w:footnote w:id="339">
    <w:p w14:paraId="6AB57DE5" w14:textId="61698DCE" w:rsidR="001E2A1F" w:rsidRDefault="001E2A1F">
      <w:pPr>
        <w:pStyle w:val="FootnoteText"/>
      </w:pPr>
      <w:r w:rsidRPr="002A4234">
        <w:rPr>
          <w:rStyle w:val="FootnoteReference"/>
        </w:rPr>
        <w:footnoteRef/>
      </w:r>
      <w:r>
        <w:t xml:space="preserve"> </w:t>
      </w:r>
      <w:r w:rsidR="00643F8F">
        <w:rPr>
          <w:i/>
          <w:iCs/>
        </w:rPr>
        <w:t>See, e.g.</w:t>
      </w:r>
      <w:r w:rsidR="00643F8F">
        <w:t xml:space="preserve">, </w:t>
      </w:r>
      <w:r w:rsidR="00161208" w:rsidRPr="00161208">
        <w:t>Clarke v</w:t>
      </w:r>
      <w:r w:rsidR="003813FE">
        <w:t>.</w:t>
      </w:r>
      <w:r w:rsidR="00161208" w:rsidRPr="00161208">
        <w:t xml:space="preserve"> Neil, 427 F</w:t>
      </w:r>
      <w:r w:rsidR="003813FE">
        <w:t>.</w:t>
      </w:r>
      <w:r w:rsidR="00161208" w:rsidRPr="00161208">
        <w:t xml:space="preserve">2d 1322, 1325 </w:t>
      </w:r>
      <w:r w:rsidR="00161208">
        <w:t>(</w:t>
      </w:r>
      <w:r w:rsidR="00161208" w:rsidRPr="00161208">
        <w:t>6th Cir</w:t>
      </w:r>
      <w:r w:rsidR="00161208">
        <w:t>.</w:t>
      </w:r>
      <w:r w:rsidR="00161208" w:rsidRPr="00161208">
        <w:t xml:space="preserve"> 1970</w:t>
      </w:r>
      <w:r w:rsidR="00161208">
        <w:t>)</w:t>
      </w:r>
      <w:r w:rsidR="001319CF">
        <w:t>.</w:t>
      </w:r>
    </w:p>
  </w:footnote>
  <w:footnote w:id="340">
    <w:p w14:paraId="302A05D9" w14:textId="16F8D451" w:rsidR="00F24F51" w:rsidRDefault="00F24F51">
      <w:pPr>
        <w:pStyle w:val="FootnoteText"/>
      </w:pPr>
      <w:r w:rsidRPr="002A4234">
        <w:rPr>
          <w:rStyle w:val="FootnoteReference"/>
        </w:rPr>
        <w:footnoteRef/>
      </w:r>
      <w:r>
        <w:t xml:space="preserve"> </w:t>
      </w:r>
      <w:r w:rsidR="00643F8F">
        <w:rPr>
          <w:i/>
          <w:iCs/>
        </w:rPr>
        <w:t xml:space="preserve">See </w:t>
      </w:r>
      <w:r w:rsidR="008D640D" w:rsidRPr="008D640D">
        <w:t>Corngold v</w:t>
      </w:r>
      <w:r w:rsidR="003813FE">
        <w:t>.</w:t>
      </w:r>
      <w:r w:rsidR="008D640D" w:rsidRPr="008D640D">
        <w:t xml:space="preserve"> United States, 367 F</w:t>
      </w:r>
      <w:r w:rsidR="003813FE">
        <w:t>.</w:t>
      </w:r>
      <w:r w:rsidR="008D640D" w:rsidRPr="008D640D">
        <w:t xml:space="preserve">2d 1, 7 </w:t>
      </w:r>
      <w:r w:rsidR="008D640D">
        <w:t>(</w:t>
      </w:r>
      <w:r w:rsidR="008D640D" w:rsidRPr="008D640D">
        <w:t xml:space="preserve">9th </w:t>
      </w:r>
      <w:r w:rsidR="0099570B">
        <w:t xml:space="preserve">Cir. </w:t>
      </w:r>
      <w:r w:rsidR="008D640D" w:rsidRPr="008D640D">
        <w:t>1966)</w:t>
      </w:r>
      <w:r w:rsidR="008D640D">
        <w:t xml:space="preserve"> (</w:t>
      </w:r>
      <w:r w:rsidR="006F5C33">
        <w:t xml:space="preserve">holding that </w:t>
      </w:r>
      <w:r w:rsidR="004E306F">
        <w:t xml:space="preserve">a </w:t>
      </w:r>
      <w:r w:rsidR="0052729E">
        <w:t xml:space="preserve">bailee cannot consent to search </w:t>
      </w:r>
      <w:r w:rsidR="00473AF0">
        <w:t xml:space="preserve">of </w:t>
      </w:r>
      <w:r w:rsidR="008D640D">
        <w:t>packages bailed to an airline)</w:t>
      </w:r>
      <w:r w:rsidR="00026B7D">
        <w:t xml:space="preserve">; </w:t>
      </w:r>
      <w:r w:rsidR="00A41C05">
        <w:t>United States v. James, 353 F.3d 606, 614 (8th Cir. 2003)</w:t>
      </w:r>
      <w:r w:rsidR="009E620F">
        <w:t xml:space="preserve"> </w:t>
      </w:r>
      <w:r w:rsidR="00393889">
        <w:t>(</w:t>
      </w:r>
      <w:r w:rsidR="004E306F">
        <w:t xml:space="preserve">holding that a </w:t>
      </w:r>
      <w:r w:rsidR="00393889">
        <w:t xml:space="preserve">bailee cannot consent to search </w:t>
      </w:r>
      <w:r w:rsidR="00473AF0">
        <w:t xml:space="preserve">of </w:t>
      </w:r>
      <w:r w:rsidR="00A92845">
        <w:t>sealed envelopes</w:t>
      </w:r>
      <w:r w:rsidR="00105746">
        <w:t xml:space="preserve"> marked “confidential” and “private”)</w:t>
      </w:r>
      <w:r w:rsidR="00680C10">
        <w:t xml:space="preserve">; </w:t>
      </w:r>
      <w:r w:rsidR="00680C10" w:rsidRPr="00086A08">
        <w:rPr>
          <w:i/>
          <w:iCs/>
        </w:rPr>
        <w:t>see also</w:t>
      </w:r>
      <w:r w:rsidR="00680C10">
        <w:t xml:space="preserve"> </w:t>
      </w:r>
      <w:r w:rsidR="00FF4438">
        <w:t>United States v. Wright, 838 F.3d 880, 886 (7th Cir. 2016) (“Like a lock on a briefcase or storage trunk, password protection on a computer demonstrates the owner</w:t>
      </w:r>
      <w:r w:rsidR="00851CDA">
        <w:t>’</w:t>
      </w:r>
      <w:r w:rsidR="00FF4438">
        <w:t>s affirmative intent to limit access to its contents.”)</w:t>
      </w:r>
      <w:r w:rsidR="00D67C02">
        <w:t>.</w:t>
      </w:r>
    </w:p>
  </w:footnote>
  <w:footnote w:id="341">
    <w:p w14:paraId="18806BCC" w14:textId="551A4C5F" w:rsidR="00765EBC" w:rsidRDefault="00765EBC" w:rsidP="00EF32AA">
      <w:pPr>
        <w:pStyle w:val="FootnoteText"/>
      </w:pPr>
      <w:r w:rsidRPr="002A4234">
        <w:rPr>
          <w:rStyle w:val="FootnoteReference"/>
        </w:rPr>
        <w:footnoteRef/>
      </w:r>
      <w:r>
        <w:t xml:space="preserve"> </w:t>
      </w:r>
      <w:r w:rsidR="00EF32AA">
        <w:t xml:space="preserve">United States v. Most, 876 F.2d 191, </w:t>
      </w:r>
      <w:r w:rsidR="00BE00F1">
        <w:t xml:space="preserve">199 </w:t>
      </w:r>
      <w:r w:rsidR="00EF32AA">
        <w:t>(D.C. Cir. 1989).</w:t>
      </w:r>
    </w:p>
  </w:footnote>
  <w:footnote w:id="342">
    <w:p w14:paraId="01146123" w14:textId="5F71E711" w:rsidR="00E402F4" w:rsidRDefault="00E402F4" w:rsidP="00817C6F">
      <w:pPr>
        <w:pStyle w:val="FootnoteText"/>
      </w:pPr>
      <w:r w:rsidRPr="002A4234">
        <w:rPr>
          <w:rStyle w:val="FootnoteReference"/>
        </w:rPr>
        <w:footnoteRef/>
      </w:r>
      <w:r>
        <w:t xml:space="preserve"> </w:t>
      </w:r>
      <w:bookmarkStart w:id="84" w:name="_Hlk96114690"/>
      <w:r w:rsidR="00A71A1E">
        <w:fldChar w:fldCharType="begin"/>
      </w:r>
      <w:r w:rsidR="00E5116B">
        <w:instrText xml:space="preserve"> ADDIN ZOTERO_ITEM CSL_CITATION {"citationID":"m7b8OnHe","properties":{"formattedCitation":"4 {\\scaps LaFave}, {\\i{}supra} note 328, \\uc0\\u167{} 8.6(a)","plainCitation":"4 LaFave, supra note 328, § 8.6(a)","noteIndex":332},"citationItems":[{"id":3229,"uris":["http://zotero.org/groups/2816150/items/DKQKYZPE"],"uri":["http://zotero.org/groups/2816150/items/DKQKYZPE"],"itemData":{"id":3229,"type":"book","edition":"6th","title":"Search and Seizure: A Treatise on the Fourth Amendment","author":[{"family":"LaFave","given":"Wayne R."}],"issued":{"date-parts":[["2021"]]}},"locator":"8.6(a)","label":"section","prefix":"4"}],"schema":"https://github.com/citation-style-language/schema/raw/master/csl-citation.json"} </w:instrText>
      </w:r>
      <w:r w:rsidR="00A71A1E">
        <w:fldChar w:fldCharType="separate"/>
      </w:r>
      <w:r w:rsidR="00E5116B" w:rsidRPr="00E5116B">
        <w:t xml:space="preserve">4 </w:t>
      </w:r>
      <w:r w:rsidR="00E5116B" w:rsidRPr="00E5116B">
        <w:rPr>
          <w:smallCaps/>
        </w:rPr>
        <w:t>LaFave</w:t>
      </w:r>
      <w:r w:rsidR="00E5116B" w:rsidRPr="00E5116B">
        <w:t xml:space="preserve">, </w:t>
      </w:r>
      <w:r w:rsidR="00E5116B" w:rsidRPr="00E5116B">
        <w:rPr>
          <w:i/>
          <w:iCs/>
        </w:rPr>
        <w:t>supra</w:t>
      </w:r>
      <w:r w:rsidR="00E5116B" w:rsidRPr="00E5116B">
        <w:t xml:space="preserve"> note </w:t>
      </w:r>
      <w:r w:rsidR="00D3124F">
        <w:fldChar w:fldCharType="begin"/>
      </w:r>
      <w:r w:rsidR="00D3124F">
        <w:instrText xml:space="preserve"> NOTEREF _Ref114137174 \h </w:instrText>
      </w:r>
      <w:r w:rsidR="00D3124F">
        <w:fldChar w:fldCharType="separate"/>
      </w:r>
      <w:r w:rsidR="00405D69">
        <w:t>332</w:t>
      </w:r>
      <w:r w:rsidR="00D3124F">
        <w:fldChar w:fldCharType="end"/>
      </w:r>
      <w:r w:rsidR="00E5116B" w:rsidRPr="00E5116B">
        <w:t>, §</w:t>
      </w:r>
      <w:r w:rsidR="00D3124F">
        <w:t> </w:t>
      </w:r>
      <w:r w:rsidR="00E5116B" w:rsidRPr="00E5116B">
        <w:t>8.6(a)</w:t>
      </w:r>
      <w:r w:rsidR="00A71A1E">
        <w:fldChar w:fldCharType="end"/>
      </w:r>
      <w:bookmarkEnd w:id="84"/>
    </w:p>
  </w:footnote>
  <w:footnote w:id="343">
    <w:p w14:paraId="0D94C5F3" w14:textId="5A358988" w:rsidR="00733AF1" w:rsidRDefault="00733AF1">
      <w:pPr>
        <w:pStyle w:val="FootnoteText"/>
      </w:pPr>
      <w:r w:rsidRPr="002A4234">
        <w:rPr>
          <w:rStyle w:val="FootnoteReference"/>
        </w:rPr>
        <w:footnoteRef/>
      </w:r>
      <w:r>
        <w:t xml:space="preserve"> </w:t>
      </w:r>
      <w:r w:rsidR="003C26F9">
        <w:rPr>
          <w:i/>
        </w:rPr>
        <w:t>\</w:t>
      </w:r>
      <w:r w:rsidRPr="008D640D">
        <w:t xml:space="preserve">, 367 </w:t>
      </w:r>
      <w:r w:rsidR="008F3B7D">
        <w:t>F.2d</w:t>
      </w:r>
      <w:r w:rsidRPr="008D640D">
        <w:t xml:space="preserve"> 1</w:t>
      </w:r>
      <w:r w:rsidR="009E620F">
        <w:t>.</w:t>
      </w:r>
    </w:p>
  </w:footnote>
  <w:footnote w:id="344">
    <w:p w14:paraId="0DC5C7D4" w14:textId="12402C59" w:rsidR="00733AF1" w:rsidRPr="0084477A" w:rsidRDefault="00733AF1">
      <w:pPr>
        <w:pStyle w:val="FootnoteText"/>
        <w:rPr>
          <w:b/>
          <w:bCs/>
          <w:i/>
          <w:iCs/>
        </w:rPr>
      </w:pPr>
      <w:r w:rsidRPr="002A4234">
        <w:rPr>
          <w:rStyle w:val="FootnoteReference"/>
        </w:rPr>
        <w:footnoteRef/>
      </w:r>
      <w:r>
        <w:t xml:space="preserve"> </w:t>
      </w:r>
      <w:r>
        <w:rPr>
          <w:i/>
          <w:iCs/>
        </w:rPr>
        <w:t>Id</w:t>
      </w:r>
      <w:r w:rsidRPr="00017FB3">
        <w:rPr>
          <w:i/>
          <w:iCs/>
        </w:rPr>
        <w:t>.</w:t>
      </w:r>
      <w:r>
        <w:t xml:space="preserve"> at </w:t>
      </w:r>
      <w:r w:rsidR="00D80D56">
        <w:t>7-8</w:t>
      </w:r>
      <w:r w:rsidR="004D3BD4">
        <w:t xml:space="preserve">; </w:t>
      </w:r>
      <w:r w:rsidR="004D3BD4">
        <w:rPr>
          <w:i/>
          <w:iCs/>
        </w:rPr>
        <w:t xml:space="preserve">but see </w:t>
      </w:r>
      <w:r w:rsidR="007E2C59" w:rsidRPr="007E2C59">
        <w:t>United States v</w:t>
      </w:r>
      <w:r w:rsidR="00DF6B23">
        <w:t>.</w:t>
      </w:r>
      <w:r w:rsidR="007E2C59" w:rsidRPr="007E2C59">
        <w:t xml:space="preserve"> Diggs, 544 </w:t>
      </w:r>
      <w:r w:rsidR="008F3B7D">
        <w:t>F.2d</w:t>
      </w:r>
      <w:r w:rsidR="007E2C59" w:rsidRPr="007E2C59">
        <w:t xml:space="preserve"> 116, 120 </w:t>
      </w:r>
      <w:r w:rsidR="007E2C59">
        <w:t>(</w:t>
      </w:r>
      <w:r w:rsidR="007E2C59" w:rsidRPr="007E2C59">
        <w:t>3d Cir</w:t>
      </w:r>
      <w:r w:rsidR="007E2C59">
        <w:t>.</w:t>
      </w:r>
      <w:r w:rsidR="007E2C59" w:rsidRPr="007E2C59">
        <w:t xml:space="preserve"> 1976)</w:t>
      </w:r>
      <w:r w:rsidR="007E2C59">
        <w:t xml:space="preserve"> (</w:t>
      </w:r>
      <w:r w:rsidR="00F627EF">
        <w:t xml:space="preserve">holding that </w:t>
      </w:r>
      <w:r w:rsidR="007E2C59">
        <w:t>innocent bailees who have been made unwilling accomplices may consent to a search</w:t>
      </w:r>
      <w:r w:rsidR="0084477A">
        <w:t>)</w:t>
      </w:r>
      <w:r w:rsidR="000E270A">
        <w:t>;</w:t>
      </w:r>
      <w:r w:rsidR="0084477A" w:rsidRPr="0084477A">
        <w:t xml:space="preserve"> United States v. Botsch, 364 F.2d 542</w:t>
      </w:r>
      <w:r w:rsidR="0084477A">
        <w:t>, 548</w:t>
      </w:r>
      <w:r w:rsidR="0084477A" w:rsidRPr="0084477A">
        <w:t xml:space="preserve"> (2d Cir. 1966)</w:t>
      </w:r>
      <w:r w:rsidR="0084477A">
        <w:t xml:space="preserve"> (same).</w:t>
      </w:r>
    </w:p>
  </w:footnote>
  <w:footnote w:id="345">
    <w:p w14:paraId="19E03F16" w14:textId="453C81B0" w:rsidR="00F63E85" w:rsidRDefault="00F63E85">
      <w:pPr>
        <w:pStyle w:val="FootnoteText"/>
      </w:pPr>
      <w:r w:rsidRPr="002A4234">
        <w:rPr>
          <w:rStyle w:val="FootnoteReference"/>
        </w:rPr>
        <w:footnoteRef/>
      </w:r>
      <w:r>
        <w:t xml:space="preserve"> </w:t>
      </w:r>
      <w:r w:rsidR="00047D12" w:rsidRPr="00047D12">
        <w:t>United States v</w:t>
      </w:r>
      <w:r w:rsidR="00BA7490">
        <w:t>.</w:t>
      </w:r>
      <w:r w:rsidR="00047D12" w:rsidRPr="00047D12">
        <w:t xml:space="preserve"> Eldridge, 302 </w:t>
      </w:r>
      <w:r w:rsidR="008F3B7D">
        <w:t>F.2d</w:t>
      </w:r>
      <w:r w:rsidR="00047D12" w:rsidRPr="00047D12">
        <w:t xml:space="preserve"> 463, 46</w:t>
      </w:r>
      <w:r w:rsidR="008C5A4B">
        <w:t>4-6</w:t>
      </w:r>
      <w:r w:rsidR="00047D12" w:rsidRPr="00047D12">
        <w:t xml:space="preserve">5 </w:t>
      </w:r>
      <w:r w:rsidR="00047D12">
        <w:t>(</w:t>
      </w:r>
      <w:r w:rsidR="00047D12" w:rsidRPr="00047D12">
        <w:t>4th Cir</w:t>
      </w:r>
      <w:r w:rsidR="005A2F3E">
        <w:t>.</w:t>
      </w:r>
      <w:r w:rsidR="00047D12" w:rsidRPr="00047D12">
        <w:t xml:space="preserve"> 1962</w:t>
      </w:r>
      <w:r w:rsidR="00047D12">
        <w:t>)</w:t>
      </w:r>
      <w:r w:rsidR="005833E4">
        <w:t xml:space="preserve"> (holding that someone who borrowed a friend’s car may consent to a search)</w:t>
      </w:r>
      <w:r w:rsidR="005B08DD">
        <w:t>.</w:t>
      </w:r>
    </w:p>
  </w:footnote>
  <w:footnote w:id="346">
    <w:p w14:paraId="1F62A244" w14:textId="18206434" w:rsidR="00BA0680" w:rsidRPr="00BA0680" w:rsidRDefault="00BA0680" w:rsidP="00C73C1C">
      <w:pPr>
        <w:pStyle w:val="FootnoteText"/>
      </w:pPr>
      <w:r w:rsidRPr="002A4234">
        <w:rPr>
          <w:rStyle w:val="FootnoteReference"/>
        </w:rPr>
        <w:footnoteRef/>
      </w:r>
      <w:r>
        <w:t xml:space="preserve"> </w:t>
      </w:r>
      <w:r>
        <w:rPr>
          <w:i/>
          <w:iCs/>
        </w:rPr>
        <w:t>Id</w:t>
      </w:r>
      <w:r w:rsidRPr="00017FB3">
        <w:rPr>
          <w:i/>
          <w:iCs/>
        </w:rPr>
        <w:t>.</w:t>
      </w:r>
      <w:r>
        <w:t xml:space="preserve"> </w:t>
      </w:r>
      <w:r w:rsidR="00731A63">
        <w:t>at 466</w:t>
      </w:r>
      <w:r w:rsidR="00C73C1C">
        <w:t xml:space="preserve"> </w:t>
      </w:r>
      <w:r>
        <w:t>(</w:t>
      </w:r>
      <w:r w:rsidR="00C73C1C">
        <w:t>“</w:t>
      </w:r>
      <w:r w:rsidR="00731A63">
        <w:t xml:space="preserve">Had the police done more than look with </w:t>
      </w:r>
      <w:r w:rsidR="00C73C1C">
        <w:t>[the bailee’s]</w:t>
      </w:r>
      <w:r w:rsidR="00731A63">
        <w:t xml:space="preserve"> consent into the trunk and observe what was readily visible and not covered over or concealed in package or wrapper</w:t>
      </w:r>
      <w:r w:rsidR="00204F75">
        <w:t>—</w:t>
      </w:r>
      <w:r w:rsidR="00731A63">
        <w:t>if, for example, they had explored under the floor carpeting or behind the upholstery</w:t>
      </w:r>
      <w:r w:rsidR="00204F75">
        <w:t>—</w:t>
      </w:r>
      <w:r w:rsidR="00731A63">
        <w:t>we might have a different case</w:t>
      </w:r>
      <w:r w:rsidR="00C73C1C">
        <w:t>.”)</w:t>
      </w:r>
      <w:r w:rsidR="00D67C02">
        <w:t>.</w:t>
      </w:r>
    </w:p>
  </w:footnote>
  <w:footnote w:id="347">
    <w:p w14:paraId="429CA8CE" w14:textId="7A4B5230" w:rsidR="00540EAE" w:rsidRPr="00017FB3" w:rsidRDefault="00540EAE">
      <w:pPr>
        <w:pStyle w:val="FootnoteText"/>
        <w:rPr>
          <w:lang w:val="es-ES"/>
        </w:rPr>
      </w:pPr>
      <w:r w:rsidRPr="002A4234">
        <w:rPr>
          <w:rStyle w:val="FootnoteReference"/>
        </w:rPr>
        <w:footnoteRef/>
      </w:r>
      <w:r w:rsidRPr="00017FB3">
        <w:rPr>
          <w:lang w:val="es-ES"/>
        </w:rPr>
        <w:t xml:space="preserve"> </w:t>
      </w:r>
      <w:r w:rsidR="00FE09AB" w:rsidRPr="00017FB3">
        <w:rPr>
          <w:i/>
          <w:lang w:val="es-ES"/>
        </w:rPr>
        <w:t xml:space="preserve">Ex </w:t>
      </w:r>
      <w:r w:rsidR="00176F55">
        <w:rPr>
          <w:i/>
          <w:lang w:val="es-ES"/>
        </w:rPr>
        <w:t>p</w:t>
      </w:r>
      <w:r w:rsidR="00FE09AB" w:rsidRPr="00017FB3">
        <w:rPr>
          <w:i/>
          <w:lang w:val="es-ES"/>
        </w:rPr>
        <w:t>arte</w:t>
      </w:r>
      <w:r w:rsidR="00FE09AB" w:rsidRPr="00017FB3">
        <w:rPr>
          <w:lang w:val="es-ES"/>
        </w:rPr>
        <w:t xml:space="preserve"> Jackson, 96 U.S. 727, 7</w:t>
      </w:r>
      <w:r w:rsidR="001B5D0E" w:rsidRPr="00017FB3">
        <w:rPr>
          <w:lang w:val="es-ES"/>
        </w:rPr>
        <w:t>33</w:t>
      </w:r>
      <w:r w:rsidR="00FE09AB" w:rsidRPr="00017FB3">
        <w:rPr>
          <w:lang w:val="es-ES"/>
        </w:rPr>
        <w:t xml:space="preserve"> (</w:t>
      </w:r>
      <w:r w:rsidR="00F92B57" w:rsidRPr="00017FB3">
        <w:rPr>
          <w:lang w:val="es-ES"/>
        </w:rPr>
        <w:t>1877).</w:t>
      </w:r>
    </w:p>
  </w:footnote>
  <w:footnote w:id="348">
    <w:p w14:paraId="62F86212" w14:textId="369CF473" w:rsidR="00F92B57" w:rsidRPr="00DD70FB" w:rsidRDefault="00F92B57" w:rsidP="00DD70FB">
      <w:pPr>
        <w:pStyle w:val="FootnoteText"/>
      </w:pPr>
      <w:r w:rsidRPr="002A4234">
        <w:rPr>
          <w:rStyle w:val="FootnoteReference"/>
        </w:rPr>
        <w:footnoteRef/>
      </w:r>
      <w:r>
        <w:t xml:space="preserve"> </w:t>
      </w:r>
      <w:r>
        <w:rPr>
          <w:i/>
          <w:iCs/>
        </w:rPr>
        <w:t>Id.</w:t>
      </w:r>
      <w:r w:rsidR="00BF0E39">
        <w:t>;</w:t>
      </w:r>
      <w:r w:rsidR="00224AE4">
        <w:t xml:space="preserve"> </w:t>
      </w:r>
      <w:r w:rsidR="00224AE4">
        <w:rPr>
          <w:i/>
          <w:iCs/>
        </w:rPr>
        <w:t xml:space="preserve">see also </w:t>
      </w:r>
      <w:r w:rsidR="00DD70FB">
        <w:t xml:space="preserve">United States v. Rose, 3 F.4th 722, 728 (4th Cir. 2021) </w:t>
      </w:r>
      <w:r w:rsidR="00E47591">
        <w:t>(“</w:t>
      </w:r>
      <w:r w:rsidR="00DD70FB">
        <w:t>Both senders and recipients of letters and other sealed packages ordinarily have a legitimate expectation of privacy in those items even after they have been placed in the mail.”)</w:t>
      </w:r>
      <w:r w:rsidR="005A2F3E">
        <w:t xml:space="preserve">; </w:t>
      </w:r>
      <w:r w:rsidR="00DD70FB" w:rsidRPr="00224AE4">
        <w:t>United States v. Van Leeuwen, 397 U.S. 249, 25</w:t>
      </w:r>
      <w:r w:rsidR="00DD70FB">
        <w:t>1</w:t>
      </w:r>
      <w:r w:rsidR="000E15BD">
        <w:t>-</w:t>
      </w:r>
      <w:r w:rsidR="00DD70FB">
        <w:t xml:space="preserve">52 </w:t>
      </w:r>
      <w:r w:rsidR="00DD70FB" w:rsidRPr="00224AE4">
        <w:t>(1970)</w:t>
      </w:r>
      <w:r w:rsidR="00AA3E72">
        <w:t xml:space="preserve"> </w:t>
      </w:r>
      <w:r w:rsidR="005B08DD">
        <w:t>(same</w:t>
      </w:r>
      <w:r w:rsidR="00091311">
        <w:t>).</w:t>
      </w:r>
    </w:p>
  </w:footnote>
  <w:footnote w:id="349">
    <w:p w14:paraId="5604E8CE" w14:textId="77777777" w:rsidR="00580317" w:rsidRDefault="00580317" w:rsidP="00580317">
      <w:pPr>
        <w:pStyle w:val="FootnoteText"/>
      </w:pPr>
      <w:r w:rsidRPr="002A4234">
        <w:rPr>
          <w:rStyle w:val="FootnoteReference"/>
        </w:rPr>
        <w:footnoteRef/>
      </w:r>
      <w:r>
        <w:t xml:space="preserve"> Rawlings v. Kentucky, 448 U.S. 98, 106 (1980).</w:t>
      </w:r>
    </w:p>
  </w:footnote>
  <w:footnote w:id="350">
    <w:p w14:paraId="29113755" w14:textId="2BA790A9" w:rsidR="00DD6B98" w:rsidRDefault="00DD6B98">
      <w:pPr>
        <w:pStyle w:val="FootnoteText"/>
      </w:pPr>
      <w:r w:rsidRPr="002A4234">
        <w:rPr>
          <w:rStyle w:val="FootnoteReference"/>
        </w:rPr>
        <w:footnoteRef/>
      </w:r>
      <w:r>
        <w:t xml:space="preserve"> </w:t>
      </w:r>
      <w:r w:rsidR="002365A9" w:rsidRPr="002365A9">
        <w:t>448 U.S. 98 (1980)</w:t>
      </w:r>
      <w:r w:rsidR="002365A9">
        <w:t>.</w:t>
      </w:r>
    </w:p>
  </w:footnote>
  <w:footnote w:id="351">
    <w:p w14:paraId="15640579" w14:textId="77777777" w:rsidR="00580317" w:rsidRDefault="00580317" w:rsidP="00580317">
      <w:pPr>
        <w:pStyle w:val="FootnoteText"/>
      </w:pPr>
      <w:r w:rsidRPr="002A4234">
        <w:rPr>
          <w:rStyle w:val="FootnoteReference"/>
        </w:rPr>
        <w:footnoteRef/>
      </w:r>
      <w:r>
        <w:t xml:space="preserve"> </w:t>
      </w:r>
      <w:r w:rsidRPr="00D2576B">
        <w:t>Rakas v. Illinois, 439 U.S. 128, 143</w:t>
      </w:r>
      <w:r>
        <w:t xml:space="preserve"> </w:t>
      </w:r>
      <w:r w:rsidRPr="00D2576B">
        <w:t>(1978)</w:t>
      </w:r>
      <w:r>
        <w:t>.</w:t>
      </w:r>
    </w:p>
  </w:footnote>
  <w:footnote w:id="352">
    <w:p w14:paraId="397534A0" w14:textId="72B2E63A" w:rsidR="00DD2DCE" w:rsidRDefault="00DD2DCE">
      <w:pPr>
        <w:pStyle w:val="FootnoteText"/>
      </w:pPr>
      <w:r w:rsidRPr="002A4234">
        <w:rPr>
          <w:rStyle w:val="FootnoteReference"/>
        </w:rPr>
        <w:footnoteRef/>
      </w:r>
      <w:r>
        <w:t xml:space="preserve"> </w:t>
      </w:r>
      <w:r w:rsidR="00111727">
        <w:rPr>
          <w:i/>
          <w:iCs/>
        </w:rPr>
        <w:t>E.g.</w:t>
      </w:r>
      <w:r w:rsidR="00111727">
        <w:t xml:space="preserve">, </w:t>
      </w:r>
      <w:r w:rsidR="00244A8C" w:rsidRPr="00244A8C">
        <w:t>United States v. Loya, 528 F.3d 546, 554 (8th Cir. 2008)</w:t>
      </w:r>
      <w:r w:rsidR="005C7CD4">
        <w:t>;</w:t>
      </w:r>
      <w:r w:rsidR="00244A8C">
        <w:t xml:space="preserve"> </w:t>
      </w:r>
      <w:r w:rsidR="0017369F" w:rsidRPr="0017369F">
        <w:t>United States v. Andrus, 483 F.3d 711, 716 (10th Cir. 2007)</w:t>
      </w:r>
      <w:r w:rsidR="0017369F">
        <w:t>.</w:t>
      </w:r>
    </w:p>
  </w:footnote>
  <w:footnote w:id="353">
    <w:p w14:paraId="2B9CA997" w14:textId="5635F5E3" w:rsidR="00E31F86" w:rsidRDefault="00E31F86">
      <w:pPr>
        <w:pStyle w:val="FootnoteText"/>
      </w:pPr>
      <w:r w:rsidRPr="002A4234">
        <w:rPr>
          <w:rStyle w:val="FootnoteReference"/>
        </w:rPr>
        <w:footnoteRef/>
      </w:r>
      <w:r>
        <w:t xml:space="preserve"> </w:t>
      </w:r>
      <w:r w:rsidR="00D13DAA" w:rsidRPr="00E053B0">
        <w:t xml:space="preserve">Frazier </w:t>
      </w:r>
      <w:r w:rsidR="00D13DAA">
        <w:t>v. C</w:t>
      </w:r>
      <w:r w:rsidR="00D13DAA" w:rsidRPr="00E053B0">
        <w:t>up</w:t>
      </w:r>
      <w:r w:rsidR="00D13DAA">
        <w:t xml:space="preserve">p, </w:t>
      </w:r>
      <w:r w:rsidR="00D13DAA" w:rsidRPr="00D13DAA">
        <w:t>394 U</w:t>
      </w:r>
      <w:r w:rsidR="00BF0E39">
        <w:t>.</w:t>
      </w:r>
      <w:r w:rsidR="00D13DAA" w:rsidRPr="00D13DAA">
        <w:t>S</w:t>
      </w:r>
      <w:r w:rsidR="00BF0E39">
        <w:t>.</w:t>
      </w:r>
      <w:r w:rsidR="00D13DAA" w:rsidRPr="00D13DAA">
        <w:t xml:space="preserve"> 731, 740 </w:t>
      </w:r>
      <w:r w:rsidR="00D13DAA">
        <w:t>(</w:t>
      </w:r>
      <w:r w:rsidR="00D13DAA" w:rsidRPr="00D13DAA">
        <w:t>1969</w:t>
      </w:r>
      <w:r w:rsidR="00D13DAA">
        <w:t>)</w:t>
      </w:r>
      <w:r w:rsidR="00E22295">
        <w:t xml:space="preserve">; </w:t>
      </w:r>
      <w:r w:rsidR="00E22295" w:rsidRPr="002837DC">
        <w:t>United States v. Matlock, 415 U.S. 164, 171 (1974)</w:t>
      </w:r>
      <w:r w:rsidR="00E22295">
        <w:t>.</w:t>
      </w:r>
    </w:p>
  </w:footnote>
  <w:footnote w:id="354">
    <w:p w14:paraId="054A4FBB" w14:textId="6B5C74C6" w:rsidR="00DD2DCE" w:rsidRDefault="00DD2DCE" w:rsidP="00AD7EE5">
      <w:pPr>
        <w:pStyle w:val="FootnoteText"/>
      </w:pPr>
      <w:r w:rsidRPr="002A4234">
        <w:rPr>
          <w:rStyle w:val="FootnoteReference"/>
        </w:rPr>
        <w:footnoteRef/>
      </w:r>
      <w:r>
        <w:t xml:space="preserve"> </w:t>
      </w:r>
      <w:r w:rsidR="00AD7EE5">
        <w:t>United States v</w:t>
      </w:r>
      <w:r w:rsidR="00E32527">
        <w:t>.</w:t>
      </w:r>
      <w:r w:rsidR="00AD7EE5">
        <w:t xml:space="preserve"> Eldridge, 984 F</w:t>
      </w:r>
      <w:r w:rsidR="00DF50DD">
        <w:t>.</w:t>
      </w:r>
      <w:r w:rsidR="00AD7EE5">
        <w:t>2d 943, 948 (8th Cir</w:t>
      </w:r>
      <w:r w:rsidR="00DF50DD">
        <w:t>.</w:t>
      </w:r>
      <w:r w:rsidR="00AD7EE5">
        <w:t xml:space="preserve"> 1993</w:t>
      </w:r>
      <w:r w:rsidR="007106DB">
        <w:t>)</w:t>
      </w:r>
      <w:r w:rsidR="00760C8D">
        <w:t xml:space="preserve">; </w:t>
      </w:r>
      <w:r w:rsidR="00760C8D">
        <w:rPr>
          <w:i/>
          <w:iCs/>
        </w:rPr>
        <w:t xml:space="preserve">see also </w:t>
      </w:r>
      <w:r w:rsidR="00445495" w:rsidRPr="00445495">
        <w:t>Byrd v. United States, 138 S. Ct. 1518, 1527 (2018)</w:t>
      </w:r>
      <w:r w:rsidR="006110C9">
        <w:t xml:space="preserve"> (explaining that the party lawfully in possession of a vehicle controls the right to exclude others from the vehicle</w:t>
      </w:r>
      <w:r w:rsidR="00103467">
        <w:t>)</w:t>
      </w:r>
      <w:r w:rsidR="006110C9">
        <w:t>.</w:t>
      </w:r>
    </w:p>
  </w:footnote>
  <w:footnote w:id="355">
    <w:p w14:paraId="4ED6A636" w14:textId="4C8AE088" w:rsidR="00E053B0" w:rsidRPr="00A62221" w:rsidRDefault="00E053B0">
      <w:pPr>
        <w:pStyle w:val="FootnoteText"/>
      </w:pPr>
      <w:r w:rsidRPr="002A4234">
        <w:rPr>
          <w:rStyle w:val="FootnoteReference"/>
        </w:rPr>
        <w:footnoteRef/>
      </w:r>
      <w:r>
        <w:t xml:space="preserve"> </w:t>
      </w:r>
      <w:r w:rsidR="00A62221">
        <w:rPr>
          <w:i/>
          <w:iCs/>
        </w:rPr>
        <w:t>Frazier</w:t>
      </w:r>
      <w:r w:rsidR="00A62221">
        <w:t>, 394 U.S. at 740</w:t>
      </w:r>
      <w:r w:rsidR="00183CB3">
        <w:t xml:space="preserve">; </w:t>
      </w:r>
      <w:r w:rsidR="00A71A1E">
        <w:fldChar w:fldCharType="begin"/>
      </w:r>
      <w:r w:rsidR="00E5116B">
        <w:instrText xml:space="preserve"> ADDIN ZOTERO_ITEM CSL_CITATION {"citationID":"QGtlNaL7","properties":{"formattedCitation":"4 {\\scaps LaFave}, {\\i{}supra} note 328, \\uc0\\u167{} 8.6(a)","plainCitation":"4 LaFave, supra note 328, § 8.6(a)","noteIndex":345},"citationItems":[{"id":3229,"uris":["http://zotero.org/groups/2816150/items/DKQKYZPE"],"uri":["http://zotero.org/groups/2816150/items/DKQKYZPE"],"itemData":{"id":3229,"type":"book","edition":"6th","title":"Search and Seizure: A Treatise on the Fourth Amendment","author":[{"family":"LaFave","given":"Wayne R."}],"issued":{"date-parts":[["2021"]]}},"locator":"8.6(a)","label":"section","prefix":"4"}],"schema":"https://github.com/citation-style-language/schema/raw/master/csl-citation.json"} </w:instrText>
      </w:r>
      <w:r w:rsidR="00A71A1E">
        <w:fldChar w:fldCharType="separate"/>
      </w:r>
      <w:r w:rsidR="00E5116B" w:rsidRPr="00E5116B">
        <w:t xml:space="preserve">4 </w:t>
      </w:r>
      <w:r w:rsidR="00E5116B" w:rsidRPr="00E5116B">
        <w:rPr>
          <w:smallCaps/>
        </w:rPr>
        <w:t>LaFave</w:t>
      </w:r>
      <w:r w:rsidR="00E5116B" w:rsidRPr="00E5116B">
        <w:t xml:space="preserve">, </w:t>
      </w:r>
      <w:r w:rsidR="00E5116B" w:rsidRPr="00E5116B">
        <w:rPr>
          <w:i/>
          <w:iCs/>
        </w:rPr>
        <w:t>supra</w:t>
      </w:r>
      <w:r w:rsidR="00E5116B" w:rsidRPr="00E5116B">
        <w:t xml:space="preserve"> note </w:t>
      </w:r>
      <w:r w:rsidR="00BB47D8">
        <w:fldChar w:fldCharType="begin"/>
      </w:r>
      <w:r w:rsidR="00BB47D8">
        <w:instrText xml:space="preserve"> NOTEREF _Ref114137174 \h </w:instrText>
      </w:r>
      <w:r w:rsidR="00BB47D8">
        <w:fldChar w:fldCharType="separate"/>
      </w:r>
      <w:r w:rsidR="00405D69">
        <w:t>332</w:t>
      </w:r>
      <w:r w:rsidR="00BB47D8">
        <w:fldChar w:fldCharType="end"/>
      </w:r>
      <w:r w:rsidR="00E5116B" w:rsidRPr="00E5116B">
        <w:t>, §</w:t>
      </w:r>
      <w:r w:rsidR="001A3812">
        <w:t> </w:t>
      </w:r>
      <w:r w:rsidR="00E5116B" w:rsidRPr="00E5116B">
        <w:t>8.6(a)</w:t>
      </w:r>
      <w:r w:rsidR="00A71A1E">
        <w:fldChar w:fldCharType="end"/>
      </w:r>
      <w:r w:rsidR="001868A3">
        <w:t>.</w:t>
      </w:r>
    </w:p>
  </w:footnote>
  <w:footnote w:id="356">
    <w:p w14:paraId="457953C5" w14:textId="48D9EE81" w:rsidR="00C802BC" w:rsidRDefault="00C802BC">
      <w:pPr>
        <w:pStyle w:val="FootnoteText"/>
      </w:pPr>
      <w:r w:rsidRPr="002A4234">
        <w:rPr>
          <w:rStyle w:val="FootnoteReference"/>
        </w:rPr>
        <w:footnoteRef/>
      </w:r>
      <w:r>
        <w:t xml:space="preserve"> </w:t>
      </w:r>
      <w:r w:rsidR="00A71A1E">
        <w:fldChar w:fldCharType="begin"/>
      </w:r>
      <w:r w:rsidR="00E5116B">
        <w:instrText xml:space="preserve"> ADDIN ZOTERO_ITEM CSL_CITATION {"citationID":"rK6UkWwC","properties":{"formattedCitation":"{\\i{}Id.} \\uc0\\u167{} 8.6(b)","plainCitation":"Id. § 8.6(b)","noteIndex":346},"citationItems":[{"id":3229,"uris":["http://zotero.org/groups/2816150/items/DKQKYZPE"],"uri":["http://zotero.org/groups/2816150/items/DKQKYZPE"],"itemData":{"id":3229,"type":"book","edition":"6th","title":"Search and Seizure: A Treatise on the Fourth Amendment","author":[{"family":"LaFave","given":"Wayne R."}],"issued":{"date-parts":[["2021"]]}},"locator":"8.6(b)","label":"section"}],"schema":"https://github.com/citation-style-language/schema/raw/master/csl-citation.json"} </w:instrText>
      </w:r>
      <w:r w:rsidR="00A71A1E">
        <w:fldChar w:fldCharType="separate"/>
      </w:r>
      <w:r w:rsidR="00E5116B" w:rsidRPr="00E5116B">
        <w:rPr>
          <w:i/>
          <w:iCs/>
        </w:rPr>
        <w:t>Id.</w:t>
      </w:r>
      <w:r w:rsidR="00E5116B" w:rsidRPr="00E5116B">
        <w:t xml:space="preserve"> </w:t>
      </w:r>
      <w:r w:rsidR="00292A14">
        <w:t xml:space="preserve">at </w:t>
      </w:r>
      <w:r w:rsidR="00E5116B" w:rsidRPr="00E5116B">
        <w:t>§</w:t>
      </w:r>
      <w:r w:rsidR="00292A14">
        <w:t> </w:t>
      </w:r>
      <w:r w:rsidR="00E5116B" w:rsidRPr="00E5116B">
        <w:t>8.6(b)</w:t>
      </w:r>
      <w:r w:rsidR="00A71A1E">
        <w:fldChar w:fldCharType="end"/>
      </w:r>
      <w:r w:rsidR="00BF7E0F">
        <w:t>.</w:t>
      </w:r>
      <w:r w:rsidR="00C3588C">
        <w:t xml:space="preserve"> </w:t>
      </w:r>
      <w:r w:rsidR="003841EC">
        <w:t>Outside the employment context, t</w:t>
      </w:r>
      <w:r w:rsidR="00C3588C">
        <w:t xml:space="preserve">here are few cases </w:t>
      </w:r>
      <w:r w:rsidR="00871FC1">
        <w:t>involving</w:t>
      </w:r>
      <w:r w:rsidR="00C3588C">
        <w:t xml:space="preserve"> </w:t>
      </w:r>
      <w:r w:rsidR="00871FC1">
        <w:t xml:space="preserve">a </w:t>
      </w:r>
      <w:r w:rsidR="00C3588C">
        <w:t xml:space="preserve">bailor’s consent to </w:t>
      </w:r>
      <w:r w:rsidR="00423989">
        <w:t>sea</w:t>
      </w:r>
      <w:r w:rsidR="0056700A">
        <w:t>r</w:t>
      </w:r>
      <w:r w:rsidR="00423989">
        <w:t>ch</w:t>
      </w:r>
      <w:r w:rsidR="0056700A">
        <w:t xml:space="preserve"> </w:t>
      </w:r>
      <w:r w:rsidR="00C3588C">
        <w:t xml:space="preserve">property in a bailee’s possession, but an analogous situation between landlords and tenants </w:t>
      </w:r>
      <w:r w:rsidR="00871FC1">
        <w:t>arises</w:t>
      </w:r>
      <w:r w:rsidR="00C3588C">
        <w:t xml:space="preserve"> </w:t>
      </w:r>
      <w:r w:rsidR="007C63F7">
        <w:t xml:space="preserve">frequently. </w:t>
      </w:r>
      <w:r w:rsidR="007C63F7">
        <w:rPr>
          <w:i/>
          <w:iCs/>
        </w:rPr>
        <w:t>See</w:t>
      </w:r>
      <w:r>
        <w:t xml:space="preserve"> </w:t>
      </w:r>
      <w:r w:rsidRPr="00C802BC">
        <w:t>Chapman v</w:t>
      </w:r>
      <w:r w:rsidR="00A71A1E">
        <w:t>.</w:t>
      </w:r>
      <w:r w:rsidRPr="00C802BC">
        <w:t xml:space="preserve"> United States, 365 U</w:t>
      </w:r>
      <w:r w:rsidR="008F3B7D">
        <w:t>.</w:t>
      </w:r>
      <w:r w:rsidRPr="00C802BC">
        <w:t>S</w:t>
      </w:r>
      <w:r w:rsidR="008F3B7D">
        <w:t>.</w:t>
      </w:r>
      <w:r w:rsidRPr="00C802BC">
        <w:t xml:space="preserve"> 610, 618 </w:t>
      </w:r>
      <w:r>
        <w:t>(</w:t>
      </w:r>
      <w:r w:rsidRPr="00C802BC">
        <w:t>1961</w:t>
      </w:r>
      <w:r>
        <w:t>) (</w:t>
      </w:r>
      <w:r w:rsidR="00943001">
        <w:t xml:space="preserve">holding </w:t>
      </w:r>
      <w:r w:rsidR="00E541D3">
        <w:t xml:space="preserve">that </w:t>
      </w:r>
      <w:r w:rsidR="00943001">
        <w:t xml:space="preserve">a </w:t>
      </w:r>
      <w:r>
        <w:t xml:space="preserve">landlord cannot consent to the </w:t>
      </w:r>
      <w:r w:rsidR="00943001">
        <w:t xml:space="preserve">warrantless </w:t>
      </w:r>
      <w:r>
        <w:t>search of a tenant’s home).</w:t>
      </w:r>
    </w:p>
  </w:footnote>
  <w:footnote w:id="357">
    <w:p w14:paraId="10703551" w14:textId="21A7C18B" w:rsidR="00377C99" w:rsidRDefault="00377C99">
      <w:pPr>
        <w:pStyle w:val="FootnoteText"/>
      </w:pPr>
      <w:r w:rsidRPr="002A4234">
        <w:rPr>
          <w:rStyle w:val="FootnoteReference"/>
        </w:rPr>
        <w:footnoteRef/>
      </w:r>
      <w:r>
        <w:t xml:space="preserve"> </w:t>
      </w:r>
      <w:r w:rsidR="005205A3" w:rsidRPr="005205A3">
        <w:t>569 F.2d 887</w:t>
      </w:r>
      <w:r w:rsidR="005205A3">
        <w:t xml:space="preserve"> (5th Cir. 1978).</w:t>
      </w:r>
    </w:p>
  </w:footnote>
  <w:footnote w:id="358">
    <w:p w14:paraId="3B0BF6EF" w14:textId="295C1381" w:rsidR="0069618A" w:rsidRPr="0069618A" w:rsidRDefault="0069618A">
      <w:pPr>
        <w:pStyle w:val="FootnoteText"/>
      </w:pPr>
      <w:r w:rsidRPr="002A4234">
        <w:rPr>
          <w:rStyle w:val="FootnoteReference"/>
        </w:rPr>
        <w:footnoteRef/>
      </w:r>
      <w:r>
        <w:t xml:space="preserve"> </w:t>
      </w:r>
      <w:r>
        <w:rPr>
          <w:i/>
          <w:iCs/>
        </w:rPr>
        <w:t>Id.</w:t>
      </w:r>
      <w:r>
        <w:t xml:space="preserve"> at 889</w:t>
      </w:r>
      <w:r w:rsidR="0034133E">
        <w:t>.</w:t>
      </w:r>
    </w:p>
  </w:footnote>
  <w:footnote w:id="359">
    <w:p w14:paraId="0C4EC654" w14:textId="5FF95E40" w:rsidR="0027014C" w:rsidRPr="00017FB3" w:rsidRDefault="0027014C">
      <w:pPr>
        <w:pStyle w:val="FootnoteText"/>
        <w:rPr>
          <w:lang w:val="es-ES"/>
        </w:rPr>
      </w:pPr>
      <w:r w:rsidRPr="002A4234">
        <w:rPr>
          <w:rStyle w:val="FootnoteReference"/>
        </w:rPr>
        <w:footnoteRef/>
      </w:r>
      <w:r w:rsidRPr="00017FB3">
        <w:rPr>
          <w:lang w:val="es-ES"/>
        </w:rPr>
        <w:t xml:space="preserve"> </w:t>
      </w:r>
      <w:r w:rsidR="006E75FD" w:rsidRPr="00017FB3">
        <w:rPr>
          <w:lang w:val="es-ES"/>
        </w:rPr>
        <w:t>440 S.E.2d</w:t>
      </w:r>
      <w:r w:rsidRPr="00017FB3">
        <w:rPr>
          <w:lang w:val="es-ES"/>
        </w:rPr>
        <w:t xml:space="preserve"> </w:t>
      </w:r>
      <w:r w:rsidR="006E75FD" w:rsidRPr="00017FB3">
        <w:rPr>
          <w:lang w:val="es-ES"/>
        </w:rPr>
        <w:t xml:space="preserve">434 </w:t>
      </w:r>
      <w:r w:rsidR="00106809" w:rsidRPr="00017FB3">
        <w:rPr>
          <w:lang w:val="es-ES"/>
        </w:rPr>
        <w:t>(Va. Ct. App. 1994).</w:t>
      </w:r>
    </w:p>
  </w:footnote>
  <w:footnote w:id="360">
    <w:p w14:paraId="7C129FB3" w14:textId="7CA19A3C" w:rsidR="00106809" w:rsidRDefault="00106809">
      <w:pPr>
        <w:pStyle w:val="FootnoteText"/>
      </w:pPr>
      <w:r w:rsidRPr="002A4234">
        <w:rPr>
          <w:rStyle w:val="FootnoteReference"/>
        </w:rPr>
        <w:footnoteRef/>
      </w:r>
      <w:r>
        <w:t xml:space="preserve"> </w:t>
      </w:r>
      <w:r>
        <w:rPr>
          <w:i/>
          <w:iCs/>
        </w:rPr>
        <w:t>Id.</w:t>
      </w:r>
      <w:r>
        <w:t xml:space="preserve"> at </w:t>
      </w:r>
      <w:r w:rsidR="006C2A39">
        <w:t>437</w:t>
      </w:r>
      <w:r>
        <w:t>.</w:t>
      </w:r>
    </w:p>
  </w:footnote>
  <w:footnote w:id="361">
    <w:p w14:paraId="19CBE9A5" w14:textId="734CA9A0" w:rsidR="00127284" w:rsidRPr="0027014C" w:rsidRDefault="00127284">
      <w:pPr>
        <w:pStyle w:val="FootnoteText"/>
      </w:pPr>
      <w:r w:rsidRPr="002A4234">
        <w:rPr>
          <w:rStyle w:val="FootnoteReference"/>
        </w:rPr>
        <w:footnoteRef/>
      </w:r>
      <w:r>
        <w:t xml:space="preserve"> </w:t>
      </w:r>
      <w:r w:rsidR="0027014C">
        <w:rPr>
          <w:i/>
          <w:iCs/>
        </w:rPr>
        <w:t>Id.</w:t>
      </w:r>
    </w:p>
  </w:footnote>
  <w:footnote w:id="362">
    <w:p w14:paraId="3594B7AB" w14:textId="560010DC" w:rsidR="00586EF9" w:rsidRDefault="00586EF9" w:rsidP="00586EF9">
      <w:pPr>
        <w:pStyle w:val="FootnoteText"/>
      </w:pPr>
      <w:r w:rsidRPr="002A4234">
        <w:rPr>
          <w:rStyle w:val="FootnoteReference"/>
        </w:rPr>
        <w:footnoteRef/>
      </w:r>
      <w:r>
        <w:t xml:space="preserve"> </w:t>
      </w:r>
      <w:r w:rsidRPr="001410B2">
        <w:t>Carpenter v. United States, 138 S. Ct. 2206, 226</w:t>
      </w:r>
      <w:r w:rsidR="00BD5C3E">
        <w:t>9</w:t>
      </w:r>
      <w:r w:rsidRPr="001410B2">
        <w:t xml:space="preserve"> (2018)</w:t>
      </w:r>
      <w:r w:rsidR="000975AA">
        <w:t xml:space="preserve"> (Gorsuch, J., dissenting)</w:t>
      </w:r>
      <w:r>
        <w:t>.</w:t>
      </w:r>
    </w:p>
  </w:footnote>
  <w:footnote w:id="363">
    <w:p w14:paraId="367E9D42" w14:textId="5B93B098" w:rsidR="00114BDB" w:rsidRDefault="00114BDB">
      <w:pPr>
        <w:pStyle w:val="FootnoteText"/>
      </w:pPr>
      <w:r w:rsidRPr="002A4234">
        <w:rPr>
          <w:rStyle w:val="FootnoteReference"/>
        </w:rPr>
        <w:footnoteRef/>
      </w:r>
      <w:r>
        <w:t xml:space="preserve"> </w:t>
      </w:r>
      <w:r>
        <w:fldChar w:fldCharType="begin"/>
      </w:r>
      <w:r w:rsidR="00E5116B">
        <w:instrText xml:space="preserve"> ADDIN ZOTERO_ITEM CSL_CITATION {"citationID":"16QqfxO7","properties":{"formattedCitation":"{\\i{}See} D\\uc0\\u8217{}Onfro, {\\i{}supra} note 12, at 20; {\\i{}see also} Laura K. Donohue, {\\i{}Functional Equivalence and Residual Rights Post-{\\i0{}Carpenter}: Framing a Test Consistent with Precedent and Original Meaning}, 2018 {\\scaps Sup. Ct. Rev.} 347, 396\\uc0\\u8211{}400","plainCitation":"See D’Onfro, supra note 12, at 20; see also Laura K. Donohue, Functional Equivalence and Residual Rights Post-Carpenter: Framing a Test Consistent with Precedent and Original Meaning, 2018 Sup. Ct. Rev. 347, 396–400","noteIndex":353},"citationItems":[{"id":3243,"uris":["http://zotero.org/groups/2816150/items/S6DUJKA2"],"uri":["http://zotero.org/groups/2816150/items/S6DUJKA2"],"itemData":{"id":3243,"type":"article-journal","abstract":"The rise of cloud computing has dramatically changed how consumers and firms store their belongings. Property that owners once managed directly now exists primarily on infrastruc-ture maintained by intermediaries. Consumers entrust their photos to Apple instead of scrap-books; businesses put their documents on Amazon’s servers instead of in file cabinets; seemingly everything runs in the cloud. Were these belongings tangible, the relationship between owner and intermediary would be governed by the common-law doctrine of bailment. Bailments are mandatory relationships formed when one party entrusts their property to another. Within this relationship, the bailees owe the bailors a duty of care and may be liable if they failed to return the property. The parties can use contract to customize the relationship but not to disclaim entirely. Tracing the law of bailment relationships from its ancient roots to the present, this Article argues that cloud storage should be understood as creating a bailment relationship. The law of bailment, though developed in the Middle Ages, provides a robust framework for govern-ing twenty-first century electronic intermediaries. Though the kind of stored property has changed, the parties’ expectations and incentives have not. Yet the decline of litigation, the rise of arbitration, federal diversity jurisdiction, and the ever-growing dominance of contract has thus far prevented courts from applying the law of bailments to these new services. Recognizing cloud storage as a bailment would have significant implications. Most immedi-ately, it would suggest that important provisions in many cloud storage services’ contracts are unenforceable. A hand-collected dataset of 61 cloud storage contracts, reveals that most have include general disclaimers for any liability for lost data. These disclaimers are inconsistent with the duty of care that is the foundation of the law of bailment. In addition, understand-ing cloud storage as a bailment would have important implications for both the law of con-sumer protection and Fourth Amendment protections.","container-title":"Washington University Law Review","DOI":"10.2139/ssrn.3785711","journalAbbreviation":"Wash. L. Rev.","language":"en","page":"__","source":"papers.ssrn.com","title":"The New Bailments","volume":"97","author":[{"family":"D'Onfro","given":"Danielle"}],"issued":{"date-parts":[["2022"]],"season":"forthcoming"}},"locator":"20","label":"page","prefix":"&lt;i&gt;See&lt;/i&gt; "},{"id":3210,"uris":["http://zotero.org/groups/2816150/items/UYGZVKK9"],"uri":["http://zotero.org/groups/2816150/items/UYGZVKK9"],"itemData":{"id":3210,"type":"article-journal","container-title":"The Supreme Court Review","DOI":"10.1086/704133","ISSN":"0081-9557","journalAbbreviation":"Sup. Ct. Rev.","note":"mlzsync1:0063{\"extrafields\":{\"publisher\":\"The University of Chicago Press\"}}","page":"347-410","source":"journals.uchicago.edu (Atypon)","title":"Functional Equivalence and Residual Rights Post-&lt;i&gt;Carpenter&lt;/i&gt;: Framing a Test Consistent with Precedent and Original Meaning","title-short":"Functional Equivalence and Residual Rights Post-Carpenter","volume":"2018","author":[{"family":"Donohue","given":"Laura K."}]},"locator":"396-400","label":"page","prefix":"&lt;i&gt;see also&lt;/i&gt;"}],"schema":"https://github.com/citation-style-language/schema/raw/master/csl-citation.json"} </w:instrText>
      </w:r>
      <w:r>
        <w:fldChar w:fldCharType="separate"/>
      </w:r>
      <w:r w:rsidR="00E5116B" w:rsidRPr="00E5116B">
        <w:rPr>
          <w:i/>
          <w:iCs/>
        </w:rPr>
        <w:t>See</w:t>
      </w:r>
      <w:r w:rsidR="00E5116B" w:rsidRPr="00E5116B">
        <w:t xml:space="preserve"> D’Onfro, </w:t>
      </w:r>
      <w:r w:rsidR="00E5116B" w:rsidRPr="00E5116B">
        <w:rPr>
          <w:i/>
          <w:iCs/>
        </w:rPr>
        <w:t>supra</w:t>
      </w:r>
      <w:r w:rsidR="00E5116B" w:rsidRPr="00E5116B">
        <w:t xml:space="preserve"> note 12, at </w:t>
      </w:r>
      <w:r w:rsidR="007912A3" w:rsidRPr="00E5116B">
        <w:t>20</w:t>
      </w:r>
      <w:r w:rsidR="00E5116B" w:rsidRPr="00E5116B">
        <w:t xml:space="preserve">; </w:t>
      </w:r>
      <w:r w:rsidR="00E5116B" w:rsidRPr="00E5116B">
        <w:rPr>
          <w:i/>
          <w:iCs/>
        </w:rPr>
        <w:t>see also</w:t>
      </w:r>
      <w:r w:rsidR="00E5116B" w:rsidRPr="00E5116B">
        <w:t xml:space="preserve"> Laura K. Donohue, </w:t>
      </w:r>
      <w:r w:rsidR="00E5116B" w:rsidRPr="00E5116B">
        <w:rPr>
          <w:i/>
          <w:iCs/>
        </w:rPr>
        <w:t>Functional Equivalence and Residual Rights Post-</w:t>
      </w:r>
      <w:r w:rsidR="00E5116B" w:rsidRPr="00E5116B">
        <w:t>Carpenter</w:t>
      </w:r>
      <w:r w:rsidR="00E5116B" w:rsidRPr="00E5116B">
        <w:rPr>
          <w:i/>
          <w:iCs/>
        </w:rPr>
        <w:t>: Framing a Test Consistent with Precedent and Original Meaning</w:t>
      </w:r>
      <w:r w:rsidR="00E5116B" w:rsidRPr="00E5116B">
        <w:t xml:space="preserve">, 2018 </w:t>
      </w:r>
      <w:r w:rsidR="00E5116B" w:rsidRPr="00E5116B">
        <w:rPr>
          <w:smallCaps/>
        </w:rPr>
        <w:t>Sup. Ct. Rev.</w:t>
      </w:r>
      <w:r w:rsidR="00E5116B" w:rsidRPr="00E5116B">
        <w:t xml:space="preserve"> 347, 396</w:t>
      </w:r>
      <w:r w:rsidR="003B0352">
        <w:t>-</w:t>
      </w:r>
      <w:r w:rsidR="00E5116B" w:rsidRPr="00E5116B">
        <w:t>400</w:t>
      </w:r>
      <w:r>
        <w:fldChar w:fldCharType="end"/>
      </w:r>
      <w:r w:rsidR="00D22168">
        <w:t xml:space="preserve"> (</w:t>
      </w:r>
      <w:r w:rsidR="004C1CD0">
        <w:t xml:space="preserve">arguing digital </w:t>
      </w:r>
      <w:r w:rsidR="00701301">
        <w:t>records can be regarded as a “bailment upon consideration”)</w:t>
      </w:r>
      <w:r w:rsidR="001868A3">
        <w:t>.</w:t>
      </w:r>
    </w:p>
  </w:footnote>
  <w:footnote w:id="364">
    <w:p w14:paraId="607DB683" w14:textId="310AC2BE" w:rsidR="00114BDB" w:rsidRDefault="00114BDB">
      <w:pPr>
        <w:pStyle w:val="FootnoteText"/>
      </w:pPr>
      <w:r w:rsidRPr="002A4234">
        <w:rPr>
          <w:rStyle w:val="FootnoteReference"/>
        </w:rPr>
        <w:footnoteRef/>
      </w:r>
      <w:r>
        <w:t xml:space="preserve"> </w:t>
      </w:r>
      <w:r>
        <w:fldChar w:fldCharType="begin"/>
      </w:r>
      <w:r w:rsidR="00E5116B">
        <w:instrText xml:space="preserve"> ADDIN ZOTERO_ITEM CSL_CITATION {"citationID":"8xSCNyiK","properties":{"formattedCitation":"{\\i{}See generally} D\\uc0\\u8217{}Onfro, {\\i{}supra} note 12","plainCitation":"See generally D’Onfro, supra note 12","noteIndex":354},"citationItems":[{"id":3243,"uris":["http://zotero.org/groups/2816150/items/S6DUJKA2"],"uri":["http://zotero.org/groups/2816150/items/S6DUJKA2"],"itemData":{"id":3243,"type":"article-journal","abstract":"The rise of cloud computing has dramatically changed how consumers and firms store their belongings. Property that owners once managed directly now exists primarily on infrastruc-ture maintained by intermediaries. Consumers entrust their photos to Apple instead of scrap-books; businesses put their documents on Amazon’s servers instead of in file cabinets; seemingly everything runs in the cloud. Were these belongings tangible, the relationship between owner and intermediary would be governed by the common-law doctrine of bailment. Bailments are mandatory relationships formed when one party entrusts their property to another. Within this relationship, the bailees owe the bailors a duty of care and may be liable if they failed to return the property. The parties can use contract to customize the relationship but not to disclaim entirely. Tracing the law of bailment relationships from its ancient roots to the present, this Article argues that cloud storage should be understood as creating a bailment relationship. The law of bailment, though developed in the Middle Ages, provides a robust framework for govern-ing twenty-first century electronic intermediaries. Though the kind of stored property has changed, the parties’ expectations and incentives have not. Yet the decline of litigation, the rise of arbitration, federal diversity jurisdiction, and the ever-growing dominance of contract has thus far prevented courts from applying the law of bailments to these new services. Recognizing cloud storage as a bailment would have significant implications. Most immedi-ately, it would suggest that important provisions in many cloud storage services’ contracts are unenforceable. A hand-collected dataset of 61 cloud storage contracts, reveals that most have include general disclaimers for any liability for lost data. These disclaimers are inconsistent with the duty of care that is the foundation of the law of bailment. In addition, understand-ing cloud storage as a bailment would have important implications for both the law of con-sumer protection and Fourth Amendment protections.","container-title":"Washington University Law Review","DOI":"10.2139/ssrn.3785711","journalAbbreviation":"Wash. L. Rev.","language":"en","page":"__","source":"papers.ssrn.com","title":"The New Bailments","volume":"97","author":[{"family":"D'Onfro","given":"Danielle"}],"issued":{"date-parts":[["2022"]],"season":"forthcoming"}},"prefix":"&lt;i&gt;See generally&lt;/i&gt; "}],"schema":"https://github.com/citation-style-language/schema/raw/master/csl-citation.json"} </w:instrText>
      </w:r>
      <w:r>
        <w:fldChar w:fldCharType="separate"/>
      </w:r>
      <w:r w:rsidR="00E5116B" w:rsidRPr="00E5116B">
        <w:rPr>
          <w:i/>
          <w:iCs/>
        </w:rPr>
        <w:t>See generally</w:t>
      </w:r>
      <w:r w:rsidR="00E5116B" w:rsidRPr="00E5116B">
        <w:t xml:space="preserve"> D’Onfro, </w:t>
      </w:r>
      <w:r w:rsidR="00E5116B" w:rsidRPr="00E5116B">
        <w:rPr>
          <w:i/>
          <w:iCs/>
        </w:rPr>
        <w:t>supra</w:t>
      </w:r>
      <w:r w:rsidR="00E5116B" w:rsidRPr="00E5116B">
        <w:t xml:space="preserve"> note 12</w:t>
      </w:r>
      <w:r>
        <w:fldChar w:fldCharType="end"/>
      </w:r>
      <w:r w:rsidR="0025331B">
        <w:t>, at 134-39.</w:t>
      </w:r>
    </w:p>
  </w:footnote>
  <w:footnote w:id="365">
    <w:p w14:paraId="747E3FA2" w14:textId="6128E19C" w:rsidR="0071686B" w:rsidRDefault="0071686B">
      <w:pPr>
        <w:pStyle w:val="FootnoteText"/>
      </w:pPr>
      <w:r w:rsidRPr="002A4234">
        <w:rPr>
          <w:rStyle w:val="FootnoteReference"/>
        </w:rPr>
        <w:footnoteRef/>
      </w:r>
      <w:r>
        <w:t xml:space="preserve"> </w:t>
      </w:r>
      <w:r w:rsidR="00446293">
        <w:rPr>
          <w:i/>
          <w:iCs/>
        </w:rPr>
        <w:t>See</w:t>
      </w:r>
      <w:r>
        <w:rPr>
          <w:i/>
        </w:rPr>
        <w:t xml:space="preserve"> </w:t>
      </w:r>
      <w:r w:rsidR="00C6599C" w:rsidRPr="00446293">
        <w:rPr>
          <w:rFonts w:eastAsia="EB Garamond"/>
        </w:rPr>
        <w:t>Griffin v. Nationwide Moving &amp; Storage Co., 446 A.2d 799, 804</w:t>
      </w:r>
      <w:r w:rsidR="00D24590">
        <w:rPr>
          <w:rFonts w:eastAsia="EB Garamond"/>
        </w:rPr>
        <w:t>-05</w:t>
      </w:r>
      <w:r w:rsidR="00C6599C" w:rsidRPr="00446293">
        <w:rPr>
          <w:rFonts w:eastAsia="EB Garamond"/>
        </w:rPr>
        <w:t xml:space="preserve"> (Conn. 1982) (finding that parties cannot disclaim the bailment relationship by contract); </w:t>
      </w:r>
      <w:r w:rsidR="001C4DCA" w:rsidRPr="00446293">
        <w:rPr>
          <w:rFonts w:eastAsia="EB Garamond"/>
        </w:rPr>
        <w:t>Saribekyan v. Bank of Am., N.A., No.</w:t>
      </w:r>
      <w:r w:rsidR="00D212BB">
        <w:rPr>
          <w:rFonts w:eastAsia="EB Garamond"/>
        </w:rPr>
        <w:t xml:space="preserve"> </w:t>
      </w:r>
      <w:r w:rsidR="001C4DCA" w:rsidRPr="00446293">
        <w:rPr>
          <w:rFonts w:eastAsia="EB Garamond"/>
        </w:rPr>
        <w:t>B285607, 2020 Cal. App. Unpub. LEXIS 25, at *6</w:t>
      </w:r>
      <w:r w:rsidR="001C4DCA">
        <w:rPr>
          <w:rFonts w:eastAsia="EB Garamond"/>
        </w:rPr>
        <w:t>, *24-25</w:t>
      </w:r>
      <w:r w:rsidR="001C4DCA" w:rsidRPr="00446293">
        <w:rPr>
          <w:rFonts w:eastAsia="EB Garamond"/>
        </w:rPr>
        <w:t xml:space="preserve"> (</w:t>
      </w:r>
      <w:r w:rsidR="001C4DCA">
        <w:rPr>
          <w:rFonts w:eastAsia="EB Garamond"/>
        </w:rPr>
        <w:t xml:space="preserve">Cal. Ct. App. </w:t>
      </w:r>
      <w:r w:rsidR="001C4DCA" w:rsidRPr="00446293">
        <w:rPr>
          <w:rFonts w:eastAsia="EB Garamond"/>
        </w:rPr>
        <w:t>Jan. 3, 2020)</w:t>
      </w:r>
      <w:r w:rsidR="001C4DCA">
        <w:rPr>
          <w:rFonts w:eastAsia="EB Garamond"/>
        </w:rPr>
        <w:t xml:space="preserve"> (same); </w:t>
      </w:r>
      <w:r w:rsidR="00C6599C" w:rsidRPr="00446293">
        <w:rPr>
          <w:rFonts w:eastAsia="EB Garamond"/>
        </w:rPr>
        <w:t xml:space="preserve">Am. Nursery Prods., Inc. v. Indian Wells Orchards, </w:t>
      </w:r>
      <w:r w:rsidR="005167BF">
        <w:rPr>
          <w:rFonts w:eastAsia="EB Garamond"/>
        </w:rPr>
        <w:t>797 P.2d 477</w:t>
      </w:r>
      <w:r w:rsidR="004B2633">
        <w:rPr>
          <w:rFonts w:eastAsia="EB Garamond"/>
        </w:rPr>
        <w:t>, 485</w:t>
      </w:r>
      <w:r w:rsidR="00C6599C" w:rsidRPr="00446293">
        <w:rPr>
          <w:rFonts w:eastAsia="EB Garamond"/>
        </w:rPr>
        <w:t xml:space="preserve"> (</w:t>
      </w:r>
      <w:r w:rsidR="00276C03">
        <w:rPr>
          <w:rFonts w:eastAsia="EB Garamond"/>
        </w:rPr>
        <w:t xml:space="preserve">Wash. </w:t>
      </w:r>
      <w:r w:rsidR="00C6599C" w:rsidRPr="00446293">
        <w:rPr>
          <w:rFonts w:eastAsia="EB Garamond"/>
        </w:rPr>
        <w:t>1990) (</w:t>
      </w:r>
      <w:r w:rsidR="00BD6536">
        <w:rPr>
          <w:rFonts w:eastAsia="EB Garamond"/>
        </w:rPr>
        <w:t xml:space="preserve">finding the </w:t>
      </w:r>
      <w:r w:rsidR="00C6599C" w:rsidRPr="00446293">
        <w:rPr>
          <w:rFonts w:eastAsia="EB Garamond"/>
        </w:rPr>
        <w:t>same</w:t>
      </w:r>
      <w:r w:rsidR="00BD6536">
        <w:rPr>
          <w:rFonts w:eastAsia="EB Garamond"/>
        </w:rPr>
        <w:t xml:space="preserve"> for professional bailments</w:t>
      </w:r>
      <w:r w:rsidR="00C6599C" w:rsidRPr="00446293">
        <w:rPr>
          <w:rFonts w:eastAsia="EB Garamond"/>
        </w:rPr>
        <w:t>)</w:t>
      </w:r>
      <w:r w:rsidR="00FB142F" w:rsidRPr="00446293">
        <w:rPr>
          <w:rFonts w:eastAsia="EB Garamond"/>
        </w:rPr>
        <w:t>.</w:t>
      </w:r>
    </w:p>
  </w:footnote>
  <w:footnote w:id="366">
    <w:p w14:paraId="3E10F9B9" w14:textId="1A46B3D7" w:rsidR="00021984" w:rsidRPr="00D33A0C" w:rsidRDefault="00021984">
      <w:pPr>
        <w:pStyle w:val="FootnoteText"/>
      </w:pPr>
      <w:r w:rsidRPr="002A4234">
        <w:rPr>
          <w:rStyle w:val="FootnoteReference"/>
        </w:rPr>
        <w:footnoteRef/>
      </w:r>
      <w:r>
        <w:t xml:space="preserve"> </w:t>
      </w:r>
      <w:r w:rsidR="00FC3D7C">
        <w:rPr>
          <w:i/>
          <w:iCs/>
        </w:rPr>
        <w:t xml:space="preserve">See </w:t>
      </w:r>
      <w:r w:rsidR="00875E81">
        <w:rPr>
          <w:i/>
          <w:iCs/>
        </w:rPr>
        <w:fldChar w:fldCharType="begin"/>
      </w:r>
      <w:r w:rsidR="00E5116B">
        <w:rPr>
          <w:i/>
          <w:iCs/>
        </w:rPr>
        <w:instrText xml:space="preserve"> ADDIN ZOTERO_ITEM CSL_CITATION {"citationID":"f8ueLlRT","properties":{"formattedCitation":"Kerr, {\\i{}supra} note 237, at 1029\\uc0\\u8211{}31","plainCitation":"Kerr, supra note 237, at 1029–31","noteIndex":356},"citationItems":[{"id":3265,"uris":["http://zotero.org/groups/2816150/items/NBZD9DTD"],"uri":["http://zotero.org/groups/2816150/items/NBZD9DTD"],"itemData":{"id":3265,"type":"article-journal","container-title":"Stanford Law Review","issue":"4","journalAbbreviation":"Stan. L. Rev.","language":"eng","page":"1005-1050","source":"HeinOnline","title":"Applying the Fourth Amendment to the Internet: A General Approach","title-short":"Applying the Fourth Amendment to the Internet","volume":"62","author":[{"family":"Kerr","given":"Orin S."}],"issued":{"date-parts":[["2010"]]}},"locator":"1029-31","label":"page"}],"schema":"https://github.com/citation-style-language/schema/raw/master/csl-citation.json"} </w:instrText>
      </w:r>
      <w:r w:rsidR="00875E81">
        <w:rPr>
          <w:i/>
          <w:iCs/>
        </w:rPr>
        <w:fldChar w:fldCharType="separate"/>
      </w:r>
      <w:r w:rsidR="00E5116B" w:rsidRPr="00E5116B">
        <w:t xml:space="preserve">Kerr, </w:t>
      </w:r>
      <w:r w:rsidR="00E5116B" w:rsidRPr="00E5116B">
        <w:rPr>
          <w:i/>
          <w:iCs/>
        </w:rPr>
        <w:t>supra</w:t>
      </w:r>
      <w:r w:rsidR="00E5116B" w:rsidRPr="00E5116B">
        <w:t xml:space="preserve"> note 237, at 1029</w:t>
      </w:r>
      <w:r w:rsidR="00D63283">
        <w:t>-</w:t>
      </w:r>
      <w:r w:rsidR="00E5116B" w:rsidRPr="00E5116B">
        <w:t>31</w:t>
      </w:r>
      <w:r w:rsidR="00875E81">
        <w:rPr>
          <w:i/>
          <w:iCs/>
        </w:rPr>
        <w:fldChar w:fldCharType="end"/>
      </w:r>
      <w:r w:rsidR="00D33A0C">
        <w:t xml:space="preserve"> (arguing </w:t>
      </w:r>
      <w:r w:rsidR="00597A30">
        <w:t>that</w:t>
      </w:r>
      <w:r w:rsidR="00D33A0C">
        <w:t xml:space="preserve"> Fourth Amendment protection</w:t>
      </w:r>
      <w:r w:rsidR="00597A30">
        <w:t>s should extend to</w:t>
      </w:r>
      <w:r w:rsidR="00D33A0C">
        <w:t xml:space="preserve"> the content</w:t>
      </w:r>
      <w:r w:rsidR="007E2276">
        <w:t>s</w:t>
      </w:r>
      <w:r w:rsidR="00D33A0C">
        <w:t xml:space="preserve"> of digital communications)</w:t>
      </w:r>
      <w:r w:rsidR="00C26EEB">
        <w:t>.</w:t>
      </w:r>
    </w:p>
  </w:footnote>
  <w:footnote w:id="367">
    <w:p w14:paraId="7F4E1480" w14:textId="4245768B" w:rsidR="00733EBD" w:rsidRDefault="00733EBD">
      <w:pPr>
        <w:pStyle w:val="FootnoteText"/>
      </w:pPr>
      <w:r w:rsidRPr="002A4234">
        <w:rPr>
          <w:rStyle w:val="FootnoteReference"/>
        </w:rPr>
        <w:footnoteRef/>
      </w:r>
      <w:r>
        <w:t xml:space="preserve"> </w:t>
      </w:r>
      <w:r w:rsidR="001D6313" w:rsidRPr="001D6313">
        <w:t>United States v. Warshak, 631 F.3d 266, 288 (6th Cir. 2010)</w:t>
      </w:r>
      <w:r w:rsidR="00750801">
        <w:t xml:space="preserve">; </w:t>
      </w:r>
      <w:r w:rsidR="00750801" w:rsidRPr="00750801">
        <w:t>United States v. Ali, 870 F. Supp. 2d 10, 39 n.39 (D.D.C. 2012)</w:t>
      </w:r>
      <w:r w:rsidR="0033395A">
        <w:t xml:space="preserve">; </w:t>
      </w:r>
      <w:r w:rsidR="0033395A" w:rsidRPr="00B5236C">
        <w:t xml:space="preserve">United States v. </w:t>
      </w:r>
      <w:r w:rsidR="00B5236C" w:rsidRPr="00B5236C">
        <w:t xml:space="preserve">Bode, No. ELH-12-158, 2013 U.S. Dist. LEXIS 118627, at *51 (D. Md. Aug. </w:t>
      </w:r>
      <w:r w:rsidR="0033395A" w:rsidRPr="00B5236C">
        <w:t>21, 2013)</w:t>
      </w:r>
      <w:r w:rsidR="0033395A">
        <w:t>.</w:t>
      </w:r>
    </w:p>
  </w:footnote>
  <w:footnote w:id="368">
    <w:p w14:paraId="2B310F87" w14:textId="0C7A9A46" w:rsidR="004E3CDA" w:rsidRDefault="004E3CDA">
      <w:pPr>
        <w:pStyle w:val="FootnoteText"/>
      </w:pPr>
      <w:r w:rsidRPr="002A4234">
        <w:rPr>
          <w:rStyle w:val="FootnoteReference"/>
        </w:rPr>
        <w:footnoteRef/>
      </w:r>
      <w:r>
        <w:t xml:space="preserve"> </w:t>
      </w:r>
      <w:r w:rsidR="00434CAE">
        <w:rPr>
          <w:i/>
          <w:iCs/>
        </w:rPr>
        <w:t>See</w:t>
      </w:r>
      <w:r>
        <w:t xml:space="preserve"> </w:t>
      </w:r>
      <w:r w:rsidR="00C26EEB" w:rsidRPr="008D640D">
        <w:t>Corngold v</w:t>
      </w:r>
      <w:r w:rsidR="008F3B7D">
        <w:t>.</w:t>
      </w:r>
      <w:r w:rsidR="00C26EEB" w:rsidRPr="008D640D">
        <w:t xml:space="preserve"> United States, 367 F</w:t>
      </w:r>
      <w:r w:rsidR="008F3B7D">
        <w:t>.</w:t>
      </w:r>
      <w:r w:rsidR="00C26EEB" w:rsidRPr="008D640D">
        <w:t>2d 1</w:t>
      </w:r>
      <w:r w:rsidR="00244B77">
        <w:t>, 7</w:t>
      </w:r>
      <w:r w:rsidR="00C26EEB">
        <w:t xml:space="preserve"> (</w:t>
      </w:r>
      <w:r w:rsidR="00C26EEB" w:rsidRPr="008D640D">
        <w:t xml:space="preserve">9th </w:t>
      </w:r>
      <w:r w:rsidR="00C26EEB">
        <w:t xml:space="preserve">Cir. </w:t>
      </w:r>
      <w:r w:rsidR="00C26EEB" w:rsidRPr="008D640D">
        <w:t>1966)</w:t>
      </w:r>
      <w:r w:rsidR="00C26EEB">
        <w:t>.</w:t>
      </w:r>
    </w:p>
  </w:footnote>
  <w:footnote w:id="369">
    <w:p w14:paraId="33213116" w14:textId="4BBC6DEF" w:rsidR="00BF4E33" w:rsidRDefault="00BF4E33">
      <w:pPr>
        <w:pStyle w:val="FootnoteText"/>
      </w:pPr>
      <w:r w:rsidRPr="002A4234">
        <w:rPr>
          <w:rStyle w:val="FootnoteReference"/>
        </w:rPr>
        <w:footnoteRef/>
      </w:r>
      <w:r w:rsidRPr="00FB5E2A">
        <w:t xml:space="preserve"> </w:t>
      </w:r>
      <w:r w:rsidR="00911C0B" w:rsidRPr="00FB5E2A">
        <w:rPr>
          <w:i/>
          <w:iCs/>
        </w:rPr>
        <w:t>See</w:t>
      </w:r>
      <w:r w:rsidR="00911C0B" w:rsidRPr="00FB5E2A">
        <w:t xml:space="preserve"> </w:t>
      </w:r>
      <w:r w:rsidRPr="00FB5E2A">
        <w:fldChar w:fldCharType="begin"/>
      </w:r>
      <w:r w:rsidR="00E5116B">
        <w:instrText xml:space="preserve"> ADDIN ZOTERO_ITEM CSL_CITATION {"citationID":"lQHUY8wQ","properties":{"formattedCitation":"{\\i{}The Fourth Amendment\\uc0\\u8217{}s Third Way}, {\\i{}supra} note 4, at 1641","plainCitation":"The Fourth Amendment’s Third Way, supra note 4, at 1641","noteIndex":359},"citationItems":[{"id":3006,"uris":["http://zotero.org/groups/2816150/items/CNGH7WJ5"],"uri":["http://zotero.org/groups/2816150/items/CNGH7WJ5"],"itemData":{"id":3006,"type":"article-journal","container-title":"Harvard Law Review","journalAbbreviation":"Harv. L. Rev.","page":"1627","title":"The Fourth Amendment's Third Way","volume":"120","issued":{"date-parts":[["2007"]]}},"locator":"1641","label":"page"}],"schema":"https://github.com/citation-style-language/schema/raw/master/csl-citation.json"} </w:instrText>
      </w:r>
      <w:r w:rsidRPr="00FB5E2A">
        <w:fldChar w:fldCharType="separate"/>
      </w:r>
      <w:r w:rsidR="00E5116B" w:rsidRPr="00E5116B">
        <w:rPr>
          <w:i/>
          <w:iCs/>
        </w:rPr>
        <w:t>The Fourth Amendment’s Third Way</w:t>
      </w:r>
      <w:r w:rsidR="00E5116B" w:rsidRPr="00E5116B">
        <w:t xml:space="preserve">, </w:t>
      </w:r>
      <w:r w:rsidR="00E5116B" w:rsidRPr="00E5116B">
        <w:rPr>
          <w:i/>
          <w:iCs/>
        </w:rPr>
        <w:t>supra</w:t>
      </w:r>
      <w:r w:rsidR="00E5116B" w:rsidRPr="00E5116B">
        <w:t xml:space="preserve"> note 4, at 1641</w:t>
      </w:r>
      <w:r w:rsidRPr="00FB5E2A">
        <w:fldChar w:fldCharType="end"/>
      </w:r>
      <w:r w:rsidR="0068265E">
        <w:t xml:space="preserve"> </w:t>
      </w:r>
      <w:r w:rsidR="00911C0B" w:rsidRPr="00FB5E2A">
        <w:t>(explaining how the Fourth Amendment could draw on privacy torts).</w:t>
      </w:r>
    </w:p>
  </w:footnote>
  <w:footnote w:id="370">
    <w:p w14:paraId="4F74B992" w14:textId="18085CC6" w:rsidR="00F95E73" w:rsidRPr="00FB5E2A" w:rsidRDefault="00F95E73">
      <w:pPr>
        <w:pStyle w:val="FootnoteText"/>
      </w:pPr>
      <w:r w:rsidRPr="002A4234">
        <w:rPr>
          <w:rStyle w:val="FootnoteReference"/>
        </w:rPr>
        <w:footnoteRef/>
      </w:r>
      <w:r>
        <w:t xml:space="preserve"> </w:t>
      </w:r>
      <w:r w:rsidR="00100F1F" w:rsidRPr="00100F1F">
        <w:t>Children's Online Privacy Protection Act (COPPA)</w:t>
      </w:r>
      <w:r w:rsidR="001E3572">
        <w:t xml:space="preserve">, </w:t>
      </w:r>
      <w:r w:rsidR="001E3572" w:rsidRPr="001E3572">
        <w:t>15 U.S.C. §§</w:t>
      </w:r>
      <w:r w:rsidR="00016D68">
        <w:t> </w:t>
      </w:r>
      <w:r w:rsidR="001E3572" w:rsidRPr="001E3572">
        <w:t>6501</w:t>
      </w:r>
      <w:r w:rsidR="00016D68">
        <w:t>-</w:t>
      </w:r>
      <w:r w:rsidR="001E3572" w:rsidRPr="001E3572">
        <w:t>6506</w:t>
      </w:r>
      <w:r w:rsidR="00A61C37">
        <w:t xml:space="preserve"> (</w:t>
      </w:r>
      <w:r w:rsidR="00E5422C">
        <w:t>2018</w:t>
      </w:r>
      <w:r w:rsidR="00A61C37">
        <w:t>)</w:t>
      </w:r>
      <w:r w:rsidR="008D2207">
        <w:t>.</w:t>
      </w:r>
    </w:p>
  </w:footnote>
  <w:footnote w:id="371">
    <w:p w14:paraId="4BFFF14D" w14:textId="13DBCD22" w:rsidR="00F95E73" w:rsidRPr="00FB5E2A" w:rsidRDefault="00F95E73">
      <w:pPr>
        <w:pStyle w:val="FootnoteText"/>
      </w:pPr>
      <w:r w:rsidRPr="002A4234">
        <w:rPr>
          <w:rStyle w:val="FootnoteReference"/>
        </w:rPr>
        <w:footnoteRef/>
      </w:r>
      <w:r w:rsidRPr="00FB5E2A">
        <w:t xml:space="preserve"> </w:t>
      </w:r>
      <w:r w:rsidR="008E6CA9" w:rsidRPr="008E6CA9">
        <w:t>Family Educational Rights and Privacy Act</w:t>
      </w:r>
      <w:r w:rsidR="008D2207">
        <w:t xml:space="preserve"> (FERPA), </w:t>
      </w:r>
      <w:r w:rsidR="008D2207" w:rsidRPr="008D2207">
        <w:t>20 U.S.C. §</w:t>
      </w:r>
      <w:r w:rsidR="00B60195">
        <w:t> </w:t>
      </w:r>
      <w:r w:rsidR="008D2207" w:rsidRPr="008D2207">
        <w:t>1232g</w:t>
      </w:r>
      <w:r w:rsidR="008D2207">
        <w:t xml:space="preserve"> </w:t>
      </w:r>
      <w:r w:rsidR="00FB5E2A" w:rsidRPr="00FB5E2A">
        <w:t xml:space="preserve">et seq. </w:t>
      </w:r>
      <w:r w:rsidR="008D2207">
        <w:t>(1974).</w:t>
      </w:r>
    </w:p>
  </w:footnote>
  <w:footnote w:id="372">
    <w:p w14:paraId="34D8F9F4" w14:textId="3F0F9017" w:rsidR="00F95E73" w:rsidRPr="00FB5E2A" w:rsidRDefault="00F95E73">
      <w:pPr>
        <w:pStyle w:val="FootnoteText"/>
      </w:pPr>
      <w:r w:rsidRPr="002A4234">
        <w:rPr>
          <w:rStyle w:val="FootnoteReference"/>
        </w:rPr>
        <w:footnoteRef/>
      </w:r>
      <w:r w:rsidRPr="00FB5E2A">
        <w:t xml:space="preserve"> </w:t>
      </w:r>
      <w:r w:rsidR="000007E8" w:rsidRPr="000007E8">
        <w:t>Health Insurance Portability and Accountability Act</w:t>
      </w:r>
      <w:r w:rsidR="0091150F">
        <w:t xml:space="preserve"> (HIPAA)</w:t>
      </w:r>
      <w:r w:rsidR="003F1231">
        <w:t xml:space="preserve"> Privacy Rule, </w:t>
      </w:r>
      <w:r w:rsidR="003F1231" w:rsidRPr="003F1231">
        <w:t>45 C</w:t>
      </w:r>
      <w:r w:rsidR="005A4A2B">
        <w:t>.</w:t>
      </w:r>
      <w:r w:rsidR="003F1231" w:rsidRPr="003F1231">
        <w:t>F</w:t>
      </w:r>
      <w:r w:rsidR="005A4A2B">
        <w:t>.</w:t>
      </w:r>
      <w:r w:rsidR="003F1231" w:rsidRPr="003F1231">
        <w:t>R</w:t>
      </w:r>
      <w:r w:rsidR="005A4A2B">
        <w:t>.</w:t>
      </w:r>
      <w:r w:rsidR="003F1231" w:rsidRPr="003F1231">
        <w:t xml:space="preserve"> </w:t>
      </w:r>
      <w:r w:rsidR="005A4A2B">
        <w:t>pt.</w:t>
      </w:r>
      <w:r w:rsidR="007C7946">
        <w:t xml:space="preserve"> </w:t>
      </w:r>
      <w:r w:rsidR="003F1231" w:rsidRPr="003F1231">
        <w:t>160</w:t>
      </w:r>
      <w:r w:rsidR="006E7C67">
        <w:t xml:space="preserve">, </w:t>
      </w:r>
      <w:r w:rsidR="005A4A2B">
        <w:t>pt.</w:t>
      </w:r>
      <w:r w:rsidR="005A4A2B" w:rsidRPr="003F1231">
        <w:t xml:space="preserve"> </w:t>
      </w:r>
      <w:r w:rsidR="003F1231" w:rsidRPr="003F1231">
        <w:t>164</w:t>
      </w:r>
      <w:r w:rsidR="00E13731">
        <w:t xml:space="preserve"> </w:t>
      </w:r>
      <w:r w:rsidR="006E7C67">
        <w:t xml:space="preserve">sub pts. A, E </w:t>
      </w:r>
      <w:r w:rsidR="00E13731">
        <w:t>(</w:t>
      </w:r>
      <w:r w:rsidR="003B2296">
        <w:t>2022</w:t>
      </w:r>
      <w:r w:rsidR="00E13731" w:rsidRPr="00FB5E2A">
        <w:t>)</w:t>
      </w:r>
      <w:r w:rsidR="00FB5E2A" w:rsidRPr="00FB5E2A">
        <w:t>.</w:t>
      </w:r>
    </w:p>
  </w:footnote>
  <w:footnote w:id="373">
    <w:p w14:paraId="02F9DD76" w14:textId="69257E2B" w:rsidR="00DF39E8" w:rsidRDefault="00DF39E8">
      <w:pPr>
        <w:pStyle w:val="FootnoteText"/>
      </w:pPr>
      <w:r w:rsidRPr="002A4234">
        <w:rPr>
          <w:rStyle w:val="FootnoteReference"/>
        </w:rPr>
        <w:footnoteRef/>
      </w:r>
      <w:r w:rsidRPr="00FB5E2A">
        <w:t xml:space="preserve"> Bank Secrecy Act</w:t>
      </w:r>
      <w:r w:rsidR="00E13731">
        <w:t xml:space="preserve"> (BSA)</w:t>
      </w:r>
      <w:r w:rsidR="00F8742D">
        <w:t xml:space="preserve">, </w:t>
      </w:r>
      <w:r w:rsidR="00E07C2A">
        <w:t xml:space="preserve">Pub. L. No. 91-508, </w:t>
      </w:r>
      <w:r w:rsidR="002F7903">
        <w:t>84 Stat. 1114</w:t>
      </w:r>
      <w:r w:rsidR="008525DE">
        <w:t xml:space="preserve"> (codified in scattered sections of 12 U.S.C. &amp; 31 U.S.C.) </w:t>
      </w:r>
      <w:r w:rsidR="000A5416" w:rsidRPr="00FB5E2A">
        <w:t>(1970)</w:t>
      </w:r>
      <w:r w:rsidR="00FB5E2A" w:rsidRPr="00FB5E2A">
        <w:t>.</w:t>
      </w:r>
    </w:p>
  </w:footnote>
  <w:footnote w:id="374">
    <w:p w14:paraId="2CFB5AB9" w14:textId="27D97FAE" w:rsidR="00505CEF" w:rsidRDefault="00505CEF">
      <w:pPr>
        <w:pStyle w:val="FootnoteText"/>
      </w:pPr>
      <w:r w:rsidRPr="002A4234">
        <w:rPr>
          <w:rStyle w:val="FootnoteReference"/>
        </w:rPr>
        <w:footnoteRef/>
      </w:r>
      <w:r w:rsidRPr="00FB5E2A">
        <w:t xml:space="preserve"> </w:t>
      </w:r>
      <w:r w:rsidR="00405D69">
        <w:t xml:space="preserve">Warren &amp; Brandeis, </w:t>
      </w:r>
      <w:r w:rsidR="00405D69">
        <w:rPr>
          <w:i/>
          <w:iCs/>
        </w:rPr>
        <w:t xml:space="preserve">supra </w:t>
      </w:r>
      <w:r w:rsidR="00405D69">
        <w:t xml:space="preserve">note </w:t>
      </w:r>
      <w:r w:rsidR="005C2C51">
        <w:fldChar w:fldCharType="begin"/>
      </w:r>
      <w:r w:rsidR="005C2C51">
        <w:instrText xml:space="preserve"> NOTEREF _Ref114657602 \h </w:instrText>
      </w:r>
      <w:r w:rsidR="005C2C51">
        <w:fldChar w:fldCharType="separate"/>
      </w:r>
      <w:r w:rsidR="005C2C51">
        <w:t>214</w:t>
      </w:r>
      <w:r w:rsidR="005C2C51">
        <w:fldChar w:fldCharType="end"/>
      </w:r>
      <w:r w:rsidR="00405D69">
        <w:t>, at</w:t>
      </w:r>
      <w:r w:rsidR="005C2C51">
        <w:t xml:space="preserve"> </w:t>
      </w:r>
      <w:r w:rsidR="00405D69">
        <w:t>198-99</w:t>
      </w:r>
      <w:r w:rsidR="005C2C51">
        <w:t>.</w:t>
      </w:r>
    </w:p>
  </w:footnote>
  <w:footnote w:id="375">
    <w:p w14:paraId="48686502" w14:textId="717A3707" w:rsidR="001E56BD" w:rsidRPr="001E56BD" w:rsidRDefault="001E56BD">
      <w:pPr>
        <w:pStyle w:val="FootnoteText"/>
      </w:pPr>
      <w:r w:rsidRPr="002A4234">
        <w:rPr>
          <w:rStyle w:val="FootnoteReference"/>
        </w:rPr>
        <w:footnoteRef/>
      </w:r>
      <w:r>
        <w:t xml:space="preserve"> </w:t>
      </w:r>
      <w:r>
        <w:rPr>
          <w:i/>
          <w:iCs/>
        </w:rPr>
        <w:t>See generally</w:t>
      </w:r>
      <w:r>
        <w:t xml:space="preserve"> </w:t>
      </w:r>
      <w:r w:rsidR="00082026">
        <w:fldChar w:fldCharType="begin"/>
      </w:r>
      <w:r w:rsidR="00E5116B">
        <w:instrText xml:space="preserve"> ADDIN ZOTERO_ITEM CSL_CITATION {"citationID":"ptXxkU1A","properties":{"formattedCitation":"Martins et al., {\\i{}supra} note 21","plainCitation":"Martins et al., supra note 21","noteIndex":365},"citationItems":[{"id":3247,"uris":["http://zotero.org/groups/2816150/items/SLKPJAXD"],"uri":["http://zotero.org/groups/2816150/items/SLKPJAXD"],"itemData":{"id":3247,"type":"article-journal","container-title":"Cardozo Law Review","issue":"4","journalAbbreviation":"Cardozo L. Rev.","language":"eng","page":"1265-1300","source":"HeinOnline","title":"Contract's Revenge: The Waiver Society and the Death of Tort","title-short":"Contract's Revenge","volume":"41","author":[{"family":"Martins","given":"Ryan"},{"family":"Price","given":"Shannon"},{"family":"Witt","given":"John Fabian"}],"issued":{"date-parts":[["2020"]]}}}],"schema":"https://github.com/citation-style-language/schema/raw/master/csl-citation.json"} </w:instrText>
      </w:r>
      <w:r w:rsidR="00082026">
        <w:fldChar w:fldCharType="separate"/>
      </w:r>
      <w:r w:rsidR="00E5116B" w:rsidRPr="00E5116B">
        <w:t xml:space="preserve">Martins, </w:t>
      </w:r>
      <w:r w:rsidR="000839B3">
        <w:t xml:space="preserve">Price &amp; Witt </w:t>
      </w:r>
      <w:r w:rsidR="00E5116B" w:rsidRPr="00E5116B">
        <w:rPr>
          <w:i/>
          <w:iCs/>
        </w:rPr>
        <w:t>supra</w:t>
      </w:r>
      <w:r w:rsidR="00E5116B" w:rsidRPr="00E5116B">
        <w:t xml:space="preserve"> note 21</w:t>
      </w:r>
      <w:r w:rsidR="00082026">
        <w:fldChar w:fldCharType="end"/>
      </w:r>
      <w:r>
        <w:t xml:space="preserve"> (explaining how these factors are thwarting the development of the common law)</w:t>
      </w:r>
      <w:r w:rsidR="00163534">
        <w:t>.</w:t>
      </w:r>
    </w:p>
  </w:footnote>
  <w:footnote w:id="376">
    <w:p w14:paraId="46B1A6D9" w14:textId="5FBED19A" w:rsidR="006B7133" w:rsidRDefault="006B7133">
      <w:pPr>
        <w:pStyle w:val="FootnoteText"/>
      </w:pPr>
      <w:r w:rsidRPr="002A4234">
        <w:rPr>
          <w:rStyle w:val="FootnoteReference"/>
        </w:rPr>
        <w:footnoteRef/>
      </w:r>
      <w:r>
        <w:t xml:space="preserve"> </w:t>
      </w:r>
      <w:r>
        <w:rPr>
          <w:i/>
          <w:iCs/>
        </w:rPr>
        <w:t>See</w:t>
      </w:r>
      <w:r>
        <w:t xml:space="preserve"> </w:t>
      </w:r>
      <w:r>
        <w:fldChar w:fldCharType="begin"/>
      </w:r>
      <w:r w:rsidR="00E5116B">
        <w:instrText xml:space="preserve"> ADDIN ZOTERO_ITEM CSL_CITATION {"citationID":"xs6810G2","properties":{"formattedCitation":"Pamela Samuelson, {\\i{}Privacy as Intellectual Property}, 52 {\\scaps Stan. L. Rev.} 1125, 1126\\uc0\\u8211{}28 (2000)","plainCitation":"Pamela Samuelson, Privacy as Intellectual Property, 52 Stan. L. Rev. 1125, 1126–28 (2000)","noteIndex":366},"citationItems":[{"id":3253,"uris":["http://zotero.org/groups/2816150/items/MGZ2RUJZ"],"uri":["http://zotero.org/groups/2816150/items/MGZ2RUJZ"],"itemData":{"id":3253,"type":"article-journal","container-title":"Stanford Law Review","issue":"5","journalAbbreviation":"Stan. L. Rev.","language":"eng","page":"1125-1174","source":"HeinOnline","title":"Privacy as Intellectual Property","title-short":"Privacy as Intellectual Property Symposium","volume":"52","author":[{"family":"Samuelson","given":"Pamela"}],"issued":{"date-parts":[["2000"]]}},"locator":"1126-28","label":"page"}],"schema":"https://github.com/citation-style-language/schema/raw/master/csl-citation.json"} </w:instrText>
      </w:r>
      <w:r>
        <w:fldChar w:fldCharType="separate"/>
      </w:r>
      <w:r w:rsidR="00E5116B" w:rsidRPr="00E5116B">
        <w:t xml:space="preserve">Pamela Samuelson, </w:t>
      </w:r>
      <w:r w:rsidR="00E5116B" w:rsidRPr="00E5116B">
        <w:rPr>
          <w:i/>
          <w:iCs/>
        </w:rPr>
        <w:t>Privacy as Intellectual Property</w:t>
      </w:r>
      <w:r w:rsidR="00E5116B" w:rsidRPr="00E5116B">
        <w:t xml:space="preserve">, 52 </w:t>
      </w:r>
      <w:r w:rsidR="00E5116B" w:rsidRPr="00E5116B">
        <w:rPr>
          <w:smallCaps/>
        </w:rPr>
        <w:t>Stan. L. Rev.</w:t>
      </w:r>
      <w:r w:rsidR="00E5116B" w:rsidRPr="00E5116B">
        <w:t xml:space="preserve"> 1125, </w:t>
      </w:r>
      <w:r w:rsidR="007912A3" w:rsidRPr="00E5116B">
        <w:t>112</w:t>
      </w:r>
      <w:r w:rsidR="00E175DE">
        <w:t>7</w:t>
      </w:r>
      <w:r w:rsidR="007C7946">
        <w:t>-</w:t>
      </w:r>
      <w:r w:rsidR="00E5116B" w:rsidRPr="00E5116B">
        <w:t>28 (2000)</w:t>
      </w:r>
      <w:r>
        <w:fldChar w:fldCharType="end"/>
      </w:r>
      <w:r w:rsidR="00505CEF">
        <w:t>.</w:t>
      </w:r>
    </w:p>
  </w:footnote>
  <w:footnote w:id="377">
    <w:p w14:paraId="285AA867" w14:textId="6FC929EE" w:rsidR="00DF39E8" w:rsidRDefault="00DF39E8">
      <w:pPr>
        <w:pStyle w:val="FootnoteText"/>
      </w:pPr>
      <w:r w:rsidRPr="002A4234">
        <w:rPr>
          <w:rStyle w:val="FootnoteReference"/>
        </w:rPr>
        <w:footnoteRef/>
      </w:r>
      <w:r>
        <w:t xml:space="preserve"> </w:t>
      </w:r>
      <w:r w:rsidR="00D543D0" w:rsidRPr="00017FB3">
        <w:rPr>
          <w:i/>
        </w:rPr>
        <w:t>E.g.</w:t>
      </w:r>
      <w:r w:rsidR="00D543D0">
        <w:t xml:space="preserve">, </w:t>
      </w:r>
      <w:r w:rsidR="00D543D0" w:rsidRPr="00D543D0">
        <w:t>Massachusetts Civil Rights Act</w:t>
      </w:r>
      <w:r w:rsidR="006E0217">
        <w:t>,</w:t>
      </w:r>
      <w:r w:rsidR="00D543D0" w:rsidRPr="00D543D0">
        <w:t xml:space="preserve"> </w:t>
      </w:r>
      <w:r w:rsidR="00212148">
        <w:rPr>
          <w:smallCaps/>
        </w:rPr>
        <w:t xml:space="preserve">Mass. Gen. Laws </w:t>
      </w:r>
      <w:r w:rsidR="00212148">
        <w:t xml:space="preserve">ch. </w:t>
      </w:r>
      <w:r w:rsidR="00E63D3E">
        <w:t xml:space="preserve">12, </w:t>
      </w:r>
      <w:r w:rsidR="002A0AAF">
        <w:t>§</w:t>
      </w:r>
      <w:r w:rsidR="00E63D3E">
        <w:t>§ 11H</w:t>
      </w:r>
      <w:r w:rsidR="002A0AAF">
        <w:t>-</w:t>
      </w:r>
      <w:r w:rsidR="003726B2">
        <w:t>11</w:t>
      </w:r>
      <w:r w:rsidR="002A0AAF">
        <w:t>I</w:t>
      </w:r>
      <w:r w:rsidR="006A337C">
        <w:t xml:space="preserve"> (2022)</w:t>
      </w:r>
      <w:r w:rsidR="003726B2">
        <w:t>.</w:t>
      </w:r>
    </w:p>
  </w:footnote>
  <w:footnote w:id="378">
    <w:p w14:paraId="38FB5288" w14:textId="7E34014F" w:rsidR="003E6EB2" w:rsidRDefault="003E6EB2">
      <w:pPr>
        <w:pStyle w:val="FootnoteText"/>
      </w:pPr>
      <w:r w:rsidRPr="002A4234">
        <w:rPr>
          <w:rStyle w:val="FootnoteReference"/>
        </w:rPr>
        <w:footnoteRef/>
      </w:r>
      <w:r w:rsidRPr="0000240D">
        <w:t xml:space="preserve"> </w:t>
      </w:r>
      <w:r w:rsidR="004B53D0">
        <w:rPr>
          <w:smallCaps/>
        </w:rPr>
        <w:t xml:space="preserve">Cal. Civ. Code </w:t>
      </w:r>
      <w:r w:rsidR="006C72B9">
        <w:rPr>
          <w:smallCaps/>
        </w:rPr>
        <w:t>§ 1798.100</w:t>
      </w:r>
      <w:r w:rsidR="00C13C88">
        <w:rPr>
          <w:smallCaps/>
        </w:rPr>
        <w:t xml:space="preserve"> (</w:t>
      </w:r>
      <w:r w:rsidR="00C13C88" w:rsidRPr="00017FB3">
        <w:t>W</w:t>
      </w:r>
      <w:r w:rsidR="00C13C88">
        <w:t xml:space="preserve">est 2022) (effective </w:t>
      </w:r>
      <w:r w:rsidR="00037903">
        <w:t>Jan. 1, 2023)</w:t>
      </w:r>
      <w:r w:rsidR="0000240D" w:rsidRPr="0000240D">
        <w:t>.</w:t>
      </w:r>
    </w:p>
  </w:footnote>
  <w:footnote w:id="379">
    <w:p w14:paraId="1C9A0074" w14:textId="298614E8" w:rsidR="00A879DE" w:rsidRPr="00DC7076" w:rsidRDefault="00A879DE">
      <w:pPr>
        <w:pStyle w:val="FootnoteText"/>
      </w:pPr>
      <w:r w:rsidRPr="002A4234">
        <w:rPr>
          <w:rStyle w:val="FootnoteReference"/>
        </w:rPr>
        <w:footnoteRef/>
      </w:r>
      <w:r>
        <w:t xml:space="preserve"> </w:t>
      </w:r>
      <w:r w:rsidR="00657091">
        <w:rPr>
          <w:i/>
          <w:iCs/>
        </w:rPr>
        <w:t>E.g.</w:t>
      </w:r>
      <w:r w:rsidR="00657091">
        <w:t>,</w:t>
      </w:r>
      <w:r>
        <w:t xml:space="preserve"> </w:t>
      </w:r>
      <w:r w:rsidR="00F560D8" w:rsidRPr="00DA6E8E">
        <w:t>Right of Privacy</w:t>
      </w:r>
      <w:r w:rsidR="00704E91">
        <w:t xml:space="preserve">, </w:t>
      </w:r>
      <w:r w:rsidR="00DA6E8E">
        <w:rPr>
          <w:smallCaps/>
        </w:rPr>
        <w:t>Mass</w:t>
      </w:r>
      <w:r w:rsidR="006E0217">
        <w:rPr>
          <w:smallCaps/>
        </w:rPr>
        <w:t xml:space="preserve">. Gen. Laws </w:t>
      </w:r>
      <w:r w:rsidR="006E0217">
        <w:t>ch. 214, § 1B</w:t>
      </w:r>
      <w:r w:rsidR="00704E91">
        <w:t xml:space="preserve"> (2022)</w:t>
      </w:r>
      <w:r w:rsidR="006A203B" w:rsidRPr="00DA6E8E">
        <w:t xml:space="preserve">; </w:t>
      </w:r>
      <w:r w:rsidR="00C40E30" w:rsidRPr="00DA6E8E">
        <w:t xml:space="preserve">Bignami v. Serrnao, </w:t>
      </w:r>
      <w:r w:rsidR="00370BF4">
        <w:t>No. 18 Misc. 000323, 2020 WL 2257312</w:t>
      </w:r>
      <w:r w:rsidR="007D1BB9">
        <w:t>,</w:t>
      </w:r>
      <w:r w:rsidR="002D3B5F" w:rsidRPr="00DA6E8E">
        <w:t xml:space="preserve"> </w:t>
      </w:r>
      <w:r w:rsidR="000A45F0">
        <w:t xml:space="preserve">at *14 </w:t>
      </w:r>
      <w:r w:rsidR="00EA1BF0" w:rsidRPr="00DA6E8E">
        <w:t>(</w:t>
      </w:r>
      <w:r w:rsidR="00F61248" w:rsidRPr="00DA6E8E">
        <w:t>Ma</w:t>
      </w:r>
      <w:r w:rsidR="00370BF4">
        <w:t>ss</w:t>
      </w:r>
      <w:r w:rsidR="00F61248" w:rsidRPr="00DA6E8E">
        <w:t>.</w:t>
      </w:r>
      <w:r w:rsidR="00EA1BF0" w:rsidRPr="00DA6E8E">
        <w:t xml:space="preserve"> Land </w:t>
      </w:r>
      <w:r w:rsidR="00F61248" w:rsidRPr="00DA6E8E">
        <w:t>Ct.</w:t>
      </w:r>
      <w:r w:rsidR="00EA1BF0" w:rsidRPr="00DA6E8E">
        <w:t xml:space="preserve"> May 7, 2020) </w:t>
      </w:r>
      <w:r w:rsidR="002E450A" w:rsidRPr="00DA6E8E">
        <w:t xml:space="preserve">(interpreting violations of the </w:t>
      </w:r>
      <w:r w:rsidR="00F61248" w:rsidRPr="00DA6E8E">
        <w:t>Massachusetts</w:t>
      </w:r>
      <w:r w:rsidR="002E450A">
        <w:t xml:space="preserve"> privacy statute as a violation of </w:t>
      </w:r>
      <w:r w:rsidR="00C02EA7">
        <w:t>property rights)</w:t>
      </w:r>
      <w:r w:rsidR="00B46F5A">
        <w:t xml:space="preserve">; </w:t>
      </w:r>
      <w:r w:rsidR="00B46F5A">
        <w:rPr>
          <w:i/>
          <w:iCs/>
        </w:rPr>
        <w:t xml:space="preserve">see also </w:t>
      </w:r>
      <w:r w:rsidR="00B46F5A">
        <w:rPr>
          <w:i/>
          <w:iCs/>
        </w:rPr>
        <w:fldChar w:fldCharType="begin"/>
      </w:r>
      <w:r w:rsidR="00E5116B">
        <w:rPr>
          <w:i/>
          <w:iCs/>
        </w:rPr>
        <w:instrText xml:space="preserve"> ADDIN ZOTERO_ITEM CSL_CITATION {"citationID":"hKtfKEvK","properties":{"formattedCitation":"{\\scaps Jennifer Rothman}, {\\scaps The Right of Publicity: Privacy Reimagined for a Public World} 48 (2018)","plainCitation":"Jennifer Rothman, The Right of Publicity: Privacy Reimagined for a Public World 48 (2018)","noteIndex":369},"citationItems":[{"id":3230,"uris":["http://zotero.org/groups/2816150/items/KV8YPPZN"],"uri":["http://zotero.org/groups/2816150/items/KV8YPPZN"],"itemData":{"id":3230,"type":"book","event-place":"Cambridge, UNITED STATES","ISBN":"978-0-674-98633-6","publisher-place":"Cambridge, UNITED STATES","source":"ProQuest Ebook Central","title":"The Right of Publicity: Privacy Reimagined for a Public World","title-short":"The Right of Publicity","URL":"http://ebookcentral.proquest.com/lib/wustl/detail.action?docID=5340264","author":[{"family":"Rothman","given":"Jennifer"}],"accessed":{"date-parts":[["2022",2,8]]},"issued":{"date-parts":[["2018"]]}},"locator":"48","label":"page"}],"schema":"https://github.com/citation-style-language/schema/raw/master/csl-citation.json"} </w:instrText>
      </w:r>
      <w:r w:rsidR="00B46F5A">
        <w:rPr>
          <w:i/>
          <w:iCs/>
        </w:rPr>
        <w:fldChar w:fldCharType="separate"/>
      </w:r>
      <w:r w:rsidR="00E5116B" w:rsidRPr="00E5116B">
        <w:rPr>
          <w:smallCaps/>
        </w:rPr>
        <w:t>Jennifer Rothman</w:t>
      </w:r>
      <w:r w:rsidR="00E5116B" w:rsidRPr="00E5116B">
        <w:t xml:space="preserve">, </w:t>
      </w:r>
      <w:r w:rsidR="00E5116B" w:rsidRPr="00E5116B">
        <w:rPr>
          <w:smallCaps/>
        </w:rPr>
        <w:t>The Right of Publicity: Privacy Reimagined for a Public World</w:t>
      </w:r>
      <w:r w:rsidR="00E5116B" w:rsidRPr="00E5116B">
        <w:t xml:space="preserve"> 48 (2018)</w:t>
      </w:r>
      <w:r w:rsidR="00B46F5A">
        <w:rPr>
          <w:i/>
          <w:iCs/>
        </w:rPr>
        <w:fldChar w:fldCharType="end"/>
      </w:r>
      <w:r w:rsidR="00DC7076">
        <w:rPr>
          <w:i/>
          <w:iCs/>
        </w:rPr>
        <w:t xml:space="preserve"> </w:t>
      </w:r>
      <w:r w:rsidR="00DC7076">
        <w:t xml:space="preserve">(explaining the property origins of </w:t>
      </w:r>
      <w:r w:rsidR="0094238B">
        <w:t>privacy and right of publicity claims).</w:t>
      </w:r>
    </w:p>
  </w:footnote>
  <w:footnote w:id="380">
    <w:p w14:paraId="4C1D4927" w14:textId="17137CE5" w:rsidR="000F208F" w:rsidRDefault="000F208F">
      <w:pPr>
        <w:pStyle w:val="FootnoteText"/>
      </w:pPr>
      <w:r w:rsidRPr="002A4234">
        <w:rPr>
          <w:rStyle w:val="FootnoteReference"/>
        </w:rPr>
        <w:footnoteRef/>
      </w:r>
      <w:r>
        <w:t xml:space="preserve"> </w:t>
      </w:r>
      <w:r w:rsidR="00AC1D7C">
        <w:fldChar w:fldCharType="begin"/>
      </w:r>
      <w:r w:rsidR="00E5116B">
        <w:instrText xml:space="preserve"> ADDIN ZOTERO_ITEM CSL_CITATION {"citationID":"SFVkSI8I","properties":{"formattedCitation":"{\\scaps Restatement (Second) of Torts}, {\\i{}supra} note 16, \\uc0\\u167{} 652A cmt. a","plainCitation":"Restatement (Second) of Torts, supra note 16, § 652A cmt. a","noteIndex":370},"citationItems":[{"id":3235,"uris":["http://zotero.org/groups/2816150/items/LZ9KP39U"],"uri":["http://zotero.org/groups/2816150/items/LZ9KP39U"],"itemData":{"id":3235,"type":"book","publisher":"Am. L. Inst.","title":"Restatement (Second) of Torts","issued":{"date-parts":[["1965"]]}},"locator":"652A cmt. a","label":"section"}],"schema":"https://github.com/citation-style-language/schema/raw/master/csl-citation.json"} </w:instrText>
      </w:r>
      <w:r w:rsidR="00AC1D7C">
        <w:fldChar w:fldCharType="separate"/>
      </w:r>
      <w:r w:rsidR="00E5116B" w:rsidRPr="00E5116B">
        <w:rPr>
          <w:smallCaps/>
        </w:rPr>
        <w:t>Restatement (Second) of Torts</w:t>
      </w:r>
      <w:r w:rsidR="00E5116B" w:rsidRPr="00E5116B">
        <w:t xml:space="preserve"> §</w:t>
      </w:r>
      <w:r w:rsidR="00232863">
        <w:t> </w:t>
      </w:r>
      <w:r w:rsidR="00E5116B" w:rsidRPr="00E5116B">
        <w:t>652A cmt. a</w:t>
      </w:r>
      <w:r w:rsidR="00AC1D7C">
        <w:fldChar w:fldCharType="end"/>
      </w:r>
      <w:r w:rsidR="001B2C4F">
        <w:t xml:space="preserve"> (</w:t>
      </w:r>
      <w:r w:rsidR="001B2C4F" w:rsidRPr="00017FB3">
        <w:rPr>
          <w:smallCaps/>
        </w:rPr>
        <w:t>Am. L. Inst.</w:t>
      </w:r>
      <w:r w:rsidR="001B2C4F">
        <w:t xml:space="preserve"> 1977)</w:t>
      </w:r>
      <w:r w:rsidR="00D47ADF">
        <w:t>.</w:t>
      </w:r>
    </w:p>
  </w:footnote>
  <w:footnote w:id="381">
    <w:p w14:paraId="43C05594" w14:textId="5EEF531C" w:rsidR="00C63C69" w:rsidRDefault="00C63C69">
      <w:pPr>
        <w:pStyle w:val="FootnoteText"/>
      </w:pPr>
      <w:r w:rsidRPr="002A4234">
        <w:rPr>
          <w:rStyle w:val="FootnoteReference"/>
        </w:rPr>
        <w:footnoteRef/>
      </w:r>
      <w:r>
        <w:t xml:space="preserve"> </w:t>
      </w:r>
      <w:r w:rsidR="00717D62">
        <w:fldChar w:fldCharType="begin"/>
      </w:r>
      <w:r w:rsidR="00E5116B">
        <w:instrText xml:space="preserve"> ADDIN ZOTERO_ITEM CSL_CITATION {"citationID":"UHiUlKgw","properties":{"formattedCitation":"Warren &amp; Brandeis, {\\i{}supra} note 212, at 193\\uc0\\u8211{}97","plainCitation":"Warren &amp; Brandeis, supra note 212, at 193–97","noteIndex":371},"citationItems":[{"id":3256,"uris":["http://zotero.org/groups/2816150/items/IBAJG2HF"],"uri":["http://zotero.org/groups/2816150/items/IBAJG2HF"],"itemData":{"id":3256,"type":"article-journal","container-title":"Harv. L. Rev.","page":"193","title":"The Right to Privacy","volume":"4","author":[{"family":"Warren","given":"Samuel D."},{"family":"Brandeis","given":"Louis D."}],"issued":{"date-parts":[["1890"]]}},"locator":"193-97","label":"page"}],"schema":"https://github.com/citation-style-language/schema/raw/master/csl-citation.json"} </w:instrText>
      </w:r>
      <w:r w:rsidR="00717D62">
        <w:fldChar w:fldCharType="separate"/>
      </w:r>
      <w:r w:rsidR="00E5116B" w:rsidRPr="00E5116B">
        <w:t xml:space="preserve">Warren &amp; Brandeis, </w:t>
      </w:r>
      <w:r w:rsidR="00E5116B" w:rsidRPr="00E5116B">
        <w:rPr>
          <w:i/>
          <w:iCs/>
        </w:rPr>
        <w:t>supra</w:t>
      </w:r>
      <w:r w:rsidR="00E5116B" w:rsidRPr="00E5116B">
        <w:t xml:space="preserve"> not</w:t>
      </w:r>
      <w:r w:rsidR="005C2C51">
        <w:t xml:space="preserve">e </w:t>
      </w:r>
      <w:r w:rsidR="005C2C51">
        <w:fldChar w:fldCharType="begin"/>
      </w:r>
      <w:r w:rsidR="005C2C51">
        <w:instrText xml:space="preserve"> NOTEREF _Ref114657602 \h </w:instrText>
      </w:r>
      <w:r w:rsidR="005C2C51">
        <w:fldChar w:fldCharType="separate"/>
      </w:r>
      <w:r w:rsidR="005C2C51">
        <w:t>214</w:t>
      </w:r>
      <w:r w:rsidR="005C2C51">
        <w:fldChar w:fldCharType="end"/>
      </w:r>
      <w:r w:rsidR="00E5116B" w:rsidRPr="00E5116B">
        <w:t>, at 193</w:t>
      </w:r>
      <w:r w:rsidR="00F61122">
        <w:t>-</w:t>
      </w:r>
      <w:r w:rsidR="00E5116B" w:rsidRPr="00E5116B">
        <w:t>97</w:t>
      </w:r>
      <w:r w:rsidR="00717D62">
        <w:fldChar w:fldCharType="end"/>
      </w:r>
      <w:r w:rsidR="00D47ADF">
        <w:t>.</w:t>
      </w:r>
    </w:p>
  </w:footnote>
  <w:footnote w:id="382">
    <w:p w14:paraId="4132AB97" w14:textId="291A1DEE" w:rsidR="000E09C5" w:rsidRDefault="000E09C5">
      <w:pPr>
        <w:pStyle w:val="FootnoteText"/>
      </w:pPr>
      <w:r w:rsidRPr="002A4234">
        <w:rPr>
          <w:rStyle w:val="FootnoteReference"/>
        </w:rPr>
        <w:footnoteRef/>
      </w:r>
      <w:r>
        <w:t xml:space="preserve"> </w:t>
      </w:r>
      <w:r w:rsidR="00AC1D7C">
        <w:fldChar w:fldCharType="begin"/>
      </w:r>
      <w:r w:rsidR="00E5116B">
        <w:instrText xml:space="preserve"> ADDIN ZOTERO_ITEM CSL_CITATION {"citationID":"VxbKFemK","properties":{"formattedCitation":"{\\scaps Restatement (Second) of Torts}, {\\i{}supra} note 16, \\uc0\\u167{} 652A cmt. b","plainCitation":"Restatement (Second) of Torts, supra note 16, § 652A cmt. b","noteIndex":372},"citationItems":[{"id":3235,"uris":["http://zotero.org/groups/2816150/items/LZ9KP39U"],"uri":["http://zotero.org/groups/2816150/items/LZ9KP39U"],"itemData":{"id":3235,"type":"book","publisher":"Am. L. Inst.","title":"Restatement (Second) of Torts","issued":{"date-parts":[["1965"]]}},"locator":"652A cmt. b","label":"section"}],"schema":"https://github.com/citation-style-language/schema/raw/master/csl-citation.json"} </w:instrText>
      </w:r>
      <w:r w:rsidR="00AC1D7C">
        <w:fldChar w:fldCharType="separate"/>
      </w:r>
      <w:r w:rsidR="00E5116B" w:rsidRPr="00E5116B">
        <w:rPr>
          <w:smallCaps/>
        </w:rPr>
        <w:t>Restatement (Second) of Torts</w:t>
      </w:r>
      <w:r w:rsidR="00B5149F">
        <w:t xml:space="preserve"> § 652A cmt. b (</w:t>
      </w:r>
      <w:r w:rsidR="00B5149F">
        <w:rPr>
          <w:smallCaps/>
        </w:rPr>
        <w:t>Am. L. Inst. 1977).</w:t>
      </w:r>
      <w:r w:rsidR="00E5116B" w:rsidRPr="00E5116B">
        <w:t xml:space="preserve"> </w:t>
      </w:r>
      <w:r w:rsidR="00AC1D7C">
        <w:fldChar w:fldCharType="end"/>
      </w:r>
    </w:p>
  </w:footnote>
  <w:footnote w:id="383">
    <w:p w14:paraId="2CD35673" w14:textId="69FB0C06" w:rsidR="00E95879" w:rsidRDefault="00E95879">
      <w:pPr>
        <w:pStyle w:val="FootnoteText"/>
      </w:pPr>
      <w:r w:rsidRPr="002A4234">
        <w:rPr>
          <w:rStyle w:val="FootnoteReference"/>
        </w:rPr>
        <w:footnoteRef/>
      </w:r>
      <w:r>
        <w:t xml:space="preserve"> </w:t>
      </w:r>
      <w:r w:rsidR="00636B04">
        <w:rPr>
          <w:i/>
          <w:iCs/>
        </w:rPr>
        <w:t>Id.</w:t>
      </w:r>
      <w:r w:rsidR="007C1E04" w:rsidRPr="00FB0837">
        <w:t xml:space="preserve"> §</w:t>
      </w:r>
      <w:r w:rsidR="003B6DC2">
        <w:t> </w:t>
      </w:r>
      <w:r w:rsidR="007C1E04" w:rsidRPr="00FB0837">
        <w:t>652</w:t>
      </w:r>
      <w:r w:rsidR="007C1E04">
        <w:t>B</w:t>
      </w:r>
      <w:r w:rsidR="00AC1D7C">
        <w:t>.</w:t>
      </w:r>
    </w:p>
  </w:footnote>
  <w:footnote w:id="384">
    <w:p w14:paraId="6FCEB205" w14:textId="5F0936D7" w:rsidR="006C4F41" w:rsidRDefault="006C4F41">
      <w:pPr>
        <w:pStyle w:val="FootnoteText"/>
      </w:pPr>
      <w:r w:rsidRPr="002A4234">
        <w:rPr>
          <w:rStyle w:val="FootnoteReference"/>
        </w:rPr>
        <w:footnoteRef/>
      </w:r>
      <w:r>
        <w:t xml:space="preserve"> </w:t>
      </w:r>
      <w:r w:rsidR="00636B04">
        <w:rPr>
          <w:i/>
          <w:iCs/>
        </w:rPr>
        <w:t>Id.</w:t>
      </w:r>
      <w:r>
        <w:rPr>
          <w:i/>
        </w:rPr>
        <w:t xml:space="preserve"> </w:t>
      </w:r>
      <w:r w:rsidRPr="00FB0837">
        <w:t>§</w:t>
      </w:r>
      <w:r w:rsidR="003B6DC2">
        <w:t> </w:t>
      </w:r>
      <w:r w:rsidRPr="00FB0837">
        <w:t>652</w:t>
      </w:r>
      <w:r>
        <w:t>C</w:t>
      </w:r>
      <w:r w:rsidR="00AC1D7C">
        <w:t>.</w:t>
      </w:r>
    </w:p>
  </w:footnote>
  <w:footnote w:id="385">
    <w:p w14:paraId="7847BDAB" w14:textId="7F89CF30" w:rsidR="006C4F41" w:rsidRDefault="006C4F41">
      <w:pPr>
        <w:pStyle w:val="FootnoteText"/>
      </w:pPr>
      <w:r w:rsidRPr="002A4234">
        <w:rPr>
          <w:rStyle w:val="FootnoteReference"/>
        </w:rPr>
        <w:footnoteRef/>
      </w:r>
      <w:r>
        <w:t xml:space="preserve"> </w:t>
      </w:r>
      <w:r w:rsidR="00636B04">
        <w:rPr>
          <w:i/>
          <w:iCs/>
        </w:rPr>
        <w:t>Id.</w:t>
      </w:r>
      <w:r>
        <w:rPr>
          <w:i/>
        </w:rPr>
        <w:t xml:space="preserve"> </w:t>
      </w:r>
      <w:r w:rsidRPr="00FB0837">
        <w:t>§</w:t>
      </w:r>
      <w:r w:rsidR="003B6DC2">
        <w:t> </w:t>
      </w:r>
      <w:r w:rsidRPr="00FB0837">
        <w:t>652</w:t>
      </w:r>
      <w:r>
        <w:t>D</w:t>
      </w:r>
      <w:r w:rsidR="00AC1D7C">
        <w:t>.</w:t>
      </w:r>
    </w:p>
  </w:footnote>
  <w:footnote w:id="386">
    <w:p w14:paraId="46D84C1E" w14:textId="63525411" w:rsidR="0006061D" w:rsidRDefault="0006061D">
      <w:pPr>
        <w:pStyle w:val="FootnoteText"/>
      </w:pPr>
      <w:r w:rsidRPr="002A4234">
        <w:rPr>
          <w:rStyle w:val="FootnoteReference"/>
        </w:rPr>
        <w:footnoteRef/>
      </w:r>
      <w:r>
        <w:t xml:space="preserve"> </w:t>
      </w:r>
      <w:r w:rsidR="00636B04">
        <w:rPr>
          <w:i/>
          <w:iCs/>
        </w:rPr>
        <w:t>Id.</w:t>
      </w:r>
      <w:r>
        <w:rPr>
          <w:i/>
        </w:rPr>
        <w:t xml:space="preserve"> </w:t>
      </w:r>
      <w:r w:rsidRPr="00FB0837">
        <w:t>§</w:t>
      </w:r>
      <w:r w:rsidR="003B6DC2">
        <w:t> </w:t>
      </w:r>
      <w:r w:rsidRPr="00FB0837">
        <w:t>652</w:t>
      </w:r>
      <w:r>
        <w:t>E</w:t>
      </w:r>
      <w:r w:rsidR="00AC1D7C">
        <w:t>.</w:t>
      </w:r>
    </w:p>
  </w:footnote>
  <w:footnote w:id="387">
    <w:p w14:paraId="335CD120" w14:textId="2AC4725B" w:rsidR="00A76D24" w:rsidRDefault="00A76D24">
      <w:pPr>
        <w:pStyle w:val="FootnoteText"/>
      </w:pPr>
      <w:r w:rsidRPr="002A4234">
        <w:rPr>
          <w:rStyle w:val="FootnoteReference"/>
        </w:rPr>
        <w:footnoteRef/>
      </w:r>
      <w:r>
        <w:t xml:space="preserve"> </w:t>
      </w:r>
      <w:r w:rsidR="00636B04">
        <w:rPr>
          <w:i/>
          <w:iCs/>
        </w:rPr>
        <w:t>Id.</w:t>
      </w:r>
      <w:r w:rsidRPr="00FB0837">
        <w:t xml:space="preserve"> §</w:t>
      </w:r>
      <w:r w:rsidR="003B6DC2">
        <w:t> </w:t>
      </w:r>
      <w:r w:rsidRPr="00FB0837">
        <w:t>652A</w:t>
      </w:r>
      <w:r w:rsidR="00D12D2C">
        <w:t xml:space="preserve"> cmt. d</w:t>
      </w:r>
      <w:r w:rsidR="004E0AD3">
        <w:t>.</w:t>
      </w:r>
    </w:p>
  </w:footnote>
  <w:footnote w:id="388">
    <w:p w14:paraId="1DEA0CA9" w14:textId="4D63DD62" w:rsidR="003F4E6E" w:rsidRDefault="003F4E6E">
      <w:pPr>
        <w:pStyle w:val="FootnoteText"/>
      </w:pPr>
      <w:r w:rsidRPr="002A4234">
        <w:rPr>
          <w:rStyle w:val="FootnoteReference"/>
        </w:rPr>
        <w:footnoteRef/>
      </w:r>
      <w:r>
        <w:t xml:space="preserve"> </w:t>
      </w:r>
      <w:r w:rsidR="00636B04">
        <w:rPr>
          <w:i/>
          <w:iCs/>
        </w:rPr>
        <w:t>Id.</w:t>
      </w:r>
      <w:r w:rsidR="005054B2" w:rsidRPr="00FB0837">
        <w:t xml:space="preserve"> §</w:t>
      </w:r>
      <w:r w:rsidR="002672A0">
        <w:t> </w:t>
      </w:r>
      <w:r w:rsidR="005054B2" w:rsidRPr="00FB0837">
        <w:t>652</w:t>
      </w:r>
      <w:r w:rsidR="005054B2">
        <w:t>B</w:t>
      </w:r>
      <w:r w:rsidR="00AC1D7C">
        <w:t>.</w:t>
      </w:r>
    </w:p>
  </w:footnote>
  <w:footnote w:id="389">
    <w:p w14:paraId="47A6F5FF" w14:textId="5A3AA457" w:rsidR="00867E13" w:rsidRPr="00867E13" w:rsidRDefault="00867E13">
      <w:pPr>
        <w:pStyle w:val="FootnoteText"/>
      </w:pPr>
      <w:r w:rsidRPr="002A4234">
        <w:rPr>
          <w:rStyle w:val="FootnoteReference"/>
        </w:rPr>
        <w:footnoteRef/>
      </w:r>
      <w:r>
        <w:t xml:space="preserve"> </w:t>
      </w:r>
      <w:r>
        <w:rPr>
          <w:i/>
          <w:iCs/>
        </w:rPr>
        <w:t>Id</w:t>
      </w:r>
      <w:r>
        <w:t xml:space="preserve">. at cmt. </w:t>
      </w:r>
      <w:r w:rsidR="00CE3C87">
        <w:t>b</w:t>
      </w:r>
      <w:r w:rsidR="009A0517">
        <w:t>.</w:t>
      </w:r>
    </w:p>
  </w:footnote>
  <w:footnote w:id="390">
    <w:p w14:paraId="32A6D18D" w14:textId="5C5D6AE3" w:rsidR="005C6B2F" w:rsidRPr="00E244AF" w:rsidRDefault="005C6B2F">
      <w:pPr>
        <w:pStyle w:val="FootnoteText"/>
      </w:pPr>
      <w:r w:rsidRPr="002A4234">
        <w:rPr>
          <w:rStyle w:val="FootnoteReference"/>
        </w:rPr>
        <w:footnoteRef/>
      </w:r>
      <w:r>
        <w:t xml:space="preserve"> </w:t>
      </w:r>
      <w:r w:rsidR="001645A3">
        <w:rPr>
          <w:i/>
          <w:iCs/>
        </w:rPr>
        <w:t>See i</w:t>
      </w:r>
      <w:r w:rsidR="00E244AF">
        <w:rPr>
          <w:i/>
          <w:iCs/>
        </w:rPr>
        <w:t>d</w:t>
      </w:r>
      <w:r w:rsidR="00E244AF" w:rsidRPr="00017FB3">
        <w:rPr>
          <w:i/>
          <w:iCs/>
        </w:rPr>
        <w:t>.</w:t>
      </w:r>
      <w:r w:rsidR="00E724B9">
        <w:t xml:space="preserve">; </w:t>
      </w:r>
      <w:r w:rsidR="00266849">
        <w:rPr>
          <w:i/>
          <w:iCs/>
        </w:rPr>
        <w:t xml:space="preserve">see also </w:t>
      </w:r>
      <w:r w:rsidR="00B12E27" w:rsidRPr="00B12E27">
        <w:t>Hamberger v. Eastman, 106 N.H. 107, 112</w:t>
      </w:r>
      <w:r w:rsidR="00B12E27">
        <w:t xml:space="preserve"> </w:t>
      </w:r>
      <w:r w:rsidR="00B12E27" w:rsidRPr="00B12E27">
        <w:t>(1964)</w:t>
      </w:r>
      <w:r w:rsidR="00B12E27">
        <w:t xml:space="preserve"> (</w:t>
      </w:r>
      <w:r w:rsidR="001645A3">
        <w:t>permitt</w:t>
      </w:r>
      <w:r w:rsidR="00C06A94">
        <w:t>ing</w:t>
      </w:r>
      <w:r w:rsidR="00B12E27">
        <w:t xml:space="preserve"> a suit for invasion of privacy where t</w:t>
      </w:r>
      <w:r w:rsidR="00326925">
        <w:t xml:space="preserve">here was no allegation that the information learned from bugging the </w:t>
      </w:r>
      <w:r w:rsidR="00316076">
        <w:t>plaintiff’s bedroom was published).</w:t>
      </w:r>
    </w:p>
  </w:footnote>
  <w:footnote w:id="391">
    <w:p w14:paraId="5F2C9FED" w14:textId="14622118" w:rsidR="00283538" w:rsidRPr="00475A7F" w:rsidRDefault="00283538" w:rsidP="00283538">
      <w:pPr>
        <w:pStyle w:val="FootnoteText"/>
      </w:pPr>
      <w:r w:rsidRPr="002A4234">
        <w:rPr>
          <w:rStyle w:val="FootnoteReference"/>
        </w:rPr>
        <w:footnoteRef/>
      </w:r>
      <w:r>
        <w:t xml:space="preserve"> </w:t>
      </w:r>
      <w:r w:rsidR="001346CD" w:rsidRPr="001346CD">
        <w:t xml:space="preserve">McDaniel v. Atlanta Coca-Cola Bottling Co., </w:t>
      </w:r>
      <w:r w:rsidR="00E27DF0">
        <w:t>2 S.E.2d 810, 816</w:t>
      </w:r>
      <w:r w:rsidR="004B2438">
        <w:t xml:space="preserve"> (1939)</w:t>
      </w:r>
      <w:r w:rsidR="007115C4">
        <w:t xml:space="preserve"> (quoting </w:t>
      </w:r>
      <w:r w:rsidR="007115C4" w:rsidRPr="007115C4">
        <w:t>Pavesich v. New England Life Ins. Co., 50 S.E. 68 (1905)</w:t>
      </w:r>
      <w:r w:rsidR="007115C4">
        <w:t>).</w:t>
      </w:r>
    </w:p>
  </w:footnote>
  <w:footnote w:id="392">
    <w:p w14:paraId="09605683" w14:textId="40AF1099" w:rsidR="0098541A" w:rsidRPr="0098541A" w:rsidRDefault="0098541A">
      <w:pPr>
        <w:pStyle w:val="FootnoteText"/>
      </w:pPr>
      <w:r>
        <w:rPr>
          <w:rStyle w:val="FootnoteReference"/>
        </w:rPr>
        <w:footnoteRef/>
      </w:r>
      <w:r>
        <w:t xml:space="preserve"> </w:t>
      </w:r>
      <w:r>
        <w:rPr>
          <w:i/>
          <w:iCs/>
        </w:rPr>
        <w:t>See Katz</w:t>
      </w:r>
      <w:r>
        <w:t>, 389 U.S. at 353.</w:t>
      </w:r>
    </w:p>
  </w:footnote>
  <w:footnote w:id="393">
    <w:p w14:paraId="583E0D4E" w14:textId="6E910ABF" w:rsidR="00235317" w:rsidRPr="00235317" w:rsidRDefault="00235317">
      <w:pPr>
        <w:pStyle w:val="FootnoteText"/>
      </w:pPr>
      <w:r w:rsidRPr="002A4234">
        <w:rPr>
          <w:rStyle w:val="FootnoteReference"/>
        </w:rPr>
        <w:footnoteRef/>
      </w:r>
      <w:r>
        <w:t xml:space="preserve"> </w:t>
      </w:r>
      <w:r>
        <w:rPr>
          <w:i/>
          <w:iCs/>
        </w:rPr>
        <w:t xml:space="preserve">See generally </w:t>
      </w:r>
      <w:r w:rsidR="00F91B31">
        <w:t>Lawrence</w:t>
      </w:r>
      <w:r>
        <w:t xml:space="preserve"> Lessig, </w:t>
      </w:r>
      <w:r>
        <w:rPr>
          <w:i/>
          <w:iCs/>
        </w:rPr>
        <w:t>Fidelity in Translation</w:t>
      </w:r>
      <w:r>
        <w:t xml:space="preserve">, </w:t>
      </w:r>
      <w:r w:rsidR="00EA0794" w:rsidRPr="00EA0794">
        <w:t>71 T</w:t>
      </w:r>
      <w:r w:rsidR="00EA0794" w:rsidRPr="00EA0794">
        <w:rPr>
          <w:smallCaps/>
        </w:rPr>
        <w:t xml:space="preserve">ex. L. Rev. </w:t>
      </w:r>
      <w:r w:rsidR="00EA0794" w:rsidRPr="00EA0794">
        <w:t>1165 (1993)</w:t>
      </w:r>
      <w:r w:rsidR="00B070D5">
        <w:t xml:space="preserve"> (arguing that interpretive fidelity requires tracking changes in text, as well as “changes in the background context, justifying changed readings as necessary translations to preserve constitutional meaning in different interpretive contexts”)</w:t>
      </w:r>
      <w:r w:rsidR="002672A0">
        <w:t>.</w:t>
      </w:r>
    </w:p>
  </w:footnote>
  <w:footnote w:id="394">
    <w:p w14:paraId="50B02C5D" w14:textId="08D1BAEF" w:rsidR="003429CE" w:rsidRDefault="003429CE">
      <w:pPr>
        <w:pStyle w:val="FootnoteText"/>
      </w:pPr>
      <w:r w:rsidRPr="002A4234">
        <w:rPr>
          <w:rStyle w:val="FootnoteReference"/>
        </w:rPr>
        <w:footnoteRef/>
      </w:r>
      <w:r>
        <w:t xml:space="preserve"> </w:t>
      </w:r>
      <w:r w:rsidRPr="00045060">
        <w:t>Roach v. Harper, 143 W. Va. 869, 87</w:t>
      </w:r>
      <w:r w:rsidR="00EF4608">
        <w:t>7</w:t>
      </w:r>
      <w:r>
        <w:t xml:space="preserve"> </w:t>
      </w:r>
      <w:r w:rsidRPr="00045060">
        <w:t>(1958)</w:t>
      </w:r>
      <w:r>
        <w:t xml:space="preserve"> (holding that landlords </w:t>
      </w:r>
      <w:r w:rsidR="00805A4D">
        <w:t xml:space="preserve">violate </w:t>
      </w:r>
      <w:r>
        <w:t>their tenants</w:t>
      </w:r>
      <w:r w:rsidR="009D5FFC">
        <w:t>’ privacy</w:t>
      </w:r>
      <w:r>
        <w:t xml:space="preserve"> when they bug their apartments)</w:t>
      </w:r>
      <w:r w:rsidR="00D74C13">
        <w:t>.</w:t>
      </w:r>
    </w:p>
  </w:footnote>
  <w:footnote w:id="395">
    <w:p w14:paraId="5390620B" w14:textId="5D95F3A0" w:rsidR="003407E0" w:rsidRDefault="003407E0">
      <w:pPr>
        <w:pStyle w:val="FootnoteText"/>
      </w:pPr>
      <w:r w:rsidRPr="002A4234">
        <w:rPr>
          <w:rStyle w:val="FootnoteReference"/>
        </w:rPr>
        <w:footnoteRef/>
      </w:r>
      <w:r>
        <w:t xml:space="preserve"> </w:t>
      </w:r>
      <w:r w:rsidR="00B74DA1">
        <w:t xml:space="preserve">Under this analysis, </w:t>
      </w:r>
      <w:r w:rsidRPr="00B31ED8">
        <w:rPr>
          <w:i/>
        </w:rPr>
        <w:t>Kyllo</w:t>
      </w:r>
      <w:r w:rsidR="00E3341F" w:rsidRPr="00B31ED8">
        <w:rPr>
          <w:i/>
        </w:rPr>
        <w:t xml:space="preserve"> v. United States</w:t>
      </w:r>
      <w:r w:rsidR="00B31ED8">
        <w:t>,</w:t>
      </w:r>
      <w:r w:rsidR="00E3341F">
        <w:t xml:space="preserve"> </w:t>
      </w:r>
      <w:r w:rsidR="00120E0E">
        <w:t>which emphasized the fact that thermal-imaging devices were not in general public use,</w:t>
      </w:r>
      <w:r w:rsidR="00B74DA1">
        <w:t xml:space="preserve"> w</w:t>
      </w:r>
      <w:r w:rsidR="00D15109">
        <w:t xml:space="preserve">ould </w:t>
      </w:r>
      <w:r w:rsidR="00DB37FD">
        <w:t xml:space="preserve">remain </w:t>
      </w:r>
      <w:r w:rsidR="00B31ED8">
        <w:t>good law</w:t>
      </w:r>
      <w:r w:rsidR="00D15109">
        <w:t>.</w:t>
      </w:r>
      <w:r w:rsidR="00A11AB9">
        <w:t xml:space="preserve"> </w:t>
      </w:r>
      <w:r w:rsidR="00120E0E">
        <w:t>533 U.S. 27, 34, 40 (2001).</w:t>
      </w:r>
      <w:r w:rsidR="00A11AB9">
        <w:t xml:space="preserve"> </w:t>
      </w:r>
      <w:r w:rsidR="0039024E">
        <w:t>However, u</w:t>
      </w:r>
      <w:r w:rsidR="008065EA">
        <w:t>nder a general</w:t>
      </w:r>
      <w:r w:rsidR="00931BA0">
        <w:t>-</w:t>
      </w:r>
      <w:r w:rsidR="008065EA">
        <w:t xml:space="preserve">law framework, a </w:t>
      </w:r>
      <w:r w:rsidR="00931BA0">
        <w:t>court</w:t>
      </w:r>
      <w:r w:rsidR="008065EA">
        <w:t xml:space="preserve"> would </w:t>
      </w:r>
      <w:r w:rsidR="0039024E">
        <w:t>perhaps broaden the holding by</w:t>
      </w:r>
      <w:r w:rsidR="008065EA">
        <w:t xml:space="preserve"> </w:t>
      </w:r>
      <w:r w:rsidR="00931BA0">
        <w:t>focus</w:t>
      </w:r>
      <w:r w:rsidR="0039024E">
        <w:t>ing</w:t>
      </w:r>
      <w:r w:rsidR="00931BA0">
        <w:t xml:space="preserve"> more on</w:t>
      </w:r>
      <w:r w:rsidR="006D121C">
        <w:t xml:space="preserve"> the intrusion itself</w:t>
      </w:r>
      <w:r w:rsidR="00931BA0">
        <w:t xml:space="preserve">, though general public use could be relevant to social customs. </w:t>
      </w:r>
    </w:p>
  </w:footnote>
  <w:footnote w:id="396">
    <w:p w14:paraId="085538A1" w14:textId="3D52AA8C" w:rsidR="003233D1" w:rsidRPr="003233D1" w:rsidRDefault="003233D1">
      <w:pPr>
        <w:pStyle w:val="FootnoteText"/>
        <w:rPr>
          <w:i/>
          <w:iCs/>
        </w:rPr>
      </w:pPr>
      <w:r w:rsidRPr="002A4234">
        <w:rPr>
          <w:rStyle w:val="FootnoteReference"/>
        </w:rPr>
        <w:footnoteRef/>
      </w:r>
    </w:p>
  </w:footnote>
  <w:footnote w:id="397">
    <w:p w14:paraId="38CF23F5" w14:textId="7F19A548" w:rsidR="008C00E9" w:rsidRDefault="008C00E9">
      <w:pPr>
        <w:pStyle w:val="FootnoteText"/>
      </w:pPr>
      <w:r w:rsidRPr="002A4234">
        <w:rPr>
          <w:rStyle w:val="FootnoteReference"/>
        </w:rPr>
        <w:footnoteRef/>
      </w:r>
      <w:r>
        <w:t xml:space="preserve"> </w:t>
      </w:r>
      <w:r w:rsidR="00F45C19">
        <w:rPr>
          <w:i/>
          <w:iCs/>
        </w:rPr>
        <w:t>See, e.g.</w:t>
      </w:r>
      <w:r w:rsidR="00F45C19">
        <w:t xml:space="preserve">, </w:t>
      </w:r>
      <w:r w:rsidR="003929CC">
        <w:t>Souder v</w:t>
      </w:r>
      <w:r w:rsidR="00AC1D7C">
        <w:t>.</w:t>
      </w:r>
      <w:r w:rsidR="003929CC">
        <w:t xml:space="preserve"> Pendleton Detectives, </w:t>
      </w:r>
      <w:bookmarkStart w:id="90" w:name="_Hlk117518555"/>
      <w:r w:rsidR="00DE3EE5" w:rsidRPr="00DE3EE5">
        <w:t>88 So.2d 716</w:t>
      </w:r>
      <w:bookmarkEnd w:id="90"/>
      <w:r w:rsidR="00DE3EE5">
        <w:t>, 717</w:t>
      </w:r>
      <w:r w:rsidR="002E3997">
        <w:t>-</w:t>
      </w:r>
      <w:r w:rsidR="00DE3EE5">
        <w:t>18 (</w:t>
      </w:r>
      <w:r w:rsidR="00494D5C">
        <w:t>La. Ct. App. 195</w:t>
      </w:r>
      <w:r w:rsidR="002E3997">
        <w:t>6</w:t>
      </w:r>
      <w:r w:rsidR="00494D5C">
        <w:t>)</w:t>
      </w:r>
      <w:r w:rsidR="001B4D59">
        <w:t xml:space="preserve">; </w:t>
      </w:r>
      <w:r w:rsidR="00464488">
        <w:rPr>
          <w:i/>
          <w:iCs/>
        </w:rPr>
        <w:t>s</w:t>
      </w:r>
      <w:r w:rsidR="00464488" w:rsidRPr="00F15925">
        <w:rPr>
          <w:i/>
          <w:iCs/>
        </w:rPr>
        <w:t xml:space="preserve">ee </w:t>
      </w:r>
      <w:r w:rsidR="001B4D59" w:rsidRPr="00F15925">
        <w:rPr>
          <w:i/>
          <w:iCs/>
        </w:rPr>
        <w:t>also</w:t>
      </w:r>
      <w:r w:rsidR="001B4D59" w:rsidRPr="001B4D59">
        <w:t xml:space="preserve"> Florida v. Jardines, 569 U.S. 1, 12 (2013) (Kagan, J., concurring)</w:t>
      </w:r>
      <w:r w:rsidR="001B4D59">
        <w:t>.</w:t>
      </w:r>
    </w:p>
  </w:footnote>
  <w:footnote w:id="398">
    <w:p w14:paraId="6E020B82" w14:textId="2BCA404F" w:rsidR="00A8124E" w:rsidRDefault="00A8124E">
      <w:pPr>
        <w:pStyle w:val="FootnoteText"/>
      </w:pPr>
      <w:r w:rsidRPr="002A4234">
        <w:rPr>
          <w:rStyle w:val="FootnoteReference"/>
        </w:rPr>
        <w:footnoteRef/>
      </w:r>
      <w:r w:rsidR="00D30D68" w:rsidRPr="00D30D68">
        <w:t xml:space="preserve"> </w:t>
      </w:r>
      <w:r w:rsidR="000E6937" w:rsidRPr="000E6937">
        <w:t>No. 18MISC000323KCL, 2020 WL 2257312 (Mass. Land Ct. May 7, 2020)</w:t>
      </w:r>
      <w:r w:rsidR="000E6937">
        <w:t>.</w:t>
      </w:r>
    </w:p>
  </w:footnote>
  <w:footnote w:id="399">
    <w:p w14:paraId="4B3584AF" w14:textId="0ED728DB" w:rsidR="00A71280" w:rsidRPr="00370E2F" w:rsidRDefault="00A71280">
      <w:pPr>
        <w:pStyle w:val="FootnoteText"/>
      </w:pPr>
      <w:r w:rsidRPr="002A4234">
        <w:rPr>
          <w:rStyle w:val="FootnoteReference"/>
        </w:rPr>
        <w:footnoteRef/>
      </w:r>
      <w:r w:rsidR="00370E2F">
        <w:t xml:space="preserve"> </w:t>
      </w:r>
      <w:r w:rsidR="00370E2F">
        <w:rPr>
          <w:i/>
          <w:iCs/>
        </w:rPr>
        <w:t>Id.</w:t>
      </w:r>
      <w:r w:rsidR="00370E2F">
        <w:t xml:space="preserve"> </w:t>
      </w:r>
      <w:r w:rsidR="004067E0">
        <w:t>at *14.</w:t>
      </w:r>
    </w:p>
  </w:footnote>
  <w:footnote w:id="400">
    <w:p w14:paraId="1380D09F" w14:textId="0A98B16A" w:rsidR="007365A5" w:rsidRPr="00A8124E" w:rsidRDefault="007365A5">
      <w:pPr>
        <w:pStyle w:val="FootnoteText"/>
      </w:pPr>
      <w:r w:rsidRPr="002A4234">
        <w:rPr>
          <w:rStyle w:val="FootnoteReference"/>
        </w:rPr>
        <w:footnoteRef/>
      </w:r>
      <w:r>
        <w:t xml:space="preserve"> </w:t>
      </w:r>
      <w:r w:rsidR="00A22730">
        <w:rPr>
          <w:i/>
          <w:iCs/>
        </w:rPr>
        <w:t>I</w:t>
      </w:r>
      <w:r w:rsidR="00A8124E">
        <w:rPr>
          <w:i/>
          <w:iCs/>
        </w:rPr>
        <w:t>d</w:t>
      </w:r>
      <w:r w:rsidR="00A8124E">
        <w:t>.</w:t>
      </w:r>
      <w:r w:rsidR="00A22730">
        <w:t xml:space="preserve"> </w:t>
      </w:r>
    </w:p>
  </w:footnote>
  <w:footnote w:id="401">
    <w:p w14:paraId="32636230" w14:textId="22E10DE8" w:rsidR="007E620F" w:rsidRPr="0073230C" w:rsidRDefault="007E620F">
      <w:pPr>
        <w:pStyle w:val="FootnoteText"/>
      </w:pPr>
      <w:r w:rsidRPr="002A4234">
        <w:rPr>
          <w:rStyle w:val="FootnoteReference"/>
        </w:rPr>
        <w:footnoteRef/>
      </w:r>
      <w:r>
        <w:t xml:space="preserve"> </w:t>
      </w:r>
      <w:r>
        <w:rPr>
          <w:i/>
          <w:iCs/>
        </w:rPr>
        <w:t>Id</w:t>
      </w:r>
      <w:r>
        <w:t xml:space="preserve">. </w:t>
      </w:r>
      <w:r w:rsidR="00594B83">
        <w:t>at *15.</w:t>
      </w:r>
      <w:r>
        <w:t xml:space="preserve"> </w:t>
      </w:r>
      <w:r w:rsidR="00695688">
        <w:t>The court reasoned that it had the authority to</w:t>
      </w:r>
      <w:r w:rsidR="00CF2FA1">
        <w:t xml:space="preserve"> look to the common law and statutory law broadly to</w:t>
      </w:r>
      <w:r w:rsidR="00695688">
        <w:t xml:space="preserve"> fill in the details of the otherwise very broad </w:t>
      </w:r>
      <w:r w:rsidR="00695688" w:rsidRPr="00695688">
        <w:t>Massachusetts privacy statute</w:t>
      </w:r>
      <w:r w:rsidR="0073230C">
        <w:t xml:space="preserve"> “</w:t>
      </w:r>
      <w:r w:rsidR="0073230C" w:rsidRPr="0073230C">
        <w:t xml:space="preserve">on a case-by-case basis, by balancing relevant </w:t>
      </w:r>
      <w:r w:rsidR="00701A37" w:rsidRPr="0073230C">
        <w:t>factors</w:t>
      </w:r>
      <w:r w:rsidR="00701A37">
        <w:t> </w:t>
      </w:r>
      <w:r w:rsidR="00701A37" w:rsidRPr="0073230C">
        <w:t>.</w:t>
      </w:r>
      <w:r w:rsidR="00701A37">
        <w:t> </w:t>
      </w:r>
      <w:r w:rsidR="00701A37" w:rsidRPr="0073230C">
        <w:t>.</w:t>
      </w:r>
      <w:r w:rsidR="00701A37">
        <w:t> </w:t>
      </w:r>
      <w:r w:rsidR="00701A37" w:rsidRPr="0073230C">
        <w:t>.</w:t>
      </w:r>
      <w:r w:rsidR="00701A37">
        <w:t> </w:t>
      </w:r>
      <w:r w:rsidR="0073230C" w:rsidRPr="0073230C">
        <w:t>and by considering prevailing societal values.</w:t>
      </w:r>
      <w:r w:rsidR="0073230C">
        <w:t xml:space="preserve">” </w:t>
      </w:r>
      <w:r w:rsidR="0073230C">
        <w:rPr>
          <w:i/>
          <w:iCs/>
        </w:rPr>
        <w:t>Id</w:t>
      </w:r>
      <w:r w:rsidR="0073230C">
        <w:t xml:space="preserve">. (quoting </w:t>
      </w:r>
      <w:r w:rsidR="00CF2FA1" w:rsidRPr="00CF2FA1">
        <w:t>Schlesinger v. Merrill Lynch, Pierce, Fenner &amp; Smith, Inc., 409 Mass. 514, 517, 519 (1991)</w:t>
      </w:r>
      <w:r w:rsidR="00CF2FA1">
        <w:t>).</w:t>
      </w:r>
    </w:p>
  </w:footnote>
  <w:footnote w:id="402">
    <w:p w14:paraId="11D3491B" w14:textId="1FBBF327" w:rsidR="00FE44BC" w:rsidRDefault="00FE44BC">
      <w:pPr>
        <w:pStyle w:val="FootnoteText"/>
      </w:pPr>
      <w:r w:rsidRPr="002A4234">
        <w:rPr>
          <w:rStyle w:val="FootnoteReference"/>
        </w:rPr>
        <w:footnoteRef/>
      </w:r>
      <w:r>
        <w:t xml:space="preserve"> </w:t>
      </w:r>
      <w:r w:rsidR="00D60AD7" w:rsidRPr="00D60AD7">
        <w:t>10 N.E.3d 1122 (2014)</w:t>
      </w:r>
      <w:r w:rsidR="00D60AD7">
        <w:t>.</w:t>
      </w:r>
    </w:p>
  </w:footnote>
  <w:footnote w:id="403">
    <w:p w14:paraId="7E0650DE" w14:textId="086BDFE9" w:rsidR="00E94C3D" w:rsidRPr="001603EC" w:rsidRDefault="00E94C3D">
      <w:pPr>
        <w:pStyle w:val="FootnoteText"/>
      </w:pPr>
      <w:r w:rsidRPr="002A4234">
        <w:rPr>
          <w:rStyle w:val="FootnoteReference"/>
        </w:rPr>
        <w:footnoteRef/>
      </w:r>
      <w:r>
        <w:t xml:space="preserve"> </w:t>
      </w:r>
      <w:r w:rsidR="001603EC">
        <w:rPr>
          <w:i/>
          <w:iCs/>
        </w:rPr>
        <w:t xml:space="preserve">Id. </w:t>
      </w:r>
      <w:r w:rsidR="001603EC">
        <w:t xml:space="preserve">at </w:t>
      </w:r>
      <w:r w:rsidR="00D60AD7">
        <w:t>1127</w:t>
      </w:r>
      <w:r w:rsidR="001603EC">
        <w:t>.</w:t>
      </w:r>
    </w:p>
  </w:footnote>
  <w:footnote w:id="404">
    <w:p w14:paraId="41357CC8" w14:textId="20F75FAE" w:rsidR="00164B59" w:rsidRDefault="00164B59">
      <w:pPr>
        <w:pStyle w:val="FootnoteText"/>
      </w:pPr>
      <w:r w:rsidRPr="002A4234">
        <w:rPr>
          <w:rStyle w:val="FootnoteReference"/>
        </w:rPr>
        <w:footnoteRef/>
      </w:r>
      <w:r w:rsidR="00685AE6">
        <w:t xml:space="preserve"> </w:t>
      </w:r>
      <w:r w:rsidR="009F029D" w:rsidRPr="003C1A40">
        <w:rPr>
          <w:i/>
          <w:iCs/>
        </w:rPr>
        <w:t>Compare</w:t>
      </w:r>
      <w:r w:rsidR="009F029D">
        <w:t xml:space="preserve"> </w:t>
      </w:r>
      <w:r w:rsidR="00BC0CC7">
        <w:t xml:space="preserve">United States v. Tuggle, </w:t>
      </w:r>
      <w:r w:rsidR="00BC0CC7" w:rsidRPr="00BC0CC7">
        <w:t>4 F.4th 505</w:t>
      </w:r>
      <w:r w:rsidR="00FD79D2">
        <w:t>, 513</w:t>
      </w:r>
      <w:r w:rsidR="00BC0CC7" w:rsidRPr="00BC0CC7">
        <w:t xml:space="preserve"> (7th Cir. 2021)</w:t>
      </w:r>
      <w:r w:rsidR="009F029D">
        <w:t xml:space="preserve"> (</w:t>
      </w:r>
      <w:r w:rsidR="00FD79D2">
        <w:t xml:space="preserve">holding that </w:t>
      </w:r>
      <w:r w:rsidR="009F029D">
        <w:t xml:space="preserve">pole cameras </w:t>
      </w:r>
      <w:r w:rsidR="00FD79D2">
        <w:t>do not constitute a</w:t>
      </w:r>
      <w:r w:rsidR="009F029D">
        <w:t xml:space="preserve"> </w:t>
      </w:r>
      <w:r w:rsidR="00FD79D2">
        <w:t>“</w:t>
      </w:r>
      <w:r w:rsidR="009F029D">
        <w:t>search</w:t>
      </w:r>
      <w:r w:rsidR="00FD79D2">
        <w:t>” for Fourth Amendment purposes</w:t>
      </w:r>
      <w:r w:rsidR="009F029D">
        <w:t>)</w:t>
      </w:r>
      <w:r w:rsidR="00AC1D7C">
        <w:t>;</w:t>
      </w:r>
      <w:r w:rsidR="004C731D">
        <w:t xml:space="preserve"> United States v. Houston, </w:t>
      </w:r>
      <w:r w:rsidR="004C731D" w:rsidRPr="00AD7FA5">
        <w:t>813 F.3d 282</w:t>
      </w:r>
      <w:r w:rsidR="004C731D">
        <w:t>, 28</w:t>
      </w:r>
      <w:r w:rsidR="00AF35A0">
        <w:t>9</w:t>
      </w:r>
      <w:r w:rsidR="004C731D">
        <w:t xml:space="preserve"> (6th Cir. 2016)</w:t>
      </w:r>
      <w:r w:rsidR="003C1A40">
        <w:t xml:space="preserve"> (</w:t>
      </w:r>
      <w:r w:rsidR="00FD79D2">
        <w:t xml:space="preserve">holding that the camera </w:t>
      </w:r>
      <w:r w:rsidR="00AF35A0">
        <w:t>did not constitute a search because “</w:t>
      </w:r>
      <w:r w:rsidR="00AF35A0" w:rsidRPr="00AF35A0">
        <w:t xml:space="preserve">any member of the </w:t>
      </w:r>
      <w:r w:rsidR="00FD79D2">
        <w:t xml:space="preserve">public </w:t>
      </w:r>
      <w:r w:rsidR="00AF35A0" w:rsidRPr="00AF35A0">
        <w:t xml:space="preserve">driving on the roads bordering </w:t>
      </w:r>
      <w:r w:rsidR="00AF35A0">
        <w:t xml:space="preserve">[Plaintiff’s] </w:t>
      </w:r>
      <w:r w:rsidR="00AF35A0" w:rsidRPr="00AF35A0">
        <w:t xml:space="preserve">farm during the ten weeks could have observed </w:t>
      </w:r>
      <w:r w:rsidR="00FD79D2">
        <w:t xml:space="preserve">the same views </w:t>
      </w:r>
      <w:r w:rsidR="00AF35A0" w:rsidRPr="00AF35A0">
        <w:t>captured</w:t>
      </w:r>
      <w:r w:rsidR="00FD79D2">
        <w:t xml:space="preserve"> by </w:t>
      </w:r>
      <w:r w:rsidR="00AF35A0" w:rsidRPr="00AF35A0">
        <w:t>the camera</w:t>
      </w:r>
      <w:r w:rsidR="00FD79D2">
        <w:t>”)</w:t>
      </w:r>
      <w:r w:rsidR="00AC1D7C">
        <w:t>;</w:t>
      </w:r>
      <w:r w:rsidR="004C731D">
        <w:t xml:space="preserve"> United States v. Bucci, 582 F.3d 108, 116 (1st Cir. 2009)</w:t>
      </w:r>
      <w:r w:rsidR="003C1A40">
        <w:t xml:space="preserve"> (</w:t>
      </w:r>
      <w:r w:rsidR="00565C8A">
        <w:t>holding that</w:t>
      </w:r>
      <w:r w:rsidR="003B2E72">
        <w:t xml:space="preserve"> there was no Fourth Amendment violation because</w:t>
      </w:r>
      <w:r w:rsidR="00565C8A">
        <w:t xml:space="preserve"> the plaintiff “</w:t>
      </w:r>
      <w:r w:rsidR="00565C8A" w:rsidRPr="00565C8A">
        <w:t>failed to establish either a subjective or an objective expectation of privacy in the front of his home, as viewed by the camera</w:t>
      </w:r>
      <w:r w:rsidR="00565C8A">
        <w:t>”</w:t>
      </w:r>
      <w:r w:rsidR="003C1A40">
        <w:t xml:space="preserve">) </w:t>
      </w:r>
      <w:r w:rsidR="003C1A40" w:rsidRPr="003C1A40">
        <w:rPr>
          <w:i/>
          <w:iCs/>
        </w:rPr>
        <w:t>with</w:t>
      </w:r>
      <w:r w:rsidR="003C1A40">
        <w:t xml:space="preserve"> </w:t>
      </w:r>
      <w:r w:rsidR="003C1A40" w:rsidRPr="00E36083">
        <w:t>United States v. Cuevas-Sanchez, 821 F.2d 248, 251 (5th Cir. 1987)</w:t>
      </w:r>
      <w:r w:rsidR="003C1A40">
        <w:t xml:space="preserve"> (</w:t>
      </w:r>
      <w:r w:rsidR="003813FD">
        <w:t>holding that “</w:t>
      </w:r>
      <w:r w:rsidR="003813FD" w:rsidRPr="003813FD">
        <w:t>government's actions</w:t>
      </w:r>
      <w:r w:rsidR="003813FD">
        <w:t> . . . </w:t>
      </w:r>
      <w:r w:rsidR="003813FD" w:rsidRPr="003813FD">
        <w:t>qualify as a search</w:t>
      </w:r>
      <w:r w:rsidR="004C1D9C">
        <w:t>”</w:t>
      </w:r>
      <w:r w:rsidR="003813FD" w:rsidRPr="003813FD">
        <w:t xml:space="preserve"> under the </w:t>
      </w:r>
      <w:r w:rsidR="004C1D9C">
        <w:t>F</w:t>
      </w:r>
      <w:r w:rsidR="003813FD" w:rsidRPr="003813FD">
        <w:t xml:space="preserve">ourth </w:t>
      </w:r>
      <w:r w:rsidR="004C1D9C">
        <w:t>A</w:t>
      </w:r>
      <w:r w:rsidR="003813FD" w:rsidRPr="003813FD">
        <w:t>mendment</w:t>
      </w:r>
      <w:r w:rsidR="003C1A40">
        <w:t>)</w:t>
      </w:r>
      <w:r w:rsidR="004C731D">
        <w:t>.</w:t>
      </w:r>
    </w:p>
  </w:footnote>
  <w:footnote w:id="405">
    <w:p w14:paraId="75343BFB" w14:textId="19D6F682" w:rsidR="00984E8D" w:rsidRDefault="00984E8D">
      <w:pPr>
        <w:pStyle w:val="FootnoteText"/>
      </w:pPr>
      <w:r w:rsidRPr="002A4234">
        <w:rPr>
          <w:rStyle w:val="FootnoteReference"/>
        </w:rPr>
        <w:footnoteRef/>
      </w:r>
      <w:r>
        <w:t xml:space="preserve"> </w:t>
      </w:r>
      <w:r w:rsidR="000C35A5">
        <w:rPr>
          <w:i/>
          <w:iCs/>
        </w:rPr>
        <w:t xml:space="preserve">See </w:t>
      </w:r>
      <w:r w:rsidR="000C35A5">
        <w:t xml:space="preserve">Arizona v. Hicks, </w:t>
      </w:r>
      <w:r w:rsidR="000C35A5" w:rsidRPr="005A155D">
        <w:t>480 U.S. 321</w:t>
      </w:r>
      <w:r w:rsidR="000C35A5">
        <w:t>, 326</w:t>
      </w:r>
      <w:r w:rsidR="000C35A5" w:rsidRPr="005A155D">
        <w:t xml:space="preserve"> (1987)</w:t>
      </w:r>
      <w:r w:rsidR="000C35A5">
        <w:t>.</w:t>
      </w:r>
    </w:p>
  </w:footnote>
  <w:footnote w:id="406">
    <w:p w14:paraId="3A2F35A0" w14:textId="15E6C09B" w:rsidR="00FA0285" w:rsidRDefault="00FA0285" w:rsidP="00510CCF">
      <w:pPr>
        <w:pStyle w:val="FootnoteText"/>
      </w:pPr>
      <w:r w:rsidRPr="002A4234">
        <w:rPr>
          <w:rStyle w:val="FootnoteReference"/>
        </w:rPr>
        <w:footnoteRef/>
      </w:r>
      <w:r>
        <w:t xml:space="preserve"> </w:t>
      </w:r>
      <w:r w:rsidR="00AE36C2" w:rsidRPr="00017FB3">
        <w:rPr>
          <w:i/>
          <w:iCs/>
        </w:rPr>
        <w:t>Criminal Procedure – Fourth Amendment – Seventh Circuit Holds Long-Term, Warrantless Video Surveillance Is Not an Illegal Search</w:t>
      </w:r>
      <w:r w:rsidR="00AE36C2">
        <w:t xml:space="preserve">. – United States v. Tuggle, 4 F.4th 505 (7th Cir. 2021), </w:t>
      </w:r>
      <w:r w:rsidR="00AE36C2" w:rsidRPr="00AE36C2">
        <w:t xml:space="preserve">135 </w:t>
      </w:r>
      <w:r w:rsidR="00AE36C2" w:rsidRPr="00017FB3">
        <w:rPr>
          <w:smallCaps/>
        </w:rPr>
        <w:t>Harv. L. Rev</w:t>
      </w:r>
      <w:r w:rsidR="00AE36C2" w:rsidRPr="00AE36C2">
        <w:t>. 928</w:t>
      </w:r>
      <w:r w:rsidR="007E7CBA">
        <w:t>, 928</w:t>
      </w:r>
      <w:r w:rsidR="00AE36C2" w:rsidRPr="00AE36C2">
        <w:t xml:space="preserve"> (2022)</w:t>
      </w:r>
      <w:r w:rsidR="00E87459">
        <w:t xml:space="preserve">; Dana Khabbaz, </w:t>
      </w:r>
      <w:r w:rsidR="00E87459" w:rsidRPr="00F15925">
        <w:rPr>
          <w:i/>
          <w:iCs/>
        </w:rPr>
        <w:t xml:space="preserve">Unmanned Stakeouts: Pole-Camera Surveillance and Privacy After the </w:t>
      </w:r>
      <w:r w:rsidR="00E87459" w:rsidRPr="00E87459">
        <w:t>Tuggle</w:t>
      </w:r>
      <w:r w:rsidR="00E87459" w:rsidRPr="00F15925">
        <w:rPr>
          <w:i/>
          <w:iCs/>
        </w:rPr>
        <w:t xml:space="preserve"> Cert Denial,</w:t>
      </w:r>
      <w:r w:rsidR="00E87459">
        <w:t xml:space="preserve"> 132 </w:t>
      </w:r>
      <w:r w:rsidR="00E87459" w:rsidRPr="00F15925">
        <w:rPr>
          <w:smallCaps/>
        </w:rPr>
        <w:t>Yale L.J. Forum</w:t>
      </w:r>
      <w:r w:rsidR="00E87459">
        <w:t xml:space="preserve"> 105, 107 (2022)</w:t>
      </w:r>
      <w:r w:rsidR="00510CCF">
        <w:t xml:space="preserve">; Aparna Bhattacharya, </w:t>
      </w:r>
      <w:r w:rsidR="00510CCF" w:rsidRPr="00F15925">
        <w:rPr>
          <w:i/>
          <w:iCs/>
        </w:rPr>
        <w:t>The Impact of</w:t>
      </w:r>
      <w:r w:rsidR="00510CCF" w:rsidRPr="00510CCF">
        <w:t xml:space="preserve"> Carpenter v. United States</w:t>
      </w:r>
      <w:r w:rsidR="00510CCF" w:rsidRPr="00F15925">
        <w:rPr>
          <w:i/>
          <w:iCs/>
        </w:rPr>
        <w:t xml:space="preserve"> on Digital Age Technologies</w:t>
      </w:r>
      <w:r w:rsidR="00510CCF">
        <w:t xml:space="preserve">, 29 S. </w:t>
      </w:r>
      <w:r w:rsidR="00510CCF" w:rsidRPr="00F15925">
        <w:rPr>
          <w:smallCaps/>
        </w:rPr>
        <w:t xml:space="preserve">Cal. Interdisc. </w:t>
      </w:r>
      <w:r w:rsidR="00510CCF">
        <w:t>L.J. 489, 502 (2020).</w:t>
      </w:r>
    </w:p>
  </w:footnote>
  <w:footnote w:id="407">
    <w:p w14:paraId="1D723FE5" w14:textId="1BB535C6" w:rsidR="007A62CD" w:rsidRDefault="00B516C9">
      <w:pPr>
        <w:pStyle w:val="FootnoteText"/>
      </w:pPr>
      <w:r w:rsidRPr="002A4234">
        <w:rPr>
          <w:rStyle w:val="FootnoteReference"/>
        </w:rPr>
        <w:footnoteRef/>
      </w:r>
      <w:r>
        <w:t xml:space="preserve"> </w:t>
      </w:r>
      <w:r w:rsidR="00784B76">
        <w:t>@</w:t>
      </w:r>
      <w:r w:rsidR="000A6560">
        <w:t>Orin</w:t>
      </w:r>
      <w:r>
        <w:t>Kerr</w:t>
      </w:r>
      <w:r w:rsidR="000A6560">
        <w:t xml:space="preserve">, </w:t>
      </w:r>
      <w:r w:rsidR="000A6560" w:rsidRPr="005B60BA">
        <w:rPr>
          <w:smallCaps/>
        </w:rPr>
        <w:t>Twitter</w:t>
      </w:r>
      <w:r w:rsidR="000A6560">
        <w:t xml:space="preserve"> (Feb</w:t>
      </w:r>
      <w:r w:rsidR="00784B76">
        <w:t>.</w:t>
      </w:r>
      <w:r w:rsidR="000A6560">
        <w:t xml:space="preserve"> 7, 2022</w:t>
      </w:r>
      <w:r w:rsidR="00784B76">
        <w:t>, 4:22 PM</w:t>
      </w:r>
      <w:r w:rsidR="000A6560">
        <w:t>),</w:t>
      </w:r>
    </w:p>
    <w:p w14:paraId="3471B3CD" w14:textId="594FF873" w:rsidR="00B516C9" w:rsidRDefault="00311407" w:rsidP="00B8020F">
      <w:pPr>
        <w:pStyle w:val="FootnoteText"/>
        <w:ind w:firstLine="0"/>
      </w:pPr>
      <w:r>
        <w:t xml:space="preserve"> </w:t>
      </w:r>
      <w:r w:rsidRPr="00311407">
        <w:t>https://twitter.com/OrinKerr/status/1490798204987666435?s=20&amp;t=7nsOF5dCbuvGiD4qs3a48w [https://perma.cc/</w:t>
      </w:r>
      <w:r w:rsidR="00784B76" w:rsidRPr="00784B76">
        <w:t>7Y9T-E8QK</w:t>
      </w:r>
      <w:r w:rsidRPr="00311407">
        <w:t>]</w:t>
      </w:r>
      <w:r w:rsidR="00784B76">
        <w:t>.</w:t>
      </w:r>
    </w:p>
  </w:footnote>
  <w:footnote w:id="408">
    <w:p w14:paraId="000E8DDB" w14:textId="081863A7" w:rsidR="00533136" w:rsidRPr="00963BD5" w:rsidRDefault="00533136" w:rsidP="0081616C">
      <w:pPr>
        <w:pStyle w:val="FootnoteText"/>
      </w:pPr>
      <w:r w:rsidRPr="002A4234">
        <w:rPr>
          <w:rStyle w:val="FootnoteReference"/>
        </w:rPr>
        <w:footnoteRef/>
      </w:r>
      <w:r>
        <w:t xml:space="preserve"> </w:t>
      </w:r>
      <w:r w:rsidR="008713EC">
        <w:t>United States v. Bucci, 582 F.3d 108, 116 (1st Cir. 2009)</w:t>
      </w:r>
      <w:r w:rsidR="005670B0">
        <w:t>.</w:t>
      </w:r>
    </w:p>
  </w:footnote>
  <w:footnote w:id="409">
    <w:p w14:paraId="124AB0A6" w14:textId="4884C338" w:rsidR="00AD7FA5" w:rsidRDefault="00AD7FA5">
      <w:pPr>
        <w:pStyle w:val="FootnoteText"/>
      </w:pPr>
      <w:r w:rsidRPr="002A4234">
        <w:rPr>
          <w:rStyle w:val="FootnoteReference"/>
        </w:rPr>
        <w:footnoteRef/>
      </w:r>
      <w:r>
        <w:t xml:space="preserve"> </w:t>
      </w:r>
      <w:r w:rsidRPr="00AD7FA5">
        <w:t>813 F.3d 282</w:t>
      </w:r>
      <w:r w:rsidR="00E77A83">
        <w:t>, 285 (</w:t>
      </w:r>
      <w:r w:rsidR="00B6647E">
        <w:t>6th Cir. 2016).</w:t>
      </w:r>
    </w:p>
  </w:footnote>
  <w:footnote w:id="410">
    <w:p w14:paraId="0833D4C5" w14:textId="35B2707E" w:rsidR="00B6647E" w:rsidRPr="002A6352" w:rsidRDefault="00B6647E">
      <w:pPr>
        <w:pStyle w:val="FootnoteText"/>
      </w:pPr>
      <w:r w:rsidRPr="002A4234">
        <w:rPr>
          <w:rStyle w:val="FootnoteReference"/>
        </w:rPr>
        <w:footnoteRef/>
      </w:r>
      <w:r>
        <w:t xml:space="preserve"> </w:t>
      </w:r>
      <w:r w:rsidR="002A6352">
        <w:rPr>
          <w:i/>
          <w:iCs/>
        </w:rPr>
        <w:t>Id</w:t>
      </w:r>
      <w:r w:rsidR="002A6352" w:rsidRPr="00F15925">
        <w:rPr>
          <w:i/>
          <w:iCs/>
        </w:rPr>
        <w:t>.</w:t>
      </w:r>
      <w:r w:rsidR="002A6352">
        <w:t xml:space="preserve"> at 288.</w:t>
      </w:r>
    </w:p>
  </w:footnote>
  <w:footnote w:id="411">
    <w:p w14:paraId="04CD39AF" w14:textId="0052DB09" w:rsidR="00941BAB" w:rsidRDefault="00941BAB">
      <w:pPr>
        <w:pStyle w:val="FootnoteText"/>
      </w:pPr>
      <w:r w:rsidRPr="002A4234">
        <w:rPr>
          <w:rStyle w:val="FootnoteReference"/>
        </w:rPr>
        <w:footnoteRef/>
      </w:r>
      <w:r>
        <w:t xml:space="preserve"> </w:t>
      </w:r>
      <w:r w:rsidR="00AF4ECA" w:rsidRPr="00AF4ECA">
        <w:rPr>
          <w:i/>
          <w:iCs/>
        </w:rPr>
        <w:t>Id.</w:t>
      </w:r>
      <w:r w:rsidR="00AF4ECA">
        <w:t xml:space="preserve"> (quoting </w:t>
      </w:r>
      <w:r w:rsidR="00A66537" w:rsidRPr="00017FB3">
        <w:t>California v. Ciraolo</w:t>
      </w:r>
      <w:r w:rsidR="00A66537">
        <w:t>,</w:t>
      </w:r>
      <w:r w:rsidR="00A66537" w:rsidRPr="00017FB3">
        <w:t xml:space="preserve"> </w:t>
      </w:r>
      <w:r w:rsidRPr="00AF4ECA">
        <w:t>476</w:t>
      </w:r>
      <w:r>
        <w:t xml:space="preserve"> U.S. 207, 213 (1986)</w:t>
      </w:r>
      <w:r w:rsidR="00AF4ECA">
        <w:t>).</w:t>
      </w:r>
    </w:p>
  </w:footnote>
  <w:footnote w:id="412">
    <w:p w14:paraId="3C089D55" w14:textId="484FFD61" w:rsidR="002A3E62" w:rsidRPr="002A3E62" w:rsidRDefault="002A3E62">
      <w:pPr>
        <w:pStyle w:val="FootnoteText"/>
      </w:pPr>
      <w:r w:rsidRPr="002A4234">
        <w:rPr>
          <w:rStyle w:val="FootnoteReference"/>
        </w:rPr>
        <w:footnoteRef/>
      </w:r>
      <w:r>
        <w:t xml:space="preserve"> </w:t>
      </w:r>
      <w:r w:rsidR="00A66537">
        <w:rPr>
          <w:i/>
          <w:iCs/>
        </w:rPr>
        <w:t>Ciraolo</w:t>
      </w:r>
      <w:r w:rsidR="00A66537">
        <w:t>,</w:t>
      </w:r>
      <w:r w:rsidR="00A66537" w:rsidRPr="00D32420">
        <w:t xml:space="preserve"> </w:t>
      </w:r>
      <w:r w:rsidR="00AF4ECA" w:rsidRPr="00AF4ECA">
        <w:t>476</w:t>
      </w:r>
      <w:r w:rsidR="00AF4ECA">
        <w:t xml:space="preserve"> U.S. </w:t>
      </w:r>
      <w:r w:rsidR="00A66537">
        <w:t>at</w:t>
      </w:r>
      <w:r w:rsidR="00AF4ECA">
        <w:t xml:space="preserve"> 213.</w:t>
      </w:r>
    </w:p>
  </w:footnote>
  <w:footnote w:id="413">
    <w:p w14:paraId="32D06645" w14:textId="17A598AE" w:rsidR="008A7826" w:rsidRPr="008A7826" w:rsidRDefault="008A7826">
      <w:pPr>
        <w:pStyle w:val="FootnoteText"/>
      </w:pPr>
      <w:r w:rsidRPr="002A4234">
        <w:rPr>
          <w:rStyle w:val="FootnoteReference"/>
        </w:rPr>
        <w:footnoteRef/>
      </w:r>
      <w:r>
        <w:t xml:space="preserve"> </w:t>
      </w:r>
      <w:r>
        <w:rPr>
          <w:i/>
          <w:iCs/>
        </w:rPr>
        <w:t>Id.</w:t>
      </w:r>
      <w:r>
        <w:t xml:space="preserve"> at 215.</w:t>
      </w:r>
    </w:p>
  </w:footnote>
  <w:footnote w:id="414">
    <w:p w14:paraId="65A41EEC" w14:textId="3FB846D5" w:rsidR="00E36083" w:rsidRDefault="00E36083">
      <w:pPr>
        <w:pStyle w:val="FootnoteText"/>
      </w:pPr>
      <w:r w:rsidRPr="002A4234">
        <w:rPr>
          <w:rStyle w:val="FootnoteReference"/>
        </w:rPr>
        <w:footnoteRef/>
      </w:r>
      <w:r>
        <w:t xml:space="preserve"> </w:t>
      </w:r>
      <w:r w:rsidR="00855B3A">
        <w:rPr>
          <w:i/>
        </w:rPr>
        <w:t>Cf.</w:t>
      </w:r>
      <w:r>
        <w:t xml:space="preserve"> </w:t>
      </w:r>
      <w:r w:rsidRPr="00E36083">
        <w:t>United States v. Cuevas-Sanchez, 821 F.2d 248, 251 (5th Cir. 1987)</w:t>
      </w:r>
      <w:r>
        <w:t xml:space="preserve"> </w:t>
      </w:r>
      <w:r w:rsidR="00D250E1">
        <w:t>(</w:t>
      </w:r>
      <w:r w:rsidR="00D753AC">
        <w:t xml:space="preserve">holding that the </w:t>
      </w:r>
      <w:r w:rsidR="009F029D">
        <w:t>us</w:t>
      </w:r>
      <w:r w:rsidR="00D753AC">
        <w:t>e of</w:t>
      </w:r>
      <w:r w:rsidR="009F029D">
        <w:t xml:space="preserve"> a camera to peer over a fence is a search).</w:t>
      </w:r>
    </w:p>
  </w:footnote>
  <w:footnote w:id="415">
    <w:p w14:paraId="32851D7E" w14:textId="6D5E183A" w:rsidR="00771195" w:rsidRDefault="00771195">
      <w:pPr>
        <w:pStyle w:val="FootnoteText"/>
      </w:pPr>
      <w:r w:rsidRPr="002A4234">
        <w:rPr>
          <w:rStyle w:val="FootnoteReference"/>
        </w:rPr>
        <w:footnoteRef/>
      </w:r>
      <w:r>
        <w:t xml:space="preserve"> </w:t>
      </w:r>
      <w:r w:rsidR="00E5116B" w:rsidRPr="00E5116B">
        <w:rPr>
          <w:smallCaps/>
        </w:rPr>
        <w:t>Restatement (Second) of Torts</w:t>
      </w:r>
      <w:r w:rsidR="00E5116B" w:rsidRPr="00E5116B">
        <w:t xml:space="preserve">, </w:t>
      </w:r>
      <w:r w:rsidR="00E5116B" w:rsidRPr="00E5116B">
        <w:rPr>
          <w:i/>
          <w:iCs/>
        </w:rPr>
        <w:t>supra</w:t>
      </w:r>
      <w:r w:rsidR="00E5116B" w:rsidRPr="00E5116B">
        <w:t xml:space="preserve"> note</w:t>
      </w:r>
      <w:r w:rsidR="00EE172C">
        <w:t xml:space="preserve"> 16, § </w:t>
      </w:r>
      <w:r w:rsidR="00E5116B" w:rsidRPr="00E5116B">
        <w:t>652D</w:t>
      </w:r>
      <w:r w:rsidR="00D47ADF">
        <w:t>.</w:t>
      </w:r>
    </w:p>
  </w:footnote>
  <w:footnote w:id="416">
    <w:p w14:paraId="7BCD8680" w14:textId="2F27AA20" w:rsidR="00675DB0" w:rsidRDefault="00675DB0">
      <w:pPr>
        <w:pStyle w:val="FootnoteText"/>
      </w:pPr>
      <w:r w:rsidRPr="002A4234">
        <w:rPr>
          <w:rStyle w:val="FootnoteReference"/>
        </w:rPr>
        <w:footnoteRef/>
      </w:r>
      <w:r w:rsidR="00046592" w:rsidRPr="00046592">
        <w:t xml:space="preserve"> </w:t>
      </w:r>
      <w:r w:rsidR="00576817">
        <w:rPr>
          <w:i/>
          <w:iCs/>
        </w:rPr>
        <w:t>See</w:t>
      </w:r>
      <w:r w:rsidR="00046592">
        <w:rPr>
          <w:i/>
        </w:rPr>
        <w:t xml:space="preserve"> </w:t>
      </w:r>
      <w:r w:rsidR="00046592" w:rsidRPr="00046592">
        <w:t>Cox Broadcasting Co. v. Cohn</w:t>
      </w:r>
      <w:r w:rsidR="00046592">
        <w:t xml:space="preserve">, </w:t>
      </w:r>
      <w:r w:rsidR="00046592" w:rsidRPr="00046592">
        <w:t>420 U.S. 469</w:t>
      </w:r>
      <w:r w:rsidR="00576817">
        <w:t>, 49</w:t>
      </w:r>
      <w:r w:rsidR="007507D0">
        <w:t>4-9</w:t>
      </w:r>
      <w:r w:rsidR="00576817">
        <w:t>5</w:t>
      </w:r>
      <w:r w:rsidR="00046592">
        <w:t xml:space="preserve"> (1975)</w:t>
      </w:r>
      <w:r w:rsidR="005B60BA">
        <w:t>.</w:t>
      </w:r>
    </w:p>
  </w:footnote>
  <w:footnote w:id="417">
    <w:p w14:paraId="1C8BD07C" w14:textId="31D7EED6" w:rsidR="00317652" w:rsidRPr="00AD6A7F" w:rsidRDefault="00317652">
      <w:pPr>
        <w:pStyle w:val="FootnoteText"/>
      </w:pPr>
      <w:r w:rsidRPr="002A4234">
        <w:rPr>
          <w:rStyle w:val="FootnoteReference"/>
        </w:rPr>
        <w:footnoteRef/>
      </w:r>
      <w:r>
        <w:t xml:space="preserve"> </w:t>
      </w:r>
      <w:r>
        <w:rPr>
          <w:i/>
          <w:iCs/>
        </w:rPr>
        <w:t>See</w:t>
      </w:r>
      <w:r>
        <w:t xml:space="preserve"> </w:t>
      </w:r>
      <w:r w:rsidR="00920D17" w:rsidRPr="00017FB3">
        <w:rPr>
          <w:i/>
          <w:iCs/>
        </w:rPr>
        <w:t>e.g.</w:t>
      </w:r>
      <w:r w:rsidR="00920D17">
        <w:t>,</w:t>
      </w:r>
      <w:r w:rsidR="00AD6A7F">
        <w:t xml:space="preserve"> Trammell v. </w:t>
      </w:r>
      <w:r w:rsidR="006D2161">
        <w:t xml:space="preserve">Citizens News Co., </w:t>
      </w:r>
      <w:r w:rsidR="001229F8">
        <w:t>Inc.</w:t>
      </w:r>
      <w:r w:rsidR="006D2161">
        <w:t xml:space="preserve">, </w:t>
      </w:r>
      <w:r w:rsidR="006D2161" w:rsidRPr="006D2161">
        <w:t>148 S.W.2d 708</w:t>
      </w:r>
      <w:r w:rsidR="00E9442A">
        <w:t>, 710</w:t>
      </w:r>
      <w:r w:rsidR="006D2161">
        <w:t xml:space="preserve"> (Ky. 1941) (</w:t>
      </w:r>
      <w:r w:rsidR="00E9442A">
        <w:t xml:space="preserve">finding </w:t>
      </w:r>
      <w:r w:rsidR="00F86605">
        <w:t>that plaintiff stated a cause of action</w:t>
      </w:r>
      <w:r w:rsidR="00E9442A">
        <w:t xml:space="preserve"> </w:t>
      </w:r>
      <w:r w:rsidR="006D2161">
        <w:t>for invasion of privacy where a newspaper published the plaintiff’s outstanding grocery debt</w:t>
      </w:r>
      <w:r w:rsidR="00175B8E">
        <w:t xml:space="preserve"> without the debt being a matter of public concern).</w:t>
      </w:r>
      <w:r w:rsidR="006D2161">
        <w:t xml:space="preserve"> </w:t>
      </w:r>
    </w:p>
  </w:footnote>
  <w:footnote w:id="418">
    <w:p w14:paraId="7DB8A58A" w14:textId="43F255E4" w:rsidR="000C5EB4" w:rsidRDefault="000C5EB4">
      <w:pPr>
        <w:pStyle w:val="FootnoteText"/>
      </w:pPr>
      <w:r w:rsidRPr="002A4234">
        <w:rPr>
          <w:rStyle w:val="FootnoteReference"/>
        </w:rPr>
        <w:footnoteRef/>
      </w:r>
      <w:r>
        <w:t xml:space="preserve"> </w:t>
      </w:r>
      <w:r w:rsidR="00DE366B" w:rsidRPr="00DE366B">
        <w:t>Maryland v. King, 569 U.S. 435, 4</w:t>
      </w:r>
      <w:r w:rsidR="00434F34">
        <w:t>60</w:t>
      </w:r>
      <w:r w:rsidR="00DE366B" w:rsidRPr="00DE366B">
        <w:t xml:space="preserve"> (2013)</w:t>
      </w:r>
      <w:r w:rsidR="00DE366B">
        <w:t>.</w:t>
      </w:r>
    </w:p>
  </w:footnote>
  <w:footnote w:id="419">
    <w:p w14:paraId="0C45364C" w14:textId="6D73ABE0" w:rsidR="00834904" w:rsidRDefault="00834904">
      <w:pPr>
        <w:pStyle w:val="FootnoteText"/>
      </w:pPr>
      <w:r w:rsidRPr="002A4234">
        <w:rPr>
          <w:rStyle w:val="FootnoteReference"/>
        </w:rPr>
        <w:footnoteRef/>
      </w:r>
      <w:r w:rsidR="00E05E8E">
        <w:t xml:space="preserve"> Azi Paybarah, </w:t>
      </w:r>
      <w:r w:rsidR="00E05E8E" w:rsidRPr="00017FB3">
        <w:rPr>
          <w:i/>
          <w:iCs/>
        </w:rPr>
        <w:t>Victim’s Rape Kit Was Used to Identify Her as a Suspect in Another Case</w:t>
      </w:r>
      <w:r w:rsidR="00E05E8E">
        <w:t xml:space="preserve">, </w:t>
      </w:r>
      <w:r w:rsidR="00E05E8E" w:rsidRPr="00017FB3">
        <w:rPr>
          <w:smallCaps/>
        </w:rPr>
        <w:t>N.Y. Times</w:t>
      </w:r>
      <w:r w:rsidR="00E05E8E">
        <w:t xml:space="preserve"> (Feb. 15, 2022), </w:t>
      </w:r>
      <w:r w:rsidR="00BB2773" w:rsidRPr="00017FB3">
        <w:t>https://www.nytimes.com/2022/02/15/us/san-francisco-police-rape-kit-dna.html</w:t>
      </w:r>
      <w:r w:rsidR="00BB2773">
        <w:t xml:space="preserve"> [</w:t>
      </w:r>
      <w:r w:rsidR="00BB2773" w:rsidRPr="003A70DD">
        <w:t>https://perma.cc/</w:t>
      </w:r>
      <w:r w:rsidR="005F053B" w:rsidRPr="00017FB3">
        <w:t>3RXR-A3VJ</w:t>
      </w:r>
      <w:r w:rsidR="00BB2773">
        <w:t>].</w:t>
      </w:r>
      <w:r w:rsidR="00DA1585">
        <w:t xml:space="preserve"> </w:t>
      </w:r>
    </w:p>
  </w:footnote>
  <w:footnote w:id="420">
    <w:p w14:paraId="2FF1C5B1" w14:textId="5A2624DA" w:rsidR="00A350F9" w:rsidRDefault="00A350F9">
      <w:pPr>
        <w:pStyle w:val="FootnoteText"/>
      </w:pPr>
      <w:r w:rsidRPr="002A4234">
        <w:rPr>
          <w:rStyle w:val="FootnoteReference"/>
        </w:rPr>
        <w:footnoteRef/>
      </w:r>
      <w:r>
        <w:t xml:space="preserve"> </w:t>
      </w:r>
      <w:r w:rsidRPr="00A350F9">
        <w:t>425 U.S. 435 (1976)</w:t>
      </w:r>
      <w:r>
        <w:t>.</w:t>
      </w:r>
    </w:p>
  </w:footnote>
  <w:footnote w:id="421">
    <w:p w14:paraId="66F394EB" w14:textId="5277A25F" w:rsidR="00510CCF" w:rsidRDefault="00510CCF">
      <w:pPr>
        <w:pStyle w:val="FootnoteText"/>
      </w:pPr>
      <w:r>
        <w:rPr>
          <w:rStyle w:val="FootnoteReference"/>
        </w:rPr>
        <w:footnoteRef/>
      </w:r>
      <w:r>
        <w:t xml:space="preserve"> </w:t>
      </w:r>
      <w:r w:rsidRPr="00510CCF">
        <w:t>Id. at 441-43.</w:t>
      </w:r>
    </w:p>
  </w:footnote>
  <w:footnote w:id="422">
    <w:p w14:paraId="096CF38E" w14:textId="2B8E6793" w:rsidR="00480C49" w:rsidRDefault="00480C49">
      <w:pPr>
        <w:pStyle w:val="FootnoteText"/>
      </w:pPr>
      <w:r w:rsidRPr="002A4234">
        <w:rPr>
          <w:rStyle w:val="FootnoteReference"/>
        </w:rPr>
        <w:footnoteRef/>
      </w:r>
      <w:r>
        <w:t xml:space="preserve"> </w:t>
      </w:r>
      <w:r w:rsidR="00577CDE">
        <w:rPr>
          <w:i/>
          <w:iCs/>
        </w:rPr>
        <w:t>See, e.g.</w:t>
      </w:r>
      <w:r w:rsidR="00577CDE">
        <w:t>,</w:t>
      </w:r>
      <w:r>
        <w:t xml:space="preserve"> </w:t>
      </w:r>
      <w:r w:rsidRPr="00017FB3">
        <w:rPr>
          <w:i/>
        </w:rPr>
        <w:t>Trammell</w:t>
      </w:r>
      <w:r>
        <w:t xml:space="preserve">, </w:t>
      </w:r>
      <w:r w:rsidRPr="006D2161">
        <w:t xml:space="preserve">148 S.W.2d </w:t>
      </w:r>
      <w:r w:rsidR="00557B4A">
        <w:t xml:space="preserve">at </w:t>
      </w:r>
      <w:r w:rsidRPr="006D2161">
        <w:t>7</w:t>
      </w:r>
      <w:r w:rsidR="00557B4A">
        <w:t>10</w:t>
      </w:r>
      <w:r w:rsidR="00B01DC4">
        <w:t>.</w:t>
      </w:r>
    </w:p>
  </w:footnote>
  <w:footnote w:id="423">
    <w:p w14:paraId="15BAEEAD" w14:textId="11283385" w:rsidR="00427997" w:rsidRPr="00B043B6" w:rsidRDefault="00427997" w:rsidP="00026BEF">
      <w:pPr>
        <w:pStyle w:val="FootnoteText"/>
        <w:rPr>
          <w:szCs w:val="20"/>
        </w:rPr>
      </w:pPr>
      <w:r w:rsidRPr="002A4234">
        <w:rPr>
          <w:rStyle w:val="FootnoteReference"/>
        </w:rPr>
        <w:footnoteRef/>
      </w:r>
      <w:r>
        <w:t xml:space="preserve"> </w:t>
      </w:r>
      <w:r>
        <w:rPr>
          <w:i/>
          <w:iCs/>
        </w:rPr>
        <w:t>See</w:t>
      </w:r>
      <w:r>
        <w:t xml:space="preserve"> Tracey Maclin, </w:t>
      </w:r>
      <w:r w:rsidRPr="002A27EB">
        <w:rPr>
          <w:i/>
          <w:iCs/>
        </w:rPr>
        <w:t>Justice Thurgood Marshall: Taking the Fourth Amendment Seriously</w:t>
      </w:r>
      <w:r w:rsidRPr="00017FB3">
        <w:t xml:space="preserve">, </w:t>
      </w:r>
      <w:r>
        <w:t xml:space="preserve">77 </w:t>
      </w:r>
      <w:r w:rsidRPr="002A27EB">
        <w:rPr>
          <w:smallCaps/>
        </w:rPr>
        <w:t>Cornell L. Rev.</w:t>
      </w:r>
      <w:r>
        <w:t xml:space="preserve"> 723, 740</w:t>
      </w:r>
      <w:r w:rsidR="005B74C9">
        <w:t>-</w:t>
      </w:r>
      <w:r>
        <w:t>41 (1992) (</w:t>
      </w:r>
      <w:r w:rsidR="002A27EB">
        <w:t>noting “t</w:t>
      </w:r>
      <w:r w:rsidR="008B4581">
        <w:t>he outrage and indignation most people would feel</w:t>
      </w:r>
      <w:r w:rsidR="002A27EB">
        <w:t xml:space="preserve">” if their </w:t>
      </w:r>
      <w:r w:rsidR="002A27EB" w:rsidRPr="00B043B6">
        <w:rPr>
          <w:szCs w:val="20"/>
        </w:rPr>
        <w:t>bank records were disclosed).</w:t>
      </w:r>
    </w:p>
  </w:footnote>
  <w:footnote w:id="424">
    <w:p w14:paraId="7B6EFA49" w14:textId="4E4D22DF" w:rsidR="00026BEF" w:rsidRPr="00B043B6" w:rsidRDefault="00026BEF" w:rsidP="00026BEF">
      <w:pPr>
        <w:pStyle w:val="FootnoteText"/>
        <w:rPr>
          <w:szCs w:val="20"/>
        </w:rPr>
      </w:pPr>
      <w:r w:rsidRPr="002A4234">
        <w:rPr>
          <w:rStyle w:val="FootnoteReference"/>
        </w:rPr>
        <w:footnoteRef/>
      </w:r>
      <w:r w:rsidRPr="00B043B6">
        <w:rPr>
          <w:szCs w:val="20"/>
        </w:rPr>
        <w:t xml:space="preserve"> </w:t>
      </w:r>
      <w:r w:rsidR="00A8472D">
        <w:rPr>
          <w:i/>
          <w:iCs/>
          <w:szCs w:val="20"/>
        </w:rPr>
        <w:t>See</w:t>
      </w:r>
      <w:r>
        <w:rPr>
          <w:i/>
          <w:szCs w:val="20"/>
        </w:rPr>
        <w:t xml:space="preserve"> </w:t>
      </w:r>
      <w:r w:rsidRPr="00B043B6">
        <w:rPr>
          <w:szCs w:val="20"/>
        </w:rPr>
        <w:fldChar w:fldCharType="begin"/>
      </w:r>
      <w:r w:rsidR="00E5116B">
        <w:rPr>
          <w:szCs w:val="20"/>
        </w:rPr>
        <w:instrText xml:space="preserve"> ADDIN ZOTERO_ITEM CSL_CITATION {"citationID":"a1cgbrvv0b3","properties":{"formattedCitation":"Alan B. Vickery, {\\i{}Breach of Confidence: An Emerging Tort}, 82 {\\scaps Colum. L. Rev.} 1426, 1426 (1982)","plainCitation":"Alan B. Vickery, Breach of Confidence: An Emerging Tort, 82 Colum. L. Rev. 1426, 1426 (1982)","noteIndex":412},"citationItems":[{"id":3219,"uris":["http://zotero.org/groups/2816150/items/6AI4PKLC"],"uri":["http://zotero.org/groups/2816150/items/6AI4PKLC"],"itemData":{"id":3219,"type":"article-journal","container-title":"Columbia Law Review","issue":"7","journalAbbreviation":"Colum. L. Rev.","language":"eng","page":"1426-1468","source":"HeinOnline","title":"Breach of Confidence: An Emerging Tort","title-short":"Breach of Confidence","volume":"82","author":[{"family":"Vickery","given":"Alan B."}],"issued":{"date-parts":[["1982"]]}},"locator":"1426","label":"page"}],"schema":"https://github.com/citation-style-language/schema/raw/master/csl-citation.json"} </w:instrText>
      </w:r>
      <w:r w:rsidRPr="00B043B6">
        <w:rPr>
          <w:szCs w:val="20"/>
        </w:rPr>
        <w:fldChar w:fldCharType="separate"/>
      </w:r>
      <w:r w:rsidR="00E5116B" w:rsidRPr="00E5116B">
        <w:t xml:space="preserve">Alan B. Vickery, </w:t>
      </w:r>
      <w:r w:rsidR="00E5116B" w:rsidRPr="00E5116B">
        <w:rPr>
          <w:i/>
          <w:iCs/>
        </w:rPr>
        <w:t>Breach of Confidence: An Emerging Tort</w:t>
      </w:r>
      <w:r w:rsidR="00E5116B" w:rsidRPr="00E5116B">
        <w:t xml:space="preserve">, 82 </w:t>
      </w:r>
      <w:r w:rsidR="00E5116B" w:rsidRPr="00E5116B">
        <w:rPr>
          <w:smallCaps/>
        </w:rPr>
        <w:t>Colum. L. Rev.</w:t>
      </w:r>
      <w:r w:rsidR="00E5116B" w:rsidRPr="00E5116B">
        <w:t xml:space="preserve"> 1426, 1426 (1982)</w:t>
      </w:r>
      <w:r w:rsidRPr="00B043B6">
        <w:rPr>
          <w:szCs w:val="20"/>
        </w:rPr>
        <w:fldChar w:fldCharType="end"/>
      </w:r>
      <w:r w:rsidRPr="00B043B6">
        <w:rPr>
          <w:szCs w:val="20"/>
        </w:rPr>
        <w:t xml:space="preserve">; </w:t>
      </w:r>
      <w:r w:rsidRPr="00017FB3">
        <w:rPr>
          <w:i/>
          <w:szCs w:val="20"/>
        </w:rPr>
        <w:t>see also</w:t>
      </w:r>
      <w:r w:rsidRPr="00B043B6">
        <w:rPr>
          <w:szCs w:val="20"/>
        </w:rPr>
        <w:t xml:space="preserve"> </w:t>
      </w:r>
      <w:r w:rsidRPr="00B043B6">
        <w:rPr>
          <w:szCs w:val="20"/>
        </w:rPr>
        <w:fldChar w:fldCharType="begin"/>
      </w:r>
      <w:r w:rsidR="00E5116B">
        <w:rPr>
          <w:szCs w:val="20"/>
        </w:rPr>
        <w:instrText xml:space="preserve"> ADDIN ZOTERO_ITEM CSL_CITATION {"citationID":"a25fv5ts11h","properties":{"formattedCitation":"G. Michael Harvey, {\\i{}Confidentiality:  A Measured Response to the Failure of Privacy}, 140 {\\scaps U. Pa. L. Rev.} 2385, 2399 (1992)","plainCitation":"G. Michael Harvey, Confidentiality:  A Measured Response to the Failure of Privacy, 140 U. Pa. L. Rev. 2385, 2399 (1992)","noteIndex":412},"citationItems":[{"id":3221,"uris":["http://zotero.org/groups/2816150/items/3NYULCEC"],"uri":["http://zotero.org/groups/2816150/items/3NYULCEC"],"itemData":{"id":3221,"type":"article-journal","container-title":"University of Pennsylvania Law Review","issue":"6","journalAbbreviation":"U. Pa. L. Rev.","language":"eng","page":"2385-2470","source":"HeinOnline","title":"Confidentiality:  A Measured Response to the Failure of Privacy","title-short":"Confidentiality","volume":"140","author":[{"family":"Harvey","given":"G. Michael"}],"issued":{"date-parts":[["1992"]]}},"locator":"2399","label":"page"}],"schema":"https://github.com/citation-style-language/schema/raw/master/csl-citation.json"} </w:instrText>
      </w:r>
      <w:r w:rsidRPr="00B043B6">
        <w:rPr>
          <w:szCs w:val="20"/>
        </w:rPr>
        <w:fldChar w:fldCharType="separate"/>
      </w:r>
      <w:r w:rsidR="00E5116B" w:rsidRPr="00E5116B">
        <w:t xml:space="preserve">G. Michael Harvey, </w:t>
      </w:r>
      <w:r w:rsidR="00E5116B" w:rsidRPr="00E5116B">
        <w:rPr>
          <w:i/>
          <w:iCs/>
        </w:rPr>
        <w:t>Confidentiality: A Measured Response to the Failure of Privacy</w:t>
      </w:r>
      <w:r w:rsidR="00E5116B" w:rsidRPr="00E5116B">
        <w:t xml:space="preserve">, 140 </w:t>
      </w:r>
      <w:r w:rsidR="00E5116B" w:rsidRPr="00E5116B">
        <w:rPr>
          <w:smallCaps/>
        </w:rPr>
        <w:t>U. Pa. L. Rev.</w:t>
      </w:r>
      <w:r w:rsidR="00E5116B" w:rsidRPr="00E5116B">
        <w:t xml:space="preserve"> 2385, 2399 (1992)</w:t>
      </w:r>
      <w:r w:rsidRPr="00B043B6">
        <w:rPr>
          <w:szCs w:val="20"/>
        </w:rPr>
        <w:fldChar w:fldCharType="end"/>
      </w:r>
      <w:r w:rsidR="00D47ADF">
        <w:rPr>
          <w:szCs w:val="20"/>
        </w:rPr>
        <w:t>.</w:t>
      </w:r>
    </w:p>
  </w:footnote>
  <w:footnote w:id="425">
    <w:p w14:paraId="6B84AE30" w14:textId="5E67B00E" w:rsidR="00026BEF" w:rsidRPr="00B043B6" w:rsidRDefault="00026BEF" w:rsidP="00026BEF">
      <w:pPr>
        <w:pStyle w:val="FootnoteText"/>
        <w:rPr>
          <w:szCs w:val="20"/>
        </w:rPr>
      </w:pPr>
      <w:r w:rsidRPr="002A4234">
        <w:rPr>
          <w:rStyle w:val="FootnoteReference"/>
        </w:rPr>
        <w:footnoteRef/>
      </w:r>
      <w:r w:rsidRPr="00B043B6">
        <w:rPr>
          <w:szCs w:val="20"/>
        </w:rPr>
        <w:t xml:space="preserve"> </w:t>
      </w:r>
      <w:r w:rsidR="002B72C5">
        <w:rPr>
          <w:i/>
          <w:iCs/>
          <w:szCs w:val="20"/>
        </w:rPr>
        <w:t xml:space="preserve">See </w:t>
      </w:r>
      <w:r w:rsidR="00B41E06">
        <w:rPr>
          <w:szCs w:val="20"/>
        </w:rPr>
        <w:t xml:space="preserve">Harvey, </w:t>
      </w:r>
      <w:r w:rsidR="00B41E06">
        <w:rPr>
          <w:i/>
          <w:iCs/>
          <w:szCs w:val="20"/>
        </w:rPr>
        <w:t xml:space="preserve">supra </w:t>
      </w:r>
      <w:r w:rsidR="00B41E06">
        <w:rPr>
          <w:szCs w:val="20"/>
        </w:rPr>
        <w:t xml:space="preserve">note </w:t>
      </w:r>
      <w:r w:rsidR="00B41E06">
        <w:rPr>
          <w:szCs w:val="20"/>
        </w:rPr>
        <w:fldChar w:fldCharType="begin"/>
      </w:r>
      <w:r w:rsidR="00B41E06">
        <w:rPr>
          <w:szCs w:val="20"/>
        </w:rPr>
        <w:instrText xml:space="preserve"> NOTEREF _Ref113025135 \h </w:instrText>
      </w:r>
      <w:r w:rsidR="00B41E06">
        <w:rPr>
          <w:szCs w:val="20"/>
        </w:rPr>
      </w:r>
      <w:r w:rsidR="00B41E06">
        <w:rPr>
          <w:szCs w:val="20"/>
        </w:rPr>
        <w:fldChar w:fldCharType="separate"/>
      </w:r>
      <w:r w:rsidR="00405D69">
        <w:rPr>
          <w:szCs w:val="20"/>
        </w:rPr>
        <w:t>416</w:t>
      </w:r>
      <w:r w:rsidR="00B41E06">
        <w:rPr>
          <w:szCs w:val="20"/>
        </w:rPr>
        <w:fldChar w:fldCharType="end"/>
      </w:r>
      <w:r w:rsidR="00B41E06">
        <w:rPr>
          <w:szCs w:val="20"/>
        </w:rPr>
        <w:t xml:space="preserve">, at 2400; </w:t>
      </w:r>
      <w:r w:rsidRPr="00B043B6">
        <w:rPr>
          <w:szCs w:val="20"/>
        </w:rPr>
        <w:fldChar w:fldCharType="begin"/>
      </w:r>
      <w:r w:rsidR="00E5116B">
        <w:rPr>
          <w:szCs w:val="20"/>
        </w:rPr>
        <w:instrText xml:space="preserve"> ADDIN ZOTERO_ITEM CSL_CITATION {"citationID":"a239f2c29so","properties":{"formattedCitation":"Harvey, {\\i{}supra} note 412, at 2401; Neil M. Richards &amp; Daniel J. Solove, {\\i{}Privacy\\uc0\\u8217{}s Other Path: Recovering the Law of Confidentiality}, 96 {\\scaps Geo. L.J.} 123, 157\\uc0\\u8211{}58 (2007)","plainCitation":"Harvey, supra note 412, at 2401; Neil M. Richards &amp; Daniel J. Solove, Privacy’s Other Path: Recovering the Law of Confidentiality, 96 Geo. L.J. 123, 157–58 (2007)","noteIndex":413},"citationItems":[{"id":3221,"uris":["http://zotero.org/groups/2816150/items/3NYULCEC"],"uri":["http://zotero.org/groups/2816150/items/3NYULCEC"],"itemData":{"id":3221,"type":"article-journal","container-title":"University of Pennsylvania Law Review","issue":"6","journalAbbreviation":"U. Pa. L. Rev.","language":"eng","page":"2385-2470","source":"HeinOnline","title":"Confidentiality:  A Measured Response to the Failure of Privacy","title-short":"Confidentiality","volume":"140","author":[{"family":"Harvey","given":"G. Michael"}],"issued":{"date-parts":[["1992"]]}},"locator":"2401","label":"page"},{"id":3222,"uris":["http://zotero.org/groups/2816150/items/236FVJ73"],"uri":["http://zotero.org/groups/2816150/items/236FVJ73"],"itemData":{"id":3222,"type":"article-journal","container-title":"Georgetown Law Journal","issue":"1","journalAbbreviation":"Geo. L.J.","language":"eng","page":"123-182","source":"HeinOnline","title":"Privacy's Other Path: Recovering the Law of Confidentiality","title-short":"Privacy's Other Path","volume":"96","author":[{"family":"Richards","given":"Neil M."},{"family":"Solove","given":"Daniel J."}],"issued":{"date-parts":[["2007"]]}},"locator":"157-58","label":"page"}],"schema":"https://github.com/citation-style-language/schema/raw/master/csl-citation.json"} </w:instrText>
      </w:r>
      <w:r w:rsidRPr="00B043B6">
        <w:rPr>
          <w:szCs w:val="20"/>
        </w:rPr>
        <w:fldChar w:fldCharType="separate"/>
      </w:r>
      <w:r w:rsidR="00E5116B" w:rsidRPr="00E5116B">
        <w:t xml:space="preserve">Neil M. Richards &amp; Daniel J. Solove, </w:t>
      </w:r>
      <w:r w:rsidR="00E5116B" w:rsidRPr="00E5116B">
        <w:rPr>
          <w:i/>
          <w:iCs/>
        </w:rPr>
        <w:t>Privacy’s Other Path: Recovering the Law of Confidentiality</w:t>
      </w:r>
      <w:r w:rsidR="00E5116B" w:rsidRPr="00E5116B">
        <w:t xml:space="preserve">, 96 </w:t>
      </w:r>
      <w:r w:rsidR="00E5116B" w:rsidRPr="00E5116B">
        <w:rPr>
          <w:smallCaps/>
        </w:rPr>
        <w:t>Geo. L.J.</w:t>
      </w:r>
      <w:r w:rsidR="00E5116B" w:rsidRPr="00E5116B">
        <w:t xml:space="preserve"> 123, 157</w:t>
      </w:r>
      <w:r w:rsidR="002519D6">
        <w:t>-</w:t>
      </w:r>
      <w:r w:rsidR="00E5116B" w:rsidRPr="00E5116B">
        <w:t>58 (2007)</w:t>
      </w:r>
      <w:r w:rsidRPr="00B043B6">
        <w:rPr>
          <w:szCs w:val="20"/>
        </w:rPr>
        <w:fldChar w:fldCharType="end"/>
      </w:r>
      <w:r w:rsidR="00E96069">
        <w:rPr>
          <w:szCs w:val="20"/>
        </w:rPr>
        <w:t>.</w:t>
      </w:r>
      <w:r w:rsidR="008235CA">
        <w:rPr>
          <w:szCs w:val="20"/>
        </w:rPr>
        <w:t xml:space="preserve"> </w:t>
      </w:r>
      <w:r w:rsidR="008235CA">
        <w:t xml:space="preserve">The Supreme Court in </w:t>
      </w:r>
      <w:r w:rsidR="008235CA" w:rsidRPr="00E06B64">
        <w:rPr>
          <w:i/>
          <w:iCs/>
        </w:rPr>
        <w:t>Florida Star v. B.J.F.</w:t>
      </w:r>
      <w:r w:rsidR="008235CA">
        <w:t xml:space="preserve"> made the offhand suggestion that the government </w:t>
      </w:r>
      <w:r w:rsidR="00CF64FC">
        <w:t xml:space="preserve">perhaps should </w:t>
      </w:r>
      <w:r w:rsidR="008235CA">
        <w:t>compensate individuals when it wrongfully discloses information that those individuals “</w:t>
      </w:r>
      <w:r w:rsidR="008235CA" w:rsidRPr="007D3D09">
        <w:t>provided in confidence</w:t>
      </w:r>
      <w:r w:rsidR="008235CA">
        <w:t>.”</w:t>
      </w:r>
      <w:r w:rsidR="00CF64FC">
        <w:t xml:space="preserve"> </w:t>
      </w:r>
      <w:r w:rsidR="00CF64FC" w:rsidRPr="00B043B6">
        <w:rPr>
          <w:szCs w:val="20"/>
        </w:rPr>
        <w:t>491 U.S. 524, 538 (1989).</w:t>
      </w:r>
    </w:p>
  </w:footnote>
  <w:footnote w:id="426">
    <w:p w14:paraId="22808F09" w14:textId="55608CCB" w:rsidR="00026BEF" w:rsidRPr="00B043B6" w:rsidRDefault="00026BEF" w:rsidP="00026BEF">
      <w:pPr>
        <w:pStyle w:val="FootnoteText"/>
        <w:rPr>
          <w:szCs w:val="20"/>
        </w:rPr>
      </w:pPr>
      <w:r w:rsidRPr="002A4234">
        <w:rPr>
          <w:rStyle w:val="FootnoteReference"/>
        </w:rPr>
        <w:footnoteRef/>
      </w:r>
      <w:r w:rsidRPr="00B043B6">
        <w:rPr>
          <w:szCs w:val="20"/>
        </w:rPr>
        <w:t xml:space="preserve"> </w:t>
      </w:r>
      <w:r w:rsidR="00B427D4">
        <w:rPr>
          <w:i/>
          <w:iCs/>
          <w:szCs w:val="20"/>
        </w:rPr>
        <w:t>See</w:t>
      </w:r>
      <w:r w:rsidR="00D257E3">
        <w:rPr>
          <w:i/>
          <w:iCs/>
          <w:szCs w:val="20"/>
        </w:rPr>
        <w:t xml:space="preserve"> </w:t>
      </w:r>
      <w:r w:rsidR="00D257E3">
        <w:rPr>
          <w:szCs w:val="20"/>
        </w:rPr>
        <w:t xml:space="preserve">Vickery, </w:t>
      </w:r>
      <w:r w:rsidR="00D257E3">
        <w:rPr>
          <w:i/>
          <w:iCs/>
          <w:szCs w:val="20"/>
        </w:rPr>
        <w:t>supra</w:t>
      </w:r>
      <w:r w:rsidR="00D257E3">
        <w:rPr>
          <w:szCs w:val="20"/>
        </w:rPr>
        <w:t xml:space="preserve"> note </w:t>
      </w:r>
      <w:r w:rsidR="00D257E3">
        <w:rPr>
          <w:szCs w:val="20"/>
        </w:rPr>
        <w:fldChar w:fldCharType="begin"/>
      </w:r>
      <w:r w:rsidR="00D257E3">
        <w:rPr>
          <w:szCs w:val="20"/>
        </w:rPr>
        <w:instrText xml:space="preserve"> NOTEREF _Ref113025135 \h </w:instrText>
      </w:r>
      <w:r w:rsidR="00D257E3">
        <w:rPr>
          <w:szCs w:val="20"/>
        </w:rPr>
      </w:r>
      <w:r w:rsidR="00D257E3">
        <w:rPr>
          <w:szCs w:val="20"/>
        </w:rPr>
        <w:fldChar w:fldCharType="separate"/>
      </w:r>
      <w:r w:rsidR="00405D69">
        <w:rPr>
          <w:szCs w:val="20"/>
        </w:rPr>
        <w:t>416</w:t>
      </w:r>
      <w:r w:rsidR="00D257E3">
        <w:rPr>
          <w:szCs w:val="20"/>
        </w:rPr>
        <w:fldChar w:fldCharType="end"/>
      </w:r>
      <w:r w:rsidR="00D257E3">
        <w:rPr>
          <w:szCs w:val="20"/>
        </w:rPr>
        <w:t>, at 1427.</w:t>
      </w:r>
    </w:p>
  </w:footnote>
  <w:footnote w:id="427">
    <w:p w14:paraId="38FC036B" w14:textId="48F4972C" w:rsidR="00026BEF" w:rsidRPr="00B043B6" w:rsidRDefault="00026BEF" w:rsidP="00026BEF">
      <w:pPr>
        <w:pStyle w:val="FootnoteText"/>
        <w:rPr>
          <w:szCs w:val="20"/>
        </w:rPr>
      </w:pPr>
      <w:r w:rsidRPr="002A4234">
        <w:rPr>
          <w:rStyle w:val="FootnoteReference"/>
        </w:rPr>
        <w:footnoteRef/>
      </w:r>
      <w:r w:rsidRPr="00B043B6">
        <w:rPr>
          <w:szCs w:val="20"/>
        </w:rPr>
        <w:t xml:space="preserve"> </w:t>
      </w:r>
      <w:r w:rsidR="00B427D4">
        <w:rPr>
          <w:i/>
          <w:iCs/>
          <w:szCs w:val="20"/>
        </w:rPr>
        <w:t xml:space="preserve">See </w:t>
      </w:r>
      <w:r w:rsidR="00B41E06">
        <w:rPr>
          <w:szCs w:val="20"/>
        </w:rPr>
        <w:t xml:space="preserve">Richards &amp; Solove, </w:t>
      </w:r>
      <w:r w:rsidR="00B41E06">
        <w:rPr>
          <w:i/>
          <w:iCs/>
          <w:szCs w:val="20"/>
        </w:rPr>
        <w:t xml:space="preserve">supra </w:t>
      </w:r>
      <w:r w:rsidR="00B41E06">
        <w:rPr>
          <w:szCs w:val="20"/>
        </w:rPr>
        <w:t xml:space="preserve">note </w:t>
      </w:r>
      <w:r w:rsidR="00B41E06">
        <w:rPr>
          <w:szCs w:val="20"/>
        </w:rPr>
        <w:fldChar w:fldCharType="begin"/>
      </w:r>
      <w:r w:rsidR="00B41E06">
        <w:rPr>
          <w:szCs w:val="20"/>
        </w:rPr>
        <w:instrText xml:space="preserve"> NOTEREF _Ref113025263 \h </w:instrText>
      </w:r>
      <w:r w:rsidR="00B41E06">
        <w:rPr>
          <w:szCs w:val="20"/>
        </w:rPr>
      </w:r>
      <w:r w:rsidR="00B41E06">
        <w:rPr>
          <w:szCs w:val="20"/>
        </w:rPr>
        <w:fldChar w:fldCharType="separate"/>
      </w:r>
      <w:r w:rsidR="00405D69">
        <w:rPr>
          <w:szCs w:val="20"/>
        </w:rPr>
        <w:t>417</w:t>
      </w:r>
      <w:r w:rsidR="00B41E06">
        <w:rPr>
          <w:szCs w:val="20"/>
        </w:rPr>
        <w:fldChar w:fldCharType="end"/>
      </w:r>
      <w:r w:rsidR="00B41E06">
        <w:rPr>
          <w:szCs w:val="20"/>
        </w:rPr>
        <w:t>, at 134.</w:t>
      </w:r>
    </w:p>
  </w:footnote>
  <w:footnote w:id="428">
    <w:p w14:paraId="313875FD" w14:textId="2E12F4AF" w:rsidR="00AA1D05" w:rsidRPr="00F914EB" w:rsidRDefault="00AA1D05" w:rsidP="00F914EB">
      <w:pPr>
        <w:pStyle w:val="FootnoteText"/>
      </w:pPr>
      <w:r w:rsidRPr="002A4234">
        <w:rPr>
          <w:rStyle w:val="FootnoteReference"/>
        </w:rPr>
        <w:footnoteRef/>
      </w:r>
      <w:r w:rsidRPr="00B043B6">
        <w:rPr>
          <w:szCs w:val="20"/>
        </w:rPr>
        <w:t xml:space="preserve"> </w:t>
      </w:r>
      <w:r w:rsidR="00E94D59" w:rsidRPr="00B043B6">
        <w:rPr>
          <w:szCs w:val="20"/>
        </w:rPr>
        <w:t>Some commentator</w:t>
      </w:r>
      <w:r w:rsidR="00E94D59">
        <w:t>s see the persistence of citizen</w:t>
      </w:r>
      <w:r w:rsidR="009F58F8">
        <w:t>’</w:t>
      </w:r>
      <w:r w:rsidR="00E94D59">
        <w:t>s arrest laws as deeply concerning.</w:t>
      </w:r>
      <w:r>
        <w:t xml:space="preserve"> </w:t>
      </w:r>
      <w:r w:rsidR="002A418A">
        <w:rPr>
          <w:i/>
          <w:iCs/>
        </w:rPr>
        <w:t>See</w:t>
      </w:r>
      <w:r w:rsidR="00435989">
        <w:rPr>
          <w:i/>
          <w:iCs/>
        </w:rPr>
        <w:t xml:space="preserve"> generally</w:t>
      </w:r>
      <w:r w:rsidR="00EA639A">
        <w:rPr>
          <w:smallCaps/>
        </w:rPr>
        <w:t xml:space="preserve"> </w:t>
      </w:r>
      <w:r w:rsidR="00F914EB">
        <w:t>Chad Flanders</w:t>
      </w:r>
      <w:r w:rsidR="008206E4">
        <w:t>, Raina Brooks, Jack Compton &amp; Lyz Riley</w:t>
      </w:r>
      <w:r w:rsidR="00F914EB">
        <w:t xml:space="preserve">, </w:t>
      </w:r>
      <w:r w:rsidR="00F914EB" w:rsidRPr="00EA639A">
        <w:rPr>
          <w:i/>
          <w:iCs/>
        </w:rPr>
        <w:t>Th</w:t>
      </w:r>
      <w:r w:rsidR="00F914EB" w:rsidRPr="00F914EB">
        <w:rPr>
          <w:i/>
          <w:iCs/>
        </w:rPr>
        <w:t>e Puzzling Persistence of Citizen</w:t>
      </w:r>
      <w:r w:rsidR="00604678">
        <w:rPr>
          <w:i/>
          <w:iCs/>
        </w:rPr>
        <w:t>’</w:t>
      </w:r>
      <w:r w:rsidR="00F914EB" w:rsidRPr="00F914EB">
        <w:rPr>
          <w:i/>
          <w:iCs/>
        </w:rPr>
        <w:t>s Arrest Laws and the Need to Revisit Them</w:t>
      </w:r>
      <w:r w:rsidR="00F914EB">
        <w:t xml:space="preserve">, 64 </w:t>
      </w:r>
      <w:r w:rsidR="00F914EB" w:rsidRPr="00F914EB">
        <w:rPr>
          <w:smallCaps/>
        </w:rPr>
        <w:t>How. L.J. 1</w:t>
      </w:r>
      <w:r w:rsidR="00F914EB">
        <w:t>61 (2020)</w:t>
      </w:r>
      <w:r w:rsidR="009F58F8">
        <w:t xml:space="preserve"> (providing an overview of citizen’s arrest laws, critiquing them as having been hijacked in the name of white supremacy, and proposing some reforms)</w:t>
      </w:r>
      <w:r w:rsidR="00E10111">
        <w:t>.</w:t>
      </w:r>
    </w:p>
  </w:footnote>
  <w:footnote w:id="429">
    <w:p w14:paraId="2473EF6E" w14:textId="77777777" w:rsidR="00CD3E39" w:rsidRDefault="00CD3E39" w:rsidP="00CD3E39">
      <w:pPr>
        <w:pStyle w:val="FootnoteText"/>
      </w:pPr>
      <w:r w:rsidRPr="002A4234">
        <w:rPr>
          <w:rStyle w:val="FootnoteReference"/>
        </w:rPr>
        <w:footnoteRef/>
      </w:r>
      <w:r>
        <w:t xml:space="preserve"> 532 U.S. 318 (2001)</w:t>
      </w:r>
    </w:p>
  </w:footnote>
  <w:footnote w:id="430">
    <w:p w14:paraId="6A9D1187" w14:textId="772CC878" w:rsidR="00263BC7" w:rsidRPr="00263BC7" w:rsidRDefault="00263BC7">
      <w:pPr>
        <w:pStyle w:val="FootnoteText"/>
      </w:pPr>
      <w:r w:rsidRPr="002A4234">
        <w:rPr>
          <w:rStyle w:val="FootnoteReference"/>
        </w:rPr>
        <w:footnoteRef/>
      </w:r>
      <w:r>
        <w:t xml:space="preserve"> </w:t>
      </w:r>
      <w:r>
        <w:rPr>
          <w:i/>
          <w:iCs/>
        </w:rPr>
        <w:t>See id.</w:t>
      </w:r>
      <w:r>
        <w:t xml:space="preserve"> at 344</w:t>
      </w:r>
      <w:r w:rsidR="0063305C">
        <w:t>-</w:t>
      </w:r>
      <w:r>
        <w:t>45.</w:t>
      </w:r>
    </w:p>
  </w:footnote>
  <w:footnote w:id="431">
    <w:p w14:paraId="2280F11C" w14:textId="32A4DBCF" w:rsidR="00E92C10" w:rsidRDefault="00E92C10">
      <w:pPr>
        <w:pStyle w:val="FootnoteText"/>
      </w:pPr>
      <w:r w:rsidRPr="002A4234">
        <w:rPr>
          <w:rStyle w:val="FootnoteReference"/>
        </w:rPr>
        <w:footnoteRef/>
      </w:r>
      <w:r>
        <w:t xml:space="preserve"> </w:t>
      </w:r>
      <w:r w:rsidR="007C6C80" w:rsidRPr="007C6C80">
        <w:t>392 U.S. 1 (1968)</w:t>
      </w:r>
      <w:r w:rsidR="007C6C80">
        <w:t>.</w:t>
      </w:r>
    </w:p>
  </w:footnote>
  <w:footnote w:id="432">
    <w:p w14:paraId="438DA166" w14:textId="660FD6FE" w:rsidR="00176D49" w:rsidRPr="00176D49" w:rsidRDefault="00176D49">
      <w:pPr>
        <w:pStyle w:val="FootnoteText"/>
      </w:pPr>
      <w:r w:rsidRPr="002A4234">
        <w:rPr>
          <w:rStyle w:val="FootnoteReference"/>
        </w:rPr>
        <w:footnoteRef/>
      </w:r>
      <w:r>
        <w:t xml:space="preserve"> </w:t>
      </w:r>
      <w:r>
        <w:rPr>
          <w:i/>
          <w:iCs/>
        </w:rPr>
        <w:t>See</w:t>
      </w:r>
      <w:r>
        <w:t xml:space="preserve"> </w:t>
      </w:r>
      <w:r>
        <w:rPr>
          <w:i/>
          <w:iCs/>
        </w:rPr>
        <w:t>id.</w:t>
      </w:r>
      <w:r>
        <w:t xml:space="preserve"> at 37</w:t>
      </w:r>
      <w:r w:rsidR="002C5908">
        <w:t>-</w:t>
      </w:r>
      <w:r>
        <w:t xml:space="preserve">39 (Douglas, J., dissenting). </w:t>
      </w:r>
    </w:p>
  </w:footnote>
  <w:footnote w:id="433">
    <w:p w14:paraId="68834CE4" w14:textId="08B7C184" w:rsidR="007031B2" w:rsidRDefault="007031B2">
      <w:pPr>
        <w:pStyle w:val="FootnoteText"/>
      </w:pPr>
      <w:r w:rsidRPr="002A4234">
        <w:rPr>
          <w:rStyle w:val="FootnoteReference"/>
        </w:rPr>
        <w:footnoteRef/>
      </w:r>
      <w:r>
        <w:t xml:space="preserve"> </w:t>
      </w:r>
      <w:r w:rsidR="00B31CE7">
        <w:t xml:space="preserve"> </w:t>
      </w:r>
      <w:r w:rsidR="00B31CE7" w:rsidRPr="00B31CE7">
        <w:t>Hiibel v. Sixth Judicial Dist. Ct., 542 U</w:t>
      </w:r>
      <w:r w:rsidR="0007449F">
        <w:t>.</w:t>
      </w:r>
      <w:r w:rsidR="00B31CE7" w:rsidRPr="00B31CE7">
        <w:t>S</w:t>
      </w:r>
      <w:r w:rsidR="0007449F">
        <w:t>.</w:t>
      </w:r>
      <w:r w:rsidR="00B31CE7" w:rsidRPr="00B31CE7">
        <w:t xml:space="preserve"> 177</w:t>
      </w:r>
      <w:r w:rsidR="00E4233F">
        <w:t xml:space="preserve">, </w:t>
      </w:r>
      <w:r w:rsidR="0007449F">
        <w:t xml:space="preserve">183 (2004) </w:t>
      </w:r>
      <w:r>
        <w:t xml:space="preserve">(quoting </w:t>
      </w:r>
      <w:r w:rsidRPr="007031B2">
        <w:t xml:space="preserve">2 </w:t>
      </w:r>
      <w:r w:rsidRPr="007031B2">
        <w:rPr>
          <w:smallCaps/>
        </w:rPr>
        <w:t>W</w:t>
      </w:r>
      <w:r w:rsidR="00610E2B">
        <w:rPr>
          <w:smallCaps/>
        </w:rPr>
        <w:t>illiam</w:t>
      </w:r>
      <w:r w:rsidRPr="007031B2">
        <w:rPr>
          <w:smallCaps/>
        </w:rPr>
        <w:t xml:space="preserve"> Hawkins, Pleas of the Crown,</w:t>
      </w:r>
      <w:r w:rsidRPr="007031B2">
        <w:t xml:space="preserve"> §</w:t>
      </w:r>
      <w:r w:rsidR="002B2A63">
        <w:t> </w:t>
      </w:r>
      <w:r w:rsidRPr="007031B2">
        <w:t xml:space="preserve">6, </w:t>
      </w:r>
      <w:r w:rsidR="002F1C4C">
        <w:t>at</w:t>
      </w:r>
      <w:r w:rsidRPr="007031B2">
        <w:t xml:space="preserve"> 130 (6th ed. 1787)</w:t>
      </w:r>
      <w:r>
        <w:t xml:space="preserve">). </w:t>
      </w:r>
    </w:p>
  </w:footnote>
  <w:footnote w:id="434">
    <w:p w14:paraId="61CDABBA" w14:textId="34056B77" w:rsidR="00414C24" w:rsidRDefault="00414C24">
      <w:pPr>
        <w:pStyle w:val="FootnoteText"/>
      </w:pPr>
      <w:r w:rsidRPr="002A4234">
        <w:rPr>
          <w:rStyle w:val="FootnoteReference"/>
        </w:rPr>
        <w:footnoteRef/>
      </w:r>
      <w:r>
        <w:t xml:space="preserve"> </w:t>
      </w:r>
      <w:r w:rsidRPr="002D2E5B">
        <w:t>508 U.S. 366</w:t>
      </w:r>
      <w:r>
        <w:t xml:space="preserve">, </w:t>
      </w:r>
      <w:r w:rsidR="0072430A">
        <w:t>381</w:t>
      </w:r>
      <w:r w:rsidR="0072430A" w:rsidRPr="002D2E5B">
        <w:t xml:space="preserve"> </w:t>
      </w:r>
      <w:r w:rsidRPr="002D2E5B">
        <w:t>(1993)</w:t>
      </w:r>
      <w:r>
        <w:t xml:space="preserve"> (Scalia, J., concurring).</w:t>
      </w:r>
      <w:r w:rsidR="00A30A46">
        <w:t xml:space="preserve"> Sklansky </w:t>
      </w:r>
      <w:r w:rsidR="008E43D0">
        <w:t xml:space="preserve">questions Justice Scalia’s reading of the history. </w:t>
      </w:r>
      <w:r w:rsidR="008E43D0">
        <w:fldChar w:fldCharType="begin"/>
      </w:r>
      <w:r w:rsidR="00E5116B">
        <w:instrText xml:space="preserve"> ADDIN ZOTERO_ITEM CSL_CITATION {"citationID":"OquNsqh5","properties":{"formattedCitation":"{\\i{}See} Sklansky, {\\i{}supra} note 23, at 1804\\uc0\\u8211{}5","plainCitation":"See Sklansky, supra note 23, at 1804–5","noteIndex":422},"citationItems":[{"id":2977,"uris":["http://zotero.org/groups/2816150/items/PD4ANHYI"],"uri":["http://zotero.org/groups/2816150/items/PD4ANHYI"],"itemData":{"id":2977,"type":"article-journal","container-title":"Columbia Law Review","journalAbbreviation":"Colum. L. Rev.","page":"1739–1814","source":"Google Scholar","title":"The Fourth Amendment and Common Law","volume":"100","author":[{"family":"Sklansky","given":"David A."}],"issued":{"date-parts":[["2000"]]}},"locator":"1804-05","label":"page","prefix":"&lt;i&gt;See&lt;/i&gt; "}],"schema":"https://github.com/citation-style-language/schema/raw/master/csl-citation.json"} </w:instrText>
      </w:r>
      <w:r w:rsidR="008E43D0">
        <w:fldChar w:fldCharType="separate"/>
      </w:r>
      <w:r w:rsidR="00E5116B" w:rsidRPr="00E5116B">
        <w:rPr>
          <w:i/>
          <w:iCs/>
        </w:rPr>
        <w:t>See</w:t>
      </w:r>
      <w:r w:rsidR="00E5116B" w:rsidRPr="00E5116B">
        <w:t xml:space="preserve"> Sklansky, </w:t>
      </w:r>
      <w:r w:rsidR="00E5116B" w:rsidRPr="00E5116B">
        <w:rPr>
          <w:i/>
          <w:iCs/>
        </w:rPr>
        <w:t>supra</w:t>
      </w:r>
      <w:r w:rsidR="00E5116B" w:rsidRPr="00E5116B">
        <w:t xml:space="preserve"> note </w:t>
      </w:r>
      <w:r w:rsidR="002B2A63">
        <w:fldChar w:fldCharType="begin"/>
      </w:r>
      <w:r w:rsidR="002B2A63">
        <w:instrText xml:space="preserve"> NOTEREF _Ref113021312 \h </w:instrText>
      </w:r>
      <w:r w:rsidR="002B2A63">
        <w:fldChar w:fldCharType="separate"/>
      </w:r>
      <w:r w:rsidR="00405D69">
        <w:t>24</w:t>
      </w:r>
      <w:r w:rsidR="002B2A63">
        <w:fldChar w:fldCharType="end"/>
      </w:r>
      <w:r w:rsidR="00E5116B" w:rsidRPr="00E5116B">
        <w:t>, at 1804</w:t>
      </w:r>
      <w:r w:rsidR="002B2A63">
        <w:t>-</w:t>
      </w:r>
      <w:r w:rsidR="007912A3" w:rsidRPr="00E5116B">
        <w:t>5</w:t>
      </w:r>
      <w:r w:rsidR="008E43D0">
        <w:fldChar w:fldCharType="end"/>
      </w:r>
      <w:r w:rsidR="00D47ADF">
        <w:t>.</w:t>
      </w:r>
    </w:p>
  </w:footnote>
  <w:footnote w:id="435">
    <w:p w14:paraId="2F59846A" w14:textId="55485575" w:rsidR="002969D4" w:rsidRPr="00AA4F58" w:rsidRDefault="002969D4">
      <w:pPr>
        <w:pStyle w:val="FootnoteText"/>
        <w:rPr>
          <w:i/>
        </w:rPr>
      </w:pPr>
      <w:r w:rsidRPr="002A4234">
        <w:rPr>
          <w:rStyle w:val="FootnoteReference"/>
        </w:rPr>
        <w:footnoteRef/>
      </w:r>
      <w:r>
        <w:t xml:space="preserve"> </w:t>
      </w:r>
      <w:r w:rsidR="00AA4F58">
        <w:rPr>
          <w:i/>
          <w:iCs/>
        </w:rPr>
        <w:t xml:space="preserve">See </w:t>
      </w:r>
      <w:r w:rsidR="00AA4F58" w:rsidRPr="00AA4F58">
        <w:t>Mitchell v. Wisconsin, 139 S. Ct. 2525, 2534 (2019)</w:t>
      </w:r>
      <w:r w:rsidR="00AA4F58">
        <w:t>.</w:t>
      </w:r>
    </w:p>
  </w:footnote>
  <w:footnote w:id="436">
    <w:p w14:paraId="0EEBBDB4" w14:textId="1D386854" w:rsidR="00066681" w:rsidRPr="00066681" w:rsidRDefault="00066681" w:rsidP="00197B15">
      <w:pPr>
        <w:pStyle w:val="FootnoteText"/>
      </w:pPr>
      <w:r>
        <w:rPr>
          <w:rStyle w:val="FootnoteReference"/>
        </w:rPr>
        <w:footnoteRef/>
      </w:r>
      <w:r>
        <w:t xml:space="preserve"> </w:t>
      </w:r>
      <w:r>
        <w:rPr>
          <w:i/>
          <w:iCs/>
        </w:rPr>
        <w:t>See</w:t>
      </w:r>
      <w:r w:rsidR="008E2A10">
        <w:rPr>
          <w:i/>
          <w:iCs/>
        </w:rPr>
        <w:t xml:space="preserve"> </w:t>
      </w:r>
      <w:r w:rsidR="00197B15">
        <w:t>United States v. Matlock, 415 U.S. 164, 169</w:t>
      </w:r>
      <w:r w:rsidR="000962B6">
        <w:t>–171</w:t>
      </w:r>
      <w:r w:rsidR="00197B15">
        <w:t xml:space="preserve"> (1974)</w:t>
      </w:r>
    </w:p>
  </w:footnote>
  <w:footnote w:id="437">
    <w:p w14:paraId="16C85F58" w14:textId="0A21414F" w:rsidR="001F0DCD" w:rsidRDefault="001F0DCD" w:rsidP="001F0DCD">
      <w:pPr>
        <w:pStyle w:val="FootnoteText"/>
      </w:pPr>
      <w:r w:rsidRPr="002A4234">
        <w:rPr>
          <w:rStyle w:val="FootnoteReference"/>
        </w:rPr>
        <w:footnoteRef/>
      </w:r>
      <w:r>
        <w:t xml:space="preserve"> </w:t>
      </w:r>
      <w:r w:rsidR="00241E22">
        <w:rPr>
          <w:i/>
        </w:rPr>
        <w:t>See</w:t>
      </w:r>
      <w:r>
        <w:rPr>
          <w:i/>
        </w:rPr>
        <w:t xml:space="preserve"> </w:t>
      </w:r>
      <w:r>
        <w:t xml:space="preserve">Illinois v. Rodriguez, </w:t>
      </w:r>
      <w:r w:rsidRPr="00F517A4">
        <w:t>497 U.S. 177</w:t>
      </w:r>
      <w:r w:rsidR="008D568C">
        <w:t>, 188</w:t>
      </w:r>
      <w:r w:rsidRPr="00F517A4">
        <w:t xml:space="preserve"> (1990)</w:t>
      </w:r>
      <w:r>
        <w:t>.</w:t>
      </w:r>
    </w:p>
  </w:footnote>
  <w:footnote w:id="438">
    <w:p w14:paraId="49350195" w14:textId="004BC491" w:rsidR="00E5538D" w:rsidRDefault="00E5538D">
      <w:pPr>
        <w:pStyle w:val="FootnoteText"/>
      </w:pPr>
      <w:r w:rsidRPr="002A4234">
        <w:rPr>
          <w:rStyle w:val="FootnoteReference"/>
        </w:rPr>
        <w:footnoteRef/>
      </w:r>
      <w:r>
        <w:t xml:space="preserve"> </w:t>
      </w:r>
      <w:r w:rsidR="005563B9" w:rsidRPr="005563B9">
        <w:t>Weirton Med. Ctr., Inc. v. Introublezone, Inc., 193 A.3d 967, 97</w:t>
      </w:r>
      <w:r w:rsidR="00D323CF">
        <w:t>4-7</w:t>
      </w:r>
      <w:r w:rsidR="005563B9" w:rsidRPr="005563B9">
        <w:t>5</w:t>
      </w:r>
      <w:r w:rsidR="005563B9">
        <w:t xml:space="preserve"> (Pa. </w:t>
      </w:r>
      <w:r w:rsidR="00031D22">
        <w:t xml:space="preserve">Super. Ct. </w:t>
      </w:r>
      <w:r w:rsidR="005563B9">
        <w:t>2018).</w:t>
      </w:r>
    </w:p>
  </w:footnote>
  <w:footnote w:id="439">
    <w:p w14:paraId="43E8BC3E" w14:textId="5E74E1F2" w:rsidR="00C83C15" w:rsidRDefault="00C83C15" w:rsidP="008E2A10">
      <w:pPr>
        <w:pStyle w:val="FootnoteText"/>
      </w:pPr>
      <w:r>
        <w:rPr>
          <w:rStyle w:val="FootnoteReference"/>
        </w:rPr>
        <w:footnoteRef/>
      </w:r>
      <w:r>
        <w:t xml:space="preserve"> </w:t>
      </w:r>
      <w:r w:rsidR="008E2A10">
        <w:rPr>
          <w:i/>
          <w:iCs/>
        </w:rPr>
        <w:t xml:space="preserve">See </w:t>
      </w:r>
      <w:r>
        <w:t>Mincey v. Arizona, 437 U.S. 385, 394 (1978)</w:t>
      </w:r>
      <w:r w:rsidR="008E2A10">
        <w:t>.</w:t>
      </w:r>
    </w:p>
  </w:footnote>
  <w:footnote w:id="440">
    <w:p w14:paraId="6398382D" w14:textId="1E22EB3E" w:rsidR="00A54102" w:rsidRDefault="00A54102">
      <w:pPr>
        <w:pStyle w:val="FootnoteText"/>
      </w:pPr>
      <w:r w:rsidRPr="002A4234">
        <w:rPr>
          <w:rStyle w:val="FootnoteReference"/>
        </w:rPr>
        <w:footnoteRef/>
      </w:r>
      <w:r>
        <w:t xml:space="preserve"> </w:t>
      </w:r>
      <w:r w:rsidR="00D33F0C">
        <w:rPr>
          <w:i/>
          <w:iCs/>
        </w:rPr>
        <w:t>See, e.g.</w:t>
      </w:r>
      <w:r w:rsidR="00D33F0C">
        <w:t>,</w:t>
      </w:r>
      <w:r>
        <w:t xml:space="preserve"> </w:t>
      </w:r>
      <w:r w:rsidRPr="00A54102">
        <w:t>Ploof v. Putnam</w:t>
      </w:r>
      <w:r>
        <w:t>,</w:t>
      </w:r>
      <w:r w:rsidRPr="00A54102">
        <w:t xml:space="preserve"> 75 A. 277</w:t>
      </w:r>
      <w:r w:rsidR="00BE2089">
        <w:t>, 278</w:t>
      </w:r>
      <w:r w:rsidRPr="00A54102">
        <w:t xml:space="preserve"> (</w:t>
      </w:r>
      <w:r>
        <w:t xml:space="preserve">Vt. </w:t>
      </w:r>
      <w:r w:rsidRPr="00A54102">
        <w:t>1910)</w:t>
      </w:r>
      <w:r>
        <w:t>.</w:t>
      </w:r>
    </w:p>
  </w:footnote>
  <w:footnote w:id="441">
    <w:p w14:paraId="792F94D7" w14:textId="4EF87D23" w:rsidR="004F5E0E" w:rsidRPr="00B94067" w:rsidRDefault="004F5E0E">
      <w:pPr>
        <w:pStyle w:val="FootnoteText"/>
      </w:pPr>
      <w:r w:rsidRPr="002A4234">
        <w:rPr>
          <w:rStyle w:val="FootnoteReference"/>
        </w:rPr>
        <w:footnoteRef/>
      </w:r>
      <w:r>
        <w:t xml:space="preserve"> </w:t>
      </w:r>
      <w:bookmarkStart w:id="102" w:name="_Hlk96533134"/>
      <w:r w:rsidR="00B94067">
        <w:rPr>
          <w:i/>
          <w:iCs/>
        </w:rPr>
        <w:t>See, e.g.</w:t>
      </w:r>
      <w:r w:rsidR="00B94067">
        <w:t xml:space="preserve">, Arizona v. Hicks, </w:t>
      </w:r>
      <w:r w:rsidR="005A155D" w:rsidRPr="005A155D">
        <w:t>480 U.S. 321</w:t>
      </w:r>
      <w:r w:rsidR="005A155D">
        <w:t>, 32</w:t>
      </w:r>
      <w:r w:rsidR="00140423">
        <w:t>7</w:t>
      </w:r>
      <w:r w:rsidR="005A155D" w:rsidRPr="005A155D">
        <w:t xml:space="preserve"> (1987)</w:t>
      </w:r>
      <w:r w:rsidR="005A155D">
        <w:t>.</w:t>
      </w:r>
      <w:bookmarkEnd w:id="102"/>
    </w:p>
  </w:footnote>
  <w:footnote w:id="442">
    <w:p w14:paraId="644EBFCD" w14:textId="177D4421" w:rsidR="009B6F8D" w:rsidRDefault="009B6F8D" w:rsidP="00017FB3">
      <w:r w:rsidRPr="002A4234">
        <w:rPr>
          <w:rStyle w:val="FootnoteReference"/>
        </w:rPr>
        <w:footnoteRef/>
      </w:r>
      <w:r>
        <w:t xml:space="preserve"> </w:t>
      </w:r>
      <w:r w:rsidR="00612C0B" w:rsidRPr="00017FB3">
        <w:rPr>
          <w:i/>
          <w:sz w:val="20"/>
          <w:szCs w:val="20"/>
        </w:rPr>
        <w:t>See, e.g.</w:t>
      </w:r>
      <w:r w:rsidR="00612C0B" w:rsidRPr="00017FB3">
        <w:rPr>
          <w:sz w:val="20"/>
          <w:szCs w:val="20"/>
        </w:rPr>
        <w:t xml:space="preserve">, </w:t>
      </w:r>
      <w:r w:rsidR="00724274" w:rsidRPr="00017FB3">
        <w:rPr>
          <w:sz w:val="20"/>
          <w:szCs w:val="20"/>
        </w:rPr>
        <w:t>Bliss v. Bo</w:t>
      </w:r>
      <w:r w:rsidR="003C5714" w:rsidRPr="00017FB3">
        <w:rPr>
          <w:sz w:val="20"/>
          <w:szCs w:val="20"/>
        </w:rPr>
        <w:t>s.</w:t>
      </w:r>
      <w:r w:rsidR="00724274" w:rsidRPr="00017FB3">
        <w:rPr>
          <w:sz w:val="20"/>
          <w:szCs w:val="20"/>
        </w:rPr>
        <w:t xml:space="preserve"> Clear Water</w:t>
      </w:r>
      <w:r w:rsidR="003C5714" w:rsidRPr="00017FB3">
        <w:rPr>
          <w:sz w:val="20"/>
          <w:szCs w:val="20"/>
        </w:rPr>
        <w:t xml:space="preserve">, LLC, </w:t>
      </w:r>
      <w:r w:rsidR="00AE171C" w:rsidRPr="00017FB3">
        <w:rPr>
          <w:sz w:val="20"/>
          <w:szCs w:val="20"/>
        </w:rPr>
        <w:t>MISC</w:t>
      </w:r>
      <w:r w:rsidR="00BD3F4C" w:rsidRPr="00017FB3">
        <w:rPr>
          <w:sz w:val="20"/>
          <w:szCs w:val="20"/>
        </w:rPr>
        <w:t xml:space="preserve"> 17-000522</w:t>
      </w:r>
      <w:r w:rsidR="00AE171C" w:rsidRPr="00017FB3">
        <w:rPr>
          <w:sz w:val="20"/>
          <w:szCs w:val="20"/>
        </w:rPr>
        <w:t>, slip op. at 21</w:t>
      </w:r>
      <w:r w:rsidR="003C5714" w:rsidRPr="00017FB3">
        <w:rPr>
          <w:sz w:val="20"/>
          <w:szCs w:val="20"/>
        </w:rPr>
        <w:t xml:space="preserve"> (Mass. Land Ct. 2020)</w:t>
      </w:r>
      <w:r w:rsidR="000C119B" w:rsidRPr="00017FB3">
        <w:rPr>
          <w:sz w:val="20"/>
          <w:szCs w:val="20"/>
        </w:rPr>
        <w:t xml:space="preserve">, </w:t>
      </w:r>
      <w:r w:rsidR="00AE7857" w:rsidRPr="00017FB3">
        <w:rPr>
          <w:sz w:val="20"/>
          <w:szCs w:val="20"/>
        </w:rPr>
        <w:t>http://masscases.com/cases/land/2020/2020-17-000522-DECISION.html [</w:t>
      </w:r>
      <w:r w:rsidR="006D2C49" w:rsidRPr="00017FB3">
        <w:rPr>
          <w:sz w:val="20"/>
          <w:szCs w:val="20"/>
        </w:rPr>
        <w:t>https://perma.cc/F76K-BMEC</w:t>
      </w:r>
      <w:r w:rsidR="00AE7857" w:rsidRPr="00017FB3">
        <w:rPr>
          <w:sz w:val="20"/>
          <w:szCs w:val="20"/>
        </w:rPr>
        <w:t xml:space="preserve">] </w:t>
      </w:r>
      <w:r w:rsidR="003C5714" w:rsidRPr="00017FB3">
        <w:rPr>
          <w:sz w:val="20"/>
          <w:szCs w:val="20"/>
        </w:rPr>
        <w:t>(</w:t>
      </w:r>
      <w:r w:rsidR="00933D94">
        <w:rPr>
          <w:sz w:val="20"/>
          <w:szCs w:val="20"/>
        </w:rPr>
        <w:t xml:space="preserve">permitting </w:t>
      </w:r>
      <w:r w:rsidR="003C5714" w:rsidRPr="00017FB3">
        <w:rPr>
          <w:sz w:val="20"/>
          <w:szCs w:val="20"/>
        </w:rPr>
        <w:t>retrieval of lost dog).</w:t>
      </w:r>
    </w:p>
  </w:footnote>
  <w:footnote w:id="443">
    <w:p w14:paraId="3BBC2B2E" w14:textId="4CCC12D5" w:rsidR="009B6F8D" w:rsidRDefault="009B6F8D">
      <w:pPr>
        <w:pStyle w:val="FootnoteText"/>
      </w:pPr>
      <w:r w:rsidRPr="002A4234">
        <w:rPr>
          <w:rStyle w:val="FootnoteReference"/>
        </w:rPr>
        <w:footnoteRef/>
      </w:r>
      <w:r w:rsidR="001B3E40">
        <w:t xml:space="preserve"> </w:t>
      </w:r>
      <w:r w:rsidR="00B208E5">
        <w:rPr>
          <w:i/>
          <w:iCs/>
        </w:rPr>
        <w:t>See</w:t>
      </w:r>
      <w:r w:rsidR="001B3E40">
        <w:rPr>
          <w:i/>
        </w:rPr>
        <w:t xml:space="preserve"> </w:t>
      </w:r>
      <w:r w:rsidR="004D43A3" w:rsidRPr="004D43A3">
        <w:t>State v. Yelovich, 426 P.3d 723, 733 (</w:t>
      </w:r>
      <w:r w:rsidR="006C5AC4">
        <w:t xml:space="preserve">Wash. </w:t>
      </w:r>
      <w:r w:rsidR="004D43A3" w:rsidRPr="004D43A3">
        <w:t>2018)</w:t>
      </w:r>
      <w:r w:rsidR="004D43A3">
        <w:t xml:space="preserve"> (</w:t>
      </w:r>
      <w:r w:rsidR="00D17D5F">
        <w:t>“[T]he</w:t>
      </w:r>
      <w:r w:rsidR="00190246" w:rsidRPr="004D43A3">
        <w:t xml:space="preserve"> </w:t>
      </w:r>
      <w:r w:rsidR="004D43A3" w:rsidRPr="004D43A3">
        <w:t>trend of modern law</w:t>
      </w:r>
      <w:r w:rsidR="008B5C1A">
        <w:t> </w:t>
      </w:r>
      <w:r w:rsidR="00190246" w:rsidRPr="003828FE">
        <w:t>. . .</w:t>
      </w:r>
      <w:r w:rsidR="008B5C1A">
        <w:t> </w:t>
      </w:r>
      <w:r w:rsidR="004D43A3" w:rsidRPr="004D43A3">
        <w:t>has been to limit the circumstances in which individuals may engage in violent self-help</w:t>
      </w:r>
      <w:r w:rsidR="00D17D5F">
        <w:t>.</w:t>
      </w:r>
      <w:r w:rsidR="004D43A3">
        <w:t>”).</w:t>
      </w:r>
    </w:p>
  </w:footnote>
  <w:footnote w:id="444">
    <w:p w14:paraId="3CFC9599" w14:textId="4BFB4840" w:rsidR="007A70A5" w:rsidRDefault="007A70A5" w:rsidP="00762338">
      <w:pPr>
        <w:pStyle w:val="FootnoteText"/>
      </w:pPr>
      <w:r w:rsidRPr="002A4234">
        <w:rPr>
          <w:rStyle w:val="FootnoteReference"/>
        </w:rPr>
        <w:footnoteRef/>
      </w:r>
      <w:r>
        <w:t xml:space="preserve"> </w:t>
      </w:r>
      <w:r w:rsidR="00976669">
        <w:rPr>
          <w:i/>
          <w:iCs/>
        </w:rPr>
        <w:t xml:space="preserve">See </w:t>
      </w:r>
      <w:r w:rsidR="00976669">
        <w:t>Warden v. Hayden, 387 U.S. 294, 306 n.11 (1967) (“</w:t>
      </w:r>
      <w:r w:rsidR="00976669" w:rsidRPr="00976669">
        <w:t>At common law the Government did assert a superior property interest when it searched lawfully for stolen property</w:t>
      </w:r>
      <w:r w:rsidR="00EE1CA2">
        <w:t>.</w:t>
      </w:r>
      <w:r w:rsidR="00976669">
        <w:t xml:space="preserve">”). </w:t>
      </w:r>
    </w:p>
  </w:footnote>
  <w:footnote w:id="445">
    <w:p w14:paraId="16277709" w14:textId="6D60EDC8" w:rsidR="00762338" w:rsidRPr="00762338" w:rsidRDefault="00762338">
      <w:pPr>
        <w:pStyle w:val="FootnoteText"/>
      </w:pPr>
      <w:r w:rsidRPr="002A4234">
        <w:rPr>
          <w:rStyle w:val="FootnoteReference"/>
        </w:rPr>
        <w:footnoteRef/>
      </w:r>
      <w:r>
        <w:t xml:space="preserve"> </w:t>
      </w:r>
      <w:r>
        <w:rPr>
          <w:i/>
          <w:iCs/>
        </w:rPr>
        <w:t>See id.</w:t>
      </w:r>
      <w:r>
        <w:t xml:space="preserve"> at 311 (Fortas, J., concurring).</w:t>
      </w:r>
    </w:p>
  </w:footnote>
  <w:footnote w:id="446">
    <w:p w14:paraId="4332FE07" w14:textId="020F950C" w:rsidR="002A1427" w:rsidRDefault="002A1427" w:rsidP="009F5191">
      <w:pPr>
        <w:pStyle w:val="FootnoteText"/>
      </w:pPr>
      <w:r w:rsidRPr="002A4234">
        <w:rPr>
          <w:rStyle w:val="FootnoteReference"/>
        </w:rPr>
        <w:footnoteRef/>
      </w:r>
      <w:r w:rsidR="009F5191">
        <w:t xml:space="preserve"> 414 U.S. 218, 23</w:t>
      </w:r>
      <w:r w:rsidR="000F5481">
        <w:t>2</w:t>
      </w:r>
      <w:r w:rsidR="009F5191">
        <w:t xml:space="preserve"> (1973).</w:t>
      </w:r>
    </w:p>
  </w:footnote>
  <w:footnote w:id="447">
    <w:p w14:paraId="53645B13" w14:textId="2AD5A003" w:rsidR="00585F45" w:rsidRPr="00585F45" w:rsidRDefault="00585F45" w:rsidP="00585F45">
      <w:pPr>
        <w:pStyle w:val="FootnoteText"/>
      </w:pPr>
      <w:r w:rsidRPr="002A4234">
        <w:rPr>
          <w:rStyle w:val="FootnoteReference"/>
        </w:rPr>
        <w:footnoteRef/>
      </w:r>
      <w:r>
        <w:t xml:space="preserve"> </w:t>
      </w:r>
      <w:r>
        <w:rPr>
          <w:i/>
          <w:iCs/>
        </w:rPr>
        <w:t>See</w:t>
      </w:r>
      <w:r>
        <w:t xml:space="preserve"> Carroll v. United States, 267 U.S. 132, 151 (1925).</w:t>
      </w:r>
    </w:p>
  </w:footnote>
  <w:footnote w:id="448">
    <w:p w14:paraId="4B4F7B49" w14:textId="49F3886E" w:rsidR="00164AC3" w:rsidRDefault="00164AC3" w:rsidP="00164AC3">
      <w:pPr>
        <w:pStyle w:val="FootnoteText"/>
      </w:pPr>
      <w:r w:rsidRPr="002A4234">
        <w:rPr>
          <w:rStyle w:val="FootnoteReference"/>
        </w:rPr>
        <w:footnoteRef/>
      </w:r>
      <w:r>
        <w:t xml:space="preserve"> California v. Carney, 471 U.S. 386, 392 (1985)</w:t>
      </w:r>
      <w:r w:rsidR="00D83390">
        <w:t xml:space="preserve"> (quoting </w:t>
      </w:r>
      <w:r w:rsidR="00D83390" w:rsidRPr="00017FB3">
        <w:t>Cady v. Dombrowski</w:t>
      </w:r>
      <w:r w:rsidR="00D83390">
        <w:t>, 413 U.S. 433, 442 (1973</w:t>
      </w:r>
      <w:r>
        <w:t>).</w:t>
      </w:r>
    </w:p>
  </w:footnote>
  <w:footnote w:id="449">
    <w:p w14:paraId="255E0DE1" w14:textId="17BA72C9" w:rsidR="005F1D4F" w:rsidRPr="006B5B4B" w:rsidRDefault="005F1D4F" w:rsidP="005F1D4F">
      <w:pPr>
        <w:pStyle w:val="FootnoteText"/>
      </w:pPr>
      <w:r w:rsidRPr="002A4234">
        <w:rPr>
          <w:rStyle w:val="FootnoteReference"/>
        </w:rPr>
        <w:footnoteRef/>
      </w:r>
      <w:r>
        <w:t xml:space="preserve"> </w:t>
      </w:r>
      <w:r w:rsidR="00C971EB">
        <w:rPr>
          <w:i/>
          <w:iCs/>
        </w:rPr>
        <w:t>Cf.</w:t>
      </w:r>
      <w:r>
        <w:t xml:space="preserve"> </w:t>
      </w:r>
      <w:r w:rsidRPr="0053521A">
        <w:t xml:space="preserve">Anthony C. Thompson, </w:t>
      </w:r>
      <w:r w:rsidRPr="00DD42F0">
        <w:rPr>
          <w:i/>
          <w:iCs/>
        </w:rPr>
        <w:t>Stopping the Usual Suspects: Race and the Fourth Amendment</w:t>
      </w:r>
      <w:r w:rsidRPr="0053521A">
        <w:t>, 74 N.Y.</w:t>
      </w:r>
      <w:r w:rsidRPr="00DD42F0">
        <w:rPr>
          <w:smallCaps/>
        </w:rPr>
        <w:t xml:space="preserve">U. L. Rev. </w:t>
      </w:r>
      <w:r w:rsidRPr="0053521A">
        <w:t>956</w:t>
      </w:r>
      <w:r>
        <w:t xml:space="preserve"> (</w:t>
      </w:r>
      <w:r w:rsidRPr="0053521A">
        <w:t>1999)</w:t>
      </w:r>
      <w:r w:rsidR="004F40C9">
        <w:t xml:space="preserve"> (addressing the constitutional and policy implications of racially motivated searches and seizures)</w:t>
      </w:r>
      <w:r>
        <w:t xml:space="preserve">; </w:t>
      </w:r>
      <w:r>
        <w:rPr>
          <w:i/>
          <w:iCs/>
        </w:rPr>
        <w:t>see also</w:t>
      </w:r>
      <w:r>
        <w:t xml:space="preserve"> Daniel S. Harawa, </w:t>
      </w:r>
      <w:r>
        <w:rPr>
          <w:i/>
          <w:iCs/>
        </w:rPr>
        <w:t>Whitewashing the Fourth Amendment</w:t>
      </w:r>
      <w:r w:rsidR="004C3B90">
        <w:t>,</w:t>
      </w:r>
      <w:r>
        <w:t xml:space="preserve"> </w:t>
      </w:r>
      <w:r w:rsidR="009714D0">
        <w:t xml:space="preserve">111 </w:t>
      </w:r>
      <w:r w:rsidR="009714D0">
        <w:rPr>
          <w:smallCaps/>
        </w:rPr>
        <w:t>Geo L.J.</w:t>
      </w:r>
      <w:r>
        <w:t xml:space="preserve"> (</w:t>
      </w:r>
      <w:r w:rsidR="009714D0">
        <w:t>forthcoming 2023</w:t>
      </w:r>
      <w:r>
        <w:t xml:space="preserve">). </w:t>
      </w:r>
    </w:p>
  </w:footnote>
  <w:footnote w:id="450">
    <w:p w14:paraId="24473407" w14:textId="66D25166" w:rsidR="005F1D4F" w:rsidRDefault="005F1D4F" w:rsidP="005F1D4F">
      <w:pPr>
        <w:pStyle w:val="FootnoteText"/>
      </w:pPr>
      <w:r w:rsidRPr="002A4234">
        <w:rPr>
          <w:rStyle w:val="FootnoteReference"/>
        </w:rPr>
        <w:footnoteRef/>
      </w:r>
      <w:r>
        <w:t xml:space="preserve"> 517 U.S. 806</w:t>
      </w:r>
      <w:r w:rsidR="00F027B5">
        <w:t>, 809-13</w:t>
      </w:r>
      <w:r>
        <w:t xml:space="preserve"> (1996).</w:t>
      </w:r>
    </w:p>
  </w:footnote>
  <w:footnote w:id="451">
    <w:p w14:paraId="4C3E452F" w14:textId="18A8FDF7" w:rsidR="00F05716" w:rsidRDefault="00F05716" w:rsidP="00F05716">
      <w:pPr>
        <w:pStyle w:val="FootnoteText"/>
      </w:pPr>
      <w:r w:rsidRPr="002A4234">
        <w:rPr>
          <w:rStyle w:val="FootnoteReference"/>
        </w:rPr>
        <w:footnoteRef/>
      </w:r>
      <w:r>
        <w:t xml:space="preserve"> </w:t>
      </w:r>
      <w:r w:rsidR="003A6142">
        <w:rPr>
          <w:i/>
          <w:iCs/>
        </w:rPr>
        <w:t>See</w:t>
      </w:r>
      <w:r>
        <w:rPr>
          <w:i/>
        </w:rPr>
        <w:t xml:space="preserve"> </w:t>
      </w:r>
      <w:r>
        <w:fldChar w:fldCharType="begin"/>
      </w:r>
      <w:r w:rsidR="00E5116B">
        <w:instrText xml:space="preserve"> ADDIN ZOTERO_ITEM CSL_CITATION {"citationID":"stbPhw2L","properties":{"formattedCitation":"Samuel Issacharoff &amp; Florencia Marotta-Wurgler, {\\i{}The Hollowed Out Common Law}, 67 {\\scaps UCLA L. Rev.} 600 (2020)","plainCitation":"Samuel Issacharoff &amp; Florencia Marotta-Wurgler, The Hollowed Out Common Law, 67 UCLA L. Rev. 600 (2020)","noteIndex":437},"citationItems":[{"id":2916,"uris":["http://zotero.org/groups/2816150/items/MGKUVZZQ"],"uri":["http://zotero.org/groups/2816150/items/MGKUVZZQ"],"itemData":{"id":2916,"type":"article-journal","container-title":"UCLA Law Review","issue":"3","journalAbbreviation":"UCLA L. Rev.","language":"eng","page":"600-639","source":"HeinOnline","title":"The Hollowed Out Common Law","volume":"67","author":[{"family":"Issacharoff","given":"Samuel"},{"family":"Marotta-Wurgler","given":"Florencia"}],"issued":{"date-parts":[["2020"]]}}}],"schema":"https://github.com/citation-style-language/schema/raw/master/csl-citation.json"} </w:instrText>
      </w:r>
      <w:r>
        <w:fldChar w:fldCharType="separate"/>
      </w:r>
      <w:r w:rsidR="00E5116B" w:rsidRPr="00E5116B">
        <w:t xml:space="preserve">Samuel Issacharoff &amp; Florencia Marotta-Wurgler, </w:t>
      </w:r>
      <w:r w:rsidR="00E5116B" w:rsidRPr="00E5116B">
        <w:rPr>
          <w:i/>
          <w:iCs/>
        </w:rPr>
        <w:t>The Hollowed Out Common Law</w:t>
      </w:r>
      <w:r w:rsidR="00E5116B" w:rsidRPr="00E5116B">
        <w:t xml:space="preserve">, 67 </w:t>
      </w:r>
      <w:r w:rsidR="00E5116B" w:rsidRPr="00E5116B">
        <w:rPr>
          <w:smallCaps/>
        </w:rPr>
        <w:t>UCLA L. Rev.</w:t>
      </w:r>
      <w:r w:rsidR="00E5116B" w:rsidRPr="00E5116B">
        <w:t xml:space="preserve"> 600 (2020)</w:t>
      </w:r>
      <w:r>
        <w:fldChar w:fldCharType="end"/>
      </w:r>
      <w:r w:rsidR="002B27D0">
        <w:t>.</w:t>
      </w:r>
    </w:p>
  </w:footnote>
  <w:footnote w:id="452">
    <w:p w14:paraId="03B1E850" w14:textId="20F02226" w:rsidR="0046219D" w:rsidRDefault="0046219D" w:rsidP="00EF12D4">
      <w:pPr>
        <w:pStyle w:val="FootnoteText"/>
      </w:pPr>
      <w:r w:rsidRPr="002A4234">
        <w:rPr>
          <w:rStyle w:val="FootnoteReference"/>
        </w:rPr>
        <w:footnoteRef/>
      </w:r>
      <w:r>
        <w:t xml:space="preserve"> </w:t>
      </w:r>
      <w:r>
        <w:fldChar w:fldCharType="begin"/>
      </w:r>
      <w:r w:rsidR="00E5116B">
        <w:instrText xml:space="preserve"> ADDIN ZOTERO_ITEM CSL_CITATION {"citationID":"7msywZjr","properties":{"formattedCitation":"Warren &amp; Brandeis, {\\i{}supra} note 212, at 220","plainCitation":"Warren &amp; Brandeis, supra note 212, at 220","noteIndex":438},"citationItems":[{"id":3256,"uris":["http://zotero.org/groups/2816150/items/IBAJG2HF"],"uri":["http://zotero.org/groups/2816150/items/IBAJG2HF"],"itemData":{"id":3256,"type":"article-journal","container-title":"Harv. L. Rev.","page":"193","title":"The Right to Privacy","volume":"4","author":[{"family":"Warren","given":"Samuel D."},{"family":"Brandeis","given":"Louis D."}],"issued":{"date-parts":[["1890"]]}},"locator":"220","label":"page"}],"schema":"https://github.com/citation-style-language/schema/raw/master/csl-citation.json"} </w:instrText>
      </w:r>
      <w:r>
        <w:fldChar w:fldCharType="separate"/>
      </w:r>
      <w:r w:rsidR="00E5116B" w:rsidRPr="00E5116B">
        <w:t xml:space="preserve">Warren &amp; Brandeis, </w:t>
      </w:r>
      <w:r w:rsidR="00E5116B" w:rsidRPr="00E5116B">
        <w:rPr>
          <w:i/>
          <w:iCs/>
        </w:rPr>
        <w:t>supra</w:t>
      </w:r>
      <w:r w:rsidR="00E5116B" w:rsidRPr="00E5116B">
        <w:t xml:space="preserve"> note </w:t>
      </w:r>
      <w:r w:rsidR="005C2C51">
        <w:fldChar w:fldCharType="begin"/>
      </w:r>
      <w:r w:rsidR="005C2C51">
        <w:instrText xml:space="preserve"> NOTEREF _Ref114657602 \h </w:instrText>
      </w:r>
      <w:r w:rsidR="005C2C51">
        <w:fldChar w:fldCharType="separate"/>
      </w:r>
      <w:r w:rsidR="005C2C51">
        <w:t>214</w:t>
      </w:r>
      <w:r w:rsidR="005C2C51">
        <w:fldChar w:fldCharType="end"/>
      </w:r>
      <w:r w:rsidR="005C2C51">
        <w:t>,</w:t>
      </w:r>
      <w:r w:rsidR="00E5116B" w:rsidRPr="00E5116B">
        <w:t xml:space="preserve"> at 220</w:t>
      </w:r>
      <w:r>
        <w:fldChar w:fldCharType="end"/>
      </w:r>
      <w:r w:rsidR="002B27D0">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CEAB6" w14:textId="58524B76" w:rsidR="008B2994" w:rsidRPr="00190DBA" w:rsidRDefault="008368A5" w:rsidP="00627707">
    <w:pPr>
      <w:pStyle w:val="Header"/>
      <w:jc w:val="center"/>
      <w:rPr>
        <w:rFonts w:ascii="Garamond Premr Pro Capt" w:hAnsi="Garamond Premr Pro Capt"/>
      </w:rPr>
    </w:pPr>
    <w:r>
      <w:rPr>
        <w:rFonts w:ascii="Garamond Premr Pro Capt" w:hAnsi="Garamond Premr Pro Capt"/>
      </w:rPr>
      <w:t>THE FOURTH AMENDMENT AND GENERAL LAW</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58493" w14:textId="42D56130" w:rsidR="008B2994" w:rsidRDefault="00861D1C" w:rsidP="008C7F25">
    <w:pPr>
      <w:pStyle w:val="Header"/>
      <w:jc w:val="center"/>
    </w:pPr>
    <w:r>
      <w:t>THE FOURTH AMENDMENT AND GENERAL LAW</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62B53" w14:textId="7B56659B" w:rsidR="008B2994" w:rsidRDefault="008B2994">
    <w:r>
      <w:cr/>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10B76" w14:textId="746AD075" w:rsidR="008B2994" w:rsidRPr="00190DBA" w:rsidRDefault="00F66D8B" w:rsidP="00627707">
    <w:pPr>
      <w:pStyle w:val="Header"/>
      <w:jc w:val="center"/>
      <w:rPr>
        <w:rFonts w:ascii="Garamond Premr Pro Capt" w:hAnsi="Garamond Premr Pro Capt"/>
      </w:rPr>
    </w:pPr>
    <w:r>
      <w:rPr>
        <w:rFonts w:ascii="Garamond Premr Pro Capt" w:hAnsi="Garamond Premr Pro Capt"/>
      </w:rPr>
      <w:t xml:space="preserve">D’ONFRO &amp; </w:t>
    </w:r>
    <w:r w:rsidR="00737705">
      <w:rPr>
        <w:rFonts w:ascii="Garamond Premr Pro Capt" w:hAnsi="Garamond Premr Pro Capt"/>
      </w:rPr>
      <w:t>EPPS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50EB0" w14:textId="1567168A" w:rsidR="008B2994" w:rsidRPr="000B75BF" w:rsidRDefault="00861D1C" w:rsidP="008C7F25">
    <w:pPr>
      <w:pStyle w:val="Header"/>
      <w:jc w:val="center"/>
      <w:rPr>
        <w:rFonts w:ascii="Garamond Premr Pro Capt" w:hAnsi="Garamond Premr Pro Capt"/>
      </w:rPr>
    </w:pPr>
    <w:r w:rsidRPr="000B75BF">
      <w:rPr>
        <w:rFonts w:ascii="Garamond Premr Pro Capt" w:hAnsi="Garamond Premr Pro Capt"/>
      </w:rPr>
      <w:t xml:space="preserve">THE </w:t>
    </w:r>
    <w:r w:rsidR="00737705" w:rsidRPr="000B75BF">
      <w:rPr>
        <w:rFonts w:ascii="Garamond Premr Pro Capt" w:hAnsi="Garamond Premr Pro Capt"/>
      </w:rPr>
      <w:t xml:space="preserve">FOURTH </w:t>
    </w:r>
    <w:r w:rsidR="00DD0542" w:rsidRPr="000B75BF">
      <w:rPr>
        <w:rFonts w:ascii="Garamond Premr Pro Capt" w:hAnsi="Garamond Premr Pro Capt"/>
      </w:rPr>
      <w:t xml:space="preserve">AMENDMENT </w:t>
    </w:r>
    <w:r w:rsidRPr="000B75BF">
      <w:rPr>
        <w:rFonts w:ascii="Garamond Premr Pro Capt" w:hAnsi="Garamond Premr Pro Capt"/>
      </w:rPr>
      <w:t>AND GENERAL LAW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70694A8"/>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0FCA314"/>
    <w:lvl w:ilvl="0">
      <w:start w:val="1"/>
      <w:numFmt w:val="decimal"/>
      <w:lvlText w:val="%1."/>
      <w:lvlJc w:val="left"/>
      <w:pPr>
        <w:tabs>
          <w:tab w:val="num" w:pos="1800"/>
        </w:tabs>
        <w:ind w:left="1800" w:hanging="360"/>
      </w:pPr>
      <w:rPr>
        <w:rFonts w:cs="Times New Roman"/>
      </w:rPr>
    </w:lvl>
  </w:abstractNum>
  <w:abstractNum w:abstractNumId="2" w15:restartNumberingAfterBreak="0">
    <w:nsid w:val="FFFFFF7D"/>
    <w:multiLevelType w:val="singleLevel"/>
    <w:tmpl w:val="A5F8C638"/>
    <w:lvl w:ilvl="0">
      <w:start w:val="1"/>
      <w:numFmt w:val="decimal"/>
      <w:lvlText w:val="%1."/>
      <w:lvlJc w:val="left"/>
      <w:pPr>
        <w:tabs>
          <w:tab w:val="num" w:pos="1440"/>
        </w:tabs>
        <w:ind w:left="1440" w:hanging="360"/>
      </w:pPr>
      <w:rPr>
        <w:rFonts w:cs="Times New Roman"/>
      </w:rPr>
    </w:lvl>
  </w:abstractNum>
  <w:abstractNum w:abstractNumId="3" w15:restartNumberingAfterBreak="0">
    <w:nsid w:val="FFFFFF7E"/>
    <w:multiLevelType w:val="singleLevel"/>
    <w:tmpl w:val="C9067F5A"/>
    <w:lvl w:ilvl="0">
      <w:start w:val="1"/>
      <w:numFmt w:val="decimal"/>
      <w:lvlText w:val="%1."/>
      <w:lvlJc w:val="left"/>
      <w:pPr>
        <w:tabs>
          <w:tab w:val="num" w:pos="1080"/>
        </w:tabs>
        <w:ind w:left="1080" w:hanging="360"/>
      </w:pPr>
      <w:rPr>
        <w:rFonts w:cs="Times New Roman"/>
      </w:rPr>
    </w:lvl>
  </w:abstractNum>
  <w:abstractNum w:abstractNumId="4" w15:restartNumberingAfterBreak="0">
    <w:nsid w:val="FFFFFF7F"/>
    <w:multiLevelType w:val="singleLevel"/>
    <w:tmpl w:val="12BC3B98"/>
    <w:lvl w:ilvl="0">
      <w:start w:val="1"/>
      <w:numFmt w:val="decimal"/>
      <w:lvlText w:val="%1."/>
      <w:lvlJc w:val="left"/>
      <w:pPr>
        <w:tabs>
          <w:tab w:val="num" w:pos="720"/>
        </w:tabs>
        <w:ind w:left="720" w:hanging="360"/>
      </w:pPr>
      <w:rPr>
        <w:rFonts w:cs="Times New Roman"/>
      </w:rPr>
    </w:lvl>
  </w:abstractNum>
  <w:abstractNum w:abstractNumId="5" w15:restartNumberingAfterBreak="0">
    <w:nsid w:val="FFFFFF80"/>
    <w:multiLevelType w:val="singleLevel"/>
    <w:tmpl w:val="8212773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4DE8C1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90D0FFF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7D6A31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7D26404"/>
    <w:lvl w:ilvl="0">
      <w:start w:val="1"/>
      <w:numFmt w:val="decimal"/>
      <w:lvlText w:val="%1."/>
      <w:lvlJc w:val="left"/>
      <w:pPr>
        <w:tabs>
          <w:tab w:val="num" w:pos="360"/>
        </w:tabs>
        <w:ind w:left="360" w:hanging="360"/>
      </w:pPr>
      <w:rPr>
        <w:rFonts w:cs="Times New Roman"/>
      </w:rPr>
    </w:lvl>
  </w:abstractNum>
  <w:abstractNum w:abstractNumId="10" w15:restartNumberingAfterBreak="0">
    <w:nsid w:val="FFFFFF89"/>
    <w:multiLevelType w:val="singleLevel"/>
    <w:tmpl w:val="4F04AD56"/>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7544110"/>
    <w:multiLevelType w:val="multilevel"/>
    <w:tmpl w:val="830E470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3E234E"/>
    <w:multiLevelType w:val="hybridMultilevel"/>
    <w:tmpl w:val="FA5EA0F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F666660"/>
    <w:multiLevelType w:val="multilevel"/>
    <w:tmpl w:val="2B8C25A8"/>
    <w:lvl w:ilvl="0">
      <w:start w:val="1"/>
      <w:numFmt w:val="upperRoman"/>
      <w:pStyle w:val="Heading1"/>
      <w:lvlText w:val="%1."/>
      <w:lvlJc w:val="center"/>
      <w:pPr>
        <w:ind w:left="360" w:firstLine="0"/>
      </w:pPr>
      <w:rPr>
        <w:rFonts w:cs="Times New Roman" w:hint="default"/>
      </w:rPr>
    </w:lvl>
    <w:lvl w:ilvl="1">
      <w:start w:val="1"/>
      <w:numFmt w:val="upperLetter"/>
      <w:pStyle w:val="Heading2"/>
      <w:lvlText w:val="%2."/>
      <w:lvlJc w:val="center"/>
      <w:pPr>
        <w:tabs>
          <w:tab w:val="num" w:pos="2610"/>
        </w:tabs>
        <w:ind w:left="2610" w:firstLine="0"/>
      </w:pPr>
      <w:rPr>
        <w:rFonts w:cs="Times New Roman" w:hint="default"/>
        <w:i/>
      </w:rPr>
    </w:lvl>
    <w:lvl w:ilvl="2">
      <w:start w:val="1"/>
      <w:numFmt w:val="decimal"/>
      <w:pStyle w:val="Heading3"/>
      <w:lvlText w:val="%3."/>
      <w:lvlJc w:val="left"/>
      <w:pPr>
        <w:tabs>
          <w:tab w:val="num" w:pos="-18"/>
        </w:tabs>
        <w:ind w:left="-18" w:firstLine="288"/>
      </w:pPr>
      <w:rPr>
        <w:rFonts w:cs="Times New Roman" w:hint="default"/>
        <w:u w:val="none"/>
      </w:rPr>
    </w:lvl>
    <w:lvl w:ilvl="3">
      <w:start w:val="1"/>
      <w:numFmt w:val="lowerLetter"/>
      <w:pStyle w:val="Heading4"/>
      <w:lvlText w:val="(%4)"/>
      <w:lvlJc w:val="left"/>
      <w:pPr>
        <w:tabs>
          <w:tab w:val="num" w:pos="274"/>
        </w:tabs>
        <w:ind w:left="0" w:firstLine="274"/>
      </w:pPr>
      <w:rPr>
        <w:rFonts w:cs="Times New Roman" w:hint="default"/>
      </w:rPr>
    </w:lvl>
    <w:lvl w:ilvl="4">
      <w:start w:val="1"/>
      <w:numFmt w:val="decimal"/>
      <w:pStyle w:val="Heading5"/>
      <w:lvlText w:val="(%5)"/>
      <w:lvlJc w:val="left"/>
      <w:pPr>
        <w:tabs>
          <w:tab w:val="num" w:pos="0"/>
        </w:tabs>
        <w:ind w:left="1440" w:firstLine="0"/>
      </w:pPr>
      <w:rPr>
        <w:rFonts w:cs="Times New Roman" w:hint="default"/>
      </w:rPr>
    </w:lvl>
    <w:lvl w:ilvl="5">
      <w:start w:val="1"/>
      <w:numFmt w:val="lowerLetter"/>
      <w:pStyle w:val="Heading6"/>
      <w:lvlText w:val="(%6)"/>
      <w:lvlJc w:val="left"/>
      <w:pPr>
        <w:tabs>
          <w:tab w:val="num" w:pos="0"/>
        </w:tabs>
        <w:ind w:left="2160" w:firstLine="0"/>
      </w:pPr>
      <w:rPr>
        <w:rFonts w:cs="Times New Roman" w:hint="default"/>
      </w:rPr>
    </w:lvl>
    <w:lvl w:ilvl="6">
      <w:start w:val="1"/>
      <w:numFmt w:val="lowerRoman"/>
      <w:pStyle w:val="Heading7"/>
      <w:lvlText w:val="(%7)"/>
      <w:lvlJc w:val="left"/>
      <w:pPr>
        <w:tabs>
          <w:tab w:val="num" w:pos="0"/>
        </w:tabs>
        <w:ind w:left="2880" w:firstLine="0"/>
      </w:pPr>
      <w:rPr>
        <w:rFonts w:cs="Times New Roman" w:hint="default"/>
      </w:rPr>
    </w:lvl>
    <w:lvl w:ilvl="7">
      <w:start w:val="1"/>
      <w:numFmt w:val="lowerLetter"/>
      <w:pStyle w:val="Heading8"/>
      <w:lvlText w:val="(%8)"/>
      <w:lvlJc w:val="left"/>
      <w:pPr>
        <w:tabs>
          <w:tab w:val="num" w:pos="0"/>
        </w:tabs>
        <w:ind w:left="3600" w:firstLine="0"/>
      </w:pPr>
      <w:rPr>
        <w:rFonts w:cs="Times New Roman" w:hint="default"/>
      </w:rPr>
    </w:lvl>
    <w:lvl w:ilvl="8">
      <w:start w:val="1"/>
      <w:numFmt w:val="lowerRoman"/>
      <w:pStyle w:val="Heading9"/>
      <w:lvlText w:val="(%9)"/>
      <w:lvlJc w:val="left"/>
      <w:pPr>
        <w:tabs>
          <w:tab w:val="num" w:pos="0"/>
        </w:tabs>
        <w:ind w:left="4320" w:firstLine="0"/>
      </w:pPr>
      <w:rPr>
        <w:rFonts w:cs="Times New Roman" w:hint="default"/>
      </w:rPr>
    </w:lvl>
  </w:abstractNum>
  <w:abstractNum w:abstractNumId="14" w15:restartNumberingAfterBreak="0">
    <w:nsid w:val="177B0274"/>
    <w:multiLevelType w:val="multilevel"/>
    <w:tmpl w:val="16E225E8"/>
    <w:lvl w:ilvl="0">
      <w:start w:val="1"/>
      <w:numFmt w:val="upperRoman"/>
      <w:lvlText w:val="%1."/>
      <w:lvlJc w:val="center"/>
      <w:pPr>
        <w:ind w:left="-1440" w:firstLine="1728"/>
      </w:pPr>
      <w:rPr>
        <w:rFonts w:cs="Times New Roman" w:hint="default"/>
      </w:rPr>
    </w:lvl>
    <w:lvl w:ilvl="1">
      <w:start w:val="1"/>
      <w:numFmt w:val="upperLetter"/>
      <w:lvlText w:val="%2."/>
      <w:lvlJc w:val="center"/>
      <w:pPr>
        <w:ind w:left="-720" w:firstLine="1008"/>
      </w:pPr>
      <w:rPr>
        <w:rFonts w:cs="Times New Roman" w:hint="default"/>
      </w:rPr>
    </w:lvl>
    <w:lvl w:ilvl="2">
      <w:start w:val="1"/>
      <w:numFmt w:val="decimal"/>
      <w:lvlText w:val="%3."/>
      <w:lvlJc w:val="center"/>
      <w:pPr>
        <w:ind w:firstLine="288"/>
      </w:pPr>
      <w:rPr>
        <w:rFonts w:cs="Times New Roman" w:hint="default"/>
        <w:u w:val="single"/>
      </w:rPr>
    </w:lvl>
    <w:lvl w:ilvl="3">
      <w:start w:val="1"/>
      <w:numFmt w:val="lowerLetter"/>
      <w:lvlText w:val="%4)"/>
      <w:lvlJc w:val="left"/>
      <w:pPr>
        <w:ind w:left="720"/>
      </w:pPr>
      <w:rPr>
        <w:rFonts w:cs="Times New Roman" w:hint="default"/>
      </w:rPr>
    </w:lvl>
    <w:lvl w:ilvl="4">
      <w:start w:val="1"/>
      <w:numFmt w:val="decimal"/>
      <w:lvlText w:val="(%5)"/>
      <w:lvlJc w:val="left"/>
      <w:pPr>
        <w:ind w:left="1440"/>
      </w:pPr>
      <w:rPr>
        <w:rFonts w:cs="Times New Roman" w:hint="default"/>
      </w:rPr>
    </w:lvl>
    <w:lvl w:ilvl="5">
      <w:start w:val="1"/>
      <w:numFmt w:val="lowerLetter"/>
      <w:lvlText w:val="(%6)"/>
      <w:lvlJc w:val="left"/>
      <w:pPr>
        <w:ind w:left="2160"/>
      </w:pPr>
      <w:rPr>
        <w:rFonts w:cs="Times New Roman" w:hint="default"/>
      </w:rPr>
    </w:lvl>
    <w:lvl w:ilvl="6">
      <w:start w:val="1"/>
      <w:numFmt w:val="lowerRoman"/>
      <w:lvlText w:val="(%7)"/>
      <w:lvlJc w:val="left"/>
      <w:pPr>
        <w:ind w:left="2880"/>
      </w:pPr>
      <w:rPr>
        <w:rFonts w:cs="Times New Roman" w:hint="default"/>
      </w:rPr>
    </w:lvl>
    <w:lvl w:ilvl="7">
      <w:start w:val="1"/>
      <w:numFmt w:val="lowerLetter"/>
      <w:lvlText w:val="(%8)"/>
      <w:lvlJc w:val="left"/>
      <w:pPr>
        <w:ind w:left="3600"/>
      </w:pPr>
      <w:rPr>
        <w:rFonts w:cs="Times New Roman" w:hint="default"/>
      </w:rPr>
    </w:lvl>
    <w:lvl w:ilvl="8">
      <w:start w:val="1"/>
      <w:numFmt w:val="lowerRoman"/>
      <w:lvlText w:val="(%9)"/>
      <w:lvlJc w:val="left"/>
      <w:pPr>
        <w:ind w:left="4320"/>
      </w:pPr>
      <w:rPr>
        <w:rFonts w:cs="Times New Roman" w:hint="default"/>
      </w:rPr>
    </w:lvl>
  </w:abstractNum>
  <w:abstractNum w:abstractNumId="15" w15:restartNumberingAfterBreak="0">
    <w:nsid w:val="29903006"/>
    <w:multiLevelType w:val="multilevel"/>
    <w:tmpl w:val="B906C02E"/>
    <w:lvl w:ilvl="0">
      <w:start w:val="1"/>
      <w:numFmt w:val="upperRoman"/>
      <w:lvlText w:val="%1."/>
      <w:lvlJc w:val="center"/>
      <w:pPr>
        <w:tabs>
          <w:tab w:val="num" w:pos="0"/>
        </w:tabs>
        <w:ind w:left="0" w:firstLine="288"/>
      </w:pPr>
      <w:rPr>
        <w:rFonts w:cs="Times New Roman" w:hint="default"/>
      </w:rPr>
    </w:lvl>
    <w:lvl w:ilvl="1">
      <w:start w:val="1"/>
      <w:numFmt w:val="upperLetter"/>
      <w:lvlText w:val="%2."/>
      <w:lvlJc w:val="center"/>
      <w:pPr>
        <w:tabs>
          <w:tab w:val="num" w:pos="0"/>
        </w:tabs>
        <w:ind w:left="-720" w:firstLine="1008"/>
      </w:pPr>
      <w:rPr>
        <w:rFonts w:cs="Times New Roman" w:hint="default"/>
        <w:i/>
      </w:rPr>
    </w:lvl>
    <w:lvl w:ilvl="2">
      <w:start w:val="1"/>
      <w:numFmt w:val="decimal"/>
      <w:lvlText w:val="%3."/>
      <w:lvlJc w:val="center"/>
      <w:pPr>
        <w:tabs>
          <w:tab w:val="num" w:pos="0"/>
        </w:tabs>
        <w:ind w:left="0" w:firstLine="288"/>
      </w:pPr>
      <w:rPr>
        <w:rFonts w:cs="Times New Roman" w:hint="default"/>
        <w:u w:val="single"/>
      </w:rPr>
    </w:lvl>
    <w:lvl w:ilvl="3">
      <w:start w:val="1"/>
      <w:numFmt w:val="lowerLetter"/>
      <w:lvlText w:val="%4)"/>
      <w:lvlJc w:val="left"/>
      <w:pPr>
        <w:tabs>
          <w:tab w:val="num" w:pos="0"/>
        </w:tabs>
        <w:ind w:left="720" w:firstLine="0"/>
      </w:pPr>
      <w:rPr>
        <w:rFonts w:cs="Times New Roman" w:hint="default"/>
      </w:rPr>
    </w:lvl>
    <w:lvl w:ilvl="4">
      <w:start w:val="1"/>
      <w:numFmt w:val="decimal"/>
      <w:lvlText w:val="(%5)"/>
      <w:lvlJc w:val="left"/>
      <w:pPr>
        <w:tabs>
          <w:tab w:val="num" w:pos="0"/>
        </w:tabs>
        <w:ind w:left="1440" w:firstLine="0"/>
      </w:pPr>
      <w:rPr>
        <w:rFonts w:cs="Times New Roman" w:hint="default"/>
      </w:rPr>
    </w:lvl>
    <w:lvl w:ilvl="5">
      <w:start w:val="1"/>
      <w:numFmt w:val="lowerLetter"/>
      <w:lvlText w:val="(%6)"/>
      <w:lvlJc w:val="left"/>
      <w:pPr>
        <w:tabs>
          <w:tab w:val="num" w:pos="0"/>
        </w:tabs>
        <w:ind w:left="2160" w:firstLine="0"/>
      </w:pPr>
      <w:rPr>
        <w:rFonts w:cs="Times New Roman" w:hint="default"/>
      </w:rPr>
    </w:lvl>
    <w:lvl w:ilvl="6">
      <w:start w:val="1"/>
      <w:numFmt w:val="lowerRoman"/>
      <w:lvlText w:val="(%7)"/>
      <w:lvlJc w:val="left"/>
      <w:pPr>
        <w:tabs>
          <w:tab w:val="num" w:pos="0"/>
        </w:tabs>
        <w:ind w:left="2880" w:firstLine="0"/>
      </w:pPr>
      <w:rPr>
        <w:rFonts w:cs="Times New Roman" w:hint="default"/>
      </w:rPr>
    </w:lvl>
    <w:lvl w:ilvl="7">
      <w:start w:val="1"/>
      <w:numFmt w:val="lowerLetter"/>
      <w:lvlText w:val="(%8)"/>
      <w:lvlJc w:val="left"/>
      <w:pPr>
        <w:tabs>
          <w:tab w:val="num" w:pos="0"/>
        </w:tabs>
        <w:ind w:left="3600" w:firstLine="0"/>
      </w:pPr>
      <w:rPr>
        <w:rFonts w:cs="Times New Roman" w:hint="default"/>
      </w:rPr>
    </w:lvl>
    <w:lvl w:ilvl="8">
      <w:start w:val="1"/>
      <w:numFmt w:val="lowerRoman"/>
      <w:lvlText w:val="(%9)"/>
      <w:lvlJc w:val="left"/>
      <w:pPr>
        <w:tabs>
          <w:tab w:val="num" w:pos="0"/>
        </w:tabs>
        <w:ind w:left="4320" w:firstLine="0"/>
      </w:pPr>
      <w:rPr>
        <w:rFonts w:cs="Times New Roman" w:hint="default"/>
      </w:rPr>
    </w:lvl>
  </w:abstractNum>
  <w:abstractNum w:abstractNumId="16" w15:restartNumberingAfterBreak="0">
    <w:nsid w:val="2CFB50C5"/>
    <w:multiLevelType w:val="hybridMultilevel"/>
    <w:tmpl w:val="F2CAE994"/>
    <w:lvl w:ilvl="0" w:tplc="DDD61FF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4C748B"/>
    <w:multiLevelType w:val="multilevel"/>
    <w:tmpl w:val="84FAE040"/>
    <w:lvl w:ilvl="0">
      <w:start w:val="1"/>
      <w:numFmt w:val="upperRoman"/>
      <w:lvlText w:val="%1."/>
      <w:lvlJc w:val="center"/>
      <w:pPr>
        <w:ind w:left="-1440" w:firstLine="1728"/>
      </w:pPr>
      <w:rPr>
        <w:rFonts w:cs="Times New Roman" w:hint="default"/>
      </w:rPr>
    </w:lvl>
    <w:lvl w:ilvl="1">
      <w:start w:val="1"/>
      <w:numFmt w:val="upperLetter"/>
      <w:lvlText w:val="%2."/>
      <w:lvlJc w:val="center"/>
      <w:pPr>
        <w:ind w:left="-720" w:firstLine="1008"/>
      </w:pPr>
      <w:rPr>
        <w:rFonts w:cs="Times New Roman" w:hint="default"/>
        <w:i/>
      </w:rPr>
    </w:lvl>
    <w:lvl w:ilvl="2">
      <w:start w:val="1"/>
      <w:numFmt w:val="decimal"/>
      <w:lvlText w:val="%3."/>
      <w:lvlJc w:val="center"/>
      <w:pPr>
        <w:ind w:firstLine="288"/>
      </w:pPr>
      <w:rPr>
        <w:rFonts w:cs="Times New Roman" w:hint="default"/>
        <w:u w:val="single"/>
      </w:rPr>
    </w:lvl>
    <w:lvl w:ilvl="3">
      <w:start w:val="1"/>
      <w:numFmt w:val="lowerLetter"/>
      <w:lvlText w:val="%4)"/>
      <w:lvlJc w:val="left"/>
      <w:pPr>
        <w:ind w:left="720"/>
      </w:pPr>
      <w:rPr>
        <w:rFonts w:cs="Times New Roman" w:hint="default"/>
      </w:rPr>
    </w:lvl>
    <w:lvl w:ilvl="4">
      <w:start w:val="1"/>
      <w:numFmt w:val="decimal"/>
      <w:lvlText w:val="(%5)"/>
      <w:lvlJc w:val="left"/>
      <w:pPr>
        <w:ind w:left="1440"/>
      </w:pPr>
      <w:rPr>
        <w:rFonts w:cs="Times New Roman" w:hint="default"/>
      </w:rPr>
    </w:lvl>
    <w:lvl w:ilvl="5">
      <w:start w:val="1"/>
      <w:numFmt w:val="lowerLetter"/>
      <w:lvlText w:val="(%6)"/>
      <w:lvlJc w:val="left"/>
      <w:pPr>
        <w:ind w:left="2160"/>
      </w:pPr>
      <w:rPr>
        <w:rFonts w:cs="Times New Roman" w:hint="default"/>
      </w:rPr>
    </w:lvl>
    <w:lvl w:ilvl="6">
      <w:start w:val="1"/>
      <w:numFmt w:val="lowerRoman"/>
      <w:lvlText w:val="(%7)"/>
      <w:lvlJc w:val="left"/>
      <w:pPr>
        <w:ind w:left="2880"/>
      </w:pPr>
      <w:rPr>
        <w:rFonts w:cs="Times New Roman" w:hint="default"/>
      </w:rPr>
    </w:lvl>
    <w:lvl w:ilvl="7">
      <w:start w:val="1"/>
      <w:numFmt w:val="lowerLetter"/>
      <w:lvlText w:val="(%8)"/>
      <w:lvlJc w:val="left"/>
      <w:pPr>
        <w:ind w:left="3600"/>
      </w:pPr>
      <w:rPr>
        <w:rFonts w:cs="Times New Roman" w:hint="default"/>
      </w:rPr>
    </w:lvl>
    <w:lvl w:ilvl="8">
      <w:start w:val="1"/>
      <w:numFmt w:val="lowerRoman"/>
      <w:lvlText w:val="(%9)"/>
      <w:lvlJc w:val="left"/>
      <w:pPr>
        <w:ind w:left="4320"/>
      </w:pPr>
      <w:rPr>
        <w:rFonts w:cs="Times New Roman" w:hint="default"/>
      </w:rPr>
    </w:lvl>
  </w:abstractNum>
  <w:abstractNum w:abstractNumId="18" w15:restartNumberingAfterBreak="0">
    <w:nsid w:val="2E664A8E"/>
    <w:multiLevelType w:val="hybridMultilevel"/>
    <w:tmpl w:val="C3EA630E"/>
    <w:lvl w:ilvl="0" w:tplc="92369A60">
      <w:start w:val="1"/>
      <w:numFmt w:val="bullet"/>
      <w:lvlText w:val="-"/>
      <w:lvlJc w:val="left"/>
      <w:pPr>
        <w:ind w:left="720" w:hanging="360"/>
      </w:pPr>
      <w:rPr>
        <w:rFonts w:ascii="Calibri" w:hAnsi="Calibri" w:hint="default"/>
      </w:rPr>
    </w:lvl>
    <w:lvl w:ilvl="1" w:tplc="FA6EFA16">
      <w:start w:val="1"/>
      <w:numFmt w:val="bullet"/>
      <w:lvlText w:val="o"/>
      <w:lvlJc w:val="left"/>
      <w:pPr>
        <w:ind w:left="1440" w:hanging="360"/>
      </w:pPr>
      <w:rPr>
        <w:rFonts w:ascii="Courier New" w:hAnsi="Courier New" w:hint="default"/>
      </w:rPr>
    </w:lvl>
    <w:lvl w:ilvl="2" w:tplc="D354E7CA">
      <w:start w:val="1"/>
      <w:numFmt w:val="bullet"/>
      <w:lvlText w:val=""/>
      <w:lvlJc w:val="left"/>
      <w:pPr>
        <w:ind w:left="2160" w:hanging="360"/>
      </w:pPr>
      <w:rPr>
        <w:rFonts w:ascii="Wingdings" w:hAnsi="Wingdings" w:hint="default"/>
      </w:rPr>
    </w:lvl>
    <w:lvl w:ilvl="3" w:tplc="AE98A1D0">
      <w:start w:val="1"/>
      <w:numFmt w:val="bullet"/>
      <w:lvlText w:val=""/>
      <w:lvlJc w:val="left"/>
      <w:pPr>
        <w:ind w:left="2880" w:hanging="360"/>
      </w:pPr>
      <w:rPr>
        <w:rFonts w:ascii="Symbol" w:hAnsi="Symbol" w:hint="default"/>
      </w:rPr>
    </w:lvl>
    <w:lvl w:ilvl="4" w:tplc="1D4438E6">
      <w:start w:val="1"/>
      <w:numFmt w:val="bullet"/>
      <w:lvlText w:val="o"/>
      <w:lvlJc w:val="left"/>
      <w:pPr>
        <w:ind w:left="3600" w:hanging="360"/>
      </w:pPr>
      <w:rPr>
        <w:rFonts w:ascii="Courier New" w:hAnsi="Courier New" w:hint="default"/>
      </w:rPr>
    </w:lvl>
    <w:lvl w:ilvl="5" w:tplc="3AD420A4">
      <w:start w:val="1"/>
      <w:numFmt w:val="bullet"/>
      <w:lvlText w:val=""/>
      <w:lvlJc w:val="left"/>
      <w:pPr>
        <w:ind w:left="4320" w:hanging="360"/>
      </w:pPr>
      <w:rPr>
        <w:rFonts w:ascii="Wingdings" w:hAnsi="Wingdings" w:hint="default"/>
      </w:rPr>
    </w:lvl>
    <w:lvl w:ilvl="6" w:tplc="B09A73F8">
      <w:start w:val="1"/>
      <w:numFmt w:val="bullet"/>
      <w:lvlText w:val=""/>
      <w:lvlJc w:val="left"/>
      <w:pPr>
        <w:ind w:left="5040" w:hanging="360"/>
      </w:pPr>
      <w:rPr>
        <w:rFonts w:ascii="Symbol" w:hAnsi="Symbol" w:hint="default"/>
      </w:rPr>
    </w:lvl>
    <w:lvl w:ilvl="7" w:tplc="8EB438F4">
      <w:start w:val="1"/>
      <w:numFmt w:val="bullet"/>
      <w:lvlText w:val="o"/>
      <w:lvlJc w:val="left"/>
      <w:pPr>
        <w:ind w:left="5760" w:hanging="360"/>
      </w:pPr>
      <w:rPr>
        <w:rFonts w:ascii="Courier New" w:hAnsi="Courier New" w:hint="default"/>
      </w:rPr>
    </w:lvl>
    <w:lvl w:ilvl="8" w:tplc="52CCB544">
      <w:start w:val="1"/>
      <w:numFmt w:val="bullet"/>
      <w:lvlText w:val=""/>
      <w:lvlJc w:val="left"/>
      <w:pPr>
        <w:ind w:left="6480" w:hanging="360"/>
      </w:pPr>
      <w:rPr>
        <w:rFonts w:ascii="Wingdings" w:hAnsi="Wingdings" w:hint="default"/>
      </w:rPr>
    </w:lvl>
  </w:abstractNum>
  <w:abstractNum w:abstractNumId="19" w15:restartNumberingAfterBreak="0">
    <w:nsid w:val="3040542C"/>
    <w:multiLevelType w:val="hybridMultilevel"/>
    <w:tmpl w:val="6CDEED24"/>
    <w:lvl w:ilvl="0" w:tplc="9EC8DAE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CC0CFB"/>
    <w:multiLevelType w:val="hybridMultilevel"/>
    <w:tmpl w:val="41EED9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2E53B98"/>
    <w:multiLevelType w:val="multilevel"/>
    <w:tmpl w:val="0AEE9D16"/>
    <w:lvl w:ilvl="0">
      <w:start w:val="1"/>
      <w:numFmt w:val="upperRoman"/>
      <w:lvlText w:val="%1."/>
      <w:lvlJc w:val="center"/>
      <w:pPr>
        <w:ind w:left="360" w:firstLine="0"/>
      </w:pPr>
      <w:rPr>
        <w:rFonts w:cs="Times New Roman" w:hint="default"/>
      </w:rPr>
    </w:lvl>
    <w:lvl w:ilvl="1">
      <w:start w:val="1"/>
      <w:numFmt w:val="upperLetter"/>
      <w:lvlText w:val="%2."/>
      <w:lvlJc w:val="center"/>
      <w:pPr>
        <w:tabs>
          <w:tab w:val="num" w:pos="360"/>
        </w:tabs>
        <w:ind w:left="360" w:firstLine="0"/>
      </w:pPr>
      <w:rPr>
        <w:rFonts w:cs="Times New Roman" w:hint="default"/>
        <w:i/>
      </w:rPr>
    </w:lvl>
    <w:lvl w:ilvl="2">
      <w:start w:val="1"/>
      <w:numFmt w:val="decimal"/>
      <w:lvlText w:val="%3."/>
      <w:lvlJc w:val="center"/>
      <w:pPr>
        <w:tabs>
          <w:tab w:val="num" w:pos="0"/>
        </w:tabs>
        <w:ind w:left="0" w:firstLine="288"/>
      </w:pPr>
      <w:rPr>
        <w:rFonts w:cs="Times New Roman" w:hint="default"/>
        <w:u w:val="none"/>
      </w:rPr>
    </w:lvl>
    <w:lvl w:ilvl="3">
      <w:start w:val="1"/>
      <w:numFmt w:val="lowerLetter"/>
      <w:lvlText w:val="%4."/>
      <w:lvlJc w:val="left"/>
      <w:pPr>
        <w:tabs>
          <w:tab w:val="num" w:pos="0"/>
        </w:tabs>
        <w:ind w:left="720" w:firstLine="0"/>
      </w:pPr>
      <w:rPr>
        <w:rFonts w:cs="Times New Roman" w:hint="default"/>
      </w:rPr>
    </w:lvl>
    <w:lvl w:ilvl="4">
      <w:start w:val="1"/>
      <w:numFmt w:val="decimal"/>
      <w:lvlText w:val="(%5)"/>
      <w:lvlJc w:val="left"/>
      <w:pPr>
        <w:tabs>
          <w:tab w:val="num" w:pos="0"/>
        </w:tabs>
        <w:ind w:left="1440" w:firstLine="0"/>
      </w:pPr>
      <w:rPr>
        <w:rFonts w:cs="Times New Roman" w:hint="default"/>
      </w:rPr>
    </w:lvl>
    <w:lvl w:ilvl="5">
      <w:start w:val="1"/>
      <w:numFmt w:val="lowerLetter"/>
      <w:lvlText w:val="(%6)"/>
      <w:lvlJc w:val="left"/>
      <w:pPr>
        <w:tabs>
          <w:tab w:val="num" w:pos="0"/>
        </w:tabs>
        <w:ind w:left="2160" w:firstLine="0"/>
      </w:pPr>
      <w:rPr>
        <w:rFonts w:cs="Times New Roman" w:hint="default"/>
      </w:rPr>
    </w:lvl>
    <w:lvl w:ilvl="6">
      <w:start w:val="1"/>
      <w:numFmt w:val="lowerRoman"/>
      <w:lvlText w:val="(%7)"/>
      <w:lvlJc w:val="left"/>
      <w:pPr>
        <w:tabs>
          <w:tab w:val="num" w:pos="0"/>
        </w:tabs>
        <w:ind w:left="2880" w:firstLine="0"/>
      </w:pPr>
      <w:rPr>
        <w:rFonts w:cs="Times New Roman" w:hint="default"/>
      </w:rPr>
    </w:lvl>
    <w:lvl w:ilvl="7">
      <w:start w:val="1"/>
      <w:numFmt w:val="lowerLetter"/>
      <w:lvlText w:val="(%8)"/>
      <w:lvlJc w:val="left"/>
      <w:pPr>
        <w:tabs>
          <w:tab w:val="num" w:pos="0"/>
        </w:tabs>
        <w:ind w:left="3600" w:firstLine="0"/>
      </w:pPr>
      <w:rPr>
        <w:rFonts w:cs="Times New Roman" w:hint="default"/>
      </w:rPr>
    </w:lvl>
    <w:lvl w:ilvl="8">
      <w:start w:val="1"/>
      <w:numFmt w:val="lowerRoman"/>
      <w:lvlText w:val="(%9)"/>
      <w:lvlJc w:val="left"/>
      <w:pPr>
        <w:tabs>
          <w:tab w:val="num" w:pos="0"/>
        </w:tabs>
        <w:ind w:left="4320" w:firstLine="0"/>
      </w:pPr>
      <w:rPr>
        <w:rFonts w:cs="Times New Roman" w:hint="default"/>
      </w:rPr>
    </w:lvl>
  </w:abstractNum>
  <w:abstractNum w:abstractNumId="22" w15:restartNumberingAfterBreak="0">
    <w:nsid w:val="393B3EE5"/>
    <w:multiLevelType w:val="hybridMultilevel"/>
    <w:tmpl w:val="52947C7A"/>
    <w:lvl w:ilvl="0" w:tplc="04090015">
      <w:start w:val="1"/>
      <w:numFmt w:val="upperLetter"/>
      <w:lvlText w:val="%1."/>
      <w:lvlJc w:val="left"/>
      <w:pPr>
        <w:ind w:left="2430" w:hanging="360"/>
      </w:pPr>
      <w:rPr>
        <w:rFonts w:cs="Times New Roman" w:hint="default"/>
      </w:rPr>
    </w:lvl>
    <w:lvl w:ilvl="1" w:tplc="04090019" w:tentative="1">
      <w:start w:val="1"/>
      <w:numFmt w:val="lowerLetter"/>
      <w:lvlText w:val="%2."/>
      <w:lvlJc w:val="left"/>
      <w:pPr>
        <w:ind w:left="3150" w:hanging="360"/>
      </w:pPr>
      <w:rPr>
        <w:rFonts w:cs="Times New Roman"/>
      </w:rPr>
    </w:lvl>
    <w:lvl w:ilvl="2" w:tplc="0409001B" w:tentative="1">
      <w:start w:val="1"/>
      <w:numFmt w:val="lowerRoman"/>
      <w:lvlText w:val="%3."/>
      <w:lvlJc w:val="right"/>
      <w:pPr>
        <w:ind w:left="3870" w:hanging="180"/>
      </w:pPr>
      <w:rPr>
        <w:rFonts w:cs="Times New Roman"/>
      </w:rPr>
    </w:lvl>
    <w:lvl w:ilvl="3" w:tplc="0409000F" w:tentative="1">
      <w:start w:val="1"/>
      <w:numFmt w:val="decimal"/>
      <w:lvlText w:val="%4."/>
      <w:lvlJc w:val="left"/>
      <w:pPr>
        <w:ind w:left="4590" w:hanging="360"/>
      </w:pPr>
      <w:rPr>
        <w:rFonts w:cs="Times New Roman"/>
      </w:rPr>
    </w:lvl>
    <w:lvl w:ilvl="4" w:tplc="04090019" w:tentative="1">
      <w:start w:val="1"/>
      <w:numFmt w:val="lowerLetter"/>
      <w:lvlText w:val="%5."/>
      <w:lvlJc w:val="left"/>
      <w:pPr>
        <w:ind w:left="5310" w:hanging="360"/>
      </w:pPr>
      <w:rPr>
        <w:rFonts w:cs="Times New Roman"/>
      </w:rPr>
    </w:lvl>
    <w:lvl w:ilvl="5" w:tplc="0409001B" w:tentative="1">
      <w:start w:val="1"/>
      <w:numFmt w:val="lowerRoman"/>
      <w:lvlText w:val="%6."/>
      <w:lvlJc w:val="right"/>
      <w:pPr>
        <w:ind w:left="6030" w:hanging="180"/>
      </w:pPr>
      <w:rPr>
        <w:rFonts w:cs="Times New Roman"/>
      </w:rPr>
    </w:lvl>
    <w:lvl w:ilvl="6" w:tplc="0409000F" w:tentative="1">
      <w:start w:val="1"/>
      <w:numFmt w:val="decimal"/>
      <w:lvlText w:val="%7."/>
      <w:lvlJc w:val="left"/>
      <w:pPr>
        <w:ind w:left="6750" w:hanging="360"/>
      </w:pPr>
      <w:rPr>
        <w:rFonts w:cs="Times New Roman"/>
      </w:rPr>
    </w:lvl>
    <w:lvl w:ilvl="7" w:tplc="04090019" w:tentative="1">
      <w:start w:val="1"/>
      <w:numFmt w:val="lowerLetter"/>
      <w:lvlText w:val="%8."/>
      <w:lvlJc w:val="left"/>
      <w:pPr>
        <w:ind w:left="7470" w:hanging="360"/>
      </w:pPr>
      <w:rPr>
        <w:rFonts w:cs="Times New Roman"/>
      </w:rPr>
    </w:lvl>
    <w:lvl w:ilvl="8" w:tplc="0409001B" w:tentative="1">
      <w:start w:val="1"/>
      <w:numFmt w:val="lowerRoman"/>
      <w:lvlText w:val="%9."/>
      <w:lvlJc w:val="right"/>
      <w:pPr>
        <w:ind w:left="8190" w:hanging="180"/>
      </w:pPr>
      <w:rPr>
        <w:rFonts w:cs="Times New Roman"/>
      </w:rPr>
    </w:lvl>
  </w:abstractNum>
  <w:abstractNum w:abstractNumId="23" w15:restartNumberingAfterBreak="0">
    <w:nsid w:val="467400CF"/>
    <w:multiLevelType w:val="multilevel"/>
    <w:tmpl w:val="60E49AC8"/>
    <w:lvl w:ilvl="0">
      <w:start w:val="1"/>
      <w:numFmt w:val="upperRoman"/>
      <w:lvlText w:val="%1."/>
      <w:lvlJc w:val="center"/>
      <w:pPr>
        <w:ind w:left="-1440" w:firstLine="1728"/>
      </w:pPr>
      <w:rPr>
        <w:rFonts w:cs="Times New Roman" w:hint="default"/>
      </w:rPr>
    </w:lvl>
    <w:lvl w:ilvl="1">
      <w:start w:val="1"/>
      <w:numFmt w:val="upperLetter"/>
      <w:lvlText w:val="%2."/>
      <w:lvlJc w:val="center"/>
      <w:pPr>
        <w:ind w:left="-720" w:firstLine="1008"/>
      </w:pPr>
      <w:rPr>
        <w:rFonts w:cs="Times New Roman" w:hint="default"/>
      </w:rPr>
    </w:lvl>
    <w:lvl w:ilvl="2">
      <w:start w:val="1"/>
      <w:numFmt w:val="decimal"/>
      <w:lvlText w:val="%3."/>
      <w:lvlJc w:val="center"/>
      <w:pPr>
        <w:ind w:firstLine="288"/>
      </w:pPr>
      <w:rPr>
        <w:rFonts w:cs="Times New Roman" w:hint="default"/>
        <w:u w:val="none"/>
      </w:rPr>
    </w:lvl>
    <w:lvl w:ilvl="3">
      <w:start w:val="1"/>
      <w:numFmt w:val="lowerLetter"/>
      <w:lvlText w:val="%4)"/>
      <w:lvlJc w:val="left"/>
      <w:pPr>
        <w:ind w:left="720"/>
      </w:pPr>
      <w:rPr>
        <w:rFonts w:cs="Times New Roman" w:hint="default"/>
      </w:rPr>
    </w:lvl>
    <w:lvl w:ilvl="4">
      <w:start w:val="1"/>
      <w:numFmt w:val="decimal"/>
      <w:lvlText w:val="(%5)"/>
      <w:lvlJc w:val="left"/>
      <w:pPr>
        <w:ind w:left="1440"/>
      </w:pPr>
      <w:rPr>
        <w:rFonts w:cs="Times New Roman" w:hint="default"/>
      </w:rPr>
    </w:lvl>
    <w:lvl w:ilvl="5">
      <w:start w:val="1"/>
      <w:numFmt w:val="lowerLetter"/>
      <w:lvlText w:val="(%6)"/>
      <w:lvlJc w:val="left"/>
      <w:pPr>
        <w:ind w:left="2160"/>
      </w:pPr>
      <w:rPr>
        <w:rFonts w:cs="Times New Roman" w:hint="default"/>
      </w:rPr>
    </w:lvl>
    <w:lvl w:ilvl="6">
      <w:start w:val="1"/>
      <w:numFmt w:val="lowerRoman"/>
      <w:lvlText w:val="(%7)"/>
      <w:lvlJc w:val="left"/>
      <w:pPr>
        <w:ind w:left="2880"/>
      </w:pPr>
      <w:rPr>
        <w:rFonts w:cs="Times New Roman" w:hint="default"/>
      </w:rPr>
    </w:lvl>
    <w:lvl w:ilvl="7">
      <w:start w:val="1"/>
      <w:numFmt w:val="lowerLetter"/>
      <w:lvlText w:val="(%8)"/>
      <w:lvlJc w:val="left"/>
      <w:pPr>
        <w:ind w:left="3600"/>
      </w:pPr>
      <w:rPr>
        <w:rFonts w:cs="Times New Roman" w:hint="default"/>
      </w:rPr>
    </w:lvl>
    <w:lvl w:ilvl="8">
      <w:start w:val="1"/>
      <w:numFmt w:val="lowerRoman"/>
      <w:lvlText w:val="(%9)"/>
      <w:lvlJc w:val="left"/>
      <w:pPr>
        <w:ind w:left="4320"/>
      </w:pPr>
      <w:rPr>
        <w:rFonts w:cs="Times New Roman" w:hint="default"/>
      </w:rPr>
    </w:lvl>
  </w:abstractNum>
  <w:abstractNum w:abstractNumId="24" w15:restartNumberingAfterBreak="0">
    <w:nsid w:val="4BCD4C08"/>
    <w:multiLevelType w:val="multilevel"/>
    <w:tmpl w:val="23086416"/>
    <w:lvl w:ilvl="0">
      <w:start w:val="1"/>
      <w:numFmt w:val="upperRoman"/>
      <w:lvlText w:val="%1."/>
      <w:lvlJc w:val="center"/>
      <w:pPr>
        <w:tabs>
          <w:tab w:val="num" w:pos="0"/>
        </w:tabs>
        <w:ind w:left="0" w:firstLine="288"/>
      </w:pPr>
      <w:rPr>
        <w:rFonts w:cs="Times New Roman" w:hint="default"/>
      </w:rPr>
    </w:lvl>
    <w:lvl w:ilvl="1">
      <w:start w:val="1"/>
      <w:numFmt w:val="upperLetter"/>
      <w:lvlText w:val="%2."/>
      <w:lvlJc w:val="center"/>
      <w:pPr>
        <w:tabs>
          <w:tab w:val="num" w:pos="0"/>
        </w:tabs>
        <w:ind w:left="0" w:firstLine="288"/>
      </w:pPr>
      <w:rPr>
        <w:rFonts w:cs="Times New Roman" w:hint="default"/>
        <w:i/>
      </w:rPr>
    </w:lvl>
    <w:lvl w:ilvl="2">
      <w:start w:val="1"/>
      <w:numFmt w:val="decimal"/>
      <w:lvlText w:val="%3."/>
      <w:lvlJc w:val="center"/>
      <w:pPr>
        <w:tabs>
          <w:tab w:val="num" w:pos="0"/>
        </w:tabs>
        <w:ind w:left="0" w:firstLine="288"/>
      </w:pPr>
      <w:rPr>
        <w:rFonts w:cs="Times New Roman" w:hint="default"/>
        <w:u w:val="single"/>
      </w:rPr>
    </w:lvl>
    <w:lvl w:ilvl="3">
      <w:start w:val="1"/>
      <w:numFmt w:val="lowerLetter"/>
      <w:lvlText w:val="%4)"/>
      <w:lvlJc w:val="left"/>
      <w:pPr>
        <w:tabs>
          <w:tab w:val="num" w:pos="0"/>
        </w:tabs>
        <w:ind w:left="720" w:firstLine="0"/>
      </w:pPr>
      <w:rPr>
        <w:rFonts w:cs="Times New Roman" w:hint="default"/>
      </w:rPr>
    </w:lvl>
    <w:lvl w:ilvl="4">
      <w:start w:val="1"/>
      <w:numFmt w:val="decimal"/>
      <w:lvlText w:val="(%5)"/>
      <w:lvlJc w:val="left"/>
      <w:pPr>
        <w:tabs>
          <w:tab w:val="num" w:pos="0"/>
        </w:tabs>
        <w:ind w:left="1440" w:firstLine="0"/>
      </w:pPr>
      <w:rPr>
        <w:rFonts w:cs="Times New Roman" w:hint="default"/>
      </w:rPr>
    </w:lvl>
    <w:lvl w:ilvl="5">
      <w:start w:val="1"/>
      <w:numFmt w:val="lowerLetter"/>
      <w:lvlText w:val="(%6)"/>
      <w:lvlJc w:val="left"/>
      <w:pPr>
        <w:tabs>
          <w:tab w:val="num" w:pos="0"/>
        </w:tabs>
        <w:ind w:left="2160" w:firstLine="0"/>
      </w:pPr>
      <w:rPr>
        <w:rFonts w:cs="Times New Roman" w:hint="default"/>
      </w:rPr>
    </w:lvl>
    <w:lvl w:ilvl="6">
      <w:start w:val="1"/>
      <w:numFmt w:val="lowerRoman"/>
      <w:lvlText w:val="(%7)"/>
      <w:lvlJc w:val="left"/>
      <w:pPr>
        <w:tabs>
          <w:tab w:val="num" w:pos="0"/>
        </w:tabs>
        <w:ind w:left="2880" w:firstLine="0"/>
      </w:pPr>
      <w:rPr>
        <w:rFonts w:cs="Times New Roman" w:hint="default"/>
      </w:rPr>
    </w:lvl>
    <w:lvl w:ilvl="7">
      <w:start w:val="1"/>
      <w:numFmt w:val="lowerLetter"/>
      <w:lvlText w:val="(%8)"/>
      <w:lvlJc w:val="left"/>
      <w:pPr>
        <w:tabs>
          <w:tab w:val="num" w:pos="0"/>
        </w:tabs>
        <w:ind w:left="3600" w:firstLine="0"/>
      </w:pPr>
      <w:rPr>
        <w:rFonts w:cs="Times New Roman" w:hint="default"/>
      </w:rPr>
    </w:lvl>
    <w:lvl w:ilvl="8">
      <w:start w:val="1"/>
      <w:numFmt w:val="lowerRoman"/>
      <w:lvlText w:val="(%9)"/>
      <w:lvlJc w:val="left"/>
      <w:pPr>
        <w:tabs>
          <w:tab w:val="num" w:pos="0"/>
        </w:tabs>
        <w:ind w:left="4320" w:firstLine="0"/>
      </w:pPr>
      <w:rPr>
        <w:rFonts w:cs="Times New Roman" w:hint="default"/>
      </w:rPr>
    </w:lvl>
  </w:abstractNum>
  <w:abstractNum w:abstractNumId="25" w15:restartNumberingAfterBreak="0">
    <w:nsid w:val="62D965AE"/>
    <w:multiLevelType w:val="multilevel"/>
    <w:tmpl w:val="43D84BCE"/>
    <w:lvl w:ilvl="0">
      <w:start w:val="1"/>
      <w:numFmt w:val="upperRoman"/>
      <w:lvlText w:val="%1."/>
      <w:lvlJc w:val="center"/>
      <w:pPr>
        <w:ind w:left="-1440" w:firstLine="1728"/>
      </w:pPr>
      <w:rPr>
        <w:rFonts w:cs="Times New Roman" w:hint="default"/>
      </w:rPr>
    </w:lvl>
    <w:lvl w:ilvl="1">
      <w:start w:val="1"/>
      <w:numFmt w:val="upperLetter"/>
      <w:lvlText w:val="%2."/>
      <w:lvlJc w:val="center"/>
      <w:pPr>
        <w:ind w:left="-720" w:firstLine="1008"/>
      </w:pPr>
      <w:rPr>
        <w:rFonts w:cs="Times New Roman" w:hint="default"/>
      </w:rPr>
    </w:lvl>
    <w:lvl w:ilvl="2">
      <w:start w:val="1"/>
      <w:numFmt w:val="decimal"/>
      <w:lvlText w:val="%3."/>
      <w:lvlJc w:val="center"/>
      <w:pPr>
        <w:ind w:firstLine="288"/>
      </w:pPr>
      <w:rPr>
        <w:rFonts w:cs="Times New Roman" w:hint="default"/>
        <w:u w:val="single"/>
      </w:rPr>
    </w:lvl>
    <w:lvl w:ilvl="3">
      <w:start w:val="1"/>
      <w:numFmt w:val="lowerLetter"/>
      <w:lvlText w:val="%4)"/>
      <w:lvlJc w:val="left"/>
      <w:pPr>
        <w:ind w:left="720"/>
      </w:pPr>
      <w:rPr>
        <w:rFonts w:cs="Times New Roman" w:hint="default"/>
      </w:rPr>
    </w:lvl>
    <w:lvl w:ilvl="4">
      <w:start w:val="1"/>
      <w:numFmt w:val="decimal"/>
      <w:lvlText w:val="(%5)"/>
      <w:lvlJc w:val="left"/>
      <w:pPr>
        <w:ind w:left="1440"/>
      </w:pPr>
      <w:rPr>
        <w:rFonts w:cs="Times New Roman" w:hint="default"/>
      </w:rPr>
    </w:lvl>
    <w:lvl w:ilvl="5">
      <w:start w:val="1"/>
      <w:numFmt w:val="lowerLetter"/>
      <w:lvlText w:val="(%6)"/>
      <w:lvlJc w:val="left"/>
      <w:pPr>
        <w:ind w:left="2160"/>
      </w:pPr>
      <w:rPr>
        <w:rFonts w:cs="Times New Roman" w:hint="default"/>
      </w:rPr>
    </w:lvl>
    <w:lvl w:ilvl="6">
      <w:start w:val="1"/>
      <w:numFmt w:val="lowerRoman"/>
      <w:lvlText w:val="(%7)"/>
      <w:lvlJc w:val="left"/>
      <w:pPr>
        <w:ind w:left="2880"/>
      </w:pPr>
      <w:rPr>
        <w:rFonts w:cs="Times New Roman" w:hint="default"/>
      </w:rPr>
    </w:lvl>
    <w:lvl w:ilvl="7">
      <w:start w:val="1"/>
      <w:numFmt w:val="lowerLetter"/>
      <w:lvlText w:val="(%8)"/>
      <w:lvlJc w:val="left"/>
      <w:pPr>
        <w:ind w:left="3600"/>
      </w:pPr>
      <w:rPr>
        <w:rFonts w:cs="Times New Roman" w:hint="default"/>
      </w:rPr>
    </w:lvl>
    <w:lvl w:ilvl="8">
      <w:start w:val="1"/>
      <w:numFmt w:val="lowerRoman"/>
      <w:lvlText w:val="(%9)"/>
      <w:lvlJc w:val="left"/>
      <w:pPr>
        <w:ind w:left="4320"/>
      </w:pPr>
      <w:rPr>
        <w:rFonts w:cs="Times New Roman" w:hint="default"/>
      </w:rPr>
    </w:lvl>
  </w:abstractNum>
  <w:abstractNum w:abstractNumId="26" w15:restartNumberingAfterBreak="0">
    <w:nsid w:val="63CD72DE"/>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7" w15:restartNumberingAfterBreak="0">
    <w:nsid w:val="6560653E"/>
    <w:multiLevelType w:val="multilevel"/>
    <w:tmpl w:val="A0903E36"/>
    <w:lvl w:ilvl="0">
      <w:start w:val="1"/>
      <w:numFmt w:val="upperRoman"/>
      <w:lvlText w:val="%1."/>
      <w:lvlJc w:val="left"/>
      <w:rPr>
        <w:rFonts w:cs="Times New Roman"/>
      </w:rPr>
    </w:lvl>
    <w:lvl w:ilvl="1">
      <w:start w:val="1"/>
      <w:numFmt w:val="upperLetter"/>
      <w:lvlText w:val="%2."/>
      <w:lvlJc w:val="left"/>
      <w:pPr>
        <w:ind w:left="720"/>
      </w:pPr>
      <w:rPr>
        <w:rFonts w:cs="Times New Roman"/>
      </w:rPr>
    </w:lvl>
    <w:lvl w:ilvl="2">
      <w:start w:val="1"/>
      <w:numFmt w:val="decimal"/>
      <w:lvlText w:val="%3."/>
      <w:lvlJc w:val="left"/>
      <w:pPr>
        <w:ind w:left="1440"/>
      </w:pPr>
      <w:rPr>
        <w:rFonts w:cs="Times New Roman"/>
      </w:rPr>
    </w:lvl>
    <w:lvl w:ilvl="3">
      <w:start w:val="1"/>
      <w:numFmt w:val="lowerLetter"/>
      <w:lvlText w:val="%4)"/>
      <w:lvlJc w:val="left"/>
      <w:pPr>
        <w:ind w:left="2160"/>
      </w:pPr>
      <w:rPr>
        <w:rFonts w:cs="Times New Roman"/>
      </w:rPr>
    </w:lvl>
    <w:lvl w:ilvl="4">
      <w:start w:val="1"/>
      <w:numFmt w:val="decimal"/>
      <w:lvlText w:val="(%5)"/>
      <w:lvlJc w:val="left"/>
      <w:pPr>
        <w:ind w:left="2880"/>
      </w:pPr>
      <w:rPr>
        <w:rFonts w:cs="Times New Roman"/>
      </w:rPr>
    </w:lvl>
    <w:lvl w:ilvl="5">
      <w:start w:val="1"/>
      <w:numFmt w:val="lowerLetter"/>
      <w:lvlText w:val="(%6)"/>
      <w:lvlJc w:val="left"/>
      <w:pPr>
        <w:ind w:left="3600"/>
      </w:pPr>
      <w:rPr>
        <w:rFonts w:cs="Times New Roman"/>
      </w:rPr>
    </w:lvl>
    <w:lvl w:ilvl="6">
      <w:start w:val="1"/>
      <w:numFmt w:val="lowerRoman"/>
      <w:lvlText w:val="(%7)"/>
      <w:lvlJc w:val="left"/>
      <w:pPr>
        <w:ind w:left="4320"/>
      </w:pPr>
      <w:rPr>
        <w:rFonts w:cs="Times New Roman"/>
      </w:rPr>
    </w:lvl>
    <w:lvl w:ilvl="7">
      <w:start w:val="1"/>
      <w:numFmt w:val="lowerLetter"/>
      <w:lvlText w:val="(%8)"/>
      <w:lvlJc w:val="left"/>
      <w:pPr>
        <w:ind w:left="5040"/>
      </w:pPr>
      <w:rPr>
        <w:rFonts w:cs="Times New Roman"/>
      </w:rPr>
    </w:lvl>
    <w:lvl w:ilvl="8">
      <w:start w:val="1"/>
      <w:numFmt w:val="lowerRoman"/>
      <w:lvlText w:val="(%9)"/>
      <w:lvlJc w:val="left"/>
      <w:pPr>
        <w:ind w:left="5760"/>
      </w:pPr>
      <w:rPr>
        <w:rFonts w:cs="Times New Roman"/>
      </w:rPr>
    </w:lvl>
  </w:abstractNum>
  <w:abstractNum w:abstractNumId="28" w15:restartNumberingAfterBreak="0">
    <w:nsid w:val="6CB06663"/>
    <w:multiLevelType w:val="hybridMultilevel"/>
    <w:tmpl w:val="8EDAB5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F6700D2"/>
    <w:multiLevelType w:val="multilevel"/>
    <w:tmpl w:val="16E225E8"/>
    <w:lvl w:ilvl="0">
      <w:start w:val="1"/>
      <w:numFmt w:val="upperRoman"/>
      <w:lvlText w:val="%1."/>
      <w:lvlJc w:val="center"/>
      <w:pPr>
        <w:ind w:left="-1440" w:firstLine="1728"/>
      </w:pPr>
      <w:rPr>
        <w:rFonts w:cs="Times New Roman" w:hint="default"/>
      </w:rPr>
    </w:lvl>
    <w:lvl w:ilvl="1">
      <w:start w:val="1"/>
      <w:numFmt w:val="upperLetter"/>
      <w:lvlText w:val="%2."/>
      <w:lvlJc w:val="center"/>
      <w:pPr>
        <w:ind w:left="-720" w:firstLine="1008"/>
      </w:pPr>
      <w:rPr>
        <w:rFonts w:cs="Times New Roman" w:hint="default"/>
      </w:rPr>
    </w:lvl>
    <w:lvl w:ilvl="2">
      <w:start w:val="1"/>
      <w:numFmt w:val="decimal"/>
      <w:lvlText w:val="%3."/>
      <w:lvlJc w:val="center"/>
      <w:pPr>
        <w:ind w:firstLine="288"/>
      </w:pPr>
      <w:rPr>
        <w:rFonts w:cs="Times New Roman" w:hint="default"/>
        <w:u w:val="single"/>
      </w:rPr>
    </w:lvl>
    <w:lvl w:ilvl="3">
      <w:start w:val="1"/>
      <w:numFmt w:val="lowerLetter"/>
      <w:lvlText w:val="%4)"/>
      <w:lvlJc w:val="left"/>
      <w:pPr>
        <w:ind w:left="720"/>
      </w:pPr>
      <w:rPr>
        <w:rFonts w:cs="Times New Roman" w:hint="default"/>
      </w:rPr>
    </w:lvl>
    <w:lvl w:ilvl="4">
      <w:start w:val="1"/>
      <w:numFmt w:val="decimal"/>
      <w:lvlText w:val="(%5)"/>
      <w:lvlJc w:val="left"/>
      <w:pPr>
        <w:ind w:left="1440"/>
      </w:pPr>
      <w:rPr>
        <w:rFonts w:cs="Times New Roman" w:hint="default"/>
      </w:rPr>
    </w:lvl>
    <w:lvl w:ilvl="5">
      <w:start w:val="1"/>
      <w:numFmt w:val="lowerLetter"/>
      <w:lvlText w:val="(%6)"/>
      <w:lvlJc w:val="left"/>
      <w:pPr>
        <w:ind w:left="2160"/>
      </w:pPr>
      <w:rPr>
        <w:rFonts w:cs="Times New Roman" w:hint="default"/>
      </w:rPr>
    </w:lvl>
    <w:lvl w:ilvl="6">
      <w:start w:val="1"/>
      <w:numFmt w:val="lowerRoman"/>
      <w:lvlText w:val="(%7)"/>
      <w:lvlJc w:val="left"/>
      <w:pPr>
        <w:ind w:left="2880"/>
      </w:pPr>
      <w:rPr>
        <w:rFonts w:cs="Times New Roman" w:hint="default"/>
      </w:rPr>
    </w:lvl>
    <w:lvl w:ilvl="7">
      <w:start w:val="1"/>
      <w:numFmt w:val="lowerLetter"/>
      <w:lvlText w:val="(%8)"/>
      <w:lvlJc w:val="left"/>
      <w:pPr>
        <w:ind w:left="3600"/>
      </w:pPr>
      <w:rPr>
        <w:rFonts w:cs="Times New Roman" w:hint="default"/>
      </w:rPr>
    </w:lvl>
    <w:lvl w:ilvl="8">
      <w:start w:val="1"/>
      <w:numFmt w:val="lowerRoman"/>
      <w:lvlText w:val="(%9)"/>
      <w:lvlJc w:val="left"/>
      <w:pPr>
        <w:ind w:left="4320"/>
      </w:pPr>
      <w:rPr>
        <w:rFonts w:cs="Times New Roman" w:hint="default"/>
      </w:rPr>
    </w:lvl>
  </w:abstractNum>
  <w:abstractNum w:abstractNumId="30" w15:restartNumberingAfterBreak="0">
    <w:nsid w:val="70D5706E"/>
    <w:multiLevelType w:val="multilevel"/>
    <w:tmpl w:val="1CC04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12E4BE2"/>
    <w:multiLevelType w:val="multilevel"/>
    <w:tmpl w:val="AF3E8E30"/>
    <w:lvl w:ilvl="0">
      <w:start w:val="1"/>
      <w:numFmt w:val="upperRoman"/>
      <w:lvlText w:val="%1."/>
      <w:lvlJc w:val="center"/>
      <w:pPr>
        <w:ind w:left="360" w:firstLine="0"/>
      </w:pPr>
      <w:rPr>
        <w:rFonts w:cs="Times New Roman" w:hint="default"/>
      </w:rPr>
    </w:lvl>
    <w:lvl w:ilvl="1">
      <w:start w:val="1"/>
      <w:numFmt w:val="upperLetter"/>
      <w:lvlText w:val="%2."/>
      <w:lvlJc w:val="center"/>
      <w:pPr>
        <w:tabs>
          <w:tab w:val="num" w:pos="360"/>
        </w:tabs>
        <w:ind w:left="360" w:firstLine="0"/>
      </w:pPr>
      <w:rPr>
        <w:rFonts w:cs="Times New Roman" w:hint="default"/>
        <w:i/>
      </w:rPr>
    </w:lvl>
    <w:lvl w:ilvl="2">
      <w:start w:val="1"/>
      <w:numFmt w:val="decimal"/>
      <w:lvlText w:val="%3."/>
      <w:lvlJc w:val="center"/>
      <w:pPr>
        <w:tabs>
          <w:tab w:val="num" w:pos="0"/>
        </w:tabs>
        <w:ind w:left="0" w:firstLine="288"/>
      </w:pPr>
      <w:rPr>
        <w:rFonts w:cs="Times New Roman" w:hint="default"/>
        <w:u w:val="single"/>
      </w:rPr>
    </w:lvl>
    <w:lvl w:ilvl="3">
      <w:start w:val="1"/>
      <w:numFmt w:val="lowerLetter"/>
      <w:lvlText w:val="%4."/>
      <w:lvlJc w:val="left"/>
      <w:pPr>
        <w:tabs>
          <w:tab w:val="num" w:pos="0"/>
        </w:tabs>
        <w:ind w:left="720" w:firstLine="0"/>
      </w:pPr>
      <w:rPr>
        <w:rFonts w:cs="Times New Roman" w:hint="default"/>
      </w:rPr>
    </w:lvl>
    <w:lvl w:ilvl="4">
      <w:start w:val="1"/>
      <w:numFmt w:val="decimal"/>
      <w:lvlText w:val="(%5)"/>
      <w:lvlJc w:val="left"/>
      <w:pPr>
        <w:tabs>
          <w:tab w:val="num" w:pos="0"/>
        </w:tabs>
        <w:ind w:left="1440" w:firstLine="0"/>
      </w:pPr>
      <w:rPr>
        <w:rFonts w:cs="Times New Roman" w:hint="default"/>
      </w:rPr>
    </w:lvl>
    <w:lvl w:ilvl="5">
      <w:start w:val="1"/>
      <w:numFmt w:val="lowerLetter"/>
      <w:lvlText w:val="(%6)"/>
      <w:lvlJc w:val="left"/>
      <w:pPr>
        <w:tabs>
          <w:tab w:val="num" w:pos="0"/>
        </w:tabs>
        <w:ind w:left="2160" w:firstLine="0"/>
      </w:pPr>
      <w:rPr>
        <w:rFonts w:cs="Times New Roman" w:hint="default"/>
      </w:rPr>
    </w:lvl>
    <w:lvl w:ilvl="6">
      <w:start w:val="1"/>
      <w:numFmt w:val="lowerRoman"/>
      <w:lvlText w:val="(%7)"/>
      <w:lvlJc w:val="left"/>
      <w:pPr>
        <w:tabs>
          <w:tab w:val="num" w:pos="0"/>
        </w:tabs>
        <w:ind w:left="2880" w:firstLine="0"/>
      </w:pPr>
      <w:rPr>
        <w:rFonts w:cs="Times New Roman" w:hint="default"/>
      </w:rPr>
    </w:lvl>
    <w:lvl w:ilvl="7">
      <w:start w:val="1"/>
      <w:numFmt w:val="lowerLetter"/>
      <w:lvlText w:val="(%8)"/>
      <w:lvlJc w:val="left"/>
      <w:pPr>
        <w:tabs>
          <w:tab w:val="num" w:pos="0"/>
        </w:tabs>
        <w:ind w:left="3600" w:firstLine="0"/>
      </w:pPr>
      <w:rPr>
        <w:rFonts w:cs="Times New Roman" w:hint="default"/>
      </w:rPr>
    </w:lvl>
    <w:lvl w:ilvl="8">
      <w:start w:val="1"/>
      <w:numFmt w:val="lowerRoman"/>
      <w:lvlText w:val="(%9)"/>
      <w:lvlJc w:val="left"/>
      <w:pPr>
        <w:tabs>
          <w:tab w:val="num" w:pos="0"/>
        </w:tabs>
        <w:ind w:left="4320" w:firstLine="0"/>
      </w:pPr>
      <w:rPr>
        <w:rFonts w:cs="Times New Roman" w:hint="default"/>
      </w:rPr>
    </w:lvl>
  </w:abstractNum>
  <w:abstractNum w:abstractNumId="32" w15:restartNumberingAfterBreak="0">
    <w:nsid w:val="728F2EB7"/>
    <w:multiLevelType w:val="multilevel"/>
    <w:tmpl w:val="A0903E36"/>
    <w:lvl w:ilvl="0">
      <w:start w:val="1"/>
      <w:numFmt w:val="upperRoman"/>
      <w:lvlText w:val="%1."/>
      <w:lvlJc w:val="left"/>
      <w:rPr>
        <w:rFonts w:cs="Times New Roman"/>
      </w:rPr>
    </w:lvl>
    <w:lvl w:ilvl="1">
      <w:start w:val="1"/>
      <w:numFmt w:val="upperLetter"/>
      <w:lvlText w:val="%2."/>
      <w:lvlJc w:val="left"/>
      <w:pPr>
        <w:ind w:left="720"/>
      </w:pPr>
      <w:rPr>
        <w:rFonts w:cs="Times New Roman"/>
      </w:rPr>
    </w:lvl>
    <w:lvl w:ilvl="2">
      <w:start w:val="1"/>
      <w:numFmt w:val="decimal"/>
      <w:lvlText w:val="%3."/>
      <w:lvlJc w:val="left"/>
      <w:pPr>
        <w:ind w:left="1440"/>
      </w:pPr>
      <w:rPr>
        <w:rFonts w:cs="Times New Roman"/>
      </w:rPr>
    </w:lvl>
    <w:lvl w:ilvl="3">
      <w:start w:val="1"/>
      <w:numFmt w:val="lowerLetter"/>
      <w:lvlText w:val="%4)"/>
      <w:lvlJc w:val="left"/>
      <w:pPr>
        <w:ind w:left="2160"/>
      </w:pPr>
      <w:rPr>
        <w:rFonts w:cs="Times New Roman"/>
      </w:rPr>
    </w:lvl>
    <w:lvl w:ilvl="4">
      <w:start w:val="1"/>
      <w:numFmt w:val="decimal"/>
      <w:lvlText w:val="(%5)"/>
      <w:lvlJc w:val="left"/>
      <w:pPr>
        <w:ind w:left="2880"/>
      </w:pPr>
      <w:rPr>
        <w:rFonts w:cs="Times New Roman"/>
      </w:rPr>
    </w:lvl>
    <w:lvl w:ilvl="5">
      <w:start w:val="1"/>
      <w:numFmt w:val="lowerLetter"/>
      <w:lvlText w:val="(%6)"/>
      <w:lvlJc w:val="left"/>
      <w:pPr>
        <w:ind w:left="3600"/>
      </w:pPr>
      <w:rPr>
        <w:rFonts w:cs="Times New Roman"/>
      </w:rPr>
    </w:lvl>
    <w:lvl w:ilvl="6">
      <w:start w:val="1"/>
      <w:numFmt w:val="lowerRoman"/>
      <w:lvlText w:val="(%7)"/>
      <w:lvlJc w:val="left"/>
      <w:pPr>
        <w:ind w:left="4320"/>
      </w:pPr>
      <w:rPr>
        <w:rFonts w:cs="Times New Roman"/>
      </w:rPr>
    </w:lvl>
    <w:lvl w:ilvl="7">
      <w:start w:val="1"/>
      <w:numFmt w:val="lowerLetter"/>
      <w:lvlText w:val="(%8)"/>
      <w:lvlJc w:val="left"/>
      <w:pPr>
        <w:ind w:left="5040"/>
      </w:pPr>
      <w:rPr>
        <w:rFonts w:cs="Times New Roman"/>
      </w:rPr>
    </w:lvl>
    <w:lvl w:ilvl="8">
      <w:start w:val="1"/>
      <w:numFmt w:val="lowerRoman"/>
      <w:lvlText w:val="(%9)"/>
      <w:lvlJc w:val="left"/>
      <w:pPr>
        <w:ind w:left="5760"/>
      </w:pPr>
      <w:rPr>
        <w:rFonts w:cs="Times New Roman"/>
      </w:rPr>
    </w:lvl>
  </w:abstractNum>
  <w:abstractNum w:abstractNumId="33" w15:restartNumberingAfterBreak="0">
    <w:nsid w:val="78BA5B6C"/>
    <w:multiLevelType w:val="hybridMultilevel"/>
    <w:tmpl w:val="E5E62762"/>
    <w:lvl w:ilvl="0" w:tplc="BE1CB4F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C3C5DFA"/>
    <w:multiLevelType w:val="hybridMultilevel"/>
    <w:tmpl w:val="06149C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113864332">
    <w:abstractNumId w:val="18"/>
  </w:num>
  <w:num w:numId="2" w16cid:durableId="868683965">
    <w:abstractNumId w:val="10"/>
  </w:num>
  <w:num w:numId="3" w16cid:durableId="556207263">
    <w:abstractNumId w:val="22"/>
  </w:num>
  <w:num w:numId="4" w16cid:durableId="227352074">
    <w:abstractNumId w:val="10"/>
  </w:num>
  <w:num w:numId="5" w16cid:durableId="185563598">
    <w:abstractNumId w:val="8"/>
  </w:num>
  <w:num w:numId="6" w16cid:durableId="689721513">
    <w:abstractNumId w:val="7"/>
  </w:num>
  <w:num w:numId="7" w16cid:durableId="1604800443">
    <w:abstractNumId w:val="6"/>
  </w:num>
  <w:num w:numId="8" w16cid:durableId="1554845890">
    <w:abstractNumId w:val="9"/>
  </w:num>
  <w:num w:numId="9" w16cid:durableId="952515398">
    <w:abstractNumId w:val="4"/>
  </w:num>
  <w:num w:numId="10" w16cid:durableId="1593705969">
    <w:abstractNumId w:val="3"/>
  </w:num>
  <w:num w:numId="11" w16cid:durableId="1986660693">
    <w:abstractNumId w:val="5"/>
  </w:num>
  <w:num w:numId="12" w16cid:durableId="1481531827">
    <w:abstractNumId w:val="2"/>
  </w:num>
  <w:num w:numId="13" w16cid:durableId="1647738549">
    <w:abstractNumId w:val="1"/>
  </w:num>
  <w:num w:numId="14" w16cid:durableId="1553809827">
    <w:abstractNumId w:val="13"/>
  </w:num>
  <w:num w:numId="15" w16cid:durableId="560988665">
    <w:abstractNumId w:val="27"/>
  </w:num>
  <w:num w:numId="16" w16cid:durableId="664631232">
    <w:abstractNumId w:val="32"/>
  </w:num>
  <w:num w:numId="17" w16cid:durableId="287014620">
    <w:abstractNumId w:val="26"/>
  </w:num>
  <w:num w:numId="18" w16cid:durableId="745341543">
    <w:abstractNumId w:val="14"/>
  </w:num>
  <w:num w:numId="19" w16cid:durableId="2135639358">
    <w:abstractNumId w:val="29"/>
  </w:num>
  <w:num w:numId="20" w16cid:durableId="1048333073">
    <w:abstractNumId w:val="23"/>
  </w:num>
  <w:num w:numId="21" w16cid:durableId="752357730">
    <w:abstractNumId w:val="0"/>
  </w:num>
  <w:num w:numId="22" w16cid:durableId="1890727779">
    <w:abstractNumId w:val="25"/>
  </w:num>
  <w:num w:numId="23" w16cid:durableId="129247863">
    <w:abstractNumId w:val="17"/>
  </w:num>
  <w:num w:numId="24" w16cid:durableId="2080639147">
    <w:abstractNumId w:val="15"/>
  </w:num>
  <w:num w:numId="25" w16cid:durableId="59139452">
    <w:abstractNumId w:val="24"/>
  </w:num>
  <w:num w:numId="26" w16cid:durableId="1925142059">
    <w:abstractNumId w:val="13"/>
    <w:lvlOverride w:ilvl="0">
      <w:lvl w:ilvl="0">
        <w:start w:val="1"/>
        <w:numFmt w:val="upperRoman"/>
        <w:pStyle w:val="Heading1"/>
        <w:lvlText w:val="%1."/>
        <w:lvlJc w:val="center"/>
        <w:pPr>
          <w:ind w:left="360" w:hanging="360"/>
        </w:pPr>
        <w:rPr>
          <w:rFonts w:cs="Times New Roman" w:hint="default"/>
        </w:rPr>
      </w:lvl>
    </w:lvlOverride>
    <w:lvlOverride w:ilvl="1">
      <w:lvl w:ilvl="1">
        <w:start w:val="1"/>
        <w:numFmt w:val="upperLetter"/>
        <w:pStyle w:val="Heading2"/>
        <w:lvlText w:val="%2."/>
        <w:lvlJc w:val="center"/>
        <w:pPr>
          <w:tabs>
            <w:tab w:val="num" w:pos="360"/>
          </w:tabs>
          <w:ind w:left="360" w:firstLine="0"/>
        </w:pPr>
        <w:rPr>
          <w:rFonts w:cs="Times New Roman" w:hint="default"/>
          <w:i/>
        </w:rPr>
      </w:lvl>
    </w:lvlOverride>
    <w:lvlOverride w:ilvl="2">
      <w:lvl w:ilvl="2">
        <w:start w:val="1"/>
        <w:numFmt w:val="decimal"/>
        <w:pStyle w:val="Heading3"/>
        <w:lvlText w:val="%3."/>
        <w:lvlJc w:val="center"/>
        <w:pPr>
          <w:tabs>
            <w:tab w:val="num" w:pos="0"/>
          </w:tabs>
          <w:ind w:left="0" w:firstLine="288"/>
        </w:pPr>
        <w:rPr>
          <w:rFonts w:cs="Times New Roman" w:hint="default"/>
          <w:u w:val="single"/>
        </w:rPr>
      </w:lvl>
    </w:lvlOverride>
    <w:lvlOverride w:ilvl="3">
      <w:lvl w:ilvl="3">
        <w:start w:val="1"/>
        <w:numFmt w:val="lowerLetter"/>
        <w:pStyle w:val="Heading4"/>
        <w:lvlText w:val="%4."/>
        <w:lvlJc w:val="left"/>
        <w:pPr>
          <w:tabs>
            <w:tab w:val="num" w:pos="0"/>
          </w:tabs>
          <w:ind w:left="720" w:firstLine="0"/>
        </w:pPr>
        <w:rPr>
          <w:rFonts w:cs="Times New Roman" w:hint="default"/>
        </w:rPr>
      </w:lvl>
    </w:lvlOverride>
    <w:lvlOverride w:ilvl="4">
      <w:lvl w:ilvl="4">
        <w:start w:val="1"/>
        <w:numFmt w:val="decimal"/>
        <w:pStyle w:val="Heading5"/>
        <w:lvlText w:val="(%5)"/>
        <w:lvlJc w:val="left"/>
        <w:pPr>
          <w:tabs>
            <w:tab w:val="num" w:pos="0"/>
          </w:tabs>
          <w:ind w:left="1440" w:firstLine="0"/>
        </w:pPr>
        <w:rPr>
          <w:rFonts w:cs="Times New Roman" w:hint="default"/>
        </w:rPr>
      </w:lvl>
    </w:lvlOverride>
    <w:lvlOverride w:ilvl="5">
      <w:lvl w:ilvl="5">
        <w:start w:val="1"/>
        <w:numFmt w:val="lowerLetter"/>
        <w:pStyle w:val="Heading6"/>
        <w:lvlText w:val="(%6)"/>
        <w:lvlJc w:val="left"/>
        <w:pPr>
          <w:tabs>
            <w:tab w:val="num" w:pos="0"/>
          </w:tabs>
          <w:ind w:left="2160" w:firstLine="0"/>
        </w:pPr>
        <w:rPr>
          <w:rFonts w:cs="Times New Roman" w:hint="default"/>
        </w:rPr>
      </w:lvl>
    </w:lvlOverride>
    <w:lvlOverride w:ilvl="6">
      <w:lvl w:ilvl="6">
        <w:start w:val="1"/>
        <w:numFmt w:val="lowerRoman"/>
        <w:pStyle w:val="Heading7"/>
        <w:lvlText w:val="(%7)"/>
        <w:lvlJc w:val="left"/>
        <w:pPr>
          <w:tabs>
            <w:tab w:val="num" w:pos="0"/>
          </w:tabs>
          <w:ind w:left="2880" w:firstLine="0"/>
        </w:pPr>
        <w:rPr>
          <w:rFonts w:cs="Times New Roman" w:hint="default"/>
        </w:rPr>
      </w:lvl>
    </w:lvlOverride>
    <w:lvlOverride w:ilvl="7">
      <w:lvl w:ilvl="7">
        <w:start w:val="1"/>
        <w:numFmt w:val="lowerLetter"/>
        <w:pStyle w:val="Heading8"/>
        <w:lvlText w:val="(%8)"/>
        <w:lvlJc w:val="left"/>
        <w:pPr>
          <w:tabs>
            <w:tab w:val="num" w:pos="0"/>
          </w:tabs>
          <w:ind w:left="3600" w:firstLine="0"/>
        </w:pPr>
        <w:rPr>
          <w:rFonts w:cs="Times New Roman" w:hint="default"/>
        </w:rPr>
      </w:lvl>
    </w:lvlOverride>
    <w:lvlOverride w:ilvl="8">
      <w:lvl w:ilvl="8">
        <w:start w:val="1"/>
        <w:numFmt w:val="lowerRoman"/>
        <w:pStyle w:val="Heading9"/>
        <w:lvlText w:val="(%9)"/>
        <w:lvlJc w:val="left"/>
        <w:pPr>
          <w:tabs>
            <w:tab w:val="num" w:pos="0"/>
          </w:tabs>
          <w:ind w:left="4320" w:firstLine="0"/>
        </w:pPr>
        <w:rPr>
          <w:rFonts w:cs="Times New Roman" w:hint="default"/>
        </w:rPr>
      </w:lvl>
    </w:lvlOverride>
  </w:num>
  <w:num w:numId="27" w16cid:durableId="2125999333">
    <w:abstractNumId w:val="31"/>
  </w:num>
  <w:num w:numId="28" w16cid:durableId="47652258">
    <w:abstractNumId w:val="21"/>
  </w:num>
  <w:num w:numId="29" w16cid:durableId="1150248787">
    <w:abstractNumId w:val="12"/>
  </w:num>
  <w:num w:numId="30" w16cid:durableId="2063406027">
    <w:abstractNumId w:val="19"/>
  </w:num>
  <w:num w:numId="31" w16cid:durableId="1463696481">
    <w:abstractNumId w:val="34"/>
  </w:num>
  <w:num w:numId="32" w16cid:durableId="1771314201">
    <w:abstractNumId w:val="33"/>
  </w:num>
  <w:num w:numId="33" w16cid:durableId="2027755376">
    <w:abstractNumId w:val="16"/>
  </w:num>
  <w:num w:numId="34" w16cid:durableId="987392705">
    <w:abstractNumId w:val="28"/>
  </w:num>
  <w:num w:numId="35" w16cid:durableId="30885579">
    <w:abstractNumId w:val="30"/>
  </w:num>
  <w:num w:numId="36" w16cid:durableId="197382280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195315144">
    <w:abstractNumId w:val="20"/>
  </w:num>
  <w:num w:numId="38" w16cid:durableId="1265072539">
    <w:abstractNumId w:val="11"/>
  </w:num>
  <w:num w:numId="39" w16cid:durableId="1686637199">
    <w:abstractNumId w:val="13"/>
    <w:lvlOverride w:ilvl="0">
      <w:lvl w:ilvl="0">
        <w:start w:val="1"/>
        <w:numFmt w:val="upperRoman"/>
        <w:pStyle w:val="Heading1"/>
        <w:lvlText w:val="%1."/>
        <w:lvlJc w:val="center"/>
        <w:pPr>
          <w:ind w:left="360" w:hanging="360"/>
        </w:pPr>
        <w:rPr>
          <w:rFonts w:cs="Times New Roman" w:hint="default"/>
        </w:rPr>
      </w:lvl>
    </w:lvlOverride>
    <w:lvlOverride w:ilvl="1">
      <w:lvl w:ilvl="1">
        <w:start w:val="1"/>
        <w:numFmt w:val="upperLetter"/>
        <w:pStyle w:val="Heading2"/>
        <w:lvlText w:val="%2."/>
        <w:lvlJc w:val="center"/>
        <w:pPr>
          <w:tabs>
            <w:tab w:val="num" w:pos="360"/>
          </w:tabs>
          <w:ind w:left="360" w:firstLine="0"/>
        </w:pPr>
        <w:rPr>
          <w:rFonts w:cs="Times New Roman" w:hint="default"/>
          <w:i/>
        </w:rPr>
      </w:lvl>
    </w:lvlOverride>
    <w:lvlOverride w:ilvl="2">
      <w:lvl w:ilvl="2">
        <w:start w:val="1"/>
        <w:numFmt w:val="decimal"/>
        <w:pStyle w:val="Heading3"/>
        <w:lvlText w:val="%3."/>
        <w:lvlJc w:val="center"/>
        <w:pPr>
          <w:tabs>
            <w:tab w:val="num" w:pos="0"/>
          </w:tabs>
          <w:ind w:left="0" w:firstLine="288"/>
        </w:pPr>
        <w:rPr>
          <w:rFonts w:cs="Times New Roman" w:hint="default"/>
          <w:u w:val="single"/>
        </w:rPr>
      </w:lvl>
    </w:lvlOverride>
    <w:lvlOverride w:ilvl="3">
      <w:lvl w:ilvl="3">
        <w:start w:val="1"/>
        <w:numFmt w:val="lowerLetter"/>
        <w:pStyle w:val="Heading4"/>
        <w:lvlText w:val="%4."/>
        <w:lvlJc w:val="left"/>
        <w:pPr>
          <w:tabs>
            <w:tab w:val="num" w:pos="0"/>
          </w:tabs>
          <w:ind w:left="720" w:firstLine="0"/>
        </w:pPr>
        <w:rPr>
          <w:rFonts w:cs="Times New Roman" w:hint="default"/>
        </w:rPr>
      </w:lvl>
    </w:lvlOverride>
    <w:lvlOverride w:ilvl="4">
      <w:lvl w:ilvl="4">
        <w:start w:val="1"/>
        <w:numFmt w:val="decimal"/>
        <w:pStyle w:val="Heading5"/>
        <w:lvlText w:val="(%5)"/>
        <w:lvlJc w:val="left"/>
        <w:pPr>
          <w:tabs>
            <w:tab w:val="num" w:pos="0"/>
          </w:tabs>
          <w:ind w:left="1440" w:firstLine="0"/>
        </w:pPr>
        <w:rPr>
          <w:rFonts w:cs="Times New Roman" w:hint="default"/>
        </w:rPr>
      </w:lvl>
    </w:lvlOverride>
    <w:lvlOverride w:ilvl="5">
      <w:lvl w:ilvl="5">
        <w:start w:val="1"/>
        <w:numFmt w:val="lowerLetter"/>
        <w:pStyle w:val="Heading6"/>
        <w:lvlText w:val="(%6)"/>
        <w:lvlJc w:val="left"/>
        <w:pPr>
          <w:tabs>
            <w:tab w:val="num" w:pos="0"/>
          </w:tabs>
          <w:ind w:left="2160" w:firstLine="0"/>
        </w:pPr>
        <w:rPr>
          <w:rFonts w:cs="Times New Roman" w:hint="default"/>
        </w:rPr>
      </w:lvl>
    </w:lvlOverride>
    <w:lvlOverride w:ilvl="6">
      <w:lvl w:ilvl="6">
        <w:start w:val="1"/>
        <w:numFmt w:val="lowerRoman"/>
        <w:pStyle w:val="Heading7"/>
        <w:lvlText w:val="(%7)"/>
        <w:lvlJc w:val="left"/>
        <w:pPr>
          <w:tabs>
            <w:tab w:val="num" w:pos="0"/>
          </w:tabs>
          <w:ind w:left="2880" w:firstLine="0"/>
        </w:pPr>
        <w:rPr>
          <w:rFonts w:cs="Times New Roman" w:hint="default"/>
        </w:rPr>
      </w:lvl>
    </w:lvlOverride>
    <w:lvlOverride w:ilvl="7">
      <w:lvl w:ilvl="7">
        <w:start w:val="1"/>
        <w:numFmt w:val="lowerLetter"/>
        <w:pStyle w:val="Heading8"/>
        <w:lvlText w:val="(%8)"/>
        <w:lvlJc w:val="left"/>
        <w:pPr>
          <w:tabs>
            <w:tab w:val="num" w:pos="0"/>
          </w:tabs>
          <w:ind w:left="3600" w:firstLine="0"/>
        </w:pPr>
        <w:rPr>
          <w:rFonts w:cs="Times New Roman" w:hint="default"/>
        </w:rPr>
      </w:lvl>
    </w:lvlOverride>
    <w:lvlOverride w:ilvl="8">
      <w:lvl w:ilvl="8">
        <w:start w:val="1"/>
        <w:numFmt w:val="lowerRoman"/>
        <w:pStyle w:val="Heading9"/>
        <w:lvlText w:val="(%9)"/>
        <w:lvlJc w:val="left"/>
        <w:pPr>
          <w:tabs>
            <w:tab w:val="num" w:pos="0"/>
          </w:tabs>
          <w:ind w:left="4320" w:firstLine="0"/>
        </w:pPr>
        <w:rPr>
          <w:rFonts w:cs="Times New Roman"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2"/>
  <w:removePersonalInformation/>
  <w:removeDateAndTime/>
  <w:embedSystemFonts/>
  <w:activeWritingStyle w:appName="MSWord" w:lang="en-US" w:vendorID="2" w:dllVersion="6" w:checkStyle="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autoHyphenation/>
  <w:evenAndOddHeaders/>
  <w:drawingGridHorizontalSpacing w:val="120"/>
  <w:drawingGridVerticalSpacing w:val="177"/>
  <w:displayHorizontalDrawingGridEvery w:val="0"/>
  <w:displayVerticalDrawingGridEvery w:val="0"/>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AyNTaxMDcxNLI0MbJQ0lEKTi0uzszPAykwqgUAz9UcbSwAAAA="/>
  </w:docVars>
  <w:rsids>
    <w:rsidRoot w:val="00572C92"/>
    <w:rsid w:val="000000C9"/>
    <w:rsid w:val="00000391"/>
    <w:rsid w:val="000003C6"/>
    <w:rsid w:val="00000451"/>
    <w:rsid w:val="000004B8"/>
    <w:rsid w:val="000004BD"/>
    <w:rsid w:val="00000634"/>
    <w:rsid w:val="000006E8"/>
    <w:rsid w:val="000006E9"/>
    <w:rsid w:val="000007E8"/>
    <w:rsid w:val="00000859"/>
    <w:rsid w:val="00000866"/>
    <w:rsid w:val="0000094E"/>
    <w:rsid w:val="00000ADC"/>
    <w:rsid w:val="00000ED7"/>
    <w:rsid w:val="00001267"/>
    <w:rsid w:val="000012A4"/>
    <w:rsid w:val="000012D0"/>
    <w:rsid w:val="0000134C"/>
    <w:rsid w:val="00001489"/>
    <w:rsid w:val="000017BC"/>
    <w:rsid w:val="00001891"/>
    <w:rsid w:val="00001A67"/>
    <w:rsid w:val="00001B95"/>
    <w:rsid w:val="00001BB0"/>
    <w:rsid w:val="00001C0D"/>
    <w:rsid w:val="00001CFF"/>
    <w:rsid w:val="00001D6B"/>
    <w:rsid w:val="00001D8E"/>
    <w:rsid w:val="00001DFD"/>
    <w:rsid w:val="00001E7D"/>
    <w:rsid w:val="00001F2F"/>
    <w:rsid w:val="00001FE8"/>
    <w:rsid w:val="000022DF"/>
    <w:rsid w:val="0000240D"/>
    <w:rsid w:val="00002410"/>
    <w:rsid w:val="00002475"/>
    <w:rsid w:val="000024C8"/>
    <w:rsid w:val="0000259E"/>
    <w:rsid w:val="000025CB"/>
    <w:rsid w:val="0000262E"/>
    <w:rsid w:val="0000263C"/>
    <w:rsid w:val="00002695"/>
    <w:rsid w:val="000026D7"/>
    <w:rsid w:val="00002843"/>
    <w:rsid w:val="000028F2"/>
    <w:rsid w:val="000029D6"/>
    <w:rsid w:val="000029EF"/>
    <w:rsid w:val="00002D09"/>
    <w:rsid w:val="00002D82"/>
    <w:rsid w:val="00002E79"/>
    <w:rsid w:val="00002FD5"/>
    <w:rsid w:val="0000321D"/>
    <w:rsid w:val="0000329F"/>
    <w:rsid w:val="00003520"/>
    <w:rsid w:val="00003555"/>
    <w:rsid w:val="00003566"/>
    <w:rsid w:val="000035AC"/>
    <w:rsid w:val="000037AD"/>
    <w:rsid w:val="00003A8B"/>
    <w:rsid w:val="00003B5E"/>
    <w:rsid w:val="00003BC4"/>
    <w:rsid w:val="00003C07"/>
    <w:rsid w:val="00003C72"/>
    <w:rsid w:val="00003CE4"/>
    <w:rsid w:val="00003D1E"/>
    <w:rsid w:val="00003E69"/>
    <w:rsid w:val="00003E6D"/>
    <w:rsid w:val="00003E89"/>
    <w:rsid w:val="00003F02"/>
    <w:rsid w:val="00003FD3"/>
    <w:rsid w:val="000040AB"/>
    <w:rsid w:val="000040B3"/>
    <w:rsid w:val="000040DA"/>
    <w:rsid w:val="0000410F"/>
    <w:rsid w:val="00004146"/>
    <w:rsid w:val="00004155"/>
    <w:rsid w:val="00004173"/>
    <w:rsid w:val="00004204"/>
    <w:rsid w:val="00004319"/>
    <w:rsid w:val="00004576"/>
    <w:rsid w:val="000046CF"/>
    <w:rsid w:val="00004710"/>
    <w:rsid w:val="00004795"/>
    <w:rsid w:val="0000482B"/>
    <w:rsid w:val="000048BC"/>
    <w:rsid w:val="0000495A"/>
    <w:rsid w:val="00004981"/>
    <w:rsid w:val="000049E6"/>
    <w:rsid w:val="00004A32"/>
    <w:rsid w:val="00004AA0"/>
    <w:rsid w:val="00004EE8"/>
    <w:rsid w:val="0000509C"/>
    <w:rsid w:val="000051B9"/>
    <w:rsid w:val="000051E9"/>
    <w:rsid w:val="00005273"/>
    <w:rsid w:val="000053A4"/>
    <w:rsid w:val="00005457"/>
    <w:rsid w:val="00005477"/>
    <w:rsid w:val="000054A2"/>
    <w:rsid w:val="000055A2"/>
    <w:rsid w:val="000055B8"/>
    <w:rsid w:val="0000599E"/>
    <w:rsid w:val="00005A4A"/>
    <w:rsid w:val="00005BCC"/>
    <w:rsid w:val="00005C72"/>
    <w:rsid w:val="00005C74"/>
    <w:rsid w:val="00005CA2"/>
    <w:rsid w:val="00005D04"/>
    <w:rsid w:val="00005E86"/>
    <w:rsid w:val="00006166"/>
    <w:rsid w:val="00006199"/>
    <w:rsid w:val="00006240"/>
    <w:rsid w:val="00006289"/>
    <w:rsid w:val="000063B6"/>
    <w:rsid w:val="000064DF"/>
    <w:rsid w:val="000066E7"/>
    <w:rsid w:val="000067D2"/>
    <w:rsid w:val="000069CB"/>
    <w:rsid w:val="00006B2B"/>
    <w:rsid w:val="00006BDE"/>
    <w:rsid w:val="00006C62"/>
    <w:rsid w:val="00006CB6"/>
    <w:rsid w:val="00006D57"/>
    <w:rsid w:val="00006E35"/>
    <w:rsid w:val="00006E77"/>
    <w:rsid w:val="00006E86"/>
    <w:rsid w:val="0000704A"/>
    <w:rsid w:val="000070C2"/>
    <w:rsid w:val="00007472"/>
    <w:rsid w:val="0000763A"/>
    <w:rsid w:val="00007738"/>
    <w:rsid w:val="0000775C"/>
    <w:rsid w:val="0000779E"/>
    <w:rsid w:val="000077AD"/>
    <w:rsid w:val="0000782B"/>
    <w:rsid w:val="00007993"/>
    <w:rsid w:val="00007A44"/>
    <w:rsid w:val="00007BF3"/>
    <w:rsid w:val="00007C00"/>
    <w:rsid w:val="00007D24"/>
    <w:rsid w:val="00007D38"/>
    <w:rsid w:val="00007E4E"/>
    <w:rsid w:val="00007EEA"/>
    <w:rsid w:val="00007F5B"/>
    <w:rsid w:val="00007FA9"/>
    <w:rsid w:val="00010005"/>
    <w:rsid w:val="000101C4"/>
    <w:rsid w:val="00010320"/>
    <w:rsid w:val="00010355"/>
    <w:rsid w:val="000105CD"/>
    <w:rsid w:val="0001067E"/>
    <w:rsid w:val="00010786"/>
    <w:rsid w:val="0001078D"/>
    <w:rsid w:val="00010950"/>
    <w:rsid w:val="00010A18"/>
    <w:rsid w:val="00010A5F"/>
    <w:rsid w:val="00010A7A"/>
    <w:rsid w:val="00010A88"/>
    <w:rsid w:val="00010A9B"/>
    <w:rsid w:val="00010C1D"/>
    <w:rsid w:val="00010D07"/>
    <w:rsid w:val="00010D55"/>
    <w:rsid w:val="00010E74"/>
    <w:rsid w:val="00010ED1"/>
    <w:rsid w:val="00010F4C"/>
    <w:rsid w:val="00010F99"/>
    <w:rsid w:val="0001119D"/>
    <w:rsid w:val="00011378"/>
    <w:rsid w:val="000113C3"/>
    <w:rsid w:val="0001145F"/>
    <w:rsid w:val="000114F9"/>
    <w:rsid w:val="000115FF"/>
    <w:rsid w:val="00011662"/>
    <w:rsid w:val="0001169D"/>
    <w:rsid w:val="000116C0"/>
    <w:rsid w:val="00011722"/>
    <w:rsid w:val="000118D0"/>
    <w:rsid w:val="00011A34"/>
    <w:rsid w:val="00011ADF"/>
    <w:rsid w:val="00011B04"/>
    <w:rsid w:val="00011BA8"/>
    <w:rsid w:val="00011DB7"/>
    <w:rsid w:val="00011E01"/>
    <w:rsid w:val="00011FCC"/>
    <w:rsid w:val="0001200D"/>
    <w:rsid w:val="0001207F"/>
    <w:rsid w:val="000122E5"/>
    <w:rsid w:val="00012431"/>
    <w:rsid w:val="000124A8"/>
    <w:rsid w:val="00012598"/>
    <w:rsid w:val="00012607"/>
    <w:rsid w:val="00012777"/>
    <w:rsid w:val="0001277B"/>
    <w:rsid w:val="0001278C"/>
    <w:rsid w:val="00012908"/>
    <w:rsid w:val="00012AD2"/>
    <w:rsid w:val="00012B69"/>
    <w:rsid w:val="00012CE1"/>
    <w:rsid w:val="00012D73"/>
    <w:rsid w:val="00012D80"/>
    <w:rsid w:val="00012DA2"/>
    <w:rsid w:val="00012DCE"/>
    <w:rsid w:val="00012DEB"/>
    <w:rsid w:val="00012E58"/>
    <w:rsid w:val="00012EE7"/>
    <w:rsid w:val="00012EF4"/>
    <w:rsid w:val="000130BE"/>
    <w:rsid w:val="000130F8"/>
    <w:rsid w:val="0001313C"/>
    <w:rsid w:val="00013415"/>
    <w:rsid w:val="0001343C"/>
    <w:rsid w:val="000134AD"/>
    <w:rsid w:val="000134BE"/>
    <w:rsid w:val="0001350E"/>
    <w:rsid w:val="0001357B"/>
    <w:rsid w:val="000135C4"/>
    <w:rsid w:val="000135F2"/>
    <w:rsid w:val="0001371E"/>
    <w:rsid w:val="00013766"/>
    <w:rsid w:val="000137DB"/>
    <w:rsid w:val="000137E8"/>
    <w:rsid w:val="000137F0"/>
    <w:rsid w:val="0001384D"/>
    <w:rsid w:val="00013879"/>
    <w:rsid w:val="000138B2"/>
    <w:rsid w:val="0001390B"/>
    <w:rsid w:val="0001398E"/>
    <w:rsid w:val="00013C8B"/>
    <w:rsid w:val="00013CDF"/>
    <w:rsid w:val="00013E22"/>
    <w:rsid w:val="00013F85"/>
    <w:rsid w:val="0001419B"/>
    <w:rsid w:val="000141A2"/>
    <w:rsid w:val="000142B6"/>
    <w:rsid w:val="00014373"/>
    <w:rsid w:val="00014382"/>
    <w:rsid w:val="0001447F"/>
    <w:rsid w:val="00014484"/>
    <w:rsid w:val="000144EB"/>
    <w:rsid w:val="00014552"/>
    <w:rsid w:val="000146EC"/>
    <w:rsid w:val="0001492F"/>
    <w:rsid w:val="00014AEA"/>
    <w:rsid w:val="00014B85"/>
    <w:rsid w:val="00014C28"/>
    <w:rsid w:val="00014C4D"/>
    <w:rsid w:val="00014CF6"/>
    <w:rsid w:val="00014D6E"/>
    <w:rsid w:val="000150E8"/>
    <w:rsid w:val="000151EF"/>
    <w:rsid w:val="00015282"/>
    <w:rsid w:val="000152BD"/>
    <w:rsid w:val="00015328"/>
    <w:rsid w:val="0001546D"/>
    <w:rsid w:val="000154E9"/>
    <w:rsid w:val="000154F8"/>
    <w:rsid w:val="00015557"/>
    <w:rsid w:val="000156B6"/>
    <w:rsid w:val="00015A9F"/>
    <w:rsid w:val="00015AFC"/>
    <w:rsid w:val="00015B28"/>
    <w:rsid w:val="00015BA9"/>
    <w:rsid w:val="00015D9F"/>
    <w:rsid w:val="00015EA1"/>
    <w:rsid w:val="00015F64"/>
    <w:rsid w:val="00016143"/>
    <w:rsid w:val="0001614A"/>
    <w:rsid w:val="00016215"/>
    <w:rsid w:val="00016486"/>
    <w:rsid w:val="00016542"/>
    <w:rsid w:val="00016835"/>
    <w:rsid w:val="000169B1"/>
    <w:rsid w:val="00016AFB"/>
    <w:rsid w:val="00016BCE"/>
    <w:rsid w:val="00016D68"/>
    <w:rsid w:val="00016E1F"/>
    <w:rsid w:val="00016F06"/>
    <w:rsid w:val="00016F8C"/>
    <w:rsid w:val="00016FF7"/>
    <w:rsid w:val="000170AA"/>
    <w:rsid w:val="00017199"/>
    <w:rsid w:val="0001720A"/>
    <w:rsid w:val="000172AB"/>
    <w:rsid w:val="000172C5"/>
    <w:rsid w:val="00017341"/>
    <w:rsid w:val="000173CC"/>
    <w:rsid w:val="00017509"/>
    <w:rsid w:val="000175D0"/>
    <w:rsid w:val="00017870"/>
    <w:rsid w:val="000178A5"/>
    <w:rsid w:val="00017A0B"/>
    <w:rsid w:val="00017AA5"/>
    <w:rsid w:val="00017C4D"/>
    <w:rsid w:val="00017D95"/>
    <w:rsid w:val="00017E3D"/>
    <w:rsid w:val="00017ED2"/>
    <w:rsid w:val="00017FB3"/>
    <w:rsid w:val="0002024D"/>
    <w:rsid w:val="00020384"/>
    <w:rsid w:val="0002043F"/>
    <w:rsid w:val="0002099A"/>
    <w:rsid w:val="000209D3"/>
    <w:rsid w:val="000209EA"/>
    <w:rsid w:val="00020C62"/>
    <w:rsid w:val="00020C8E"/>
    <w:rsid w:val="00021146"/>
    <w:rsid w:val="00021158"/>
    <w:rsid w:val="0002115C"/>
    <w:rsid w:val="00021332"/>
    <w:rsid w:val="0002140B"/>
    <w:rsid w:val="00021588"/>
    <w:rsid w:val="000215A7"/>
    <w:rsid w:val="0002160C"/>
    <w:rsid w:val="000216C5"/>
    <w:rsid w:val="000216DC"/>
    <w:rsid w:val="000217A2"/>
    <w:rsid w:val="00021920"/>
    <w:rsid w:val="00021930"/>
    <w:rsid w:val="0002193B"/>
    <w:rsid w:val="00021984"/>
    <w:rsid w:val="00021B2B"/>
    <w:rsid w:val="00021C99"/>
    <w:rsid w:val="00021E56"/>
    <w:rsid w:val="00021FA7"/>
    <w:rsid w:val="00022048"/>
    <w:rsid w:val="00022140"/>
    <w:rsid w:val="0002224D"/>
    <w:rsid w:val="00022258"/>
    <w:rsid w:val="00022750"/>
    <w:rsid w:val="00022893"/>
    <w:rsid w:val="000228E9"/>
    <w:rsid w:val="00022BA3"/>
    <w:rsid w:val="00022C7E"/>
    <w:rsid w:val="00022CD0"/>
    <w:rsid w:val="00022CFB"/>
    <w:rsid w:val="00022D46"/>
    <w:rsid w:val="00022DBC"/>
    <w:rsid w:val="00022DF1"/>
    <w:rsid w:val="00022E02"/>
    <w:rsid w:val="00022E66"/>
    <w:rsid w:val="00022FC3"/>
    <w:rsid w:val="00023087"/>
    <w:rsid w:val="0002309B"/>
    <w:rsid w:val="0002310B"/>
    <w:rsid w:val="000231B7"/>
    <w:rsid w:val="000232C7"/>
    <w:rsid w:val="000233B4"/>
    <w:rsid w:val="0002356F"/>
    <w:rsid w:val="0002366E"/>
    <w:rsid w:val="0002387B"/>
    <w:rsid w:val="00023906"/>
    <w:rsid w:val="00023B4F"/>
    <w:rsid w:val="00023BEA"/>
    <w:rsid w:val="00023D6F"/>
    <w:rsid w:val="00023DC5"/>
    <w:rsid w:val="00023DE6"/>
    <w:rsid w:val="00023E71"/>
    <w:rsid w:val="000240B5"/>
    <w:rsid w:val="00024148"/>
    <w:rsid w:val="00024225"/>
    <w:rsid w:val="00024239"/>
    <w:rsid w:val="00024261"/>
    <w:rsid w:val="000242E5"/>
    <w:rsid w:val="00024307"/>
    <w:rsid w:val="00024334"/>
    <w:rsid w:val="0002444E"/>
    <w:rsid w:val="000244C1"/>
    <w:rsid w:val="00024833"/>
    <w:rsid w:val="00024958"/>
    <w:rsid w:val="00024964"/>
    <w:rsid w:val="00024B5A"/>
    <w:rsid w:val="00024BCF"/>
    <w:rsid w:val="00024E2C"/>
    <w:rsid w:val="00024F1B"/>
    <w:rsid w:val="000250EE"/>
    <w:rsid w:val="00025173"/>
    <w:rsid w:val="00025297"/>
    <w:rsid w:val="000252A1"/>
    <w:rsid w:val="000252BE"/>
    <w:rsid w:val="00025434"/>
    <w:rsid w:val="000257A4"/>
    <w:rsid w:val="000257E1"/>
    <w:rsid w:val="00025807"/>
    <w:rsid w:val="000258F5"/>
    <w:rsid w:val="0002599E"/>
    <w:rsid w:val="00025A89"/>
    <w:rsid w:val="00025BA0"/>
    <w:rsid w:val="00025BE2"/>
    <w:rsid w:val="00025D1B"/>
    <w:rsid w:val="00025D1D"/>
    <w:rsid w:val="00025EAD"/>
    <w:rsid w:val="00025F7A"/>
    <w:rsid w:val="00025FEB"/>
    <w:rsid w:val="00026026"/>
    <w:rsid w:val="00026112"/>
    <w:rsid w:val="00026136"/>
    <w:rsid w:val="00026204"/>
    <w:rsid w:val="00026230"/>
    <w:rsid w:val="0002653B"/>
    <w:rsid w:val="00026655"/>
    <w:rsid w:val="00026798"/>
    <w:rsid w:val="00026981"/>
    <w:rsid w:val="00026B7D"/>
    <w:rsid w:val="00026B84"/>
    <w:rsid w:val="00026BEF"/>
    <w:rsid w:val="00026C31"/>
    <w:rsid w:val="00026C35"/>
    <w:rsid w:val="00026CB3"/>
    <w:rsid w:val="00026DD5"/>
    <w:rsid w:val="00026E20"/>
    <w:rsid w:val="00026F09"/>
    <w:rsid w:val="00026FE7"/>
    <w:rsid w:val="000270AA"/>
    <w:rsid w:val="000270EA"/>
    <w:rsid w:val="00027154"/>
    <w:rsid w:val="000271E3"/>
    <w:rsid w:val="00027261"/>
    <w:rsid w:val="000273A5"/>
    <w:rsid w:val="0002746A"/>
    <w:rsid w:val="00027486"/>
    <w:rsid w:val="00027688"/>
    <w:rsid w:val="000276B2"/>
    <w:rsid w:val="00027807"/>
    <w:rsid w:val="0002784B"/>
    <w:rsid w:val="000278F7"/>
    <w:rsid w:val="00027C6E"/>
    <w:rsid w:val="00027DF1"/>
    <w:rsid w:val="00030160"/>
    <w:rsid w:val="00030261"/>
    <w:rsid w:val="000302E3"/>
    <w:rsid w:val="00030414"/>
    <w:rsid w:val="00030518"/>
    <w:rsid w:val="0003053F"/>
    <w:rsid w:val="000305A1"/>
    <w:rsid w:val="000305B0"/>
    <w:rsid w:val="000305BB"/>
    <w:rsid w:val="00030731"/>
    <w:rsid w:val="00030C57"/>
    <w:rsid w:val="00030C75"/>
    <w:rsid w:val="00030E50"/>
    <w:rsid w:val="00030E6F"/>
    <w:rsid w:val="00030ED5"/>
    <w:rsid w:val="00030F78"/>
    <w:rsid w:val="00030FA9"/>
    <w:rsid w:val="00031009"/>
    <w:rsid w:val="0003108B"/>
    <w:rsid w:val="00031205"/>
    <w:rsid w:val="0003124E"/>
    <w:rsid w:val="00031278"/>
    <w:rsid w:val="0003137A"/>
    <w:rsid w:val="000315B8"/>
    <w:rsid w:val="00031760"/>
    <w:rsid w:val="000317D3"/>
    <w:rsid w:val="0003186B"/>
    <w:rsid w:val="000318F2"/>
    <w:rsid w:val="00031A23"/>
    <w:rsid w:val="00031A3A"/>
    <w:rsid w:val="00031BDD"/>
    <w:rsid w:val="00031BF6"/>
    <w:rsid w:val="00031C13"/>
    <w:rsid w:val="00031C9A"/>
    <w:rsid w:val="00031CFA"/>
    <w:rsid w:val="00031D1C"/>
    <w:rsid w:val="00031D22"/>
    <w:rsid w:val="00031D59"/>
    <w:rsid w:val="000321C5"/>
    <w:rsid w:val="0003229F"/>
    <w:rsid w:val="0003233B"/>
    <w:rsid w:val="0003249A"/>
    <w:rsid w:val="00032625"/>
    <w:rsid w:val="000326B4"/>
    <w:rsid w:val="0003271B"/>
    <w:rsid w:val="0003288E"/>
    <w:rsid w:val="0003289D"/>
    <w:rsid w:val="00032A88"/>
    <w:rsid w:val="00032AA6"/>
    <w:rsid w:val="00032C98"/>
    <w:rsid w:val="00032D4C"/>
    <w:rsid w:val="0003318A"/>
    <w:rsid w:val="000331AC"/>
    <w:rsid w:val="000331F3"/>
    <w:rsid w:val="00033290"/>
    <w:rsid w:val="00033341"/>
    <w:rsid w:val="000334CC"/>
    <w:rsid w:val="000334F2"/>
    <w:rsid w:val="00033754"/>
    <w:rsid w:val="00033813"/>
    <w:rsid w:val="00033854"/>
    <w:rsid w:val="00033864"/>
    <w:rsid w:val="000338D6"/>
    <w:rsid w:val="00033913"/>
    <w:rsid w:val="00033AF3"/>
    <w:rsid w:val="00033B98"/>
    <w:rsid w:val="00033F7C"/>
    <w:rsid w:val="000340F0"/>
    <w:rsid w:val="00034128"/>
    <w:rsid w:val="0003433A"/>
    <w:rsid w:val="00034485"/>
    <w:rsid w:val="00034502"/>
    <w:rsid w:val="00034A98"/>
    <w:rsid w:val="00034A9D"/>
    <w:rsid w:val="00034AD4"/>
    <w:rsid w:val="00034C86"/>
    <w:rsid w:val="00034D13"/>
    <w:rsid w:val="00034DAB"/>
    <w:rsid w:val="00034E2E"/>
    <w:rsid w:val="00034F88"/>
    <w:rsid w:val="00035100"/>
    <w:rsid w:val="0003517F"/>
    <w:rsid w:val="00035192"/>
    <w:rsid w:val="00035385"/>
    <w:rsid w:val="00035509"/>
    <w:rsid w:val="00035580"/>
    <w:rsid w:val="000355A6"/>
    <w:rsid w:val="000355F1"/>
    <w:rsid w:val="00035788"/>
    <w:rsid w:val="000357E8"/>
    <w:rsid w:val="000357EE"/>
    <w:rsid w:val="00035893"/>
    <w:rsid w:val="00035896"/>
    <w:rsid w:val="00035933"/>
    <w:rsid w:val="00035A03"/>
    <w:rsid w:val="00035A42"/>
    <w:rsid w:val="00035C16"/>
    <w:rsid w:val="00035C8C"/>
    <w:rsid w:val="00035D01"/>
    <w:rsid w:val="00035E05"/>
    <w:rsid w:val="00035FF5"/>
    <w:rsid w:val="00036252"/>
    <w:rsid w:val="00036271"/>
    <w:rsid w:val="00036344"/>
    <w:rsid w:val="00036363"/>
    <w:rsid w:val="00036384"/>
    <w:rsid w:val="0003640E"/>
    <w:rsid w:val="00036467"/>
    <w:rsid w:val="00036559"/>
    <w:rsid w:val="00036674"/>
    <w:rsid w:val="00036BC3"/>
    <w:rsid w:val="00036BD2"/>
    <w:rsid w:val="00036BDA"/>
    <w:rsid w:val="00036BE6"/>
    <w:rsid w:val="00036CF4"/>
    <w:rsid w:val="00036D0C"/>
    <w:rsid w:val="00036E8A"/>
    <w:rsid w:val="00036F4B"/>
    <w:rsid w:val="00037081"/>
    <w:rsid w:val="000370E9"/>
    <w:rsid w:val="000371BD"/>
    <w:rsid w:val="00037233"/>
    <w:rsid w:val="0003728F"/>
    <w:rsid w:val="000373EA"/>
    <w:rsid w:val="0003742B"/>
    <w:rsid w:val="000374B4"/>
    <w:rsid w:val="0003752F"/>
    <w:rsid w:val="00037795"/>
    <w:rsid w:val="0003789A"/>
    <w:rsid w:val="00037903"/>
    <w:rsid w:val="0003792D"/>
    <w:rsid w:val="00037D4F"/>
    <w:rsid w:val="00037DC9"/>
    <w:rsid w:val="00037E6D"/>
    <w:rsid w:val="00037ECF"/>
    <w:rsid w:val="00037F06"/>
    <w:rsid w:val="00040016"/>
    <w:rsid w:val="00040049"/>
    <w:rsid w:val="00040072"/>
    <w:rsid w:val="000400C0"/>
    <w:rsid w:val="000400E6"/>
    <w:rsid w:val="0004026B"/>
    <w:rsid w:val="000402F5"/>
    <w:rsid w:val="00040433"/>
    <w:rsid w:val="000405A1"/>
    <w:rsid w:val="000407A6"/>
    <w:rsid w:val="00040B68"/>
    <w:rsid w:val="00040BDB"/>
    <w:rsid w:val="00040C22"/>
    <w:rsid w:val="00040C3B"/>
    <w:rsid w:val="00040CEF"/>
    <w:rsid w:val="00040D49"/>
    <w:rsid w:val="00040DDA"/>
    <w:rsid w:val="0004106E"/>
    <w:rsid w:val="00041170"/>
    <w:rsid w:val="000413DB"/>
    <w:rsid w:val="00041529"/>
    <w:rsid w:val="0004163F"/>
    <w:rsid w:val="0004173A"/>
    <w:rsid w:val="000417C9"/>
    <w:rsid w:val="000417D2"/>
    <w:rsid w:val="00041905"/>
    <w:rsid w:val="0004191D"/>
    <w:rsid w:val="00041929"/>
    <w:rsid w:val="0004196A"/>
    <w:rsid w:val="00041E54"/>
    <w:rsid w:val="00041FCF"/>
    <w:rsid w:val="0004202B"/>
    <w:rsid w:val="00042323"/>
    <w:rsid w:val="000423C3"/>
    <w:rsid w:val="000423E2"/>
    <w:rsid w:val="00042490"/>
    <w:rsid w:val="000425D4"/>
    <w:rsid w:val="000426AA"/>
    <w:rsid w:val="00042835"/>
    <w:rsid w:val="000428D6"/>
    <w:rsid w:val="00042A4B"/>
    <w:rsid w:val="00042AB6"/>
    <w:rsid w:val="00042B69"/>
    <w:rsid w:val="00042B6C"/>
    <w:rsid w:val="00042C9D"/>
    <w:rsid w:val="00042D8D"/>
    <w:rsid w:val="00042DC1"/>
    <w:rsid w:val="00042F64"/>
    <w:rsid w:val="00042FD2"/>
    <w:rsid w:val="00042FF4"/>
    <w:rsid w:val="000430B8"/>
    <w:rsid w:val="000430E8"/>
    <w:rsid w:val="00043119"/>
    <w:rsid w:val="00043185"/>
    <w:rsid w:val="00043224"/>
    <w:rsid w:val="000432C8"/>
    <w:rsid w:val="000432F7"/>
    <w:rsid w:val="00043348"/>
    <w:rsid w:val="00043349"/>
    <w:rsid w:val="0004338D"/>
    <w:rsid w:val="00043448"/>
    <w:rsid w:val="00043496"/>
    <w:rsid w:val="00043518"/>
    <w:rsid w:val="0004354E"/>
    <w:rsid w:val="0004356A"/>
    <w:rsid w:val="000435BC"/>
    <w:rsid w:val="0004360F"/>
    <w:rsid w:val="00043622"/>
    <w:rsid w:val="000436F0"/>
    <w:rsid w:val="0004370E"/>
    <w:rsid w:val="00043815"/>
    <w:rsid w:val="00043A93"/>
    <w:rsid w:val="00043C4B"/>
    <w:rsid w:val="00043CB8"/>
    <w:rsid w:val="00043DA8"/>
    <w:rsid w:val="00043EE5"/>
    <w:rsid w:val="00043F67"/>
    <w:rsid w:val="00044156"/>
    <w:rsid w:val="00044280"/>
    <w:rsid w:val="00044349"/>
    <w:rsid w:val="00044398"/>
    <w:rsid w:val="000443E3"/>
    <w:rsid w:val="00044412"/>
    <w:rsid w:val="00044516"/>
    <w:rsid w:val="0004469E"/>
    <w:rsid w:val="00044704"/>
    <w:rsid w:val="00044848"/>
    <w:rsid w:val="000448EF"/>
    <w:rsid w:val="00044943"/>
    <w:rsid w:val="000449DA"/>
    <w:rsid w:val="00044C12"/>
    <w:rsid w:val="00044CAA"/>
    <w:rsid w:val="00044CF8"/>
    <w:rsid w:val="00044D85"/>
    <w:rsid w:val="00044E3A"/>
    <w:rsid w:val="00044E5A"/>
    <w:rsid w:val="00044FDE"/>
    <w:rsid w:val="00044FF0"/>
    <w:rsid w:val="00045060"/>
    <w:rsid w:val="000450ED"/>
    <w:rsid w:val="00045175"/>
    <w:rsid w:val="000453ED"/>
    <w:rsid w:val="00045473"/>
    <w:rsid w:val="000454FF"/>
    <w:rsid w:val="000455A0"/>
    <w:rsid w:val="000455AB"/>
    <w:rsid w:val="0004561A"/>
    <w:rsid w:val="00045628"/>
    <w:rsid w:val="0004573D"/>
    <w:rsid w:val="000457DB"/>
    <w:rsid w:val="0004591A"/>
    <w:rsid w:val="000459FB"/>
    <w:rsid w:val="00045B4C"/>
    <w:rsid w:val="00045BCA"/>
    <w:rsid w:val="00045CDA"/>
    <w:rsid w:val="00045D04"/>
    <w:rsid w:val="00045F71"/>
    <w:rsid w:val="00045F90"/>
    <w:rsid w:val="00046020"/>
    <w:rsid w:val="0004623F"/>
    <w:rsid w:val="000463D9"/>
    <w:rsid w:val="000463DE"/>
    <w:rsid w:val="0004640C"/>
    <w:rsid w:val="000464B6"/>
    <w:rsid w:val="00046592"/>
    <w:rsid w:val="000466D5"/>
    <w:rsid w:val="000468CA"/>
    <w:rsid w:val="00046942"/>
    <w:rsid w:val="00046A50"/>
    <w:rsid w:val="00046ABF"/>
    <w:rsid w:val="00046AFA"/>
    <w:rsid w:val="00046D0D"/>
    <w:rsid w:val="00046DFE"/>
    <w:rsid w:val="00046EA4"/>
    <w:rsid w:val="00046F71"/>
    <w:rsid w:val="00046F8E"/>
    <w:rsid w:val="0004704C"/>
    <w:rsid w:val="0004710C"/>
    <w:rsid w:val="0004724E"/>
    <w:rsid w:val="00047333"/>
    <w:rsid w:val="00047404"/>
    <w:rsid w:val="00047460"/>
    <w:rsid w:val="00047549"/>
    <w:rsid w:val="00047622"/>
    <w:rsid w:val="000476C2"/>
    <w:rsid w:val="000478BF"/>
    <w:rsid w:val="000478E8"/>
    <w:rsid w:val="00047BB5"/>
    <w:rsid w:val="00047C3F"/>
    <w:rsid w:val="00047D12"/>
    <w:rsid w:val="00047E05"/>
    <w:rsid w:val="00047F03"/>
    <w:rsid w:val="00047FBA"/>
    <w:rsid w:val="00050146"/>
    <w:rsid w:val="00050222"/>
    <w:rsid w:val="000503B3"/>
    <w:rsid w:val="00050508"/>
    <w:rsid w:val="0005060C"/>
    <w:rsid w:val="000506EE"/>
    <w:rsid w:val="00050834"/>
    <w:rsid w:val="000509AC"/>
    <w:rsid w:val="00050A20"/>
    <w:rsid w:val="00050C58"/>
    <w:rsid w:val="00050CB8"/>
    <w:rsid w:val="00050D6A"/>
    <w:rsid w:val="00050D78"/>
    <w:rsid w:val="00050DBA"/>
    <w:rsid w:val="00050E71"/>
    <w:rsid w:val="00050F0F"/>
    <w:rsid w:val="00050F7C"/>
    <w:rsid w:val="0005105A"/>
    <w:rsid w:val="00051255"/>
    <w:rsid w:val="00051267"/>
    <w:rsid w:val="000512AF"/>
    <w:rsid w:val="000514B0"/>
    <w:rsid w:val="000514D1"/>
    <w:rsid w:val="0005151F"/>
    <w:rsid w:val="0005192A"/>
    <w:rsid w:val="000519AF"/>
    <w:rsid w:val="00051A90"/>
    <w:rsid w:val="00051A96"/>
    <w:rsid w:val="00051AD8"/>
    <w:rsid w:val="00051DCF"/>
    <w:rsid w:val="00051E3E"/>
    <w:rsid w:val="000520BC"/>
    <w:rsid w:val="0005216A"/>
    <w:rsid w:val="00052294"/>
    <w:rsid w:val="000522BB"/>
    <w:rsid w:val="000523E0"/>
    <w:rsid w:val="0005254F"/>
    <w:rsid w:val="00052596"/>
    <w:rsid w:val="00052626"/>
    <w:rsid w:val="0005269A"/>
    <w:rsid w:val="000528B0"/>
    <w:rsid w:val="000529D7"/>
    <w:rsid w:val="00052B97"/>
    <w:rsid w:val="00052F0C"/>
    <w:rsid w:val="00052F16"/>
    <w:rsid w:val="00052F52"/>
    <w:rsid w:val="00052F5B"/>
    <w:rsid w:val="000530E2"/>
    <w:rsid w:val="00053217"/>
    <w:rsid w:val="0005351E"/>
    <w:rsid w:val="00053556"/>
    <w:rsid w:val="000535E2"/>
    <w:rsid w:val="000535E8"/>
    <w:rsid w:val="000537AD"/>
    <w:rsid w:val="00053897"/>
    <w:rsid w:val="000538ED"/>
    <w:rsid w:val="00053B42"/>
    <w:rsid w:val="00053BF6"/>
    <w:rsid w:val="00053C42"/>
    <w:rsid w:val="00053D85"/>
    <w:rsid w:val="00053E72"/>
    <w:rsid w:val="00053EE7"/>
    <w:rsid w:val="00053F25"/>
    <w:rsid w:val="00054136"/>
    <w:rsid w:val="0005417D"/>
    <w:rsid w:val="00054355"/>
    <w:rsid w:val="000543CB"/>
    <w:rsid w:val="000544C4"/>
    <w:rsid w:val="000544FB"/>
    <w:rsid w:val="00054646"/>
    <w:rsid w:val="0005465C"/>
    <w:rsid w:val="00054796"/>
    <w:rsid w:val="00054874"/>
    <w:rsid w:val="000548BE"/>
    <w:rsid w:val="00054A8B"/>
    <w:rsid w:val="00054DA4"/>
    <w:rsid w:val="00054DC3"/>
    <w:rsid w:val="00054EB0"/>
    <w:rsid w:val="0005517F"/>
    <w:rsid w:val="0005527D"/>
    <w:rsid w:val="00055458"/>
    <w:rsid w:val="000557D7"/>
    <w:rsid w:val="000558FB"/>
    <w:rsid w:val="00055964"/>
    <w:rsid w:val="00055998"/>
    <w:rsid w:val="00055C68"/>
    <w:rsid w:val="00055C7D"/>
    <w:rsid w:val="00055D84"/>
    <w:rsid w:val="00055E13"/>
    <w:rsid w:val="000560C4"/>
    <w:rsid w:val="000560C5"/>
    <w:rsid w:val="00056128"/>
    <w:rsid w:val="00056269"/>
    <w:rsid w:val="0005630A"/>
    <w:rsid w:val="00056454"/>
    <w:rsid w:val="00056540"/>
    <w:rsid w:val="00056607"/>
    <w:rsid w:val="0005662A"/>
    <w:rsid w:val="00056736"/>
    <w:rsid w:val="000568CC"/>
    <w:rsid w:val="00056907"/>
    <w:rsid w:val="00056B36"/>
    <w:rsid w:val="00056B65"/>
    <w:rsid w:val="00056B92"/>
    <w:rsid w:val="00056C32"/>
    <w:rsid w:val="00056CC9"/>
    <w:rsid w:val="00056CD7"/>
    <w:rsid w:val="00056D43"/>
    <w:rsid w:val="00056E3A"/>
    <w:rsid w:val="00057130"/>
    <w:rsid w:val="00057159"/>
    <w:rsid w:val="0005727E"/>
    <w:rsid w:val="00057337"/>
    <w:rsid w:val="0005743A"/>
    <w:rsid w:val="00057510"/>
    <w:rsid w:val="00057746"/>
    <w:rsid w:val="0005775B"/>
    <w:rsid w:val="00057BDE"/>
    <w:rsid w:val="00057FF3"/>
    <w:rsid w:val="000600AC"/>
    <w:rsid w:val="0006018E"/>
    <w:rsid w:val="000602E7"/>
    <w:rsid w:val="000603BD"/>
    <w:rsid w:val="0006052D"/>
    <w:rsid w:val="0006061D"/>
    <w:rsid w:val="0006073E"/>
    <w:rsid w:val="000608AE"/>
    <w:rsid w:val="0006094E"/>
    <w:rsid w:val="00060AA3"/>
    <w:rsid w:val="00060AEE"/>
    <w:rsid w:val="00060B20"/>
    <w:rsid w:val="00060BDA"/>
    <w:rsid w:val="00060CB0"/>
    <w:rsid w:val="00060D77"/>
    <w:rsid w:val="00060DD1"/>
    <w:rsid w:val="00060FEB"/>
    <w:rsid w:val="000610A0"/>
    <w:rsid w:val="0006111F"/>
    <w:rsid w:val="00061172"/>
    <w:rsid w:val="000611EB"/>
    <w:rsid w:val="000612D2"/>
    <w:rsid w:val="000612D7"/>
    <w:rsid w:val="00061382"/>
    <w:rsid w:val="00061409"/>
    <w:rsid w:val="000615CD"/>
    <w:rsid w:val="0006165B"/>
    <w:rsid w:val="000616D2"/>
    <w:rsid w:val="0006184A"/>
    <w:rsid w:val="00061979"/>
    <w:rsid w:val="000619DF"/>
    <w:rsid w:val="00061B56"/>
    <w:rsid w:val="00061BD3"/>
    <w:rsid w:val="00061DFD"/>
    <w:rsid w:val="00061F8E"/>
    <w:rsid w:val="00061FCE"/>
    <w:rsid w:val="00062004"/>
    <w:rsid w:val="00062129"/>
    <w:rsid w:val="00062268"/>
    <w:rsid w:val="0006227E"/>
    <w:rsid w:val="0006247D"/>
    <w:rsid w:val="000625BB"/>
    <w:rsid w:val="000625EB"/>
    <w:rsid w:val="000626C2"/>
    <w:rsid w:val="00062738"/>
    <w:rsid w:val="00062760"/>
    <w:rsid w:val="00062C34"/>
    <w:rsid w:val="00062D56"/>
    <w:rsid w:val="00062DA9"/>
    <w:rsid w:val="00063072"/>
    <w:rsid w:val="00063160"/>
    <w:rsid w:val="0006344C"/>
    <w:rsid w:val="00063451"/>
    <w:rsid w:val="00063484"/>
    <w:rsid w:val="00063639"/>
    <w:rsid w:val="0006365B"/>
    <w:rsid w:val="0006373C"/>
    <w:rsid w:val="000638AC"/>
    <w:rsid w:val="00063930"/>
    <w:rsid w:val="00063AD4"/>
    <w:rsid w:val="00063C88"/>
    <w:rsid w:val="00063CAA"/>
    <w:rsid w:val="00063DD6"/>
    <w:rsid w:val="00063F16"/>
    <w:rsid w:val="00063F96"/>
    <w:rsid w:val="0006404E"/>
    <w:rsid w:val="000640F9"/>
    <w:rsid w:val="0006410F"/>
    <w:rsid w:val="000641C4"/>
    <w:rsid w:val="00064204"/>
    <w:rsid w:val="0006433F"/>
    <w:rsid w:val="00064451"/>
    <w:rsid w:val="00064837"/>
    <w:rsid w:val="00064919"/>
    <w:rsid w:val="0006493D"/>
    <w:rsid w:val="000649BA"/>
    <w:rsid w:val="00064A86"/>
    <w:rsid w:val="00064AE3"/>
    <w:rsid w:val="00064B23"/>
    <w:rsid w:val="00064BC5"/>
    <w:rsid w:val="00064CA1"/>
    <w:rsid w:val="00064FF4"/>
    <w:rsid w:val="0006509A"/>
    <w:rsid w:val="000650C9"/>
    <w:rsid w:val="000651D2"/>
    <w:rsid w:val="000651D4"/>
    <w:rsid w:val="000651E1"/>
    <w:rsid w:val="00065258"/>
    <w:rsid w:val="000652B9"/>
    <w:rsid w:val="00065323"/>
    <w:rsid w:val="0006538F"/>
    <w:rsid w:val="000654BB"/>
    <w:rsid w:val="0006550F"/>
    <w:rsid w:val="0006564B"/>
    <w:rsid w:val="000656B5"/>
    <w:rsid w:val="0006588B"/>
    <w:rsid w:val="0006597D"/>
    <w:rsid w:val="00065B0A"/>
    <w:rsid w:val="00065B1B"/>
    <w:rsid w:val="00065B76"/>
    <w:rsid w:val="00065C25"/>
    <w:rsid w:val="00065D32"/>
    <w:rsid w:val="00065E65"/>
    <w:rsid w:val="00065E79"/>
    <w:rsid w:val="00065EA6"/>
    <w:rsid w:val="0006601C"/>
    <w:rsid w:val="0006602B"/>
    <w:rsid w:val="00066093"/>
    <w:rsid w:val="000660C9"/>
    <w:rsid w:val="00066292"/>
    <w:rsid w:val="0006633F"/>
    <w:rsid w:val="00066357"/>
    <w:rsid w:val="0006652E"/>
    <w:rsid w:val="00066681"/>
    <w:rsid w:val="000666AA"/>
    <w:rsid w:val="0006681A"/>
    <w:rsid w:val="000668A7"/>
    <w:rsid w:val="000669A6"/>
    <w:rsid w:val="000669D7"/>
    <w:rsid w:val="00066B65"/>
    <w:rsid w:val="00066C4B"/>
    <w:rsid w:val="00066D19"/>
    <w:rsid w:val="00066D88"/>
    <w:rsid w:val="00066DDF"/>
    <w:rsid w:val="00066DE5"/>
    <w:rsid w:val="00067018"/>
    <w:rsid w:val="000670AE"/>
    <w:rsid w:val="0006723E"/>
    <w:rsid w:val="00067262"/>
    <w:rsid w:val="00067282"/>
    <w:rsid w:val="000672FB"/>
    <w:rsid w:val="000673EF"/>
    <w:rsid w:val="000674F3"/>
    <w:rsid w:val="00067574"/>
    <w:rsid w:val="00067610"/>
    <w:rsid w:val="000676F4"/>
    <w:rsid w:val="00067738"/>
    <w:rsid w:val="000678E8"/>
    <w:rsid w:val="00067990"/>
    <w:rsid w:val="00067AA1"/>
    <w:rsid w:val="00067BD6"/>
    <w:rsid w:val="00067C5C"/>
    <w:rsid w:val="00067D5E"/>
    <w:rsid w:val="00067E0E"/>
    <w:rsid w:val="00067EA0"/>
    <w:rsid w:val="00067F9E"/>
    <w:rsid w:val="00067FD4"/>
    <w:rsid w:val="000700DA"/>
    <w:rsid w:val="000701A5"/>
    <w:rsid w:val="000702B0"/>
    <w:rsid w:val="000702FC"/>
    <w:rsid w:val="00070304"/>
    <w:rsid w:val="000703C0"/>
    <w:rsid w:val="00070598"/>
    <w:rsid w:val="0007070A"/>
    <w:rsid w:val="00070725"/>
    <w:rsid w:val="00070766"/>
    <w:rsid w:val="000709DF"/>
    <w:rsid w:val="00070A79"/>
    <w:rsid w:val="00070BAC"/>
    <w:rsid w:val="00070BCC"/>
    <w:rsid w:val="00070BD7"/>
    <w:rsid w:val="00070C6B"/>
    <w:rsid w:val="00070D1D"/>
    <w:rsid w:val="00070E43"/>
    <w:rsid w:val="00070E8A"/>
    <w:rsid w:val="00070F12"/>
    <w:rsid w:val="00071035"/>
    <w:rsid w:val="000711FD"/>
    <w:rsid w:val="00071215"/>
    <w:rsid w:val="00071482"/>
    <w:rsid w:val="00071642"/>
    <w:rsid w:val="00071747"/>
    <w:rsid w:val="0007178C"/>
    <w:rsid w:val="000719DD"/>
    <w:rsid w:val="00071B47"/>
    <w:rsid w:val="00071BB2"/>
    <w:rsid w:val="00071C3A"/>
    <w:rsid w:val="00071D0C"/>
    <w:rsid w:val="00071DDF"/>
    <w:rsid w:val="00071DF4"/>
    <w:rsid w:val="00071E8F"/>
    <w:rsid w:val="00071F6B"/>
    <w:rsid w:val="00071FA3"/>
    <w:rsid w:val="00071FC4"/>
    <w:rsid w:val="00071FD3"/>
    <w:rsid w:val="00071FF1"/>
    <w:rsid w:val="00072007"/>
    <w:rsid w:val="00072019"/>
    <w:rsid w:val="000720B9"/>
    <w:rsid w:val="000721DD"/>
    <w:rsid w:val="00072209"/>
    <w:rsid w:val="00072219"/>
    <w:rsid w:val="00072222"/>
    <w:rsid w:val="000722DD"/>
    <w:rsid w:val="0007246A"/>
    <w:rsid w:val="000724B5"/>
    <w:rsid w:val="0007251F"/>
    <w:rsid w:val="00072712"/>
    <w:rsid w:val="00072719"/>
    <w:rsid w:val="0007280B"/>
    <w:rsid w:val="00072848"/>
    <w:rsid w:val="00072D52"/>
    <w:rsid w:val="00072DE5"/>
    <w:rsid w:val="00072EDB"/>
    <w:rsid w:val="00072F33"/>
    <w:rsid w:val="00072FFF"/>
    <w:rsid w:val="0007308E"/>
    <w:rsid w:val="000730C1"/>
    <w:rsid w:val="000730C5"/>
    <w:rsid w:val="0007313C"/>
    <w:rsid w:val="000731C2"/>
    <w:rsid w:val="000732F2"/>
    <w:rsid w:val="00073353"/>
    <w:rsid w:val="000733EB"/>
    <w:rsid w:val="00073407"/>
    <w:rsid w:val="0007341C"/>
    <w:rsid w:val="0007347E"/>
    <w:rsid w:val="00073541"/>
    <w:rsid w:val="0007389A"/>
    <w:rsid w:val="0007397E"/>
    <w:rsid w:val="000739D0"/>
    <w:rsid w:val="00073BEB"/>
    <w:rsid w:val="00073C68"/>
    <w:rsid w:val="00073CA4"/>
    <w:rsid w:val="00073DE2"/>
    <w:rsid w:val="00073E34"/>
    <w:rsid w:val="00073E9B"/>
    <w:rsid w:val="00073FA0"/>
    <w:rsid w:val="00073FC9"/>
    <w:rsid w:val="00074041"/>
    <w:rsid w:val="0007421B"/>
    <w:rsid w:val="00074271"/>
    <w:rsid w:val="000742C8"/>
    <w:rsid w:val="00074377"/>
    <w:rsid w:val="000743C4"/>
    <w:rsid w:val="000743D2"/>
    <w:rsid w:val="0007449F"/>
    <w:rsid w:val="00074639"/>
    <w:rsid w:val="0007482C"/>
    <w:rsid w:val="00074869"/>
    <w:rsid w:val="00074A1B"/>
    <w:rsid w:val="00074BD8"/>
    <w:rsid w:val="00074D7E"/>
    <w:rsid w:val="00074DA7"/>
    <w:rsid w:val="00074DEB"/>
    <w:rsid w:val="00074E50"/>
    <w:rsid w:val="00075080"/>
    <w:rsid w:val="000750BB"/>
    <w:rsid w:val="00075174"/>
    <w:rsid w:val="00075222"/>
    <w:rsid w:val="0007535A"/>
    <w:rsid w:val="0007548F"/>
    <w:rsid w:val="00075530"/>
    <w:rsid w:val="000755A1"/>
    <w:rsid w:val="000756D6"/>
    <w:rsid w:val="0007581A"/>
    <w:rsid w:val="00075A37"/>
    <w:rsid w:val="00075ABD"/>
    <w:rsid w:val="00075B35"/>
    <w:rsid w:val="00075D24"/>
    <w:rsid w:val="00075E27"/>
    <w:rsid w:val="00075EDE"/>
    <w:rsid w:val="00075EEF"/>
    <w:rsid w:val="00075F8D"/>
    <w:rsid w:val="00075F92"/>
    <w:rsid w:val="00075FAE"/>
    <w:rsid w:val="0007605F"/>
    <w:rsid w:val="0007609E"/>
    <w:rsid w:val="000760DD"/>
    <w:rsid w:val="00076163"/>
    <w:rsid w:val="00076281"/>
    <w:rsid w:val="000763D1"/>
    <w:rsid w:val="000764E8"/>
    <w:rsid w:val="000764F1"/>
    <w:rsid w:val="000765A0"/>
    <w:rsid w:val="000765C4"/>
    <w:rsid w:val="000766AF"/>
    <w:rsid w:val="000766E5"/>
    <w:rsid w:val="000767F6"/>
    <w:rsid w:val="00076B33"/>
    <w:rsid w:val="00076BAB"/>
    <w:rsid w:val="00076CB2"/>
    <w:rsid w:val="00076CC2"/>
    <w:rsid w:val="00076CDB"/>
    <w:rsid w:val="00076D6E"/>
    <w:rsid w:val="00076D85"/>
    <w:rsid w:val="0007706D"/>
    <w:rsid w:val="000770B6"/>
    <w:rsid w:val="0007711A"/>
    <w:rsid w:val="000773BF"/>
    <w:rsid w:val="000773EB"/>
    <w:rsid w:val="00077535"/>
    <w:rsid w:val="000779DB"/>
    <w:rsid w:val="00077A63"/>
    <w:rsid w:val="00077B35"/>
    <w:rsid w:val="00077CB6"/>
    <w:rsid w:val="00077CBC"/>
    <w:rsid w:val="00077DAF"/>
    <w:rsid w:val="00077E5A"/>
    <w:rsid w:val="00077FD9"/>
    <w:rsid w:val="000800B3"/>
    <w:rsid w:val="0008012B"/>
    <w:rsid w:val="0008025D"/>
    <w:rsid w:val="000802EE"/>
    <w:rsid w:val="0008031C"/>
    <w:rsid w:val="00080385"/>
    <w:rsid w:val="000803AB"/>
    <w:rsid w:val="000803BA"/>
    <w:rsid w:val="00080411"/>
    <w:rsid w:val="00080435"/>
    <w:rsid w:val="0008050F"/>
    <w:rsid w:val="00080549"/>
    <w:rsid w:val="0008079C"/>
    <w:rsid w:val="00080932"/>
    <w:rsid w:val="000809BC"/>
    <w:rsid w:val="00080A6E"/>
    <w:rsid w:val="00080ACD"/>
    <w:rsid w:val="00080B10"/>
    <w:rsid w:val="00080B7F"/>
    <w:rsid w:val="00080B88"/>
    <w:rsid w:val="00080E9D"/>
    <w:rsid w:val="000812D4"/>
    <w:rsid w:val="000812F0"/>
    <w:rsid w:val="00081365"/>
    <w:rsid w:val="00081377"/>
    <w:rsid w:val="000816CC"/>
    <w:rsid w:val="00081AA0"/>
    <w:rsid w:val="00081AD5"/>
    <w:rsid w:val="00081AEE"/>
    <w:rsid w:val="00081B75"/>
    <w:rsid w:val="00081B7C"/>
    <w:rsid w:val="00081EE2"/>
    <w:rsid w:val="00081FBC"/>
    <w:rsid w:val="00082026"/>
    <w:rsid w:val="0008212D"/>
    <w:rsid w:val="0008213D"/>
    <w:rsid w:val="000822AC"/>
    <w:rsid w:val="0008232B"/>
    <w:rsid w:val="000823AE"/>
    <w:rsid w:val="000823CE"/>
    <w:rsid w:val="000824A2"/>
    <w:rsid w:val="000824E7"/>
    <w:rsid w:val="00082500"/>
    <w:rsid w:val="000826E8"/>
    <w:rsid w:val="000826F8"/>
    <w:rsid w:val="00082713"/>
    <w:rsid w:val="000827EB"/>
    <w:rsid w:val="000827F3"/>
    <w:rsid w:val="000829DE"/>
    <w:rsid w:val="00082A2C"/>
    <w:rsid w:val="00082BB5"/>
    <w:rsid w:val="00082D5D"/>
    <w:rsid w:val="00082DC6"/>
    <w:rsid w:val="00082DEB"/>
    <w:rsid w:val="00082ECB"/>
    <w:rsid w:val="00082F71"/>
    <w:rsid w:val="00082FFA"/>
    <w:rsid w:val="0008300E"/>
    <w:rsid w:val="00083038"/>
    <w:rsid w:val="00083281"/>
    <w:rsid w:val="000834C8"/>
    <w:rsid w:val="00083522"/>
    <w:rsid w:val="0008352F"/>
    <w:rsid w:val="00083613"/>
    <w:rsid w:val="00083730"/>
    <w:rsid w:val="000837D3"/>
    <w:rsid w:val="0008382E"/>
    <w:rsid w:val="00083975"/>
    <w:rsid w:val="000839B3"/>
    <w:rsid w:val="00083A3E"/>
    <w:rsid w:val="00083A93"/>
    <w:rsid w:val="00083C28"/>
    <w:rsid w:val="00083D06"/>
    <w:rsid w:val="00083DA6"/>
    <w:rsid w:val="00083F9F"/>
    <w:rsid w:val="00084009"/>
    <w:rsid w:val="00084086"/>
    <w:rsid w:val="000840D4"/>
    <w:rsid w:val="0008418C"/>
    <w:rsid w:val="000841CB"/>
    <w:rsid w:val="00084280"/>
    <w:rsid w:val="0008432E"/>
    <w:rsid w:val="00084568"/>
    <w:rsid w:val="000845EE"/>
    <w:rsid w:val="000845FA"/>
    <w:rsid w:val="00084894"/>
    <w:rsid w:val="00084A96"/>
    <w:rsid w:val="00084B61"/>
    <w:rsid w:val="00084C08"/>
    <w:rsid w:val="00084C91"/>
    <w:rsid w:val="00084CA5"/>
    <w:rsid w:val="00084D3E"/>
    <w:rsid w:val="00084D8F"/>
    <w:rsid w:val="00084DCA"/>
    <w:rsid w:val="00084E66"/>
    <w:rsid w:val="000850E5"/>
    <w:rsid w:val="0008524F"/>
    <w:rsid w:val="00085293"/>
    <w:rsid w:val="000852B4"/>
    <w:rsid w:val="0008560C"/>
    <w:rsid w:val="00085715"/>
    <w:rsid w:val="0008576F"/>
    <w:rsid w:val="000857D2"/>
    <w:rsid w:val="0008585B"/>
    <w:rsid w:val="000858E8"/>
    <w:rsid w:val="00085A0A"/>
    <w:rsid w:val="00085A1E"/>
    <w:rsid w:val="00085BB7"/>
    <w:rsid w:val="00085BC8"/>
    <w:rsid w:val="00085C8D"/>
    <w:rsid w:val="00085C98"/>
    <w:rsid w:val="00085CF0"/>
    <w:rsid w:val="00085D0B"/>
    <w:rsid w:val="00085DDE"/>
    <w:rsid w:val="00085E83"/>
    <w:rsid w:val="00086061"/>
    <w:rsid w:val="00086158"/>
    <w:rsid w:val="000861FE"/>
    <w:rsid w:val="00086220"/>
    <w:rsid w:val="0008642F"/>
    <w:rsid w:val="0008664A"/>
    <w:rsid w:val="000867F3"/>
    <w:rsid w:val="000869CA"/>
    <w:rsid w:val="000869DC"/>
    <w:rsid w:val="00086A08"/>
    <w:rsid w:val="00086A69"/>
    <w:rsid w:val="00086A8D"/>
    <w:rsid w:val="00086AEC"/>
    <w:rsid w:val="00086C4F"/>
    <w:rsid w:val="00086C62"/>
    <w:rsid w:val="00086CE6"/>
    <w:rsid w:val="00086F9A"/>
    <w:rsid w:val="00086FB3"/>
    <w:rsid w:val="0008723A"/>
    <w:rsid w:val="00087284"/>
    <w:rsid w:val="000874E4"/>
    <w:rsid w:val="00087515"/>
    <w:rsid w:val="000875DF"/>
    <w:rsid w:val="00087667"/>
    <w:rsid w:val="0008785E"/>
    <w:rsid w:val="000878CA"/>
    <w:rsid w:val="00087AD5"/>
    <w:rsid w:val="00087B60"/>
    <w:rsid w:val="00087B83"/>
    <w:rsid w:val="00087C1A"/>
    <w:rsid w:val="00087E5E"/>
    <w:rsid w:val="00087FB1"/>
    <w:rsid w:val="000901BB"/>
    <w:rsid w:val="000901DD"/>
    <w:rsid w:val="000901FF"/>
    <w:rsid w:val="000902D1"/>
    <w:rsid w:val="00090348"/>
    <w:rsid w:val="0009036D"/>
    <w:rsid w:val="00090378"/>
    <w:rsid w:val="000903F2"/>
    <w:rsid w:val="00090501"/>
    <w:rsid w:val="00090520"/>
    <w:rsid w:val="00090527"/>
    <w:rsid w:val="000906DB"/>
    <w:rsid w:val="000908BB"/>
    <w:rsid w:val="00090C35"/>
    <w:rsid w:val="00090DB9"/>
    <w:rsid w:val="00090E61"/>
    <w:rsid w:val="00090F3C"/>
    <w:rsid w:val="000911CE"/>
    <w:rsid w:val="000912B4"/>
    <w:rsid w:val="00091311"/>
    <w:rsid w:val="00091330"/>
    <w:rsid w:val="0009150F"/>
    <w:rsid w:val="000915D8"/>
    <w:rsid w:val="000916C7"/>
    <w:rsid w:val="0009171F"/>
    <w:rsid w:val="00091754"/>
    <w:rsid w:val="00091792"/>
    <w:rsid w:val="00091888"/>
    <w:rsid w:val="000918C7"/>
    <w:rsid w:val="00091A19"/>
    <w:rsid w:val="00091A59"/>
    <w:rsid w:val="00091AAE"/>
    <w:rsid w:val="00091ACB"/>
    <w:rsid w:val="00091D25"/>
    <w:rsid w:val="000920CC"/>
    <w:rsid w:val="00092226"/>
    <w:rsid w:val="00092292"/>
    <w:rsid w:val="0009230E"/>
    <w:rsid w:val="0009239E"/>
    <w:rsid w:val="000923FD"/>
    <w:rsid w:val="00092418"/>
    <w:rsid w:val="00092459"/>
    <w:rsid w:val="000924A4"/>
    <w:rsid w:val="000924AE"/>
    <w:rsid w:val="00092530"/>
    <w:rsid w:val="0009254E"/>
    <w:rsid w:val="0009254F"/>
    <w:rsid w:val="000926CA"/>
    <w:rsid w:val="00092893"/>
    <w:rsid w:val="000928E6"/>
    <w:rsid w:val="0009293F"/>
    <w:rsid w:val="00092ABD"/>
    <w:rsid w:val="00092B06"/>
    <w:rsid w:val="00092B36"/>
    <w:rsid w:val="00092CE7"/>
    <w:rsid w:val="00092D60"/>
    <w:rsid w:val="00092E46"/>
    <w:rsid w:val="00093091"/>
    <w:rsid w:val="00093267"/>
    <w:rsid w:val="00093282"/>
    <w:rsid w:val="0009347B"/>
    <w:rsid w:val="0009355E"/>
    <w:rsid w:val="00093611"/>
    <w:rsid w:val="0009368C"/>
    <w:rsid w:val="0009380E"/>
    <w:rsid w:val="0009389C"/>
    <w:rsid w:val="00093909"/>
    <w:rsid w:val="00093A27"/>
    <w:rsid w:val="00093A80"/>
    <w:rsid w:val="00093ADC"/>
    <w:rsid w:val="00093BEF"/>
    <w:rsid w:val="00093C08"/>
    <w:rsid w:val="00093E74"/>
    <w:rsid w:val="00094088"/>
    <w:rsid w:val="00094157"/>
    <w:rsid w:val="00094172"/>
    <w:rsid w:val="000942EE"/>
    <w:rsid w:val="000945DB"/>
    <w:rsid w:val="000945F8"/>
    <w:rsid w:val="000946C1"/>
    <w:rsid w:val="00094820"/>
    <w:rsid w:val="000948D5"/>
    <w:rsid w:val="00094A8E"/>
    <w:rsid w:val="00094AE5"/>
    <w:rsid w:val="00094CDA"/>
    <w:rsid w:val="00094D86"/>
    <w:rsid w:val="00094DD9"/>
    <w:rsid w:val="00094E1D"/>
    <w:rsid w:val="00094EA5"/>
    <w:rsid w:val="00094F52"/>
    <w:rsid w:val="00094F54"/>
    <w:rsid w:val="0009505B"/>
    <w:rsid w:val="0009518A"/>
    <w:rsid w:val="000952C0"/>
    <w:rsid w:val="0009534A"/>
    <w:rsid w:val="00095485"/>
    <w:rsid w:val="0009576E"/>
    <w:rsid w:val="00095775"/>
    <w:rsid w:val="0009580D"/>
    <w:rsid w:val="00095837"/>
    <w:rsid w:val="00095860"/>
    <w:rsid w:val="0009588F"/>
    <w:rsid w:val="00095B57"/>
    <w:rsid w:val="00095C76"/>
    <w:rsid w:val="00095D83"/>
    <w:rsid w:val="00095DFB"/>
    <w:rsid w:val="00095F36"/>
    <w:rsid w:val="00095FB8"/>
    <w:rsid w:val="0009619F"/>
    <w:rsid w:val="000961E4"/>
    <w:rsid w:val="000962B6"/>
    <w:rsid w:val="0009631B"/>
    <w:rsid w:val="00096332"/>
    <w:rsid w:val="000964B0"/>
    <w:rsid w:val="00096742"/>
    <w:rsid w:val="000968DB"/>
    <w:rsid w:val="0009697B"/>
    <w:rsid w:val="000969F5"/>
    <w:rsid w:val="00096DE5"/>
    <w:rsid w:val="00096EF3"/>
    <w:rsid w:val="00096F81"/>
    <w:rsid w:val="00097025"/>
    <w:rsid w:val="0009723B"/>
    <w:rsid w:val="00097317"/>
    <w:rsid w:val="00097473"/>
    <w:rsid w:val="000974DC"/>
    <w:rsid w:val="000975AA"/>
    <w:rsid w:val="00097716"/>
    <w:rsid w:val="00097964"/>
    <w:rsid w:val="0009798D"/>
    <w:rsid w:val="00097A00"/>
    <w:rsid w:val="00097A0B"/>
    <w:rsid w:val="00097A28"/>
    <w:rsid w:val="00097C45"/>
    <w:rsid w:val="00097D27"/>
    <w:rsid w:val="00097D44"/>
    <w:rsid w:val="00097D53"/>
    <w:rsid w:val="00097EBD"/>
    <w:rsid w:val="00097FF0"/>
    <w:rsid w:val="000A0012"/>
    <w:rsid w:val="000A0015"/>
    <w:rsid w:val="000A0050"/>
    <w:rsid w:val="000A00CC"/>
    <w:rsid w:val="000A00E5"/>
    <w:rsid w:val="000A01EE"/>
    <w:rsid w:val="000A034D"/>
    <w:rsid w:val="000A0401"/>
    <w:rsid w:val="000A043C"/>
    <w:rsid w:val="000A04E9"/>
    <w:rsid w:val="000A0749"/>
    <w:rsid w:val="000A0799"/>
    <w:rsid w:val="000A096F"/>
    <w:rsid w:val="000A0E1D"/>
    <w:rsid w:val="000A109A"/>
    <w:rsid w:val="000A1115"/>
    <w:rsid w:val="000A1173"/>
    <w:rsid w:val="000A14A8"/>
    <w:rsid w:val="000A1560"/>
    <w:rsid w:val="000A157A"/>
    <w:rsid w:val="000A1605"/>
    <w:rsid w:val="000A1698"/>
    <w:rsid w:val="000A18B2"/>
    <w:rsid w:val="000A19B8"/>
    <w:rsid w:val="000A1A05"/>
    <w:rsid w:val="000A1A0F"/>
    <w:rsid w:val="000A1AC5"/>
    <w:rsid w:val="000A1AF9"/>
    <w:rsid w:val="000A1B83"/>
    <w:rsid w:val="000A1CF3"/>
    <w:rsid w:val="000A1F97"/>
    <w:rsid w:val="000A2059"/>
    <w:rsid w:val="000A211E"/>
    <w:rsid w:val="000A22E3"/>
    <w:rsid w:val="000A2347"/>
    <w:rsid w:val="000A237D"/>
    <w:rsid w:val="000A23F3"/>
    <w:rsid w:val="000A2404"/>
    <w:rsid w:val="000A245D"/>
    <w:rsid w:val="000A24D6"/>
    <w:rsid w:val="000A24F5"/>
    <w:rsid w:val="000A25D7"/>
    <w:rsid w:val="000A26E5"/>
    <w:rsid w:val="000A2736"/>
    <w:rsid w:val="000A2749"/>
    <w:rsid w:val="000A279C"/>
    <w:rsid w:val="000A2831"/>
    <w:rsid w:val="000A2892"/>
    <w:rsid w:val="000A28EF"/>
    <w:rsid w:val="000A2A08"/>
    <w:rsid w:val="000A2A3A"/>
    <w:rsid w:val="000A2B15"/>
    <w:rsid w:val="000A2B19"/>
    <w:rsid w:val="000A2BC7"/>
    <w:rsid w:val="000A2CB9"/>
    <w:rsid w:val="000A2D6B"/>
    <w:rsid w:val="000A2E60"/>
    <w:rsid w:val="000A2F0E"/>
    <w:rsid w:val="000A3023"/>
    <w:rsid w:val="000A3066"/>
    <w:rsid w:val="000A3257"/>
    <w:rsid w:val="000A33BD"/>
    <w:rsid w:val="000A34C7"/>
    <w:rsid w:val="000A35C4"/>
    <w:rsid w:val="000A36E4"/>
    <w:rsid w:val="000A37A3"/>
    <w:rsid w:val="000A3A25"/>
    <w:rsid w:val="000A3B14"/>
    <w:rsid w:val="000A3B19"/>
    <w:rsid w:val="000A3B7C"/>
    <w:rsid w:val="000A3E19"/>
    <w:rsid w:val="000A3E63"/>
    <w:rsid w:val="000A409F"/>
    <w:rsid w:val="000A40F1"/>
    <w:rsid w:val="000A415F"/>
    <w:rsid w:val="000A41FF"/>
    <w:rsid w:val="000A42C0"/>
    <w:rsid w:val="000A42C8"/>
    <w:rsid w:val="000A4371"/>
    <w:rsid w:val="000A45F0"/>
    <w:rsid w:val="000A4637"/>
    <w:rsid w:val="000A476A"/>
    <w:rsid w:val="000A47AC"/>
    <w:rsid w:val="000A4853"/>
    <w:rsid w:val="000A48FD"/>
    <w:rsid w:val="000A4983"/>
    <w:rsid w:val="000A4A21"/>
    <w:rsid w:val="000A4AF5"/>
    <w:rsid w:val="000A4F7C"/>
    <w:rsid w:val="000A5135"/>
    <w:rsid w:val="000A529C"/>
    <w:rsid w:val="000A53AC"/>
    <w:rsid w:val="000A5416"/>
    <w:rsid w:val="000A54CF"/>
    <w:rsid w:val="000A5691"/>
    <w:rsid w:val="000A575A"/>
    <w:rsid w:val="000A57E3"/>
    <w:rsid w:val="000A58E9"/>
    <w:rsid w:val="000A5902"/>
    <w:rsid w:val="000A5964"/>
    <w:rsid w:val="000A5B0C"/>
    <w:rsid w:val="000A5BB9"/>
    <w:rsid w:val="000A5C20"/>
    <w:rsid w:val="000A5C50"/>
    <w:rsid w:val="000A5C59"/>
    <w:rsid w:val="000A5CA9"/>
    <w:rsid w:val="000A5D8F"/>
    <w:rsid w:val="000A5E32"/>
    <w:rsid w:val="000A602C"/>
    <w:rsid w:val="000A6249"/>
    <w:rsid w:val="000A626A"/>
    <w:rsid w:val="000A644A"/>
    <w:rsid w:val="000A64C2"/>
    <w:rsid w:val="000A655F"/>
    <w:rsid w:val="000A6560"/>
    <w:rsid w:val="000A65E8"/>
    <w:rsid w:val="000A6668"/>
    <w:rsid w:val="000A66E1"/>
    <w:rsid w:val="000A6845"/>
    <w:rsid w:val="000A6936"/>
    <w:rsid w:val="000A6C73"/>
    <w:rsid w:val="000A6D06"/>
    <w:rsid w:val="000A6E3B"/>
    <w:rsid w:val="000A6EF9"/>
    <w:rsid w:val="000A7050"/>
    <w:rsid w:val="000A7052"/>
    <w:rsid w:val="000A7158"/>
    <w:rsid w:val="000A7295"/>
    <w:rsid w:val="000A73F0"/>
    <w:rsid w:val="000A7489"/>
    <w:rsid w:val="000A74BB"/>
    <w:rsid w:val="000A74F4"/>
    <w:rsid w:val="000A75C6"/>
    <w:rsid w:val="000A766C"/>
    <w:rsid w:val="000A76B7"/>
    <w:rsid w:val="000A7740"/>
    <w:rsid w:val="000A778E"/>
    <w:rsid w:val="000A7846"/>
    <w:rsid w:val="000A78B5"/>
    <w:rsid w:val="000A7942"/>
    <w:rsid w:val="000A7A30"/>
    <w:rsid w:val="000A7B63"/>
    <w:rsid w:val="000B0001"/>
    <w:rsid w:val="000B001E"/>
    <w:rsid w:val="000B007A"/>
    <w:rsid w:val="000B037B"/>
    <w:rsid w:val="000B04B9"/>
    <w:rsid w:val="000B057E"/>
    <w:rsid w:val="000B0745"/>
    <w:rsid w:val="000B0947"/>
    <w:rsid w:val="000B0984"/>
    <w:rsid w:val="000B0B83"/>
    <w:rsid w:val="000B0CA6"/>
    <w:rsid w:val="000B0D86"/>
    <w:rsid w:val="000B0D8C"/>
    <w:rsid w:val="000B0E6B"/>
    <w:rsid w:val="000B0F2C"/>
    <w:rsid w:val="000B10C3"/>
    <w:rsid w:val="000B14B0"/>
    <w:rsid w:val="000B14CC"/>
    <w:rsid w:val="000B15A0"/>
    <w:rsid w:val="000B1628"/>
    <w:rsid w:val="000B1667"/>
    <w:rsid w:val="000B1691"/>
    <w:rsid w:val="000B17DB"/>
    <w:rsid w:val="000B1818"/>
    <w:rsid w:val="000B1905"/>
    <w:rsid w:val="000B19A6"/>
    <w:rsid w:val="000B1A37"/>
    <w:rsid w:val="000B1AFF"/>
    <w:rsid w:val="000B1DEC"/>
    <w:rsid w:val="000B1F36"/>
    <w:rsid w:val="000B20FB"/>
    <w:rsid w:val="000B2137"/>
    <w:rsid w:val="000B21B8"/>
    <w:rsid w:val="000B224B"/>
    <w:rsid w:val="000B2279"/>
    <w:rsid w:val="000B2283"/>
    <w:rsid w:val="000B22E4"/>
    <w:rsid w:val="000B2526"/>
    <w:rsid w:val="000B2577"/>
    <w:rsid w:val="000B257D"/>
    <w:rsid w:val="000B25FD"/>
    <w:rsid w:val="000B268C"/>
    <w:rsid w:val="000B26CD"/>
    <w:rsid w:val="000B282D"/>
    <w:rsid w:val="000B2898"/>
    <w:rsid w:val="000B292F"/>
    <w:rsid w:val="000B29AA"/>
    <w:rsid w:val="000B2A29"/>
    <w:rsid w:val="000B2AB8"/>
    <w:rsid w:val="000B2B1E"/>
    <w:rsid w:val="000B2D37"/>
    <w:rsid w:val="000B328D"/>
    <w:rsid w:val="000B32FC"/>
    <w:rsid w:val="000B333F"/>
    <w:rsid w:val="000B3427"/>
    <w:rsid w:val="000B3553"/>
    <w:rsid w:val="000B3666"/>
    <w:rsid w:val="000B3675"/>
    <w:rsid w:val="000B3712"/>
    <w:rsid w:val="000B373F"/>
    <w:rsid w:val="000B3786"/>
    <w:rsid w:val="000B3983"/>
    <w:rsid w:val="000B3BA1"/>
    <w:rsid w:val="000B3C41"/>
    <w:rsid w:val="000B3CE1"/>
    <w:rsid w:val="000B3D14"/>
    <w:rsid w:val="000B3D7C"/>
    <w:rsid w:val="000B3EB8"/>
    <w:rsid w:val="000B3F5D"/>
    <w:rsid w:val="000B404D"/>
    <w:rsid w:val="000B406F"/>
    <w:rsid w:val="000B40E9"/>
    <w:rsid w:val="000B40F6"/>
    <w:rsid w:val="000B41E1"/>
    <w:rsid w:val="000B429F"/>
    <w:rsid w:val="000B4438"/>
    <w:rsid w:val="000B4558"/>
    <w:rsid w:val="000B4622"/>
    <w:rsid w:val="000B485D"/>
    <w:rsid w:val="000B4AB6"/>
    <w:rsid w:val="000B4AD1"/>
    <w:rsid w:val="000B4AFD"/>
    <w:rsid w:val="000B4BAB"/>
    <w:rsid w:val="000B4F35"/>
    <w:rsid w:val="000B504C"/>
    <w:rsid w:val="000B5168"/>
    <w:rsid w:val="000B51C7"/>
    <w:rsid w:val="000B525E"/>
    <w:rsid w:val="000B53B6"/>
    <w:rsid w:val="000B567B"/>
    <w:rsid w:val="000B5911"/>
    <w:rsid w:val="000B592B"/>
    <w:rsid w:val="000B5988"/>
    <w:rsid w:val="000B5B91"/>
    <w:rsid w:val="000B5B9E"/>
    <w:rsid w:val="000B5BD5"/>
    <w:rsid w:val="000B5CFC"/>
    <w:rsid w:val="000B5D91"/>
    <w:rsid w:val="000B5E7E"/>
    <w:rsid w:val="000B5E83"/>
    <w:rsid w:val="000B6004"/>
    <w:rsid w:val="000B6049"/>
    <w:rsid w:val="000B6064"/>
    <w:rsid w:val="000B60BE"/>
    <w:rsid w:val="000B60D3"/>
    <w:rsid w:val="000B6441"/>
    <w:rsid w:val="000B64A5"/>
    <w:rsid w:val="000B64B6"/>
    <w:rsid w:val="000B64C0"/>
    <w:rsid w:val="000B650E"/>
    <w:rsid w:val="000B6740"/>
    <w:rsid w:val="000B6838"/>
    <w:rsid w:val="000B697E"/>
    <w:rsid w:val="000B6985"/>
    <w:rsid w:val="000B6A03"/>
    <w:rsid w:val="000B6B8A"/>
    <w:rsid w:val="000B6BC8"/>
    <w:rsid w:val="000B6BF1"/>
    <w:rsid w:val="000B6E0D"/>
    <w:rsid w:val="000B6EE2"/>
    <w:rsid w:val="000B6F6B"/>
    <w:rsid w:val="000B6F88"/>
    <w:rsid w:val="000B6FD3"/>
    <w:rsid w:val="000B7042"/>
    <w:rsid w:val="000B7232"/>
    <w:rsid w:val="000B7270"/>
    <w:rsid w:val="000B75BF"/>
    <w:rsid w:val="000B75E4"/>
    <w:rsid w:val="000B76A3"/>
    <w:rsid w:val="000B78C2"/>
    <w:rsid w:val="000B7983"/>
    <w:rsid w:val="000B79E1"/>
    <w:rsid w:val="000B7A4A"/>
    <w:rsid w:val="000B7B2A"/>
    <w:rsid w:val="000B7B67"/>
    <w:rsid w:val="000B7B8B"/>
    <w:rsid w:val="000B7C69"/>
    <w:rsid w:val="000B7CC0"/>
    <w:rsid w:val="000B7D7D"/>
    <w:rsid w:val="000B7E1E"/>
    <w:rsid w:val="000B7F30"/>
    <w:rsid w:val="000C0086"/>
    <w:rsid w:val="000C0103"/>
    <w:rsid w:val="000C03A6"/>
    <w:rsid w:val="000C0537"/>
    <w:rsid w:val="000C0655"/>
    <w:rsid w:val="000C076A"/>
    <w:rsid w:val="000C079A"/>
    <w:rsid w:val="000C07F0"/>
    <w:rsid w:val="000C0A7F"/>
    <w:rsid w:val="000C0AA3"/>
    <w:rsid w:val="000C0BB1"/>
    <w:rsid w:val="000C0C07"/>
    <w:rsid w:val="000C0C4D"/>
    <w:rsid w:val="000C0CD6"/>
    <w:rsid w:val="000C0EC2"/>
    <w:rsid w:val="000C110C"/>
    <w:rsid w:val="000C114E"/>
    <w:rsid w:val="000C119B"/>
    <w:rsid w:val="000C11BB"/>
    <w:rsid w:val="000C11D5"/>
    <w:rsid w:val="000C121D"/>
    <w:rsid w:val="000C1236"/>
    <w:rsid w:val="000C126F"/>
    <w:rsid w:val="000C13B2"/>
    <w:rsid w:val="000C153B"/>
    <w:rsid w:val="000C16B9"/>
    <w:rsid w:val="000C16D0"/>
    <w:rsid w:val="000C1808"/>
    <w:rsid w:val="000C1958"/>
    <w:rsid w:val="000C19C6"/>
    <w:rsid w:val="000C1A9D"/>
    <w:rsid w:val="000C1B81"/>
    <w:rsid w:val="000C1BDA"/>
    <w:rsid w:val="000C1BE6"/>
    <w:rsid w:val="000C1C07"/>
    <w:rsid w:val="000C1CD7"/>
    <w:rsid w:val="000C1F1A"/>
    <w:rsid w:val="000C1F6F"/>
    <w:rsid w:val="000C210F"/>
    <w:rsid w:val="000C22A4"/>
    <w:rsid w:val="000C22CF"/>
    <w:rsid w:val="000C2422"/>
    <w:rsid w:val="000C24E7"/>
    <w:rsid w:val="000C27FA"/>
    <w:rsid w:val="000C281C"/>
    <w:rsid w:val="000C2982"/>
    <w:rsid w:val="000C29D2"/>
    <w:rsid w:val="000C29F2"/>
    <w:rsid w:val="000C2A62"/>
    <w:rsid w:val="000C2AFF"/>
    <w:rsid w:val="000C2B76"/>
    <w:rsid w:val="000C2C71"/>
    <w:rsid w:val="000C2CFA"/>
    <w:rsid w:val="000C2E34"/>
    <w:rsid w:val="000C2EE8"/>
    <w:rsid w:val="000C3179"/>
    <w:rsid w:val="000C321A"/>
    <w:rsid w:val="000C333C"/>
    <w:rsid w:val="000C341C"/>
    <w:rsid w:val="000C35A5"/>
    <w:rsid w:val="000C35B8"/>
    <w:rsid w:val="000C36E7"/>
    <w:rsid w:val="000C3702"/>
    <w:rsid w:val="000C3732"/>
    <w:rsid w:val="000C386A"/>
    <w:rsid w:val="000C38AF"/>
    <w:rsid w:val="000C3991"/>
    <w:rsid w:val="000C3AAD"/>
    <w:rsid w:val="000C3C7C"/>
    <w:rsid w:val="000C3C87"/>
    <w:rsid w:val="000C3CEC"/>
    <w:rsid w:val="000C3D03"/>
    <w:rsid w:val="000C3DD8"/>
    <w:rsid w:val="000C3EAB"/>
    <w:rsid w:val="000C3ECA"/>
    <w:rsid w:val="000C4135"/>
    <w:rsid w:val="000C43D8"/>
    <w:rsid w:val="000C4585"/>
    <w:rsid w:val="000C472B"/>
    <w:rsid w:val="000C4743"/>
    <w:rsid w:val="000C4A42"/>
    <w:rsid w:val="000C4BB3"/>
    <w:rsid w:val="000C4BD1"/>
    <w:rsid w:val="000C4C53"/>
    <w:rsid w:val="000C4CB4"/>
    <w:rsid w:val="000C4E9B"/>
    <w:rsid w:val="000C4F8E"/>
    <w:rsid w:val="000C4FFA"/>
    <w:rsid w:val="000C505E"/>
    <w:rsid w:val="000C50C9"/>
    <w:rsid w:val="000C5245"/>
    <w:rsid w:val="000C526A"/>
    <w:rsid w:val="000C52B2"/>
    <w:rsid w:val="000C5374"/>
    <w:rsid w:val="000C55BE"/>
    <w:rsid w:val="000C55FF"/>
    <w:rsid w:val="000C57B8"/>
    <w:rsid w:val="000C57B9"/>
    <w:rsid w:val="000C599B"/>
    <w:rsid w:val="000C5B22"/>
    <w:rsid w:val="000C5BD0"/>
    <w:rsid w:val="000C5C4C"/>
    <w:rsid w:val="000C5CD7"/>
    <w:rsid w:val="000C5EB4"/>
    <w:rsid w:val="000C5EFF"/>
    <w:rsid w:val="000C5F75"/>
    <w:rsid w:val="000C600A"/>
    <w:rsid w:val="000C60C9"/>
    <w:rsid w:val="000C615C"/>
    <w:rsid w:val="000C62CB"/>
    <w:rsid w:val="000C6334"/>
    <w:rsid w:val="000C6525"/>
    <w:rsid w:val="000C653E"/>
    <w:rsid w:val="000C65EE"/>
    <w:rsid w:val="000C662A"/>
    <w:rsid w:val="000C6704"/>
    <w:rsid w:val="000C68FF"/>
    <w:rsid w:val="000C6B56"/>
    <w:rsid w:val="000C6B5C"/>
    <w:rsid w:val="000C6B5F"/>
    <w:rsid w:val="000C6CE3"/>
    <w:rsid w:val="000C6DE0"/>
    <w:rsid w:val="000C6E4A"/>
    <w:rsid w:val="000C6F52"/>
    <w:rsid w:val="000C6F90"/>
    <w:rsid w:val="000C7046"/>
    <w:rsid w:val="000C709B"/>
    <w:rsid w:val="000C7269"/>
    <w:rsid w:val="000C739A"/>
    <w:rsid w:val="000C74C0"/>
    <w:rsid w:val="000C74E8"/>
    <w:rsid w:val="000C7562"/>
    <w:rsid w:val="000C75FF"/>
    <w:rsid w:val="000C767E"/>
    <w:rsid w:val="000C768A"/>
    <w:rsid w:val="000C7766"/>
    <w:rsid w:val="000C7787"/>
    <w:rsid w:val="000C77DE"/>
    <w:rsid w:val="000C7877"/>
    <w:rsid w:val="000C7964"/>
    <w:rsid w:val="000C7AAF"/>
    <w:rsid w:val="000C7C28"/>
    <w:rsid w:val="000C7C5E"/>
    <w:rsid w:val="000C7C83"/>
    <w:rsid w:val="000C7CE8"/>
    <w:rsid w:val="000C7EC8"/>
    <w:rsid w:val="000C7F33"/>
    <w:rsid w:val="000C7FE3"/>
    <w:rsid w:val="000C7FF6"/>
    <w:rsid w:val="000D0275"/>
    <w:rsid w:val="000D02BF"/>
    <w:rsid w:val="000D0385"/>
    <w:rsid w:val="000D05AA"/>
    <w:rsid w:val="000D05DC"/>
    <w:rsid w:val="000D0646"/>
    <w:rsid w:val="000D0708"/>
    <w:rsid w:val="000D0845"/>
    <w:rsid w:val="000D098A"/>
    <w:rsid w:val="000D0A6B"/>
    <w:rsid w:val="000D0B44"/>
    <w:rsid w:val="000D0BCC"/>
    <w:rsid w:val="000D0D2E"/>
    <w:rsid w:val="000D0D49"/>
    <w:rsid w:val="000D0D73"/>
    <w:rsid w:val="000D0DA8"/>
    <w:rsid w:val="000D0E95"/>
    <w:rsid w:val="000D0FA1"/>
    <w:rsid w:val="000D0FDC"/>
    <w:rsid w:val="000D1275"/>
    <w:rsid w:val="000D160F"/>
    <w:rsid w:val="000D1852"/>
    <w:rsid w:val="000D1924"/>
    <w:rsid w:val="000D19A7"/>
    <w:rsid w:val="000D1A34"/>
    <w:rsid w:val="000D1A95"/>
    <w:rsid w:val="000D1C81"/>
    <w:rsid w:val="000D1D6F"/>
    <w:rsid w:val="000D1DBC"/>
    <w:rsid w:val="000D1E77"/>
    <w:rsid w:val="000D2248"/>
    <w:rsid w:val="000D2708"/>
    <w:rsid w:val="000D2778"/>
    <w:rsid w:val="000D27FA"/>
    <w:rsid w:val="000D2841"/>
    <w:rsid w:val="000D284E"/>
    <w:rsid w:val="000D2AB2"/>
    <w:rsid w:val="000D2AFB"/>
    <w:rsid w:val="000D2B5F"/>
    <w:rsid w:val="000D2C1C"/>
    <w:rsid w:val="000D2C96"/>
    <w:rsid w:val="000D2E21"/>
    <w:rsid w:val="000D2E46"/>
    <w:rsid w:val="000D306F"/>
    <w:rsid w:val="000D3169"/>
    <w:rsid w:val="000D32D5"/>
    <w:rsid w:val="000D34B3"/>
    <w:rsid w:val="000D3757"/>
    <w:rsid w:val="000D3819"/>
    <w:rsid w:val="000D38D1"/>
    <w:rsid w:val="000D39A1"/>
    <w:rsid w:val="000D39C3"/>
    <w:rsid w:val="000D3AAD"/>
    <w:rsid w:val="000D3B60"/>
    <w:rsid w:val="000D3C89"/>
    <w:rsid w:val="000D3E66"/>
    <w:rsid w:val="000D3EB5"/>
    <w:rsid w:val="000D3F05"/>
    <w:rsid w:val="000D40B0"/>
    <w:rsid w:val="000D40CD"/>
    <w:rsid w:val="000D41FD"/>
    <w:rsid w:val="000D421B"/>
    <w:rsid w:val="000D43D7"/>
    <w:rsid w:val="000D43FF"/>
    <w:rsid w:val="000D451F"/>
    <w:rsid w:val="000D4572"/>
    <w:rsid w:val="000D4718"/>
    <w:rsid w:val="000D47CD"/>
    <w:rsid w:val="000D495F"/>
    <w:rsid w:val="000D49A9"/>
    <w:rsid w:val="000D4A03"/>
    <w:rsid w:val="000D4CA2"/>
    <w:rsid w:val="000D4DBC"/>
    <w:rsid w:val="000D4F6D"/>
    <w:rsid w:val="000D4F71"/>
    <w:rsid w:val="000D4FE5"/>
    <w:rsid w:val="000D50F4"/>
    <w:rsid w:val="000D5114"/>
    <w:rsid w:val="000D5636"/>
    <w:rsid w:val="000D585A"/>
    <w:rsid w:val="000D58E3"/>
    <w:rsid w:val="000D59FE"/>
    <w:rsid w:val="000D5B1D"/>
    <w:rsid w:val="000D5C15"/>
    <w:rsid w:val="000D5DD5"/>
    <w:rsid w:val="000D5EB9"/>
    <w:rsid w:val="000D5EFC"/>
    <w:rsid w:val="000D6055"/>
    <w:rsid w:val="000D6154"/>
    <w:rsid w:val="000D628E"/>
    <w:rsid w:val="000D62C3"/>
    <w:rsid w:val="000D65B5"/>
    <w:rsid w:val="000D65D1"/>
    <w:rsid w:val="000D65EC"/>
    <w:rsid w:val="000D6604"/>
    <w:rsid w:val="000D66F2"/>
    <w:rsid w:val="000D685B"/>
    <w:rsid w:val="000D688F"/>
    <w:rsid w:val="000D68A6"/>
    <w:rsid w:val="000D68EF"/>
    <w:rsid w:val="000D69EB"/>
    <w:rsid w:val="000D6A5C"/>
    <w:rsid w:val="000D6D76"/>
    <w:rsid w:val="000D6DC5"/>
    <w:rsid w:val="000D6E20"/>
    <w:rsid w:val="000D6E84"/>
    <w:rsid w:val="000D6E90"/>
    <w:rsid w:val="000D6F8E"/>
    <w:rsid w:val="000D7075"/>
    <w:rsid w:val="000D708F"/>
    <w:rsid w:val="000D7153"/>
    <w:rsid w:val="000D715B"/>
    <w:rsid w:val="000D72A9"/>
    <w:rsid w:val="000D738A"/>
    <w:rsid w:val="000D74AE"/>
    <w:rsid w:val="000D76F1"/>
    <w:rsid w:val="000D777A"/>
    <w:rsid w:val="000D792B"/>
    <w:rsid w:val="000D79F7"/>
    <w:rsid w:val="000D7C6A"/>
    <w:rsid w:val="000D7CC9"/>
    <w:rsid w:val="000D7FFC"/>
    <w:rsid w:val="000E0078"/>
    <w:rsid w:val="000E01C5"/>
    <w:rsid w:val="000E023D"/>
    <w:rsid w:val="000E02DC"/>
    <w:rsid w:val="000E03A5"/>
    <w:rsid w:val="000E046B"/>
    <w:rsid w:val="000E0497"/>
    <w:rsid w:val="000E077B"/>
    <w:rsid w:val="000E07E8"/>
    <w:rsid w:val="000E09C5"/>
    <w:rsid w:val="000E0A3F"/>
    <w:rsid w:val="000E0B6C"/>
    <w:rsid w:val="000E0CF8"/>
    <w:rsid w:val="000E0D05"/>
    <w:rsid w:val="000E0DB6"/>
    <w:rsid w:val="000E0ECF"/>
    <w:rsid w:val="000E0F15"/>
    <w:rsid w:val="000E0FE0"/>
    <w:rsid w:val="000E141F"/>
    <w:rsid w:val="000E1453"/>
    <w:rsid w:val="000E15AF"/>
    <w:rsid w:val="000E15BD"/>
    <w:rsid w:val="000E1657"/>
    <w:rsid w:val="000E1773"/>
    <w:rsid w:val="000E17AF"/>
    <w:rsid w:val="000E1869"/>
    <w:rsid w:val="000E19F7"/>
    <w:rsid w:val="000E1A30"/>
    <w:rsid w:val="000E1B64"/>
    <w:rsid w:val="000E1D06"/>
    <w:rsid w:val="000E1D5D"/>
    <w:rsid w:val="000E1EB0"/>
    <w:rsid w:val="000E2003"/>
    <w:rsid w:val="000E218F"/>
    <w:rsid w:val="000E21D9"/>
    <w:rsid w:val="000E2230"/>
    <w:rsid w:val="000E22DD"/>
    <w:rsid w:val="000E232F"/>
    <w:rsid w:val="000E23A3"/>
    <w:rsid w:val="000E2530"/>
    <w:rsid w:val="000E2571"/>
    <w:rsid w:val="000E265C"/>
    <w:rsid w:val="000E270A"/>
    <w:rsid w:val="000E270B"/>
    <w:rsid w:val="000E2735"/>
    <w:rsid w:val="000E275E"/>
    <w:rsid w:val="000E278D"/>
    <w:rsid w:val="000E286D"/>
    <w:rsid w:val="000E2A4D"/>
    <w:rsid w:val="000E2AFD"/>
    <w:rsid w:val="000E2BCB"/>
    <w:rsid w:val="000E2F56"/>
    <w:rsid w:val="000E3032"/>
    <w:rsid w:val="000E310A"/>
    <w:rsid w:val="000E32A9"/>
    <w:rsid w:val="000E33D6"/>
    <w:rsid w:val="000E33E5"/>
    <w:rsid w:val="000E3657"/>
    <w:rsid w:val="000E386D"/>
    <w:rsid w:val="000E387C"/>
    <w:rsid w:val="000E3A58"/>
    <w:rsid w:val="000E3C0C"/>
    <w:rsid w:val="000E3C4D"/>
    <w:rsid w:val="000E3CEE"/>
    <w:rsid w:val="000E3D6A"/>
    <w:rsid w:val="000E4007"/>
    <w:rsid w:val="000E421D"/>
    <w:rsid w:val="000E424D"/>
    <w:rsid w:val="000E42BA"/>
    <w:rsid w:val="000E4334"/>
    <w:rsid w:val="000E436D"/>
    <w:rsid w:val="000E4601"/>
    <w:rsid w:val="000E4687"/>
    <w:rsid w:val="000E4809"/>
    <w:rsid w:val="000E4893"/>
    <w:rsid w:val="000E48EA"/>
    <w:rsid w:val="000E49EE"/>
    <w:rsid w:val="000E4D13"/>
    <w:rsid w:val="000E4D28"/>
    <w:rsid w:val="000E4D2B"/>
    <w:rsid w:val="000E4EE0"/>
    <w:rsid w:val="000E4F2B"/>
    <w:rsid w:val="000E5027"/>
    <w:rsid w:val="000E520B"/>
    <w:rsid w:val="000E5236"/>
    <w:rsid w:val="000E5299"/>
    <w:rsid w:val="000E5342"/>
    <w:rsid w:val="000E5683"/>
    <w:rsid w:val="000E569F"/>
    <w:rsid w:val="000E5848"/>
    <w:rsid w:val="000E58AD"/>
    <w:rsid w:val="000E58E0"/>
    <w:rsid w:val="000E59CB"/>
    <w:rsid w:val="000E5A54"/>
    <w:rsid w:val="000E5AB2"/>
    <w:rsid w:val="000E5AFD"/>
    <w:rsid w:val="000E5C25"/>
    <w:rsid w:val="000E5C87"/>
    <w:rsid w:val="000E5F97"/>
    <w:rsid w:val="000E5FE2"/>
    <w:rsid w:val="000E604D"/>
    <w:rsid w:val="000E60C4"/>
    <w:rsid w:val="000E6100"/>
    <w:rsid w:val="000E6104"/>
    <w:rsid w:val="000E6165"/>
    <w:rsid w:val="000E61A2"/>
    <w:rsid w:val="000E623D"/>
    <w:rsid w:val="000E624E"/>
    <w:rsid w:val="000E638E"/>
    <w:rsid w:val="000E645B"/>
    <w:rsid w:val="000E64E0"/>
    <w:rsid w:val="000E6505"/>
    <w:rsid w:val="000E658B"/>
    <w:rsid w:val="000E67CF"/>
    <w:rsid w:val="000E6863"/>
    <w:rsid w:val="000E6937"/>
    <w:rsid w:val="000E6989"/>
    <w:rsid w:val="000E69D2"/>
    <w:rsid w:val="000E6BDE"/>
    <w:rsid w:val="000E6CFE"/>
    <w:rsid w:val="000E6DF9"/>
    <w:rsid w:val="000E6E4F"/>
    <w:rsid w:val="000E6E74"/>
    <w:rsid w:val="000E6F22"/>
    <w:rsid w:val="000E6FAE"/>
    <w:rsid w:val="000E7076"/>
    <w:rsid w:val="000E70C8"/>
    <w:rsid w:val="000E71F6"/>
    <w:rsid w:val="000E730E"/>
    <w:rsid w:val="000E77CB"/>
    <w:rsid w:val="000E7899"/>
    <w:rsid w:val="000E78A0"/>
    <w:rsid w:val="000E7999"/>
    <w:rsid w:val="000E7A8A"/>
    <w:rsid w:val="000E7F24"/>
    <w:rsid w:val="000E7FB6"/>
    <w:rsid w:val="000F0023"/>
    <w:rsid w:val="000F0064"/>
    <w:rsid w:val="000F0216"/>
    <w:rsid w:val="000F02D0"/>
    <w:rsid w:val="000F02D5"/>
    <w:rsid w:val="000F032D"/>
    <w:rsid w:val="000F0383"/>
    <w:rsid w:val="000F03B8"/>
    <w:rsid w:val="000F03F4"/>
    <w:rsid w:val="000F0455"/>
    <w:rsid w:val="000F075B"/>
    <w:rsid w:val="000F0B4A"/>
    <w:rsid w:val="000F0D7D"/>
    <w:rsid w:val="000F0E3E"/>
    <w:rsid w:val="000F0E6D"/>
    <w:rsid w:val="000F0F08"/>
    <w:rsid w:val="000F0F78"/>
    <w:rsid w:val="000F0F9A"/>
    <w:rsid w:val="000F0FBA"/>
    <w:rsid w:val="000F10E3"/>
    <w:rsid w:val="000F1272"/>
    <w:rsid w:val="000F12C5"/>
    <w:rsid w:val="000F12D7"/>
    <w:rsid w:val="000F1461"/>
    <w:rsid w:val="000F18B8"/>
    <w:rsid w:val="000F18F8"/>
    <w:rsid w:val="000F194F"/>
    <w:rsid w:val="000F1BC7"/>
    <w:rsid w:val="000F1CDC"/>
    <w:rsid w:val="000F1D14"/>
    <w:rsid w:val="000F207B"/>
    <w:rsid w:val="000F208F"/>
    <w:rsid w:val="000F20E6"/>
    <w:rsid w:val="000F239E"/>
    <w:rsid w:val="000F2427"/>
    <w:rsid w:val="000F2567"/>
    <w:rsid w:val="000F2591"/>
    <w:rsid w:val="000F25FF"/>
    <w:rsid w:val="000F289C"/>
    <w:rsid w:val="000F2966"/>
    <w:rsid w:val="000F2B17"/>
    <w:rsid w:val="000F2B58"/>
    <w:rsid w:val="000F2BB4"/>
    <w:rsid w:val="000F2DA4"/>
    <w:rsid w:val="000F2E40"/>
    <w:rsid w:val="000F2EDE"/>
    <w:rsid w:val="000F2F2C"/>
    <w:rsid w:val="000F306D"/>
    <w:rsid w:val="000F3244"/>
    <w:rsid w:val="000F3270"/>
    <w:rsid w:val="000F33BE"/>
    <w:rsid w:val="000F3418"/>
    <w:rsid w:val="000F341A"/>
    <w:rsid w:val="000F3455"/>
    <w:rsid w:val="000F3536"/>
    <w:rsid w:val="000F3594"/>
    <w:rsid w:val="000F3666"/>
    <w:rsid w:val="000F367F"/>
    <w:rsid w:val="000F3957"/>
    <w:rsid w:val="000F3A20"/>
    <w:rsid w:val="000F3BA0"/>
    <w:rsid w:val="000F3C2E"/>
    <w:rsid w:val="000F3E82"/>
    <w:rsid w:val="000F3EDA"/>
    <w:rsid w:val="000F3F94"/>
    <w:rsid w:val="000F3FEE"/>
    <w:rsid w:val="000F402F"/>
    <w:rsid w:val="000F41C5"/>
    <w:rsid w:val="000F441F"/>
    <w:rsid w:val="000F4452"/>
    <w:rsid w:val="000F44C3"/>
    <w:rsid w:val="000F44EC"/>
    <w:rsid w:val="000F464B"/>
    <w:rsid w:val="000F4725"/>
    <w:rsid w:val="000F483F"/>
    <w:rsid w:val="000F493F"/>
    <w:rsid w:val="000F4A66"/>
    <w:rsid w:val="000F4CB5"/>
    <w:rsid w:val="000F4D06"/>
    <w:rsid w:val="000F4D4E"/>
    <w:rsid w:val="000F4FA0"/>
    <w:rsid w:val="000F5065"/>
    <w:rsid w:val="000F5155"/>
    <w:rsid w:val="000F5200"/>
    <w:rsid w:val="000F5246"/>
    <w:rsid w:val="000F5295"/>
    <w:rsid w:val="000F5311"/>
    <w:rsid w:val="000F5325"/>
    <w:rsid w:val="000F5481"/>
    <w:rsid w:val="000F54CA"/>
    <w:rsid w:val="000F56F5"/>
    <w:rsid w:val="000F579E"/>
    <w:rsid w:val="000F5879"/>
    <w:rsid w:val="000F58A8"/>
    <w:rsid w:val="000F58FE"/>
    <w:rsid w:val="000F5971"/>
    <w:rsid w:val="000F5AD6"/>
    <w:rsid w:val="000F5ADE"/>
    <w:rsid w:val="000F5BBE"/>
    <w:rsid w:val="000F5C62"/>
    <w:rsid w:val="000F5CE4"/>
    <w:rsid w:val="000F5D3A"/>
    <w:rsid w:val="000F5E65"/>
    <w:rsid w:val="000F6158"/>
    <w:rsid w:val="000F616C"/>
    <w:rsid w:val="000F6170"/>
    <w:rsid w:val="000F61EA"/>
    <w:rsid w:val="000F6384"/>
    <w:rsid w:val="000F644A"/>
    <w:rsid w:val="000F6537"/>
    <w:rsid w:val="000F661E"/>
    <w:rsid w:val="000F66E5"/>
    <w:rsid w:val="000F6722"/>
    <w:rsid w:val="000F6758"/>
    <w:rsid w:val="000F67CA"/>
    <w:rsid w:val="000F683A"/>
    <w:rsid w:val="000F686A"/>
    <w:rsid w:val="000F68AD"/>
    <w:rsid w:val="000F69C3"/>
    <w:rsid w:val="000F6AE1"/>
    <w:rsid w:val="000F6AF2"/>
    <w:rsid w:val="000F6B41"/>
    <w:rsid w:val="000F6CFC"/>
    <w:rsid w:val="000F6EA4"/>
    <w:rsid w:val="000F6FC0"/>
    <w:rsid w:val="000F6FEB"/>
    <w:rsid w:val="000F71D3"/>
    <w:rsid w:val="000F7B05"/>
    <w:rsid w:val="000F7B5F"/>
    <w:rsid w:val="000F7C41"/>
    <w:rsid w:val="000F7D84"/>
    <w:rsid w:val="000F7DE1"/>
    <w:rsid w:val="000F7E12"/>
    <w:rsid w:val="000F7F5E"/>
    <w:rsid w:val="000F7F7D"/>
    <w:rsid w:val="00100043"/>
    <w:rsid w:val="00100094"/>
    <w:rsid w:val="0010010C"/>
    <w:rsid w:val="0010023A"/>
    <w:rsid w:val="00100348"/>
    <w:rsid w:val="00100543"/>
    <w:rsid w:val="00100582"/>
    <w:rsid w:val="0010064E"/>
    <w:rsid w:val="001007C3"/>
    <w:rsid w:val="0010082E"/>
    <w:rsid w:val="00100847"/>
    <w:rsid w:val="0010094C"/>
    <w:rsid w:val="0010096F"/>
    <w:rsid w:val="00100A08"/>
    <w:rsid w:val="00100D5B"/>
    <w:rsid w:val="00100EF8"/>
    <w:rsid w:val="00100F1F"/>
    <w:rsid w:val="00100F36"/>
    <w:rsid w:val="00101004"/>
    <w:rsid w:val="00101096"/>
    <w:rsid w:val="00101129"/>
    <w:rsid w:val="001011A7"/>
    <w:rsid w:val="00101349"/>
    <w:rsid w:val="00101405"/>
    <w:rsid w:val="0010151B"/>
    <w:rsid w:val="00101735"/>
    <w:rsid w:val="00101787"/>
    <w:rsid w:val="00101856"/>
    <w:rsid w:val="00101887"/>
    <w:rsid w:val="00101911"/>
    <w:rsid w:val="00101B24"/>
    <w:rsid w:val="00101BE2"/>
    <w:rsid w:val="00101C35"/>
    <w:rsid w:val="00101C5C"/>
    <w:rsid w:val="00101D8E"/>
    <w:rsid w:val="00101E81"/>
    <w:rsid w:val="00101EBD"/>
    <w:rsid w:val="00101EC5"/>
    <w:rsid w:val="00101F4F"/>
    <w:rsid w:val="00102271"/>
    <w:rsid w:val="001023E0"/>
    <w:rsid w:val="00102440"/>
    <w:rsid w:val="00102486"/>
    <w:rsid w:val="0010248C"/>
    <w:rsid w:val="001024F0"/>
    <w:rsid w:val="00102572"/>
    <w:rsid w:val="00102629"/>
    <w:rsid w:val="00102755"/>
    <w:rsid w:val="00102758"/>
    <w:rsid w:val="00102951"/>
    <w:rsid w:val="00102984"/>
    <w:rsid w:val="0010299E"/>
    <w:rsid w:val="00102CC1"/>
    <w:rsid w:val="00102EBE"/>
    <w:rsid w:val="0010304A"/>
    <w:rsid w:val="0010306F"/>
    <w:rsid w:val="00103102"/>
    <w:rsid w:val="00103112"/>
    <w:rsid w:val="00103190"/>
    <w:rsid w:val="00103271"/>
    <w:rsid w:val="00103322"/>
    <w:rsid w:val="00103467"/>
    <w:rsid w:val="00103535"/>
    <w:rsid w:val="00103636"/>
    <w:rsid w:val="00103680"/>
    <w:rsid w:val="001036D8"/>
    <w:rsid w:val="00103722"/>
    <w:rsid w:val="00103729"/>
    <w:rsid w:val="0010381F"/>
    <w:rsid w:val="00103877"/>
    <w:rsid w:val="0010387D"/>
    <w:rsid w:val="001038E4"/>
    <w:rsid w:val="0010395C"/>
    <w:rsid w:val="00103965"/>
    <w:rsid w:val="00103B7D"/>
    <w:rsid w:val="00103DC7"/>
    <w:rsid w:val="00103DF1"/>
    <w:rsid w:val="001040E2"/>
    <w:rsid w:val="0010423B"/>
    <w:rsid w:val="0010434B"/>
    <w:rsid w:val="001043BC"/>
    <w:rsid w:val="001044E5"/>
    <w:rsid w:val="00104562"/>
    <w:rsid w:val="00104565"/>
    <w:rsid w:val="001046B9"/>
    <w:rsid w:val="0010471C"/>
    <w:rsid w:val="001047E6"/>
    <w:rsid w:val="001048C6"/>
    <w:rsid w:val="00104A66"/>
    <w:rsid w:val="00104A6A"/>
    <w:rsid w:val="00104AFE"/>
    <w:rsid w:val="00104D2D"/>
    <w:rsid w:val="00104EA1"/>
    <w:rsid w:val="00104F7B"/>
    <w:rsid w:val="00105392"/>
    <w:rsid w:val="001053F2"/>
    <w:rsid w:val="00105405"/>
    <w:rsid w:val="0010549E"/>
    <w:rsid w:val="00105506"/>
    <w:rsid w:val="001055AA"/>
    <w:rsid w:val="001056D4"/>
    <w:rsid w:val="00105746"/>
    <w:rsid w:val="00105970"/>
    <w:rsid w:val="001059E9"/>
    <w:rsid w:val="00105BB9"/>
    <w:rsid w:val="00105D79"/>
    <w:rsid w:val="00105D99"/>
    <w:rsid w:val="00105D9C"/>
    <w:rsid w:val="00105DE3"/>
    <w:rsid w:val="00105EA6"/>
    <w:rsid w:val="00105ED2"/>
    <w:rsid w:val="00106226"/>
    <w:rsid w:val="0010623C"/>
    <w:rsid w:val="001062A2"/>
    <w:rsid w:val="001062C5"/>
    <w:rsid w:val="0010647D"/>
    <w:rsid w:val="00106809"/>
    <w:rsid w:val="0010683D"/>
    <w:rsid w:val="001069AE"/>
    <w:rsid w:val="00106C35"/>
    <w:rsid w:val="00106C8C"/>
    <w:rsid w:val="00106CCE"/>
    <w:rsid w:val="00106E0E"/>
    <w:rsid w:val="00106E30"/>
    <w:rsid w:val="00106EA9"/>
    <w:rsid w:val="00106F32"/>
    <w:rsid w:val="00107017"/>
    <w:rsid w:val="001071E6"/>
    <w:rsid w:val="001071F9"/>
    <w:rsid w:val="0010739F"/>
    <w:rsid w:val="00107475"/>
    <w:rsid w:val="00107481"/>
    <w:rsid w:val="0010750B"/>
    <w:rsid w:val="00107607"/>
    <w:rsid w:val="0010770A"/>
    <w:rsid w:val="001077F3"/>
    <w:rsid w:val="0010791A"/>
    <w:rsid w:val="00107960"/>
    <w:rsid w:val="001079C6"/>
    <w:rsid w:val="00107A1E"/>
    <w:rsid w:val="00107AE6"/>
    <w:rsid w:val="00107B0C"/>
    <w:rsid w:val="00107C3E"/>
    <w:rsid w:val="00107C99"/>
    <w:rsid w:val="00107E94"/>
    <w:rsid w:val="00107F22"/>
    <w:rsid w:val="00107FAB"/>
    <w:rsid w:val="001100E9"/>
    <w:rsid w:val="00110122"/>
    <w:rsid w:val="00110365"/>
    <w:rsid w:val="001103E8"/>
    <w:rsid w:val="00110488"/>
    <w:rsid w:val="001104A7"/>
    <w:rsid w:val="0011054D"/>
    <w:rsid w:val="00110608"/>
    <w:rsid w:val="00110783"/>
    <w:rsid w:val="001107B2"/>
    <w:rsid w:val="00110A45"/>
    <w:rsid w:val="00110AD5"/>
    <w:rsid w:val="00110AF0"/>
    <w:rsid w:val="00110C91"/>
    <w:rsid w:val="00110DD8"/>
    <w:rsid w:val="00110E21"/>
    <w:rsid w:val="00110EF5"/>
    <w:rsid w:val="00110EFD"/>
    <w:rsid w:val="00110FB0"/>
    <w:rsid w:val="001111EA"/>
    <w:rsid w:val="0011125B"/>
    <w:rsid w:val="00111351"/>
    <w:rsid w:val="00111395"/>
    <w:rsid w:val="001115BC"/>
    <w:rsid w:val="00111712"/>
    <w:rsid w:val="00111727"/>
    <w:rsid w:val="0011174E"/>
    <w:rsid w:val="00111926"/>
    <w:rsid w:val="001119D1"/>
    <w:rsid w:val="00111CAC"/>
    <w:rsid w:val="00111CCB"/>
    <w:rsid w:val="00111D14"/>
    <w:rsid w:val="00111D5B"/>
    <w:rsid w:val="00111E1B"/>
    <w:rsid w:val="00111EBC"/>
    <w:rsid w:val="00112002"/>
    <w:rsid w:val="0011217D"/>
    <w:rsid w:val="00112259"/>
    <w:rsid w:val="001122A3"/>
    <w:rsid w:val="00112438"/>
    <w:rsid w:val="0011250A"/>
    <w:rsid w:val="00112569"/>
    <w:rsid w:val="001125CE"/>
    <w:rsid w:val="001126D5"/>
    <w:rsid w:val="001127E1"/>
    <w:rsid w:val="001127FC"/>
    <w:rsid w:val="001128C8"/>
    <w:rsid w:val="00112A7A"/>
    <w:rsid w:val="00112C3E"/>
    <w:rsid w:val="00112DC7"/>
    <w:rsid w:val="00112DDA"/>
    <w:rsid w:val="00112EB8"/>
    <w:rsid w:val="00112F6A"/>
    <w:rsid w:val="0011306F"/>
    <w:rsid w:val="0011319F"/>
    <w:rsid w:val="001131D4"/>
    <w:rsid w:val="001131DF"/>
    <w:rsid w:val="00113242"/>
    <w:rsid w:val="00113285"/>
    <w:rsid w:val="00113571"/>
    <w:rsid w:val="00113946"/>
    <w:rsid w:val="0011394A"/>
    <w:rsid w:val="00113A19"/>
    <w:rsid w:val="00113B2F"/>
    <w:rsid w:val="00113D7B"/>
    <w:rsid w:val="001143B8"/>
    <w:rsid w:val="001143BA"/>
    <w:rsid w:val="001143C2"/>
    <w:rsid w:val="001144E5"/>
    <w:rsid w:val="0011456D"/>
    <w:rsid w:val="001146CB"/>
    <w:rsid w:val="001146FD"/>
    <w:rsid w:val="00114770"/>
    <w:rsid w:val="001148E6"/>
    <w:rsid w:val="001148F7"/>
    <w:rsid w:val="001149AC"/>
    <w:rsid w:val="00114A14"/>
    <w:rsid w:val="00114AFF"/>
    <w:rsid w:val="00114B2D"/>
    <w:rsid w:val="00114B7C"/>
    <w:rsid w:val="00114BDB"/>
    <w:rsid w:val="00114CFC"/>
    <w:rsid w:val="00114D06"/>
    <w:rsid w:val="00114F65"/>
    <w:rsid w:val="00115038"/>
    <w:rsid w:val="001151DF"/>
    <w:rsid w:val="00115275"/>
    <w:rsid w:val="001152E2"/>
    <w:rsid w:val="00115661"/>
    <w:rsid w:val="00115804"/>
    <w:rsid w:val="0011585E"/>
    <w:rsid w:val="001158BF"/>
    <w:rsid w:val="00115A7F"/>
    <w:rsid w:val="00115AE8"/>
    <w:rsid w:val="00115C50"/>
    <w:rsid w:val="00115EF5"/>
    <w:rsid w:val="00115F0C"/>
    <w:rsid w:val="001161B6"/>
    <w:rsid w:val="001161E6"/>
    <w:rsid w:val="001162BC"/>
    <w:rsid w:val="00116319"/>
    <w:rsid w:val="00116429"/>
    <w:rsid w:val="0011672A"/>
    <w:rsid w:val="001168EA"/>
    <w:rsid w:val="001169F7"/>
    <w:rsid w:val="00116B70"/>
    <w:rsid w:val="00116B7C"/>
    <w:rsid w:val="00116C19"/>
    <w:rsid w:val="00116D0B"/>
    <w:rsid w:val="00116D72"/>
    <w:rsid w:val="00116D9A"/>
    <w:rsid w:val="00116DC4"/>
    <w:rsid w:val="00116DEB"/>
    <w:rsid w:val="00116ED3"/>
    <w:rsid w:val="00116ED7"/>
    <w:rsid w:val="00116EDC"/>
    <w:rsid w:val="0011707A"/>
    <w:rsid w:val="0011711C"/>
    <w:rsid w:val="00117143"/>
    <w:rsid w:val="001171EC"/>
    <w:rsid w:val="001173A1"/>
    <w:rsid w:val="001173FA"/>
    <w:rsid w:val="0011750B"/>
    <w:rsid w:val="00117520"/>
    <w:rsid w:val="00117670"/>
    <w:rsid w:val="001176F0"/>
    <w:rsid w:val="001177E5"/>
    <w:rsid w:val="001179BD"/>
    <w:rsid w:val="00117A98"/>
    <w:rsid w:val="00117AD6"/>
    <w:rsid w:val="00117BD7"/>
    <w:rsid w:val="00117CA0"/>
    <w:rsid w:val="00117CE3"/>
    <w:rsid w:val="00117D03"/>
    <w:rsid w:val="00117DA6"/>
    <w:rsid w:val="00117DDD"/>
    <w:rsid w:val="00117DDF"/>
    <w:rsid w:val="00117FC9"/>
    <w:rsid w:val="00120005"/>
    <w:rsid w:val="0012002E"/>
    <w:rsid w:val="001201D4"/>
    <w:rsid w:val="00120299"/>
    <w:rsid w:val="0012029A"/>
    <w:rsid w:val="00120300"/>
    <w:rsid w:val="0012034C"/>
    <w:rsid w:val="0012037B"/>
    <w:rsid w:val="00120504"/>
    <w:rsid w:val="00120648"/>
    <w:rsid w:val="0012074A"/>
    <w:rsid w:val="00120BDA"/>
    <w:rsid w:val="00120BEA"/>
    <w:rsid w:val="00120C5E"/>
    <w:rsid w:val="00120D18"/>
    <w:rsid w:val="00120D5F"/>
    <w:rsid w:val="00120D78"/>
    <w:rsid w:val="00120D79"/>
    <w:rsid w:val="00120DAF"/>
    <w:rsid w:val="00120E0E"/>
    <w:rsid w:val="00120E8E"/>
    <w:rsid w:val="001210FD"/>
    <w:rsid w:val="0012113D"/>
    <w:rsid w:val="00121275"/>
    <w:rsid w:val="00121423"/>
    <w:rsid w:val="00121442"/>
    <w:rsid w:val="00121590"/>
    <w:rsid w:val="001215E3"/>
    <w:rsid w:val="00121618"/>
    <w:rsid w:val="00121672"/>
    <w:rsid w:val="001216BB"/>
    <w:rsid w:val="001216F1"/>
    <w:rsid w:val="00121716"/>
    <w:rsid w:val="001218DF"/>
    <w:rsid w:val="00121920"/>
    <w:rsid w:val="00121957"/>
    <w:rsid w:val="00121A3C"/>
    <w:rsid w:val="00121BF4"/>
    <w:rsid w:val="00121C5B"/>
    <w:rsid w:val="00121CEA"/>
    <w:rsid w:val="00121F62"/>
    <w:rsid w:val="00121F9C"/>
    <w:rsid w:val="00122084"/>
    <w:rsid w:val="0012208F"/>
    <w:rsid w:val="001221F8"/>
    <w:rsid w:val="00122253"/>
    <w:rsid w:val="0012236F"/>
    <w:rsid w:val="00122423"/>
    <w:rsid w:val="001228C5"/>
    <w:rsid w:val="00122927"/>
    <w:rsid w:val="001229F8"/>
    <w:rsid w:val="00122A34"/>
    <w:rsid w:val="00122B81"/>
    <w:rsid w:val="00122BCD"/>
    <w:rsid w:val="00122DB9"/>
    <w:rsid w:val="00122DDE"/>
    <w:rsid w:val="00122EE2"/>
    <w:rsid w:val="00122F0F"/>
    <w:rsid w:val="0012301A"/>
    <w:rsid w:val="0012301D"/>
    <w:rsid w:val="00123094"/>
    <w:rsid w:val="0012312C"/>
    <w:rsid w:val="0012340A"/>
    <w:rsid w:val="001235FE"/>
    <w:rsid w:val="00123607"/>
    <w:rsid w:val="00123650"/>
    <w:rsid w:val="00123812"/>
    <w:rsid w:val="00123AF7"/>
    <w:rsid w:val="00123B80"/>
    <w:rsid w:val="00123BF2"/>
    <w:rsid w:val="00123D0D"/>
    <w:rsid w:val="00123FC9"/>
    <w:rsid w:val="001241E6"/>
    <w:rsid w:val="0012436D"/>
    <w:rsid w:val="001243D1"/>
    <w:rsid w:val="001244BC"/>
    <w:rsid w:val="001244F8"/>
    <w:rsid w:val="00124508"/>
    <w:rsid w:val="0012466A"/>
    <w:rsid w:val="001246CB"/>
    <w:rsid w:val="001246CE"/>
    <w:rsid w:val="001246F7"/>
    <w:rsid w:val="00124A33"/>
    <w:rsid w:val="00124A90"/>
    <w:rsid w:val="00124AD3"/>
    <w:rsid w:val="00124C1D"/>
    <w:rsid w:val="00124E28"/>
    <w:rsid w:val="00124FBE"/>
    <w:rsid w:val="00125152"/>
    <w:rsid w:val="00125171"/>
    <w:rsid w:val="00125478"/>
    <w:rsid w:val="00125577"/>
    <w:rsid w:val="0012559F"/>
    <w:rsid w:val="001255F6"/>
    <w:rsid w:val="00125629"/>
    <w:rsid w:val="00125686"/>
    <w:rsid w:val="0012581B"/>
    <w:rsid w:val="00125921"/>
    <w:rsid w:val="001259E6"/>
    <w:rsid w:val="00125BB4"/>
    <w:rsid w:val="00125DCC"/>
    <w:rsid w:val="00125F5D"/>
    <w:rsid w:val="0012601A"/>
    <w:rsid w:val="00126170"/>
    <w:rsid w:val="001261A7"/>
    <w:rsid w:val="0012626B"/>
    <w:rsid w:val="001262D7"/>
    <w:rsid w:val="00126533"/>
    <w:rsid w:val="0012660B"/>
    <w:rsid w:val="001266DF"/>
    <w:rsid w:val="00126730"/>
    <w:rsid w:val="0012683F"/>
    <w:rsid w:val="00126B70"/>
    <w:rsid w:val="00126BD3"/>
    <w:rsid w:val="00126D1C"/>
    <w:rsid w:val="00126D64"/>
    <w:rsid w:val="00126D7B"/>
    <w:rsid w:val="00126EC7"/>
    <w:rsid w:val="00126F42"/>
    <w:rsid w:val="00126F5B"/>
    <w:rsid w:val="00127063"/>
    <w:rsid w:val="0012708D"/>
    <w:rsid w:val="001271AF"/>
    <w:rsid w:val="001271E2"/>
    <w:rsid w:val="00127247"/>
    <w:rsid w:val="00127284"/>
    <w:rsid w:val="00127547"/>
    <w:rsid w:val="001278D0"/>
    <w:rsid w:val="001278FE"/>
    <w:rsid w:val="00127A2D"/>
    <w:rsid w:val="00127A48"/>
    <w:rsid w:val="00127B11"/>
    <w:rsid w:val="00127CD6"/>
    <w:rsid w:val="00127CEE"/>
    <w:rsid w:val="00127D06"/>
    <w:rsid w:val="00127D96"/>
    <w:rsid w:val="00127DA2"/>
    <w:rsid w:val="00127EE7"/>
    <w:rsid w:val="00127F9A"/>
    <w:rsid w:val="00130076"/>
    <w:rsid w:val="00130120"/>
    <w:rsid w:val="0013022B"/>
    <w:rsid w:val="0013027B"/>
    <w:rsid w:val="001304C6"/>
    <w:rsid w:val="00130555"/>
    <w:rsid w:val="0013056B"/>
    <w:rsid w:val="0013058F"/>
    <w:rsid w:val="00130630"/>
    <w:rsid w:val="00130637"/>
    <w:rsid w:val="001306C9"/>
    <w:rsid w:val="001306E9"/>
    <w:rsid w:val="00130817"/>
    <w:rsid w:val="0013085C"/>
    <w:rsid w:val="001309CD"/>
    <w:rsid w:val="00130A12"/>
    <w:rsid w:val="00130AFB"/>
    <w:rsid w:val="00130B26"/>
    <w:rsid w:val="00130B2A"/>
    <w:rsid w:val="00130B52"/>
    <w:rsid w:val="00130B8C"/>
    <w:rsid w:val="00130D28"/>
    <w:rsid w:val="00130D5B"/>
    <w:rsid w:val="00130E60"/>
    <w:rsid w:val="00131193"/>
    <w:rsid w:val="00131242"/>
    <w:rsid w:val="00131279"/>
    <w:rsid w:val="001312FA"/>
    <w:rsid w:val="00131329"/>
    <w:rsid w:val="0013133A"/>
    <w:rsid w:val="00131345"/>
    <w:rsid w:val="0013139D"/>
    <w:rsid w:val="001314DE"/>
    <w:rsid w:val="001316E8"/>
    <w:rsid w:val="001317CD"/>
    <w:rsid w:val="00131915"/>
    <w:rsid w:val="001319CF"/>
    <w:rsid w:val="00131AE6"/>
    <w:rsid w:val="00131C0D"/>
    <w:rsid w:val="00131DE9"/>
    <w:rsid w:val="00132240"/>
    <w:rsid w:val="00132271"/>
    <w:rsid w:val="001325ED"/>
    <w:rsid w:val="00132608"/>
    <w:rsid w:val="00132652"/>
    <w:rsid w:val="001326A2"/>
    <w:rsid w:val="001326CC"/>
    <w:rsid w:val="001327E7"/>
    <w:rsid w:val="001327F3"/>
    <w:rsid w:val="0013289D"/>
    <w:rsid w:val="0013293F"/>
    <w:rsid w:val="00132A10"/>
    <w:rsid w:val="00132A53"/>
    <w:rsid w:val="00132ABB"/>
    <w:rsid w:val="00132AE8"/>
    <w:rsid w:val="00132D1B"/>
    <w:rsid w:val="00132D20"/>
    <w:rsid w:val="00132DFE"/>
    <w:rsid w:val="00132E9E"/>
    <w:rsid w:val="00132F36"/>
    <w:rsid w:val="00132F5C"/>
    <w:rsid w:val="00132FCE"/>
    <w:rsid w:val="00132FFE"/>
    <w:rsid w:val="0013307B"/>
    <w:rsid w:val="001330E3"/>
    <w:rsid w:val="0013323D"/>
    <w:rsid w:val="00133259"/>
    <w:rsid w:val="00133266"/>
    <w:rsid w:val="001334CC"/>
    <w:rsid w:val="00133610"/>
    <w:rsid w:val="001336EE"/>
    <w:rsid w:val="0013387A"/>
    <w:rsid w:val="0013390F"/>
    <w:rsid w:val="00133A5F"/>
    <w:rsid w:val="00133B23"/>
    <w:rsid w:val="00133ED5"/>
    <w:rsid w:val="00133FB1"/>
    <w:rsid w:val="00133FCF"/>
    <w:rsid w:val="00133FE0"/>
    <w:rsid w:val="00134034"/>
    <w:rsid w:val="0013412F"/>
    <w:rsid w:val="00134147"/>
    <w:rsid w:val="001341AC"/>
    <w:rsid w:val="001342BC"/>
    <w:rsid w:val="0013450F"/>
    <w:rsid w:val="0013464B"/>
    <w:rsid w:val="001346CD"/>
    <w:rsid w:val="001347CD"/>
    <w:rsid w:val="0013481C"/>
    <w:rsid w:val="001348C5"/>
    <w:rsid w:val="001349FF"/>
    <w:rsid w:val="00134AFF"/>
    <w:rsid w:val="00134BEB"/>
    <w:rsid w:val="00134CAD"/>
    <w:rsid w:val="00134ED6"/>
    <w:rsid w:val="00135008"/>
    <w:rsid w:val="001350FF"/>
    <w:rsid w:val="00135191"/>
    <w:rsid w:val="0013519B"/>
    <w:rsid w:val="001351F7"/>
    <w:rsid w:val="00135254"/>
    <w:rsid w:val="00135368"/>
    <w:rsid w:val="001353A3"/>
    <w:rsid w:val="0013563E"/>
    <w:rsid w:val="001357E3"/>
    <w:rsid w:val="0013587F"/>
    <w:rsid w:val="001358B6"/>
    <w:rsid w:val="00135A0F"/>
    <w:rsid w:val="00135B51"/>
    <w:rsid w:val="00135BDF"/>
    <w:rsid w:val="00135D15"/>
    <w:rsid w:val="00135FC4"/>
    <w:rsid w:val="00136128"/>
    <w:rsid w:val="00136174"/>
    <w:rsid w:val="00136437"/>
    <w:rsid w:val="001365C5"/>
    <w:rsid w:val="001366CE"/>
    <w:rsid w:val="00136722"/>
    <w:rsid w:val="001367DE"/>
    <w:rsid w:val="00136827"/>
    <w:rsid w:val="0013682B"/>
    <w:rsid w:val="001368AD"/>
    <w:rsid w:val="0013691F"/>
    <w:rsid w:val="0013692C"/>
    <w:rsid w:val="00136B67"/>
    <w:rsid w:val="00136CF7"/>
    <w:rsid w:val="00136EC6"/>
    <w:rsid w:val="00136F3C"/>
    <w:rsid w:val="00136F41"/>
    <w:rsid w:val="00136FCA"/>
    <w:rsid w:val="00137109"/>
    <w:rsid w:val="001373C6"/>
    <w:rsid w:val="00137444"/>
    <w:rsid w:val="0013751C"/>
    <w:rsid w:val="001375A0"/>
    <w:rsid w:val="001376DC"/>
    <w:rsid w:val="0013792A"/>
    <w:rsid w:val="00137948"/>
    <w:rsid w:val="00137A4F"/>
    <w:rsid w:val="00137AB0"/>
    <w:rsid w:val="00137C8A"/>
    <w:rsid w:val="00137C9A"/>
    <w:rsid w:val="00137CDF"/>
    <w:rsid w:val="00137D2A"/>
    <w:rsid w:val="00137FA9"/>
    <w:rsid w:val="001401F4"/>
    <w:rsid w:val="001403A7"/>
    <w:rsid w:val="00140423"/>
    <w:rsid w:val="001404B9"/>
    <w:rsid w:val="001405D4"/>
    <w:rsid w:val="001407B3"/>
    <w:rsid w:val="001407FB"/>
    <w:rsid w:val="001408A4"/>
    <w:rsid w:val="001408F5"/>
    <w:rsid w:val="00140964"/>
    <w:rsid w:val="001409AB"/>
    <w:rsid w:val="00140B40"/>
    <w:rsid w:val="00140C84"/>
    <w:rsid w:val="00140CBA"/>
    <w:rsid w:val="00140CD6"/>
    <w:rsid w:val="00140D46"/>
    <w:rsid w:val="00140E3B"/>
    <w:rsid w:val="00140F40"/>
    <w:rsid w:val="00140F83"/>
    <w:rsid w:val="0014103D"/>
    <w:rsid w:val="001410B2"/>
    <w:rsid w:val="0014120B"/>
    <w:rsid w:val="0014133E"/>
    <w:rsid w:val="001413FD"/>
    <w:rsid w:val="001416FF"/>
    <w:rsid w:val="001417E0"/>
    <w:rsid w:val="001417F5"/>
    <w:rsid w:val="0014194D"/>
    <w:rsid w:val="00141AF0"/>
    <w:rsid w:val="00141BEA"/>
    <w:rsid w:val="00141C22"/>
    <w:rsid w:val="00141CAB"/>
    <w:rsid w:val="00141EBF"/>
    <w:rsid w:val="00142418"/>
    <w:rsid w:val="00142504"/>
    <w:rsid w:val="00142514"/>
    <w:rsid w:val="001426F5"/>
    <w:rsid w:val="00142729"/>
    <w:rsid w:val="00142783"/>
    <w:rsid w:val="001427A8"/>
    <w:rsid w:val="001427B6"/>
    <w:rsid w:val="00142821"/>
    <w:rsid w:val="001428E6"/>
    <w:rsid w:val="00142A0D"/>
    <w:rsid w:val="00142B02"/>
    <w:rsid w:val="00142B0C"/>
    <w:rsid w:val="00142B3F"/>
    <w:rsid w:val="00142B8E"/>
    <w:rsid w:val="00142BC1"/>
    <w:rsid w:val="00142C51"/>
    <w:rsid w:val="00142EA7"/>
    <w:rsid w:val="0014300C"/>
    <w:rsid w:val="00143014"/>
    <w:rsid w:val="00143141"/>
    <w:rsid w:val="00143217"/>
    <w:rsid w:val="00143218"/>
    <w:rsid w:val="00143241"/>
    <w:rsid w:val="00143377"/>
    <w:rsid w:val="0014339C"/>
    <w:rsid w:val="001434A0"/>
    <w:rsid w:val="0014352E"/>
    <w:rsid w:val="00143548"/>
    <w:rsid w:val="00143637"/>
    <w:rsid w:val="00143675"/>
    <w:rsid w:val="00143763"/>
    <w:rsid w:val="001437E5"/>
    <w:rsid w:val="0014399C"/>
    <w:rsid w:val="001439E8"/>
    <w:rsid w:val="00143B56"/>
    <w:rsid w:val="0014403D"/>
    <w:rsid w:val="001440B9"/>
    <w:rsid w:val="00144178"/>
    <w:rsid w:val="001441BA"/>
    <w:rsid w:val="001442D8"/>
    <w:rsid w:val="00144515"/>
    <w:rsid w:val="00144522"/>
    <w:rsid w:val="001445D4"/>
    <w:rsid w:val="00144760"/>
    <w:rsid w:val="00144792"/>
    <w:rsid w:val="0014487E"/>
    <w:rsid w:val="00144951"/>
    <w:rsid w:val="00144A78"/>
    <w:rsid w:val="00144B4B"/>
    <w:rsid w:val="00144DC3"/>
    <w:rsid w:val="00144E01"/>
    <w:rsid w:val="00144F2F"/>
    <w:rsid w:val="00144F4A"/>
    <w:rsid w:val="0014509A"/>
    <w:rsid w:val="00145122"/>
    <w:rsid w:val="00145193"/>
    <w:rsid w:val="00145283"/>
    <w:rsid w:val="00145416"/>
    <w:rsid w:val="0014557F"/>
    <w:rsid w:val="0014562E"/>
    <w:rsid w:val="00145676"/>
    <w:rsid w:val="0014586C"/>
    <w:rsid w:val="00145A39"/>
    <w:rsid w:val="00145B0F"/>
    <w:rsid w:val="00145C10"/>
    <w:rsid w:val="00145C9C"/>
    <w:rsid w:val="00145CD5"/>
    <w:rsid w:val="00145DE6"/>
    <w:rsid w:val="00145F71"/>
    <w:rsid w:val="00145F85"/>
    <w:rsid w:val="0014600E"/>
    <w:rsid w:val="0014616C"/>
    <w:rsid w:val="0014616D"/>
    <w:rsid w:val="00146347"/>
    <w:rsid w:val="00146351"/>
    <w:rsid w:val="001463D6"/>
    <w:rsid w:val="0014641B"/>
    <w:rsid w:val="0014650C"/>
    <w:rsid w:val="00146658"/>
    <w:rsid w:val="00146727"/>
    <w:rsid w:val="00146834"/>
    <w:rsid w:val="001468D1"/>
    <w:rsid w:val="001469A7"/>
    <w:rsid w:val="00146A2F"/>
    <w:rsid w:val="00146AF7"/>
    <w:rsid w:val="00146DE7"/>
    <w:rsid w:val="00146DF5"/>
    <w:rsid w:val="00146E8C"/>
    <w:rsid w:val="00147148"/>
    <w:rsid w:val="0014717A"/>
    <w:rsid w:val="00147396"/>
    <w:rsid w:val="001473CA"/>
    <w:rsid w:val="00147469"/>
    <w:rsid w:val="001474EF"/>
    <w:rsid w:val="0014751C"/>
    <w:rsid w:val="0014758A"/>
    <w:rsid w:val="0014764E"/>
    <w:rsid w:val="001478D2"/>
    <w:rsid w:val="00147BEE"/>
    <w:rsid w:val="00147C6F"/>
    <w:rsid w:val="00147CDB"/>
    <w:rsid w:val="00147D07"/>
    <w:rsid w:val="00147E11"/>
    <w:rsid w:val="00147E4C"/>
    <w:rsid w:val="00147E70"/>
    <w:rsid w:val="00150004"/>
    <w:rsid w:val="001502DB"/>
    <w:rsid w:val="001504FE"/>
    <w:rsid w:val="00150507"/>
    <w:rsid w:val="00150521"/>
    <w:rsid w:val="00150565"/>
    <w:rsid w:val="001506D6"/>
    <w:rsid w:val="00150754"/>
    <w:rsid w:val="00150804"/>
    <w:rsid w:val="00150901"/>
    <w:rsid w:val="00150954"/>
    <w:rsid w:val="00150AAA"/>
    <w:rsid w:val="00150B9D"/>
    <w:rsid w:val="00150D1E"/>
    <w:rsid w:val="00150F3B"/>
    <w:rsid w:val="0015119E"/>
    <w:rsid w:val="001511A0"/>
    <w:rsid w:val="001511BC"/>
    <w:rsid w:val="0015128F"/>
    <w:rsid w:val="001512CA"/>
    <w:rsid w:val="00151774"/>
    <w:rsid w:val="00151845"/>
    <w:rsid w:val="00151904"/>
    <w:rsid w:val="00151AC0"/>
    <w:rsid w:val="00151D0A"/>
    <w:rsid w:val="00151DE6"/>
    <w:rsid w:val="00151E48"/>
    <w:rsid w:val="00151E82"/>
    <w:rsid w:val="00151ED4"/>
    <w:rsid w:val="0015202A"/>
    <w:rsid w:val="0015202D"/>
    <w:rsid w:val="001520A4"/>
    <w:rsid w:val="001520CE"/>
    <w:rsid w:val="00152100"/>
    <w:rsid w:val="0015220C"/>
    <w:rsid w:val="001522A8"/>
    <w:rsid w:val="0015247E"/>
    <w:rsid w:val="001524EC"/>
    <w:rsid w:val="00152591"/>
    <w:rsid w:val="001525B8"/>
    <w:rsid w:val="0015268C"/>
    <w:rsid w:val="001526FF"/>
    <w:rsid w:val="00152744"/>
    <w:rsid w:val="001527DF"/>
    <w:rsid w:val="001529E4"/>
    <w:rsid w:val="00152BA0"/>
    <w:rsid w:val="00152BB0"/>
    <w:rsid w:val="00152BE5"/>
    <w:rsid w:val="00152C09"/>
    <w:rsid w:val="00152C5E"/>
    <w:rsid w:val="00152C7A"/>
    <w:rsid w:val="00152E37"/>
    <w:rsid w:val="00152E84"/>
    <w:rsid w:val="00152F12"/>
    <w:rsid w:val="001531A0"/>
    <w:rsid w:val="001533A9"/>
    <w:rsid w:val="0015355F"/>
    <w:rsid w:val="0015358F"/>
    <w:rsid w:val="00153644"/>
    <w:rsid w:val="001536B4"/>
    <w:rsid w:val="001536E7"/>
    <w:rsid w:val="001538CA"/>
    <w:rsid w:val="00153985"/>
    <w:rsid w:val="00153A1D"/>
    <w:rsid w:val="00153B40"/>
    <w:rsid w:val="00153C16"/>
    <w:rsid w:val="00153C45"/>
    <w:rsid w:val="00153C88"/>
    <w:rsid w:val="00153DD9"/>
    <w:rsid w:val="00153DED"/>
    <w:rsid w:val="00153F8D"/>
    <w:rsid w:val="0015404B"/>
    <w:rsid w:val="00154074"/>
    <w:rsid w:val="001541BD"/>
    <w:rsid w:val="0015468C"/>
    <w:rsid w:val="00154700"/>
    <w:rsid w:val="001547A1"/>
    <w:rsid w:val="001547D2"/>
    <w:rsid w:val="001548AB"/>
    <w:rsid w:val="001548C5"/>
    <w:rsid w:val="00154A7A"/>
    <w:rsid w:val="00154AB6"/>
    <w:rsid w:val="00154ABF"/>
    <w:rsid w:val="00154C90"/>
    <w:rsid w:val="00154D58"/>
    <w:rsid w:val="00154E04"/>
    <w:rsid w:val="00154E71"/>
    <w:rsid w:val="00155056"/>
    <w:rsid w:val="001550E8"/>
    <w:rsid w:val="001550FA"/>
    <w:rsid w:val="0015519A"/>
    <w:rsid w:val="0015522B"/>
    <w:rsid w:val="00155342"/>
    <w:rsid w:val="00155348"/>
    <w:rsid w:val="001555C3"/>
    <w:rsid w:val="00155660"/>
    <w:rsid w:val="0015571A"/>
    <w:rsid w:val="00155ADA"/>
    <w:rsid w:val="00155BFD"/>
    <w:rsid w:val="00155C98"/>
    <w:rsid w:val="00155DEE"/>
    <w:rsid w:val="00155EB8"/>
    <w:rsid w:val="001560B6"/>
    <w:rsid w:val="001562DE"/>
    <w:rsid w:val="001563D2"/>
    <w:rsid w:val="00156511"/>
    <w:rsid w:val="00156559"/>
    <w:rsid w:val="001565CB"/>
    <w:rsid w:val="00156621"/>
    <w:rsid w:val="00156686"/>
    <w:rsid w:val="001566F3"/>
    <w:rsid w:val="001567EA"/>
    <w:rsid w:val="00156803"/>
    <w:rsid w:val="001568CC"/>
    <w:rsid w:val="00156929"/>
    <w:rsid w:val="00156AF5"/>
    <w:rsid w:val="00156AFF"/>
    <w:rsid w:val="00156BB5"/>
    <w:rsid w:val="00156BBE"/>
    <w:rsid w:val="00156C2D"/>
    <w:rsid w:val="00156C5F"/>
    <w:rsid w:val="00156CAD"/>
    <w:rsid w:val="0015721B"/>
    <w:rsid w:val="001572E7"/>
    <w:rsid w:val="0015732D"/>
    <w:rsid w:val="0015733B"/>
    <w:rsid w:val="00157458"/>
    <w:rsid w:val="0015747D"/>
    <w:rsid w:val="00157662"/>
    <w:rsid w:val="001577F6"/>
    <w:rsid w:val="001578C3"/>
    <w:rsid w:val="00157910"/>
    <w:rsid w:val="0015794A"/>
    <w:rsid w:val="0015795A"/>
    <w:rsid w:val="00157970"/>
    <w:rsid w:val="00157B5B"/>
    <w:rsid w:val="00157C5A"/>
    <w:rsid w:val="00157C91"/>
    <w:rsid w:val="00157D2A"/>
    <w:rsid w:val="00157EE5"/>
    <w:rsid w:val="00157FAD"/>
    <w:rsid w:val="00160026"/>
    <w:rsid w:val="00160098"/>
    <w:rsid w:val="001600EA"/>
    <w:rsid w:val="00160340"/>
    <w:rsid w:val="001603EC"/>
    <w:rsid w:val="00160494"/>
    <w:rsid w:val="0016052C"/>
    <w:rsid w:val="00160550"/>
    <w:rsid w:val="001605D4"/>
    <w:rsid w:val="0016086C"/>
    <w:rsid w:val="001608D9"/>
    <w:rsid w:val="0016093F"/>
    <w:rsid w:val="00160A62"/>
    <w:rsid w:val="00160E04"/>
    <w:rsid w:val="00160E66"/>
    <w:rsid w:val="00160EC2"/>
    <w:rsid w:val="00160FEA"/>
    <w:rsid w:val="0016103A"/>
    <w:rsid w:val="00161174"/>
    <w:rsid w:val="00161208"/>
    <w:rsid w:val="0016122B"/>
    <w:rsid w:val="00161314"/>
    <w:rsid w:val="0016148D"/>
    <w:rsid w:val="00161650"/>
    <w:rsid w:val="00161705"/>
    <w:rsid w:val="00161720"/>
    <w:rsid w:val="001618D0"/>
    <w:rsid w:val="00161A95"/>
    <w:rsid w:val="00161AD4"/>
    <w:rsid w:val="00161B8B"/>
    <w:rsid w:val="00161C7B"/>
    <w:rsid w:val="00161CF2"/>
    <w:rsid w:val="00161CF7"/>
    <w:rsid w:val="00161D89"/>
    <w:rsid w:val="00161DF4"/>
    <w:rsid w:val="00161E5A"/>
    <w:rsid w:val="00161FD8"/>
    <w:rsid w:val="001620A8"/>
    <w:rsid w:val="0016258C"/>
    <w:rsid w:val="001626A5"/>
    <w:rsid w:val="00162745"/>
    <w:rsid w:val="0016274B"/>
    <w:rsid w:val="001627E8"/>
    <w:rsid w:val="001627EF"/>
    <w:rsid w:val="00162974"/>
    <w:rsid w:val="0016297E"/>
    <w:rsid w:val="001629F7"/>
    <w:rsid w:val="001629FE"/>
    <w:rsid w:val="00162C32"/>
    <w:rsid w:val="00162D49"/>
    <w:rsid w:val="00162E6F"/>
    <w:rsid w:val="00163196"/>
    <w:rsid w:val="001633CE"/>
    <w:rsid w:val="00163534"/>
    <w:rsid w:val="0016353E"/>
    <w:rsid w:val="00163577"/>
    <w:rsid w:val="00163830"/>
    <w:rsid w:val="0016387F"/>
    <w:rsid w:val="0016389A"/>
    <w:rsid w:val="001638DA"/>
    <w:rsid w:val="001639F7"/>
    <w:rsid w:val="00163AEA"/>
    <w:rsid w:val="00163BCE"/>
    <w:rsid w:val="00163C3B"/>
    <w:rsid w:val="001640D7"/>
    <w:rsid w:val="001640E8"/>
    <w:rsid w:val="0016415D"/>
    <w:rsid w:val="001642D4"/>
    <w:rsid w:val="00164372"/>
    <w:rsid w:val="0016438D"/>
    <w:rsid w:val="00164465"/>
    <w:rsid w:val="00164478"/>
    <w:rsid w:val="00164549"/>
    <w:rsid w:val="001645A3"/>
    <w:rsid w:val="001645A8"/>
    <w:rsid w:val="001645D8"/>
    <w:rsid w:val="0016474F"/>
    <w:rsid w:val="0016484D"/>
    <w:rsid w:val="001648D2"/>
    <w:rsid w:val="00164916"/>
    <w:rsid w:val="00164953"/>
    <w:rsid w:val="001649E9"/>
    <w:rsid w:val="001649FF"/>
    <w:rsid w:val="00164A66"/>
    <w:rsid w:val="00164AC3"/>
    <w:rsid w:val="00164AE9"/>
    <w:rsid w:val="00164B1E"/>
    <w:rsid w:val="00164B59"/>
    <w:rsid w:val="00164BA1"/>
    <w:rsid w:val="00164BAB"/>
    <w:rsid w:val="00164C97"/>
    <w:rsid w:val="00164CE7"/>
    <w:rsid w:val="00164EFA"/>
    <w:rsid w:val="00164F5D"/>
    <w:rsid w:val="00165039"/>
    <w:rsid w:val="00165292"/>
    <w:rsid w:val="001652FD"/>
    <w:rsid w:val="001653AD"/>
    <w:rsid w:val="001654A9"/>
    <w:rsid w:val="0016553C"/>
    <w:rsid w:val="0016561B"/>
    <w:rsid w:val="00165620"/>
    <w:rsid w:val="001656EA"/>
    <w:rsid w:val="00165707"/>
    <w:rsid w:val="00165708"/>
    <w:rsid w:val="001657EE"/>
    <w:rsid w:val="0016589A"/>
    <w:rsid w:val="0016595D"/>
    <w:rsid w:val="00165982"/>
    <w:rsid w:val="001659AE"/>
    <w:rsid w:val="00165AB3"/>
    <w:rsid w:val="00165B0D"/>
    <w:rsid w:val="00165B67"/>
    <w:rsid w:val="00165C75"/>
    <w:rsid w:val="00165E07"/>
    <w:rsid w:val="00165E21"/>
    <w:rsid w:val="00165EB3"/>
    <w:rsid w:val="00165FCB"/>
    <w:rsid w:val="00166169"/>
    <w:rsid w:val="001662A4"/>
    <w:rsid w:val="001662E1"/>
    <w:rsid w:val="001663E5"/>
    <w:rsid w:val="0016646D"/>
    <w:rsid w:val="001666C6"/>
    <w:rsid w:val="001666CC"/>
    <w:rsid w:val="0016682D"/>
    <w:rsid w:val="0016684C"/>
    <w:rsid w:val="00166925"/>
    <w:rsid w:val="00166971"/>
    <w:rsid w:val="00166A3F"/>
    <w:rsid w:val="00166CDE"/>
    <w:rsid w:val="00166DD4"/>
    <w:rsid w:val="00166E21"/>
    <w:rsid w:val="00166F64"/>
    <w:rsid w:val="00167024"/>
    <w:rsid w:val="0016720A"/>
    <w:rsid w:val="001672F8"/>
    <w:rsid w:val="00167376"/>
    <w:rsid w:val="0016738C"/>
    <w:rsid w:val="00167517"/>
    <w:rsid w:val="0016761C"/>
    <w:rsid w:val="001676A7"/>
    <w:rsid w:val="0016770B"/>
    <w:rsid w:val="00167717"/>
    <w:rsid w:val="001677A3"/>
    <w:rsid w:val="0016786B"/>
    <w:rsid w:val="00167947"/>
    <w:rsid w:val="00167D88"/>
    <w:rsid w:val="00167D91"/>
    <w:rsid w:val="00167F4B"/>
    <w:rsid w:val="00167FE4"/>
    <w:rsid w:val="0017001C"/>
    <w:rsid w:val="00170172"/>
    <w:rsid w:val="0017033A"/>
    <w:rsid w:val="0017039A"/>
    <w:rsid w:val="0017039B"/>
    <w:rsid w:val="00170834"/>
    <w:rsid w:val="0017084C"/>
    <w:rsid w:val="00170873"/>
    <w:rsid w:val="00170941"/>
    <w:rsid w:val="00170B0C"/>
    <w:rsid w:val="00170BB2"/>
    <w:rsid w:val="00170C90"/>
    <w:rsid w:val="00170CEF"/>
    <w:rsid w:val="00170E7A"/>
    <w:rsid w:val="00170FEA"/>
    <w:rsid w:val="00171002"/>
    <w:rsid w:val="00171173"/>
    <w:rsid w:val="00171199"/>
    <w:rsid w:val="001711A3"/>
    <w:rsid w:val="001711D3"/>
    <w:rsid w:val="00171346"/>
    <w:rsid w:val="00171430"/>
    <w:rsid w:val="0017144B"/>
    <w:rsid w:val="0017152E"/>
    <w:rsid w:val="001715CD"/>
    <w:rsid w:val="0017182E"/>
    <w:rsid w:val="00171864"/>
    <w:rsid w:val="0017193B"/>
    <w:rsid w:val="0017199F"/>
    <w:rsid w:val="00171A60"/>
    <w:rsid w:val="00171AA1"/>
    <w:rsid w:val="00171BEC"/>
    <w:rsid w:val="00171F0B"/>
    <w:rsid w:val="00172141"/>
    <w:rsid w:val="00172238"/>
    <w:rsid w:val="00172277"/>
    <w:rsid w:val="001722A5"/>
    <w:rsid w:val="0017243F"/>
    <w:rsid w:val="0017248C"/>
    <w:rsid w:val="001724E0"/>
    <w:rsid w:val="00172740"/>
    <w:rsid w:val="00172791"/>
    <w:rsid w:val="00172859"/>
    <w:rsid w:val="001729AF"/>
    <w:rsid w:val="00172CAF"/>
    <w:rsid w:val="00172CF1"/>
    <w:rsid w:val="00172DDC"/>
    <w:rsid w:val="00172E33"/>
    <w:rsid w:val="00172F34"/>
    <w:rsid w:val="001730D0"/>
    <w:rsid w:val="001730F9"/>
    <w:rsid w:val="00173176"/>
    <w:rsid w:val="00173234"/>
    <w:rsid w:val="00173273"/>
    <w:rsid w:val="00173383"/>
    <w:rsid w:val="001735C1"/>
    <w:rsid w:val="00173629"/>
    <w:rsid w:val="0017369F"/>
    <w:rsid w:val="00173765"/>
    <w:rsid w:val="0017384F"/>
    <w:rsid w:val="001738CE"/>
    <w:rsid w:val="00173903"/>
    <w:rsid w:val="00173A0F"/>
    <w:rsid w:val="00173A52"/>
    <w:rsid w:val="00173C05"/>
    <w:rsid w:val="00173CDA"/>
    <w:rsid w:val="00173EB9"/>
    <w:rsid w:val="001741D4"/>
    <w:rsid w:val="00174247"/>
    <w:rsid w:val="00174280"/>
    <w:rsid w:val="0017429B"/>
    <w:rsid w:val="001742F0"/>
    <w:rsid w:val="00174607"/>
    <w:rsid w:val="001746F2"/>
    <w:rsid w:val="0017472B"/>
    <w:rsid w:val="0017478B"/>
    <w:rsid w:val="0017489B"/>
    <w:rsid w:val="00174965"/>
    <w:rsid w:val="001749EA"/>
    <w:rsid w:val="00174B26"/>
    <w:rsid w:val="00175094"/>
    <w:rsid w:val="001750F7"/>
    <w:rsid w:val="00175111"/>
    <w:rsid w:val="00175127"/>
    <w:rsid w:val="001751DF"/>
    <w:rsid w:val="001752B7"/>
    <w:rsid w:val="001752ED"/>
    <w:rsid w:val="0017543B"/>
    <w:rsid w:val="0017548D"/>
    <w:rsid w:val="00175653"/>
    <w:rsid w:val="001756FF"/>
    <w:rsid w:val="0017575B"/>
    <w:rsid w:val="00175835"/>
    <w:rsid w:val="001758CC"/>
    <w:rsid w:val="0017598B"/>
    <w:rsid w:val="00175B8E"/>
    <w:rsid w:val="00175C62"/>
    <w:rsid w:val="00175DF6"/>
    <w:rsid w:val="00175EEF"/>
    <w:rsid w:val="00175F46"/>
    <w:rsid w:val="00175F91"/>
    <w:rsid w:val="00175FB7"/>
    <w:rsid w:val="00175FFE"/>
    <w:rsid w:val="00176010"/>
    <w:rsid w:val="001760C8"/>
    <w:rsid w:val="0017611E"/>
    <w:rsid w:val="00176129"/>
    <w:rsid w:val="00176225"/>
    <w:rsid w:val="0017625B"/>
    <w:rsid w:val="0017631D"/>
    <w:rsid w:val="001764FB"/>
    <w:rsid w:val="0017658E"/>
    <w:rsid w:val="001765AF"/>
    <w:rsid w:val="001765D3"/>
    <w:rsid w:val="00176612"/>
    <w:rsid w:val="00176642"/>
    <w:rsid w:val="001766A5"/>
    <w:rsid w:val="00176916"/>
    <w:rsid w:val="001769DF"/>
    <w:rsid w:val="00176C38"/>
    <w:rsid w:val="00176D49"/>
    <w:rsid w:val="00176E1D"/>
    <w:rsid w:val="00176F55"/>
    <w:rsid w:val="0017719D"/>
    <w:rsid w:val="0017724D"/>
    <w:rsid w:val="001773AD"/>
    <w:rsid w:val="00177431"/>
    <w:rsid w:val="001774C7"/>
    <w:rsid w:val="001774F5"/>
    <w:rsid w:val="00177571"/>
    <w:rsid w:val="001775B2"/>
    <w:rsid w:val="0017768B"/>
    <w:rsid w:val="00177834"/>
    <w:rsid w:val="00177A27"/>
    <w:rsid w:val="00177C8D"/>
    <w:rsid w:val="00177D27"/>
    <w:rsid w:val="00177DD5"/>
    <w:rsid w:val="00177DD7"/>
    <w:rsid w:val="00177F2A"/>
    <w:rsid w:val="0018001F"/>
    <w:rsid w:val="00180143"/>
    <w:rsid w:val="00180181"/>
    <w:rsid w:val="001801AE"/>
    <w:rsid w:val="00180294"/>
    <w:rsid w:val="001803BC"/>
    <w:rsid w:val="001803E7"/>
    <w:rsid w:val="00180403"/>
    <w:rsid w:val="0018042E"/>
    <w:rsid w:val="00180475"/>
    <w:rsid w:val="00180569"/>
    <w:rsid w:val="00180611"/>
    <w:rsid w:val="001807D2"/>
    <w:rsid w:val="001807DD"/>
    <w:rsid w:val="001809D0"/>
    <w:rsid w:val="00180ACE"/>
    <w:rsid w:val="00180B30"/>
    <w:rsid w:val="00180D2E"/>
    <w:rsid w:val="00180D9F"/>
    <w:rsid w:val="00180DCC"/>
    <w:rsid w:val="00180DE8"/>
    <w:rsid w:val="00180FD5"/>
    <w:rsid w:val="0018105B"/>
    <w:rsid w:val="0018113E"/>
    <w:rsid w:val="001811E8"/>
    <w:rsid w:val="0018126E"/>
    <w:rsid w:val="001812B3"/>
    <w:rsid w:val="00181364"/>
    <w:rsid w:val="00181491"/>
    <w:rsid w:val="00181553"/>
    <w:rsid w:val="001815C0"/>
    <w:rsid w:val="0018194D"/>
    <w:rsid w:val="00181A6D"/>
    <w:rsid w:val="00181A8A"/>
    <w:rsid w:val="00181B06"/>
    <w:rsid w:val="00181BBF"/>
    <w:rsid w:val="00181D90"/>
    <w:rsid w:val="00181E53"/>
    <w:rsid w:val="00181EAC"/>
    <w:rsid w:val="00181F5F"/>
    <w:rsid w:val="00182079"/>
    <w:rsid w:val="00182081"/>
    <w:rsid w:val="001821FF"/>
    <w:rsid w:val="0018231F"/>
    <w:rsid w:val="00182510"/>
    <w:rsid w:val="001825BA"/>
    <w:rsid w:val="00182649"/>
    <w:rsid w:val="00182940"/>
    <w:rsid w:val="00182D41"/>
    <w:rsid w:val="00182DE7"/>
    <w:rsid w:val="00182E8A"/>
    <w:rsid w:val="00182F8D"/>
    <w:rsid w:val="00182F9A"/>
    <w:rsid w:val="00183000"/>
    <w:rsid w:val="001830F5"/>
    <w:rsid w:val="0018331F"/>
    <w:rsid w:val="0018336F"/>
    <w:rsid w:val="00183397"/>
    <w:rsid w:val="0018347F"/>
    <w:rsid w:val="00183603"/>
    <w:rsid w:val="001837F6"/>
    <w:rsid w:val="00183901"/>
    <w:rsid w:val="001839BD"/>
    <w:rsid w:val="00183A06"/>
    <w:rsid w:val="00183AD9"/>
    <w:rsid w:val="00183B23"/>
    <w:rsid w:val="00183CB3"/>
    <w:rsid w:val="00183E2C"/>
    <w:rsid w:val="00183EA0"/>
    <w:rsid w:val="00183F07"/>
    <w:rsid w:val="00183FFB"/>
    <w:rsid w:val="00183FFD"/>
    <w:rsid w:val="00184029"/>
    <w:rsid w:val="0018409D"/>
    <w:rsid w:val="001840B5"/>
    <w:rsid w:val="00184188"/>
    <w:rsid w:val="001841D6"/>
    <w:rsid w:val="001842DC"/>
    <w:rsid w:val="001842FE"/>
    <w:rsid w:val="0018430D"/>
    <w:rsid w:val="001843BD"/>
    <w:rsid w:val="001843D6"/>
    <w:rsid w:val="0018441E"/>
    <w:rsid w:val="001844C3"/>
    <w:rsid w:val="001844E5"/>
    <w:rsid w:val="00184589"/>
    <w:rsid w:val="00184A7B"/>
    <w:rsid w:val="00184CE9"/>
    <w:rsid w:val="00184DB7"/>
    <w:rsid w:val="00184EF7"/>
    <w:rsid w:val="00184FED"/>
    <w:rsid w:val="00185192"/>
    <w:rsid w:val="001852A6"/>
    <w:rsid w:val="001853A3"/>
    <w:rsid w:val="00185415"/>
    <w:rsid w:val="0018548C"/>
    <w:rsid w:val="0018554A"/>
    <w:rsid w:val="00185582"/>
    <w:rsid w:val="001855EB"/>
    <w:rsid w:val="00185647"/>
    <w:rsid w:val="00185A4A"/>
    <w:rsid w:val="00185B0E"/>
    <w:rsid w:val="00185B6C"/>
    <w:rsid w:val="00185C37"/>
    <w:rsid w:val="00185CF0"/>
    <w:rsid w:val="00185EAF"/>
    <w:rsid w:val="00185F7F"/>
    <w:rsid w:val="00185FC5"/>
    <w:rsid w:val="00186102"/>
    <w:rsid w:val="0018619A"/>
    <w:rsid w:val="0018627C"/>
    <w:rsid w:val="00186321"/>
    <w:rsid w:val="00186326"/>
    <w:rsid w:val="001863F3"/>
    <w:rsid w:val="00186455"/>
    <w:rsid w:val="0018652F"/>
    <w:rsid w:val="0018659C"/>
    <w:rsid w:val="001865CB"/>
    <w:rsid w:val="00186620"/>
    <w:rsid w:val="00186719"/>
    <w:rsid w:val="001867BA"/>
    <w:rsid w:val="001867CD"/>
    <w:rsid w:val="001868A3"/>
    <w:rsid w:val="00186915"/>
    <w:rsid w:val="001869FD"/>
    <w:rsid w:val="00186B02"/>
    <w:rsid w:val="00186BD6"/>
    <w:rsid w:val="00186C8A"/>
    <w:rsid w:val="00186CC6"/>
    <w:rsid w:val="00186D84"/>
    <w:rsid w:val="00186DE5"/>
    <w:rsid w:val="00186E4F"/>
    <w:rsid w:val="00186F38"/>
    <w:rsid w:val="00186FAC"/>
    <w:rsid w:val="001870B3"/>
    <w:rsid w:val="0018729A"/>
    <w:rsid w:val="001872D2"/>
    <w:rsid w:val="00187443"/>
    <w:rsid w:val="00187667"/>
    <w:rsid w:val="0018769A"/>
    <w:rsid w:val="00187860"/>
    <w:rsid w:val="00187931"/>
    <w:rsid w:val="00187B1B"/>
    <w:rsid w:val="00190246"/>
    <w:rsid w:val="0019029B"/>
    <w:rsid w:val="0019033F"/>
    <w:rsid w:val="001903BB"/>
    <w:rsid w:val="001903F6"/>
    <w:rsid w:val="00190412"/>
    <w:rsid w:val="00190413"/>
    <w:rsid w:val="00190557"/>
    <w:rsid w:val="0019057C"/>
    <w:rsid w:val="00190767"/>
    <w:rsid w:val="001908B4"/>
    <w:rsid w:val="00190901"/>
    <w:rsid w:val="00190912"/>
    <w:rsid w:val="00190926"/>
    <w:rsid w:val="00190966"/>
    <w:rsid w:val="00190A98"/>
    <w:rsid w:val="00190AEC"/>
    <w:rsid w:val="00190BA7"/>
    <w:rsid w:val="00190BE4"/>
    <w:rsid w:val="00190C92"/>
    <w:rsid w:val="00190CB3"/>
    <w:rsid w:val="00190D2B"/>
    <w:rsid w:val="00190DBA"/>
    <w:rsid w:val="00190E1A"/>
    <w:rsid w:val="00190E3E"/>
    <w:rsid w:val="00190E65"/>
    <w:rsid w:val="00190F20"/>
    <w:rsid w:val="001914EF"/>
    <w:rsid w:val="001915FF"/>
    <w:rsid w:val="00191724"/>
    <w:rsid w:val="00191733"/>
    <w:rsid w:val="00191936"/>
    <w:rsid w:val="00191C9E"/>
    <w:rsid w:val="00191DBF"/>
    <w:rsid w:val="00191FD4"/>
    <w:rsid w:val="00192111"/>
    <w:rsid w:val="00192159"/>
    <w:rsid w:val="001921FC"/>
    <w:rsid w:val="0019228B"/>
    <w:rsid w:val="0019233C"/>
    <w:rsid w:val="00192613"/>
    <w:rsid w:val="001926F2"/>
    <w:rsid w:val="00192834"/>
    <w:rsid w:val="00192B11"/>
    <w:rsid w:val="00192BD5"/>
    <w:rsid w:val="00192CEE"/>
    <w:rsid w:val="00192CEF"/>
    <w:rsid w:val="00192E18"/>
    <w:rsid w:val="00192EBE"/>
    <w:rsid w:val="00192EC2"/>
    <w:rsid w:val="001930E4"/>
    <w:rsid w:val="00193138"/>
    <w:rsid w:val="0019326A"/>
    <w:rsid w:val="0019332A"/>
    <w:rsid w:val="0019333E"/>
    <w:rsid w:val="001933CC"/>
    <w:rsid w:val="001934C8"/>
    <w:rsid w:val="0019356D"/>
    <w:rsid w:val="00193644"/>
    <w:rsid w:val="00193716"/>
    <w:rsid w:val="00193734"/>
    <w:rsid w:val="001937D6"/>
    <w:rsid w:val="00193862"/>
    <w:rsid w:val="00193925"/>
    <w:rsid w:val="00193949"/>
    <w:rsid w:val="00193AA4"/>
    <w:rsid w:val="00193B14"/>
    <w:rsid w:val="00193B19"/>
    <w:rsid w:val="00193B68"/>
    <w:rsid w:val="00193C30"/>
    <w:rsid w:val="00193C54"/>
    <w:rsid w:val="00193D60"/>
    <w:rsid w:val="00193D69"/>
    <w:rsid w:val="00193D98"/>
    <w:rsid w:val="00193E82"/>
    <w:rsid w:val="0019417C"/>
    <w:rsid w:val="001941DA"/>
    <w:rsid w:val="0019428A"/>
    <w:rsid w:val="00194387"/>
    <w:rsid w:val="0019450D"/>
    <w:rsid w:val="00194523"/>
    <w:rsid w:val="00194524"/>
    <w:rsid w:val="0019463D"/>
    <w:rsid w:val="0019484A"/>
    <w:rsid w:val="00194AD3"/>
    <w:rsid w:val="00194DA9"/>
    <w:rsid w:val="00194EC1"/>
    <w:rsid w:val="00194F37"/>
    <w:rsid w:val="0019506C"/>
    <w:rsid w:val="00195107"/>
    <w:rsid w:val="00195112"/>
    <w:rsid w:val="00195277"/>
    <w:rsid w:val="001952AC"/>
    <w:rsid w:val="001952CE"/>
    <w:rsid w:val="00195383"/>
    <w:rsid w:val="00195399"/>
    <w:rsid w:val="00195435"/>
    <w:rsid w:val="00195477"/>
    <w:rsid w:val="001957F3"/>
    <w:rsid w:val="0019590B"/>
    <w:rsid w:val="001959BF"/>
    <w:rsid w:val="00195A53"/>
    <w:rsid w:val="00195A56"/>
    <w:rsid w:val="00195C3F"/>
    <w:rsid w:val="00195CFB"/>
    <w:rsid w:val="00195E85"/>
    <w:rsid w:val="00195F24"/>
    <w:rsid w:val="00195F5B"/>
    <w:rsid w:val="00195F81"/>
    <w:rsid w:val="00196089"/>
    <w:rsid w:val="00196241"/>
    <w:rsid w:val="001962D9"/>
    <w:rsid w:val="00196462"/>
    <w:rsid w:val="00196566"/>
    <w:rsid w:val="0019674A"/>
    <w:rsid w:val="001967F6"/>
    <w:rsid w:val="00196813"/>
    <w:rsid w:val="00196830"/>
    <w:rsid w:val="001968C3"/>
    <w:rsid w:val="00196B3C"/>
    <w:rsid w:val="00196BBE"/>
    <w:rsid w:val="00196BCF"/>
    <w:rsid w:val="00196DBD"/>
    <w:rsid w:val="00196E71"/>
    <w:rsid w:val="00196EDE"/>
    <w:rsid w:val="00196F28"/>
    <w:rsid w:val="001970BE"/>
    <w:rsid w:val="00197169"/>
    <w:rsid w:val="00197261"/>
    <w:rsid w:val="0019749C"/>
    <w:rsid w:val="001974F1"/>
    <w:rsid w:val="001975DF"/>
    <w:rsid w:val="00197664"/>
    <w:rsid w:val="001976AB"/>
    <w:rsid w:val="0019773A"/>
    <w:rsid w:val="00197844"/>
    <w:rsid w:val="001978A9"/>
    <w:rsid w:val="001978C8"/>
    <w:rsid w:val="00197949"/>
    <w:rsid w:val="001979FA"/>
    <w:rsid w:val="00197B15"/>
    <w:rsid w:val="00197E8C"/>
    <w:rsid w:val="00197E9A"/>
    <w:rsid w:val="00197F4E"/>
    <w:rsid w:val="001A001F"/>
    <w:rsid w:val="001A0275"/>
    <w:rsid w:val="001A02B8"/>
    <w:rsid w:val="001A033A"/>
    <w:rsid w:val="001A0388"/>
    <w:rsid w:val="001A03A3"/>
    <w:rsid w:val="001A041F"/>
    <w:rsid w:val="001A043A"/>
    <w:rsid w:val="001A052C"/>
    <w:rsid w:val="001A0670"/>
    <w:rsid w:val="001A06C3"/>
    <w:rsid w:val="001A071F"/>
    <w:rsid w:val="001A0754"/>
    <w:rsid w:val="001A07CD"/>
    <w:rsid w:val="001A080A"/>
    <w:rsid w:val="001A0816"/>
    <w:rsid w:val="001A0878"/>
    <w:rsid w:val="001A08C5"/>
    <w:rsid w:val="001A0C10"/>
    <w:rsid w:val="001A0D01"/>
    <w:rsid w:val="001A0D72"/>
    <w:rsid w:val="001A10F2"/>
    <w:rsid w:val="001A1154"/>
    <w:rsid w:val="001A1283"/>
    <w:rsid w:val="001A12E8"/>
    <w:rsid w:val="001A14A6"/>
    <w:rsid w:val="001A151B"/>
    <w:rsid w:val="001A15E4"/>
    <w:rsid w:val="001A16FF"/>
    <w:rsid w:val="001A17CF"/>
    <w:rsid w:val="001A181C"/>
    <w:rsid w:val="001A19A5"/>
    <w:rsid w:val="001A1A83"/>
    <w:rsid w:val="001A1BAE"/>
    <w:rsid w:val="001A1CF6"/>
    <w:rsid w:val="001A1CFE"/>
    <w:rsid w:val="001A1D41"/>
    <w:rsid w:val="001A1DC6"/>
    <w:rsid w:val="001A1E0B"/>
    <w:rsid w:val="001A1F0C"/>
    <w:rsid w:val="001A1F0F"/>
    <w:rsid w:val="001A1FBE"/>
    <w:rsid w:val="001A20D1"/>
    <w:rsid w:val="001A20D5"/>
    <w:rsid w:val="001A21E0"/>
    <w:rsid w:val="001A221B"/>
    <w:rsid w:val="001A2280"/>
    <w:rsid w:val="001A2716"/>
    <w:rsid w:val="001A273A"/>
    <w:rsid w:val="001A281A"/>
    <w:rsid w:val="001A282A"/>
    <w:rsid w:val="001A2A9F"/>
    <w:rsid w:val="001A2ADF"/>
    <w:rsid w:val="001A2D6B"/>
    <w:rsid w:val="001A2F76"/>
    <w:rsid w:val="001A3061"/>
    <w:rsid w:val="001A3284"/>
    <w:rsid w:val="001A3488"/>
    <w:rsid w:val="001A34FD"/>
    <w:rsid w:val="001A3538"/>
    <w:rsid w:val="001A35B9"/>
    <w:rsid w:val="001A3603"/>
    <w:rsid w:val="001A3812"/>
    <w:rsid w:val="001A38E1"/>
    <w:rsid w:val="001A39BC"/>
    <w:rsid w:val="001A3A4C"/>
    <w:rsid w:val="001A3A70"/>
    <w:rsid w:val="001A3B8A"/>
    <w:rsid w:val="001A3C4E"/>
    <w:rsid w:val="001A3CF3"/>
    <w:rsid w:val="001A3E05"/>
    <w:rsid w:val="001A3EFB"/>
    <w:rsid w:val="001A40C4"/>
    <w:rsid w:val="001A40E4"/>
    <w:rsid w:val="001A418C"/>
    <w:rsid w:val="001A419F"/>
    <w:rsid w:val="001A42E0"/>
    <w:rsid w:val="001A4336"/>
    <w:rsid w:val="001A436E"/>
    <w:rsid w:val="001A4407"/>
    <w:rsid w:val="001A4418"/>
    <w:rsid w:val="001A4428"/>
    <w:rsid w:val="001A4505"/>
    <w:rsid w:val="001A47ED"/>
    <w:rsid w:val="001A4EA9"/>
    <w:rsid w:val="001A4F38"/>
    <w:rsid w:val="001A4FA5"/>
    <w:rsid w:val="001A503F"/>
    <w:rsid w:val="001A5124"/>
    <w:rsid w:val="001A514C"/>
    <w:rsid w:val="001A51F7"/>
    <w:rsid w:val="001A5274"/>
    <w:rsid w:val="001A52C6"/>
    <w:rsid w:val="001A5444"/>
    <w:rsid w:val="001A5564"/>
    <w:rsid w:val="001A55B0"/>
    <w:rsid w:val="001A55E9"/>
    <w:rsid w:val="001A56D1"/>
    <w:rsid w:val="001A57C5"/>
    <w:rsid w:val="001A5834"/>
    <w:rsid w:val="001A592F"/>
    <w:rsid w:val="001A5976"/>
    <w:rsid w:val="001A59A1"/>
    <w:rsid w:val="001A59AC"/>
    <w:rsid w:val="001A59DD"/>
    <w:rsid w:val="001A59E9"/>
    <w:rsid w:val="001A5A9F"/>
    <w:rsid w:val="001A5D75"/>
    <w:rsid w:val="001A5E3E"/>
    <w:rsid w:val="001A5E7B"/>
    <w:rsid w:val="001A5E93"/>
    <w:rsid w:val="001A5EE3"/>
    <w:rsid w:val="001A5FA6"/>
    <w:rsid w:val="001A6096"/>
    <w:rsid w:val="001A6219"/>
    <w:rsid w:val="001A6225"/>
    <w:rsid w:val="001A62F1"/>
    <w:rsid w:val="001A63BC"/>
    <w:rsid w:val="001A63E5"/>
    <w:rsid w:val="001A6400"/>
    <w:rsid w:val="001A640F"/>
    <w:rsid w:val="001A6683"/>
    <w:rsid w:val="001A68EE"/>
    <w:rsid w:val="001A6997"/>
    <w:rsid w:val="001A6AB1"/>
    <w:rsid w:val="001A6B0A"/>
    <w:rsid w:val="001A6C7E"/>
    <w:rsid w:val="001A6CAB"/>
    <w:rsid w:val="001A6CDE"/>
    <w:rsid w:val="001A6D00"/>
    <w:rsid w:val="001A7084"/>
    <w:rsid w:val="001A7147"/>
    <w:rsid w:val="001A7192"/>
    <w:rsid w:val="001A7205"/>
    <w:rsid w:val="001A7215"/>
    <w:rsid w:val="001A7261"/>
    <w:rsid w:val="001A72AC"/>
    <w:rsid w:val="001A734A"/>
    <w:rsid w:val="001A7353"/>
    <w:rsid w:val="001A73C5"/>
    <w:rsid w:val="001A763D"/>
    <w:rsid w:val="001A7764"/>
    <w:rsid w:val="001A77CB"/>
    <w:rsid w:val="001A77DA"/>
    <w:rsid w:val="001A7870"/>
    <w:rsid w:val="001A78DE"/>
    <w:rsid w:val="001A7ADC"/>
    <w:rsid w:val="001A7BBD"/>
    <w:rsid w:val="001A7BBE"/>
    <w:rsid w:val="001A7D4C"/>
    <w:rsid w:val="001A7FDB"/>
    <w:rsid w:val="001B0519"/>
    <w:rsid w:val="001B0546"/>
    <w:rsid w:val="001B07C8"/>
    <w:rsid w:val="001B0988"/>
    <w:rsid w:val="001B09AF"/>
    <w:rsid w:val="001B0A80"/>
    <w:rsid w:val="001B0BCD"/>
    <w:rsid w:val="001B0BEB"/>
    <w:rsid w:val="001B0C6B"/>
    <w:rsid w:val="001B0D97"/>
    <w:rsid w:val="001B0D99"/>
    <w:rsid w:val="001B0F7D"/>
    <w:rsid w:val="001B106C"/>
    <w:rsid w:val="001B1077"/>
    <w:rsid w:val="001B109E"/>
    <w:rsid w:val="001B1112"/>
    <w:rsid w:val="001B11E3"/>
    <w:rsid w:val="001B127A"/>
    <w:rsid w:val="001B1315"/>
    <w:rsid w:val="001B13ED"/>
    <w:rsid w:val="001B148F"/>
    <w:rsid w:val="001B14DC"/>
    <w:rsid w:val="001B1533"/>
    <w:rsid w:val="001B1680"/>
    <w:rsid w:val="001B1691"/>
    <w:rsid w:val="001B16E3"/>
    <w:rsid w:val="001B1953"/>
    <w:rsid w:val="001B19FC"/>
    <w:rsid w:val="001B1A0C"/>
    <w:rsid w:val="001B1A2A"/>
    <w:rsid w:val="001B1AEF"/>
    <w:rsid w:val="001B1B28"/>
    <w:rsid w:val="001B1B8A"/>
    <w:rsid w:val="001B1CB4"/>
    <w:rsid w:val="001B1CC9"/>
    <w:rsid w:val="001B1D2A"/>
    <w:rsid w:val="001B1D99"/>
    <w:rsid w:val="001B1DA2"/>
    <w:rsid w:val="001B1E4E"/>
    <w:rsid w:val="001B2135"/>
    <w:rsid w:val="001B2202"/>
    <w:rsid w:val="001B234F"/>
    <w:rsid w:val="001B2352"/>
    <w:rsid w:val="001B2447"/>
    <w:rsid w:val="001B244F"/>
    <w:rsid w:val="001B26C4"/>
    <w:rsid w:val="001B26DB"/>
    <w:rsid w:val="001B26F8"/>
    <w:rsid w:val="001B288F"/>
    <w:rsid w:val="001B294D"/>
    <w:rsid w:val="001B2A61"/>
    <w:rsid w:val="001B2B0A"/>
    <w:rsid w:val="001B2B2E"/>
    <w:rsid w:val="001B2BFB"/>
    <w:rsid w:val="001B2C2B"/>
    <w:rsid w:val="001B2C4F"/>
    <w:rsid w:val="001B2C9F"/>
    <w:rsid w:val="001B2E93"/>
    <w:rsid w:val="001B2E9C"/>
    <w:rsid w:val="001B2F37"/>
    <w:rsid w:val="001B305A"/>
    <w:rsid w:val="001B30CC"/>
    <w:rsid w:val="001B32C3"/>
    <w:rsid w:val="001B33DA"/>
    <w:rsid w:val="001B33EA"/>
    <w:rsid w:val="001B354C"/>
    <w:rsid w:val="001B354D"/>
    <w:rsid w:val="001B3593"/>
    <w:rsid w:val="001B3815"/>
    <w:rsid w:val="001B38B6"/>
    <w:rsid w:val="001B393D"/>
    <w:rsid w:val="001B3B43"/>
    <w:rsid w:val="001B3C3A"/>
    <w:rsid w:val="001B3C57"/>
    <w:rsid w:val="001B3DDC"/>
    <w:rsid w:val="001B3E12"/>
    <w:rsid w:val="001B3E40"/>
    <w:rsid w:val="001B3E88"/>
    <w:rsid w:val="001B3E9F"/>
    <w:rsid w:val="001B3F12"/>
    <w:rsid w:val="001B413B"/>
    <w:rsid w:val="001B424C"/>
    <w:rsid w:val="001B433A"/>
    <w:rsid w:val="001B461A"/>
    <w:rsid w:val="001B4643"/>
    <w:rsid w:val="001B46D8"/>
    <w:rsid w:val="001B46E3"/>
    <w:rsid w:val="001B47EC"/>
    <w:rsid w:val="001B4982"/>
    <w:rsid w:val="001B49F6"/>
    <w:rsid w:val="001B4A0D"/>
    <w:rsid w:val="001B4C44"/>
    <w:rsid w:val="001B4C4F"/>
    <w:rsid w:val="001B4D59"/>
    <w:rsid w:val="001B4EE0"/>
    <w:rsid w:val="001B4FB3"/>
    <w:rsid w:val="001B4FB8"/>
    <w:rsid w:val="001B4FD2"/>
    <w:rsid w:val="001B50AD"/>
    <w:rsid w:val="001B50DD"/>
    <w:rsid w:val="001B510B"/>
    <w:rsid w:val="001B5142"/>
    <w:rsid w:val="001B52D6"/>
    <w:rsid w:val="001B538E"/>
    <w:rsid w:val="001B5603"/>
    <w:rsid w:val="001B5712"/>
    <w:rsid w:val="001B5AD0"/>
    <w:rsid w:val="001B5D0E"/>
    <w:rsid w:val="001B5E76"/>
    <w:rsid w:val="001B5EDF"/>
    <w:rsid w:val="001B5EE9"/>
    <w:rsid w:val="001B5F9A"/>
    <w:rsid w:val="001B601D"/>
    <w:rsid w:val="001B60C3"/>
    <w:rsid w:val="001B6176"/>
    <w:rsid w:val="001B6342"/>
    <w:rsid w:val="001B6355"/>
    <w:rsid w:val="001B63F2"/>
    <w:rsid w:val="001B6687"/>
    <w:rsid w:val="001B678B"/>
    <w:rsid w:val="001B6851"/>
    <w:rsid w:val="001B6AA8"/>
    <w:rsid w:val="001B6AAF"/>
    <w:rsid w:val="001B6B9B"/>
    <w:rsid w:val="001B6CDD"/>
    <w:rsid w:val="001B6D44"/>
    <w:rsid w:val="001B6D84"/>
    <w:rsid w:val="001B6D9F"/>
    <w:rsid w:val="001B6F9A"/>
    <w:rsid w:val="001B6FAB"/>
    <w:rsid w:val="001B728A"/>
    <w:rsid w:val="001B728B"/>
    <w:rsid w:val="001B73A3"/>
    <w:rsid w:val="001B7588"/>
    <w:rsid w:val="001B7611"/>
    <w:rsid w:val="001B7751"/>
    <w:rsid w:val="001B77F7"/>
    <w:rsid w:val="001B7821"/>
    <w:rsid w:val="001B78E4"/>
    <w:rsid w:val="001B7918"/>
    <w:rsid w:val="001B7BB0"/>
    <w:rsid w:val="001B7C04"/>
    <w:rsid w:val="001B7C6B"/>
    <w:rsid w:val="001B7D69"/>
    <w:rsid w:val="001B7DE3"/>
    <w:rsid w:val="001B7E18"/>
    <w:rsid w:val="001B7E31"/>
    <w:rsid w:val="001B7E51"/>
    <w:rsid w:val="001B7F8E"/>
    <w:rsid w:val="001B7FA4"/>
    <w:rsid w:val="001C006C"/>
    <w:rsid w:val="001C010D"/>
    <w:rsid w:val="001C014D"/>
    <w:rsid w:val="001C01AE"/>
    <w:rsid w:val="001C020E"/>
    <w:rsid w:val="001C033B"/>
    <w:rsid w:val="001C0438"/>
    <w:rsid w:val="001C05AE"/>
    <w:rsid w:val="001C05F9"/>
    <w:rsid w:val="001C06FE"/>
    <w:rsid w:val="001C0773"/>
    <w:rsid w:val="001C0852"/>
    <w:rsid w:val="001C0A69"/>
    <w:rsid w:val="001C0B26"/>
    <w:rsid w:val="001C0B88"/>
    <w:rsid w:val="001C0C1C"/>
    <w:rsid w:val="001C0C63"/>
    <w:rsid w:val="001C0C7E"/>
    <w:rsid w:val="001C0D81"/>
    <w:rsid w:val="001C0FF4"/>
    <w:rsid w:val="001C115E"/>
    <w:rsid w:val="001C11C5"/>
    <w:rsid w:val="001C120B"/>
    <w:rsid w:val="001C12CD"/>
    <w:rsid w:val="001C130B"/>
    <w:rsid w:val="001C1385"/>
    <w:rsid w:val="001C13AA"/>
    <w:rsid w:val="001C1541"/>
    <w:rsid w:val="001C16F6"/>
    <w:rsid w:val="001C1816"/>
    <w:rsid w:val="001C1935"/>
    <w:rsid w:val="001C1964"/>
    <w:rsid w:val="001C1981"/>
    <w:rsid w:val="001C1B03"/>
    <w:rsid w:val="001C1B31"/>
    <w:rsid w:val="001C1C78"/>
    <w:rsid w:val="001C1D11"/>
    <w:rsid w:val="001C1D5E"/>
    <w:rsid w:val="001C1DD7"/>
    <w:rsid w:val="001C1E6C"/>
    <w:rsid w:val="001C1EC7"/>
    <w:rsid w:val="001C1EE2"/>
    <w:rsid w:val="001C1EF0"/>
    <w:rsid w:val="001C1FC7"/>
    <w:rsid w:val="001C2041"/>
    <w:rsid w:val="001C20A3"/>
    <w:rsid w:val="001C2120"/>
    <w:rsid w:val="001C214E"/>
    <w:rsid w:val="001C21A2"/>
    <w:rsid w:val="001C21AF"/>
    <w:rsid w:val="001C21F1"/>
    <w:rsid w:val="001C2315"/>
    <w:rsid w:val="001C23B0"/>
    <w:rsid w:val="001C24F7"/>
    <w:rsid w:val="001C25D2"/>
    <w:rsid w:val="001C26CE"/>
    <w:rsid w:val="001C2727"/>
    <w:rsid w:val="001C2880"/>
    <w:rsid w:val="001C290B"/>
    <w:rsid w:val="001C2971"/>
    <w:rsid w:val="001C2A30"/>
    <w:rsid w:val="001C2BD0"/>
    <w:rsid w:val="001C2C25"/>
    <w:rsid w:val="001C2C47"/>
    <w:rsid w:val="001C2D46"/>
    <w:rsid w:val="001C2F8D"/>
    <w:rsid w:val="001C306E"/>
    <w:rsid w:val="001C3079"/>
    <w:rsid w:val="001C3344"/>
    <w:rsid w:val="001C3599"/>
    <w:rsid w:val="001C3697"/>
    <w:rsid w:val="001C3774"/>
    <w:rsid w:val="001C3895"/>
    <w:rsid w:val="001C3990"/>
    <w:rsid w:val="001C399D"/>
    <w:rsid w:val="001C3B0D"/>
    <w:rsid w:val="001C3BA3"/>
    <w:rsid w:val="001C3BEB"/>
    <w:rsid w:val="001C3CDB"/>
    <w:rsid w:val="001C3CDF"/>
    <w:rsid w:val="001C3D96"/>
    <w:rsid w:val="001C3E1D"/>
    <w:rsid w:val="001C3EDB"/>
    <w:rsid w:val="001C408F"/>
    <w:rsid w:val="001C41BB"/>
    <w:rsid w:val="001C420D"/>
    <w:rsid w:val="001C4226"/>
    <w:rsid w:val="001C429A"/>
    <w:rsid w:val="001C474D"/>
    <w:rsid w:val="001C47F1"/>
    <w:rsid w:val="001C4837"/>
    <w:rsid w:val="001C48C2"/>
    <w:rsid w:val="001C4931"/>
    <w:rsid w:val="001C49DA"/>
    <w:rsid w:val="001C4AF0"/>
    <w:rsid w:val="001C4B3C"/>
    <w:rsid w:val="001C4B89"/>
    <w:rsid w:val="001C4BA6"/>
    <w:rsid w:val="001C4CE8"/>
    <w:rsid w:val="001C4D40"/>
    <w:rsid w:val="001C4D6A"/>
    <w:rsid w:val="001C4DB9"/>
    <w:rsid w:val="001C4DCA"/>
    <w:rsid w:val="001C4EC7"/>
    <w:rsid w:val="001C506B"/>
    <w:rsid w:val="001C5071"/>
    <w:rsid w:val="001C51FC"/>
    <w:rsid w:val="001C5353"/>
    <w:rsid w:val="001C53F5"/>
    <w:rsid w:val="001C560B"/>
    <w:rsid w:val="001C5613"/>
    <w:rsid w:val="001C5641"/>
    <w:rsid w:val="001C5697"/>
    <w:rsid w:val="001C56A9"/>
    <w:rsid w:val="001C5A83"/>
    <w:rsid w:val="001C5AF1"/>
    <w:rsid w:val="001C5B07"/>
    <w:rsid w:val="001C5B12"/>
    <w:rsid w:val="001C5BB5"/>
    <w:rsid w:val="001C5BC4"/>
    <w:rsid w:val="001C5BED"/>
    <w:rsid w:val="001C5C1D"/>
    <w:rsid w:val="001C5E09"/>
    <w:rsid w:val="001C5EF2"/>
    <w:rsid w:val="001C5F0B"/>
    <w:rsid w:val="001C5F20"/>
    <w:rsid w:val="001C5FE6"/>
    <w:rsid w:val="001C6278"/>
    <w:rsid w:val="001C64A3"/>
    <w:rsid w:val="001C65FC"/>
    <w:rsid w:val="001C66A3"/>
    <w:rsid w:val="001C66C4"/>
    <w:rsid w:val="001C6746"/>
    <w:rsid w:val="001C68DB"/>
    <w:rsid w:val="001C68FB"/>
    <w:rsid w:val="001C695F"/>
    <w:rsid w:val="001C6C7E"/>
    <w:rsid w:val="001C6D78"/>
    <w:rsid w:val="001C6FB2"/>
    <w:rsid w:val="001C712B"/>
    <w:rsid w:val="001C7273"/>
    <w:rsid w:val="001C729C"/>
    <w:rsid w:val="001C72F6"/>
    <w:rsid w:val="001C7452"/>
    <w:rsid w:val="001C75EC"/>
    <w:rsid w:val="001C763F"/>
    <w:rsid w:val="001C7676"/>
    <w:rsid w:val="001C76E0"/>
    <w:rsid w:val="001C77FE"/>
    <w:rsid w:val="001C7818"/>
    <w:rsid w:val="001C792A"/>
    <w:rsid w:val="001C7964"/>
    <w:rsid w:val="001C7A6B"/>
    <w:rsid w:val="001C7A75"/>
    <w:rsid w:val="001C7B93"/>
    <w:rsid w:val="001C7BF6"/>
    <w:rsid w:val="001C7C13"/>
    <w:rsid w:val="001C7C61"/>
    <w:rsid w:val="001C7F30"/>
    <w:rsid w:val="001C7FC8"/>
    <w:rsid w:val="001D0022"/>
    <w:rsid w:val="001D0085"/>
    <w:rsid w:val="001D015C"/>
    <w:rsid w:val="001D01BB"/>
    <w:rsid w:val="001D024C"/>
    <w:rsid w:val="001D03F1"/>
    <w:rsid w:val="001D0426"/>
    <w:rsid w:val="001D059E"/>
    <w:rsid w:val="001D0875"/>
    <w:rsid w:val="001D08C5"/>
    <w:rsid w:val="001D0A80"/>
    <w:rsid w:val="001D0AA5"/>
    <w:rsid w:val="001D0B51"/>
    <w:rsid w:val="001D0BF1"/>
    <w:rsid w:val="001D0C38"/>
    <w:rsid w:val="001D0D42"/>
    <w:rsid w:val="001D0E55"/>
    <w:rsid w:val="001D0F91"/>
    <w:rsid w:val="001D10A3"/>
    <w:rsid w:val="001D10BD"/>
    <w:rsid w:val="001D11B5"/>
    <w:rsid w:val="001D13F7"/>
    <w:rsid w:val="001D1A6B"/>
    <w:rsid w:val="001D1A7B"/>
    <w:rsid w:val="001D1AB0"/>
    <w:rsid w:val="001D1B28"/>
    <w:rsid w:val="001D1C08"/>
    <w:rsid w:val="001D1D56"/>
    <w:rsid w:val="001D1E34"/>
    <w:rsid w:val="001D1E3B"/>
    <w:rsid w:val="001D1E83"/>
    <w:rsid w:val="001D1F35"/>
    <w:rsid w:val="001D21E0"/>
    <w:rsid w:val="001D21EF"/>
    <w:rsid w:val="001D22A8"/>
    <w:rsid w:val="001D23F3"/>
    <w:rsid w:val="001D2428"/>
    <w:rsid w:val="001D2490"/>
    <w:rsid w:val="001D25E4"/>
    <w:rsid w:val="001D269D"/>
    <w:rsid w:val="001D26EF"/>
    <w:rsid w:val="001D27E2"/>
    <w:rsid w:val="001D2829"/>
    <w:rsid w:val="001D28C0"/>
    <w:rsid w:val="001D28D2"/>
    <w:rsid w:val="001D2B7E"/>
    <w:rsid w:val="001D2D5A"/>
    <w:rsid w:val="001D2E47"/>
    <w:rsid w:val="001D2EB3"/>
    <w:rsid w:val="001D3023"/>
    <w:rsid w:val="001D3214"/>
    <w:rsid w:val="001D32F5"/>
    <w:rsid w:val="001D3338"/>
    <w:rsid w:val="001D33C8"/>
    <w:rsid w:val="001D3471"/>
    <w:rsid w:val="001D355C"/>
    <w:rsid w:val="001D362B"/>
    <w:rsid w:val="001D3ACD"/>
    <w:rsid w:val="001D3D00"/>
    <w:rsid w:val="001D3FB3"/>
    <w:rsid w:val="001D405B"/>
    <w:rsid w:val="001D4071"/>
    <w:rsid w:val="001D40DC"/>
    <w:rsid w:val="001D43D4"/>
    <w:rsid w:val="001D43EA"/>
    <w:rsid w:val="001D450D"/>
    <w:rsid w:val="001D45B3"/>
    <w:rsid w:val="001D45EB"/>
    <w:rsid w:val="001D4610"/>
    <w:rsid w:val="001D46E9"/>
    <w:rsid w:val="001D4975"/>
    <w:rsid w:val="001D498C"/>
    <w:rsid w:val="001D4AE7"/>
    <w:rsid w:val="001D4C14"/>
    <w:rsid w:val="001D4E36"/>
    <w:rsid w:val="001D4E8C"/>
    <w:rsid w:val="001D4E9D"/>
    <w:rsid w:val="001D4EA0"/>
    <w:rsid w:val="001D4EF1"/>
    <w:rsid w:val="001D5061"/>
    <w:rsid w:val="001D5114"/>
    <w:rsid w:val="001D5474"/>
    <w:rsid w:val="001D5662"/>
    <w:rsid w:val="001D56E2"/>
    <w:rsid w:val="001D571C"/>
    <w:rsid w:val="001D572C"/>
    <w:rsid w:val="001D5833"/>
    <w:rsid w:val="001D5870"/>
    <w:rsid w:val="001D599A"/>
    <w:rsid w:val="001D5B89"/>
    <w:rsid w:val="001D5B9E"/>
    <w:rsid w:val="001D5C2A"/>
    <w:rsid w:val="001D5EA7"/>
    <w:rsid w:val="001D5FB9"/>
    <w:rsid w:val="001D6089"/>
    <w:rsid w:val="001D60A4"/>
    <w:rsid w:val="001D62A7"/>
    <w:rsid w:val="001D6313"/>
    <w:rsid w:val="001D64A4"/>
    <w:rsid w:val="001D64F3"/>
    <w:rsid w:val="001D66C8"/>
    <w:rsid w:val="001D66D8"/>
    <w:rsid w:val="001D67EE"/>
    <w:rsid w:val="001D685E"/>
    <w:rsid w:val="001D691A"/>
    <w:rsid w:val="001D6A08"/>
    <w:rsid w:val="001D6B4B"/>
    <w:rsid w:val="001D6CE6"/>
    <w:rsid w:val="001D6DF0"/>
    <w:rsid w:val="001D6E0F"/>
    <w:rsid w:val="001D6F79"/>
    <w:rsid w:val="001D6FFE"/>
    <w:rsid w:val="001D7014"/>
    <w:rsid w:val="001D70BA"/>
    <w:rsid w:val="001D7162"/>
    <w:rsid w:val="001D7179"/>
    <w:rsid w:val="001D719B"/>
    <w:rsid w:val="001D72E7"/>
    <w:rsid w:val="001D7356"/>
    <w:rsid w:val="001D73A7"/>
    <w:rsid w:val="001D73AF"/>
    <w:rsid w:val="001D7409"/>
    <w:rsid w:val="001D7450"/>
    <w:rsid w:val="001D768C"/>
    <w:rsid w:val="001D771A"/>
    <w:rsid w:val="001D7AF1"/>
    <w:rsid w:val="001D7C03"/>
    <w:rsid w:val="001D7C0B"/>
    <w:rsid w:val="001D7C41"/>
    <w:rsid w:val="001D7CA0"/>
    <w:rsid w:val="001D7D30"/>
    <w:rsid w:val="001D7D81"/>
    <w:rsid w:val="001D7EDD"/>
    <w:rsid w:val="001D7EE6"/>
    <w:rsid w:val="001E01AB"/>
    <w:rsid w:val="001E01E0"/>
    <w:rsid w:val="001E01EC"/>
    <w:rsid w:val="001E0231"/>
    <w:rsid w:val="001E02D4"/>
    <w:rsid w:val="001E0316"/>
    <w:rsid w:val="001E0845"/>
    <w:rsid w:val="001E09D0"/>
    <w:rsid w:val="001E0B60"/>
    <w:rsid w:val="001E0B8A"/>
    <w:rsid w:val="001E0D98"/>
    <w:rsid w:val="001E0EE2"/>
    <w:rsid w:val="001E1225"/>
    <w:rsid w:val="001E1249"/>
    <w:rsid w:val="001E1444"/>
    <w:rsid w:val="001E14D4"/>
    <w:rsid w:val="001E14FB"/>
    <w:rsid w:val="001E1546"/>
    <w:rsid w:val="001E1574"/>
    <w:rsid w:val="001E1677"/>
    <w:rsid w:val="001E167B"/>
    <w:rsid w:val="001E167F"/>
    <w:rsid w:val="001E17CA"/>
    <w:rsid w:val="001E186C"/>
    <w:rsid w:val="001E18FF"/>
    <w:rsid w:val="001E195D"/>
    <w:rsid w:val="001E1A3E"/>
    <w:rsid w:val="001E1A6A"/>
    <w:rsid w:val="001E1AE1"/>
    <w:rsid w:val="001E1BE3"/>
    <w:rsid w:val="001E1CDE"/>
    <w:rsid w:val="001E1D15"/>
    <w:rsid w:val="001E1DCC"/>
    <w:rsid w:val="001E1E69"/>
    <w:rsid w:val="001E1E72"/>
    <w:rsid w:val="001E20E9"/>
    <w:rsid w:val="001E20ED"/>
    <w:rsid w:val="001E2104"/>
    <w:rsid w:val="001E2122"/>
    <w:rsid w:val="001E215D"/>
    <w:rsid w:val="001E21DB"/>
    <w:rsid w:val="001E21DE"/>
    <w:rsid w:val="001E254D"/>
    <w:rsid w:val="001E2572"/>
    <w:rsid w:val="001E27AC"/>
    <w:rsid w:val="001E2A1F"/>
    <w:rsid w:val="001E2AE7"/>
    <w:rsid w:val="001E2CC1"/>
    <w:rsid w:val="001E2F80"/>
    <w:rsid w:val="001E3088"/>
    <w:rsid w:val="001E31E5"/>
    <w:rsid w:val="001E3245"/>
    <w:rsid w:val="001E3249"/>
    <w:rsid w:val="001E329E"/>
    <w:rsid w:val="001E32B0"/>
    <w:rsid w:val="001E3375"/>
    <w:rsid w:val="001E3516"/>
    <w:rsid w:val="001E3526"/>
    <w:rsid w:val="001E3572"/>
    <w:rsid w:val="001E367C"/>
    <w:rsid w:val="001E3693"/>
    <w:rsid w:val="001E3762"/>
    <w:rsid w:val="001E37F1"/>
    <w:rsid w:val="001E37F6"/>
    <w:rsid w:val="001E3B04"/>
    <w:rsid w:val="001E3BDB"/>
    <w:rsid w:val="001E3D76"/>
    <w:rsid w:val="001E3EF9"/>
    <w:rsid w:val="001E3FE4"/>
    <w:rsid w:val="001E40AA"/>
    <w:rsid w:val="001E4163"/>
    <w:rsid w:val="001E416C"/>
    <w:rsid w:val="001E41A0"/>
    <w:rsid w:val="001E420B"/>
    <w:rsid w:val="001E4217"/>
    <w:rsid w:val="001E43BC"/>
    <w:rsid w:val="001E43FD"/>
    <w:rsid w:val="001E448C"/>
    <w:rsid w:val="001E451D"/>
    <w:rsid w:val="001E4768"/>
    <w:rsid w:val="001E4B4E"/>
    <w:rsid w:val="001E4CC3"/>
    <w:rsid w:val="001E504D"/>
    <w:rsid w:val="001E51D6"/>
    <w:rsid w:val="001E5363"/>
    <w:rsid w:val="001E5459"/>
    <w:rsid w:val="001E55A4"/>
    <w:rsid w:val="001E55C0"/>
    <w:rsid w:val="001E56BD"/>
    <w:rsid w:val="001E579B"/>
    <w:rsid w:val="001E588C"/>
    <w:rsid w:val="001E5A3F"/>
    <w:rsid w:val="001E5BD1"/>
    <w:rsid w:val="001E5BD4"/>
    <w:rsid w:val="001E5BED"/>
    <w:rsid w:val="001E5C80"/>
    <w:rsid w:val="001E5E32"/>
    <w:rsid w:val="001E5FF4"/>
    <w:rsid w:val="001E5FFC"/>
    <w:rsid w:val="001E61B7"/>
    <w:rsid w:val="001E6269"/>
    <w:rsid w:val="001E62CE"/>
    <w:rsid w:val="001E6595"/>
    <w:rsid w:val="001E6643"/>
    <w:rsid w:val="001E674A"/>
    <w:rsid w:val="001E684D"/>
    <w:rsid w:val="001E6900"/>
    <w:rsid w:val="001E695E"/>
    <w:rsid w:val="001E6987"/>
    <w:rsid w:val="001E6A00"/>
    <w:rsid w:val="001E6ACE"/>
    <w:rsid w:val="001E6B1B"/>
    <w:rsid w:val="001E6E6C"/>
    <w:rsid w:val="001E710B"/>
    <w:rsid w:val="001E7237"/>
    <w:rsid w:val="001E7338"/>
    <w:rsid w:val="001E738F"/>
    <w:rsid w:val="001E73AD"/>
    <w:rsid w:val="001E73FA"/>
    <w:rsid w:val="001E7565"/>
    <w:rsid w:val="001E75F9"/>
    <w:rsid w:val="001E7789"/>
    <w:rsid w:val="001E784D"/>
    <w:rsid w:val="001E7993"/>
    <w:rsid w:val="001E7A80"/>
    <w:rsid w:val="001E7B8A"/>
    <w:rsid w:val="001E7DF0"/>
    <w:rsid w:val="001E7EA4"/>
    <w:rsid w:val="001E7ED5"/>
    <w:rsid w:val="001E7F42"/>
    <w:rsid w:val="001E7F6E"/>
    <w:rsid w:val="001E7F73"/>
    <w:rsid w:val="001E7F7A"/>
    <w:rsid w:val="001F0279"/>
    <w:rsid w:val="001F02B5"/>
    <w:rsid w:val="001F056F"/>
    <w:rsid w:val="001F06D2"/>
    <w:rsid w:val="001F0A01"/>
    <w:rsid w:val="001F0AB2"/>
    <w:rsid w:val="001F0C7A"/>
    <w:rsid w:val="001F0D03"/>
    <w:rsid w:val="001F0D39"/>
    <w:rsid w:val="001F0DCD"/>
    <w:rsid w:val="001F0EFE"/>
    <w:rsid w:val="001F0F0B"/>
    <w:rsid w:val="001F1153"/>
    <w:rsid w:val="001F11F4"/>
    <w:rsid w:val="001F13F2"/>
    <w:rsid w:val="001F1426"/>
    <w:rsid w:val="001F14F8"/>
    <w:rsid w:val="001F162C"/>
    <w:rsid w:val="001F16C8"/>
    <w:rsid w:val="001F1935"/>
    <w:rsid w:val="001F19AA"/>
    <w:rsid w:val="001F1A93"/>
    <w:rsid w:val="001F1C45"/>
    <w:rsid w:val="001F1C57"/>
    <w:rsid w:val="001F1D26"/>
    <w:rsid w:val="001F1F33"/>
    <w:rsid w:val="001F1FB0"/>
    <w:rsid w:val="001F1FC8"/>
    <w:rsid w:val="001F2190"/>
    <w:rsid w:val="001F21B0"/>
    <w:rsid w:val="001F2295"/>
    <w:rsid w:val="001F23D8"/>
    <w:rsid w:val="001F2445"/>
    <w:rsid w:val="001F24A3"/>
    <w:rsid w:val="001F2665"/>
    <w:rsid w:val="001F26BA"/>
    <w:rsid w:val="001F2719"/>
    <w:rsid w:val="001F2721"/>
    <w:rsid w:val="001F27E8"/>
    <w:rsid w:val="001F28C4"/>
    <w:rsid w:val="001F28C7"/>
    <w:rsid w:val="001F2D06"/>
    <w:rsid w:val="001F2EAC"/>
    <w:rsid w:val="001F2EBC"/>
    <w:rsid w:val="001F2FCC"/>
    <w:rsid w:val="001F30D1"/>
    <w:rsid w:val="001F30D6"/>
    <w:rsid w:val="001F320B"/>
    <w:rsid w:val="001F353F"/>
    <w:rsid w:val="001F3551"/>
    <w:rsid w:val="001F35DE"/>
    <w:rsid w:val="001F3664"/>
    <w:rsid w:val="001F3692"/>
    <w:rsid w:val="001F36DB"/>
    <w:rsid w:val="001F376F"/>
    <w:rsid w:val="001F3817"/>
    <w:rsid w:val="001F387D"/>
    <w:rsid w:val="001F3965"/>
    <w:rsid w:val="001F39BD"/>
    <w:rsid w:val="001F39F1"/>
    <w:rsid w:val="001F3AF5"/>
    <w:rsid w:val="001F3C9B"/>
    <w:rsid w:val="001F3D21"/>
    <w:rsid w:val="001F3EBB"/>
    <w:rsid w:val="001F3EE6"/>
    <w:rsid w:val="001F3EEF"/>
    <w:rsid w:val="001F3F1D"/>
    <w:rsid w:val="001F3FE3"/>
    <w:rsid w:val="001F4003"/>
    <w:rsid w:val="001F403E"/>
    <w:rsid w:val="001F40E3"/>
    <w:rsid w:val="001F416E"/>
    <w:rsid w:val="001F4217"/>
    <w:rsid w:val="001F423F"/>
    <w:rsid w:val="001F427A"/>
    <w:rsid w:val="001F429F"/>
    <w:rsid w:val="001F4468"/>
    <w:rsid w:val="001F44C5"/>
    <w:rsid w:val="001F44C8"/>
    <w:rsid w:val="001F4656"/>
    <w:rsid w:val="001F4700"/>
    <w:rsid w:val="001F4880"/>
    <w:rsid w:val="001F48B6"/>
    <w:rsid w:val="001F4AE0"/>
    <w:rsid w:val="001F4C32"/>
    <w:rsid w:val="001F4C33"/>
    <w:rsid w:val="001F4D83"/>
    <w:rsid w:val="001F4D88"/>
    <w:rsid w:val="001F5073"/>
    <w:rsid w:val="001F50D7"/>
    <w:rsid w:val="001F5158"/>
    <w:rsid w:val="001F5229"/>
    <w:rsid w:val="001F5234"/>
    <w:rsid w:val="001F5583"/>
    <w:rsid w:val="001F55BB"/>
    <w:rsid w:val="001F566D"/>
    <w:rsid w:val="001F571D"/>
    <w:rsid w:val="001F57FE"/>
    <w:rsid w:val="001F5908"/>
    <w:rsid w:val="001F5BD8"/>
    <w:rsid w:val="001F5BFC"/>
    <w:rsid w:val="001F5C2A"/>
    <w:rsid w:val="001F5C71"/>
    <w:rsid w:val="001F5C8F"/>
    <w:rsid w:val="001F5CF1"/>
    <w:rsid w:val="001F5E2E"/>
    <w:rsid w:val="001F5E5E"/>
    <w:rsid w:val="001F5EFE"/>
    <w:rsid w:val="001F5FBA"/>
    <w:rsid w:val="001F60C9"/>
    <w:rsid w:val="001F61E1"/>
    <w:rsid w:val="001F61E9"/>
    <w:rsid w:val="001F626E"/>
    <w:rsid w:val="001F62A4"/>
    <w:rsid w:val="001F62EA"/>
    <w:rsid w:val="001F6535"/>
    <w:rsid w:val="001F6550"/>
    <w:rsid w:val="001F65A8"/>
    <w:rsid w:val="001F6609"/>
    <w:rsid w:val="001F660A"/>
    <w:rsid w:val="001F66F2"/>
    <w:rsid w:val="001F6755"/>
    <w:rsid w:val="001F6935"/>
    <w:rsid w:val="001F6DA5"/>
    <w:rsid w:val="001F6DF7"/>
    <w:rsid w:val="001F6E07"/>
    <w:rsid w:val="001F6EA3"/>
    <w:rsid w:val="001F6F5A"/>
    <w:rsid w:val="001F6FA8"/>
    <w:rsid w:val="001F7104"/>
    <w:rsid w:val="001F7275"/>
    <w:rsid w:val="001F73A5"/>
    <w:rsid w:val="001F73D4"/>
    <w:rsid w:val="001F7560"/>
    <w:rsid w:val="001F76A1"/>
    <w:rsid w:val="001F76FC"/>
    <w:rsid w:val="001F78B9"/>
    <w:rsid w:val="001F78DC"/>
    <w:rsid w:val="001F78FA"/>
    <w:rsid w:val="001F79A7"/>
    <w:rsid w:val="001F7A26"/>
    <w:rsid w:val="001F7BC8"/>
    <w:rsid w:val="001F7C02"/>
    <w:rsid w:val="001F7E42"/>
    <w:rsid w:val="002001D7"/>
    <w:rsid w:val="002002DE"/>
    <w:rsid w:val="00200359"/>
    <w:rsid w:val="002003AD"/>
    <w:rsid w:val="002003EC"/>
    <w:rsid w:val="002004CC"/>
    <w:rsid w:val="00200547"/>
    <w:rsid w:val="00200769"/>
    <w:rsid w:val="00200773"/>
    <w:rsid w:val="002007B3"/>
    <w:rsid w:val="002007D5"/>
    <w:rsid w:val="0020080B"/>
    <w:rsid w:val="00200858"/>
    <w:rsid w:val="0020092A"/>
    <w:rsid w:val="00200AC6"/>
    <w:rsid w:val="00200BCD"/>
    <w:rsid w:val="00200CC5"/>
    <w:rsid w:val="00200CE0"/>
    <w:rsid w:val="00200E9F"/>
    <w:rsid w:val="00200F4E"/>
    <w:rsid w:val="00200FBA"/>
    <w:rsid w:val="0020133B"/>
    <w:rsid w:val="00201493"/>
    <w:rsid w:val="002014DA"/>
    <w:rsid w:val="00201620"/>
    <w:rsid w:val="002016CF"/>
    <w:rsid w:val="0020180B"/>
    <w:rsid w:val="00201C4F"/>
    <w:rsid w:val="00201D9C"/>
    <w:rsid w:val="00201E28"/>
    <w:rsid w:val="00201ED5"/>
    <w:rsid w:val="00201F66"/>
    <w:rsid w:val="00202076"/>
    <w:rsid w:val="002020AE"/>
    <w:rsid w:val="002021E0"/>
    <w:rsid w:val="0020221C"/>
    <w:rsid w:val="0020230C"/>
    <w:rsid w:val="00202388"/>
    <w:rsid w:val="002023F5"/>
    <w:rsid w:val="00202407"/>
    <w:rsid w:val="002025FF"/>
    <w:rsid w:val="00202752"/>
    <w:rsid w:val="0020276F"/>
    <w:rsid w:val="002027F4"/>
    <w:rsid w:val="00202849"/>
    <w:rsid w:val="002028B5"/>
    <w:rsid w:val="002028FF"/>
    <w:rsid w:val="002029AC"/>
    <w:rsid w:val="002029F0"/>
    <w:rsid w:val="00202B21"/>
    <w:rsid w:val="00202BB0"/>
    <w:rsid w:val="00202C22"/>
    <w:rsid w:val="00202D63"/>
    <w:rsid w:val="00202D9D"/>
    <w:rsid w:val="00202F2A"/>
    <w:rsid w:val="00203053"/>
    <w:rsid w:val="00203182"/>
    <w:rsid w:val="002032F9"/>
    <w:rsid w:val="00203405"/>
    <w:rsid w:val="002034FA"/>
    <w:rsid w:val="00203503"/>
    <w:rsid w:val="00203520"/>
    <w:rsid w:val="002035A8"/>
    <w:rsid w:val="00203737"/>
    <w:rsid w:val="002037AC"/>
    <w:rsid w:val="00203841"/>
    <w:rsid w:val="0020398F"/>
    <w:rsid w:val="00203A26"/>
    <w:rsid w:val="00203B5B"/>
    <w:rsid w:val="00203BD9"/>
    <w:rsid w:val="00203CA0"/>
    <w:rsid w:val="00203D33"/>
    <w:rsid w:val="00203E1D"/>
    <w:rsid w:val="002040BB"/>
    <w:rsid w:val="00204165"/>
    <w:rsid w:val="002041EB"/>
    <w:rsid w:val="00204466"/>
    <w:rsid w:val="002045EC"/>
    <w:rsid w:val="002047E5"/>
    <w:rsid w:val="0020482C"/>
    <w:rsid w:val="00204972"/>
    <w:rsid w:val="00204C84"/>
    <w:rsid w:val="00204CAE"/>
    <w:rsid w:val="00204CB1"/>
    <w:rsid w:val="00204D84"/>
    <w:rsid w:val="00204D9C"/>
    <w:rsid w:val="00204DD7"/>
    <w:rsid w:val="00204E6B"/>
    <w:rsid w:val="00204F75"/>
    <w:rsid w:val="00204F9B"/>
    <w:rsid w:val="00204FE0"/>
    <w:rsid w:val="00205125"/>
    <w:rsid w:val="0020518E"/>
    <w:rsid w:val="002051EB"/>
    <w:rsid w:val="0020546E"/>
    <w:rsid w:val="00205478"/>
    <w:rsid w:val="002054EB"/>
    <w:rsid w:val="002054F1"/>
    <w:rsid w:val="0020569E"/>
    <w:rsid w:val="0020577D"/>
    <w:rsid w:val="0020578E"/>
    <w:rsid w:val="00205BED"/>
    <w:rsid w:val="00205C02"/>
    <w:rsid w:val="00206099"/>
    <w:rsid w:val="002063F2"/>
    <w:rsid w:val="0020640C"/>
    <w:rsid w:val="00206486"/>
    <w:rsid w:val="002065A6"/>
    <w:rsid w:val="00206621"/>
    <w:rsid w:val="002067B5"/>
    <w:rsid w:val="0020682C"/>
    <w:rsid w:val="0020685B"/>
    <w:rsid w:val="0020685E"/>
    <w:rsid w:val="00206882"/>
    <w:rsid w:val="00206CDE"/>
    <w:rsid w:val="00206DD4"/>
    <w:rsid w:val="00206DDB"/>
    <w:rsid w:val="00206E7D"/>
    <w:rsid w:val="00206E8C"/>
    <w:rsid w:val="00206ED4"/>
    <w:rsid w:val="002071C0"/>
    <w:rsid w:val="00207251"/>
    <w:rsid w:val="002073E7"/>
    <w:rsid w:val="00207479"/>
    <w:rsid w:val="002074D5"/>
    <w:rsid w:val="00207511"/>
    <w:rsid w:val="0020754A"/>
    <w:rsid w:val="00207562"/>
    <w:rsid w:val="002075BE"/>
    <w:rsid w:val="002075C1"/>
    <w:rsid w:val="002077F1"/>
    <w:rsid w:val="00207888"/>
    <w:rsid w:val="00207950"/>
    <w:rsid w:val="00207965"/>
    <w:rsid w:val="00207B10"/>
    <w:rsid w:val="00207C0E"/>
    <w:rsid w:val="00207C7B"/>
    <w:rsid w:val="00207DDC"/>
    <w:rsid w:val="00207E04"/>
    <w:rsid w:val="00207E6F"/>
    <w:rsid w:val="00207ECB"/>
    <w:rsid w:val="00210010"/>
    <w:rsid w:val="00210037"/>
    <w:rsid w:val="002101CA"/>
    <w:rsid w:val="00210213"/>
    <w:rsid w:val="00210240"/>
    <w:rsid w:val="002104DC"/>
    <w:rsid w:val="002104DD"/>
    <w:rsid w:val="00210510"/>
    <w:rsid w:val="0021064C"/>
    <w:rsid w:val="002106EB"/>
    <w:rsid w:val="002107C4"/>
    <w:rsid w:val="00210954"/>
    <w:rsid w:val="00210961"/>
    <w:rsid w:val="00210B06"/>
    <w:rsid w:val="00210C0A"/>
    <w:rsid w:val="00210C3D"/>
    <w:rsid w:val="00210D20"/>
    <w:rsid w:val="00210F64"/>
    <w:rsid w:val="002114E7"/>
    <w:rsid w:val="00211560"/>
    <w:rsid w:val="00211684"/>
    <w:rsid w:val="002117D2"/>
    <w:rsid w:val="0021180E"/>
    <w:rsid w:val="00211853"/>
    <w:rsid w:val="00211A92"/>
    <w:rsid w:val="00211AD2"/>
    <w:rsid w:val="00211C1E"/>
    <w:rsid w:val="00211E57"/>
    <w:rsid w:val="00211F3B"/>
    <w:rsid w:val="00211FBF"/>
    <w:rsid w:val="00212148"/>
    <w:rsid w:val="00212156"/>
    <w:rsid w:val="002122A8"/>
    <w:rsid w:val="002123CF"/>
    <w:rsid w:val="00212440"/>
    <w:rsid w:val="00212491"/>
    <w:rsid w:val="002124EB"/>
    <w:rsid w:val="002125EA"/>
    <w:rsid w:val="0021284A"/>
    <w:rsid w:val="002129EB"/>
    <w:rsid w:val="002129FB"/>
    <w:rsid w:val="00212AD0"/>
    <w:rsid w:val="00212C11"/>
    <w:rsid w:val="00212C5F"/>
    <w:rsid w:val="00212ED9"/>
    <w:rsid w:val="00212F51"/>
    <w:rsid w:val="00212FE9"/>
    <w:rsid w:val="00213133"/>
    <w:rsid w:val="00213169"/>
    <w:rsid w:val="00213178"/>
    <w:rsid w:val="00213300"/>
    <w:rsid w:val="002133D1"/>
    <w:rsid w:val="0021348C"/>
    <w:rsid w:val="00213659"/>
    <w:rsid w:val="0021394F"/>
    <w:rsid w:val="00213C28"/>
    <w:rsid w:val="00213E5B"/>
    <w:rsid w:val="00213E70"/>
    <w:rsid w:val="00213F07"/>
    <w:rsid w:val="00213F33"/>
    <w:rsid w:val="00213FD3"/>
    <w:rsid w:val="00214022"/>
    <w:rsid w:val="00214042"/>
    <w:rsid w:val="00214114"/>
    <w:rsid w:val="0021416E"/>
    <w:rsid w:val="002142A5"/>
    <w:rsid w:val="002142CA"/>
    <w:rsid w:val="00214327"/>
    <w:rsid w:val="00214467"/>
    <w:rsid w:val="00214479"/>
    <w:rsid w:val="00214493"/>
    <w:rsid w:val="00214579"/>
    <w:rsid w:val="0021462E"/>
    <w:rsid w:val="00214745"/>
    <w:rsid w:val="0021498E"/>
    <w:rsid w:val="002149F3"/>
    <w:rsid w:val="00214A9D"/>
    <w:rsid w:val="00214C91"/>
    <w:rsid w:val="00214CB9"/>
    <w:rsid w:val="00214DFA"/>
    <w:rsid w:val="00214EA0"/>
    <w:rsid w:val="00214EFA"/>
    <w:rsid w:val="00214F54"/>
    <w:rsid w:val="00215109"/>
    <w:rsid w:val="0021522E"/>
    <w:rsid w:val="00215363"/>
    <w:rsid w:val="002153DF"/>
    <w:rsid w:val="002154E5"/>
    <w:rsid w:val="002155BD"/>
    <w:rsid w:val="002155C4"/>
    <w:rsid w:val="00215701"/>
    <w:rsid w:val="002158E9"/>
    <w:rsid w:val="002159C8"/>
    <w:rsid w:val="00215BC5"/>
    <w:rsid w:val="00215D95"/>
    <w:rsid w:val="00215EB6"/>
    <w:rsid w:val="00215F58"/>
    <w:rsid w:val="00216072"/>
    <w:rsid w:val="002161C9"/>
    <w:rsid w:val="002161E1"/>
    <w:rsid w:val="002161EF"/>
    <w:rsid w:val="002162FD"/>
    <w:rsid w:val="002163BB"/>
    <w:rsid w:val="00216435"/>
    <w:rsid w:val="002164A9"/>
    <w:rsid w:val="002164C5"/>
    <w:rsid w:val="00216669"/>
    <w:rsid w:val="002166C1"/>
    <w:rsid w:val="002166E9"/>
    <w:rsid w:val="00216740"/>
    <w:rsid w:val="002167D1"/>
    <w:rsid w:val="0021691B"/>
    <w:rsid w:val="0021699E"/>
    <w:rsid w:val="002169B1"/>
    <w:rsid w:val="002169ED"/>
    <w:rsid w:val="00216A1B"/>
    <w:rsid w:val="00216A54"/>
    <w:rsid w:val="00216AE4"/>
    <w:rsid w:val="00216B34"/>
    <w:rsid w:val="00216BFB"/>
    <w:rsid w:val="00216CA3"/>
    <w:rsid w:val="00216D6F"/>
    <w:rsid w:val="00216DA4"/>
    <w:rsid w:val="00216E77"/>
    <w:rsid w:val="00216EB8"/>
    <w:rsid w:val="002170AE"/>
    <w:rsid w:val="00217198"/>
    <w:rsid w:val="00217249"/>
    <w:rsid w:val="00217448"/>
    <w:rsid w:val="002174BE"/>
    <w:rsid w:val="002174FF"/>
    <w:rsid w:val="002175B6"/>
    <w:rsid w:val="002175F2"/>
    <w:rsid w:val="0021764D"/>
    <w:rsid w:val="0021766C"/>
    <w:rsid w:val="002176C5"/>
    <w:rsid w:val="0021775A"/>
    <w:rsid w:val="00217872"/>
    <w:rsid w:val="00217A15"/>
    <w:rsid w:val="00217BEF"/>
    <w:rsid w:val="00217C29"/>
    <w:rsid w:val="00217D6A"/>
    <w:rsid w:val="00220296"/>
    <w:rsid w:val="002203F2"/>
    <w:rsid w:val="0022059C"/>
    <w:rsid w:val="00220703"/>
    <w:rsid w:val="0022074D"/>
    <w:rsid w:val="002207FA"/>
    <w:rsid w:val="00220853"/>
    <w:rsid w:val="002208F3"/>
    <w:rsid w:val="0022091D"/>
    <w:rsid w:val="00220A09"/>
    <w:rsid w:val="00220A9B"/>
    <w:rsid w:val="00220AC7"/>
    <w:rsid w:val="00220BAC"/>
    <w:rsid w:val="00220BE2"/>
    <w:rsid w:val="00220C68"/>
    <w:rsid w:val="00220C9D"/>
    <w:rsid w:val="00220D15"/>
    <w:rsid w:val="00220D87"/>
    <w:rsid w:val="00220FAA"/>
    <w:rsid w:val="002210CA"/>
    <w:rsid w:val="0022125C"/>
    <w:rsid w:val="002212F6"/>
    <w:rsid w:val="0022139B"/>
    <w:rsid w:val="00221402"/>
    <w:rsid w:val="00221745"/>
    <w:rsid w:val="00221824"/>
    <w:rsid w:val="0022185A"/>
    <w:rsid w:val="00221904"/>
    <w:rsid w:val="00221B11"/>
    <w:rsid w:val="00221B90"/>
    <w:rsid w:val="00221D0F"/>
    <w:rsid w:val="00221DD2"/>
    <w:rsid w:val="00221E83"/>
    <w:rsid w:val="00222091"/>
    <w:rsid w:val="0022209B"/>
    <w:rsid w:val="00222162"/>
    <w:rsid w:val="0022266C"/>
    <w:rsid w:val="0022267F"/>
    <w:rsid w:val="0022268D"/>
    <w:rsid w:val="002226F1"/>
    <w:rsid w:val="00222722"/>
    <w:rsid w:val="0022283B"/>
    <w:rsid w:val="002229F0"/>
    <w:rsid w:val="00222A70"/>
    <w:rsid w:val="00222AE0"/>
    <w:rsid w:val="00222BA3"/>
    <w:rsid w:val="00222BAF"/>
    <w:rsid w:val="00222BF9"/>
    <w:rsid w:val="00222C08"/>
    <w:rsid w:val="00222C65"/>
    <w:rsid w:val="00222DC3"/>
    <w:rsid w:val="00222EAA"/>
    <w:rsid w:val="00222F38"/>
    <w:rsid w:val="00222FE1"/>
    <w:rsid w:val="00223086"/>
    <w:rsid w:val="002230E3"/>
    <w:rsid w:val="00223177"/>
    <w:rsid w:val="002231EB"/>
    <w:rsid w:val="00223235"/>
    <w:rsid w:val="0022325C"/>
    <w:rsid w:val="0022325F"/>
    <w:rsid w:val="002232A7"/>
    <w:rsid w:val="002233AC"/>
    <w:rsid w:val="00223471"/>
    <w:rsid w:val="002234CE"/>
    <w:rsid w:val="002235E8"/>
    <w:rsid w:val="00223642"/>
    <w:rsid w:val="00223659"/>
    <w:rsid w:val="00223688"/>
    <w:rsid w:val="002236C0"/>
    <w:rsid w:val="00223838"/>
    <w:rsid w:val="002238D9"/>
    <w:rsid w:val="00223921"/>
    <w:rsid w:val="002239EA"/>
    <w:rsid w:val="00223B45"/>
    <w:rsid w:val="00223C10"/>
    <w:rsid w:val="00223D28"/>
    <w:rsid w:val="00223F1F"/>
    <w:rsid w:val="00224016"/>
    <w:rsid w:val="0022405B"/>
    <w:rsid w:val="002241D6"/>
    <w:rsid w:val="00224252"/>
    <w:rsid w:val="00224321"/>
    <w:rsid w:val="002243AC"/>
    <w:rsid w:val="002243C2"/>
    <w:rsid w:val="002244D0"/>
    <w:rsid w:val="002244DC"/>
    <w:rsid w:val="00224521"/>
    <w:rsid w:val="00224673"/>
    <w:rsid w:val="00224679"/>
    <w:rsid w:val="002246BE"/>
    <w:rsid w:val="00224771"/>
    <w:rsid w:val="0022492B"/>
    <w:rsid w:val="00224AD4"/>
    <w:rsid w:val="00224AE4"/>
    <w:rsid w:val="00224B7F"/>
    <w:rsid w:val="00224BCC"/>
    <w:rsid w:val="00224C46"/>
    <w:rsid w:val="00224ED0"/>
    <w:rsid w:val="00224FA3"/>
    <w:rsid w:val="00224FD8"/>
    <w:rsid w:val="00224FF0"/>
    <w:rsid w:val="0022503B"/>
    <w:rsid w:val="00225188"/>
    <w:rsid w:val="00225319"/>
    <w:rsid w:val="002253A6"/>
    <w:rsid w:val="002254A6"/>
    <w:rsid w:val="002254AD"/>
    <w:rsid w:val="002254DE"/>
    <w:rsid w:val="002254E3"/>
    <w:rsid w:val="002254F0"/>
    <w:rsid w:val="00225616"/>
    <w:rsid w:val="0022569A"/>
    <w:rsid w:val="002256EF"/>
    <w:rsid w:val="002259AC"/>
    <w:rsid w:val="00225A01"/>
    <w:rsid w:val="00225B15"/>
    <w:rsid w:val="00225D61"/>
    <w:rsid w:val="00225E9C"/>
    <w:rsid w:val="00225EB8"/>
    <w:rsid w:val="00225EDA"/>
    <w:rsid w:val="00225F13"/>
    <w:rsid w:val="00225F26"/>
    <w:rsid w:val="0022602C"/>
    <w:rsid w:val="002261A8"/>
    <w:rsid w:val="00226282"/>
    <w:rsid w:val="00226290"/>
    <w:rsid w:val="002263FF"/>
    <w:rsid w:val="002266D7"/>
    <w:rsid w:val="002267FA"/>
    <w:rsid w:val="00226910"/>
    <w:rsid w:val="00226B25"/>
    <w:rsid w:val="00226C91"/>
    <w:rsid w:val="00226E20"/>
    <w:rsid w:val="00226E27"/>
    <w:rsid w:val="00226EBB"/>
    <w:rsid w:val="00226EE6"/>
    <w:rsid w:val="00226F20"/>
    <w:rsid w:val="00226F4C"/>
    <w:rsid w:val="00226F5C"/>
    <w:rsid w:val="002272A8"/>
    <w:rsid w:val="00227390"/>
    <w:rsid w:val="00227434"/>
    <w:rsid w:val="00227515"/>
    <w:rsid w:val="00227518"/>
    <w:rsid w:val="002275E5"/>
    <w:rsid w:val="00227A39"/>
    <w:rsid w:val="00227BEE"/>
    <w:rsid w:val="00227CBA"/>
    <w:rsid w:val="00227DC9"/>
    <w:rsid w:val="00227DFA"/>
    <w:rsid w:val="00227F27"/>
    <w:rsid w:val="00227FAF"/>
    <w:rsid w:val="00230050"/>
    <w:rsid w:val="0023021F"/>
    <w:rsid w:val="0023025B"/>
    <w:rsid w:val="00230291"/>
    <w:rsid w:val="002302D3"/>
    <w:rsid w:val="002302F8"/>
    <w:rsid w:val="00230676"/>
    <w:rsid w:val="002306E4"/>
    <w:rsid w:val="002306F2"/>
    <w:rsid w:val="00230733"/>
    <w:rsid w:val="002309A5"/>
    <w:rsid w:val="00230AEA"/>
    <w:rsid w:val="00230B86"/>
    <w:rsid w:val="00230C51"/>
    <w:rsid w:val="00230C6A"/>
    <w:rsid w:val="00230DEA"/>
    <w:rsid w:val="00230ECA"/>
    <w:rsid w:val="00230EF6"/>
    <w:rsid w:val="00230EFC"/>
    <w:rsid w:val="00231029"/>
    <w:rsid w:val="00231049"/>
    <w:rsid w:val="0023110E"/>
    <w:rsid w:val="00231174"/>
    <w:rsid w:val="0023140F"/>
    <w:rsid w:val="00231463"/>
    <w:rsid w:val="00231690"/>
    <w:rsid w:val="0023176C"/>
    <w:rsid w:val="00231887"/>
    <w:rsid w:val="002318AA"/>
    <w:rsid w:val="0023198E"/>
    <w:rsid w:val="002319FD"/>
    <w:rsid w:val="00231A46"/>
    <w:rsid w:val="00231A7D"/>
    <w:rsid w:val="00231B6A"/>
    <w:rsid w:val="00231B6C"/>
    <w:rsid w:val="00231C00"/>
    <w:rsid w:val="00231C3F"/>
    <w:rsid w:val="00231C5E"/>
    <w:rsid w:val="00231DAF"/>
    <w:rsid w:val="00231EB6"/>
    <w:rsid w:val="00231EE6"/>
    <w:rsid w:val="002323AD"/>
    <w:rsid w:val="002323FF"/>
    <w:rsid w:val="0023259E"/>
    <w:rsid w:val="00232690"/>
    <w:rsid w:val="00232692"/>
    <w:rsid w:val="0023274B"/>
    <w:rsid w:val="00232773"/>
    <w:rsid w:val="00232863"/>
    <w:rsid w:val="002328DF"/>
    <w:rsid w:val="00232949"/>
    <w:rsid w:val="00232ABE"/>
    <w:rsid w:val="00232CDB"/>
    <w:rsid w:val="00232CF9"/>
    <w:rsid w:val="00232DE6"/>
    <w:rsid w:val="00233072"/>
    <w:rsid w:val="00233138"/>
    <w:rsid w:val="0023315E"/>
    <w:rsid w:val="0023320C"/>
    <w:rsid w:val="0023324B"/>
    <w:rsid w:val="0023362B"/>
    <w:rsid w:val="00233664"/>
    <w:rsid w:val="0023366C"/>
    <w:rsid w:val="00233742"/>
    <w:rsid w:val="00233845"/>
    <w:rsid w:val="002338B0"/>
    <w:rsid w:val="002338EB"/>
    <w:rsid w:val="00233B14"/>
    <w:rsid w:val="00233B60"/>
    <w:rsid w:val="00233BEF"/>
    <w:rsid w:val="00233DDE"/>
    <w:rsid w:val="00233E5A"/>
    <w:rsid w:val="00233EA1"/>
    <w:rsid w:val="00234070"/>
    <w:rsid w:val="002340AE"/>
    <w:rsid w:val="0023447C"/>
    <w:rsid w:val="00234492"/>
    <w:rsid w:val="00234503"/>
    <w:rsid w:val="002345A2"/>
    <w:rsid w:val="00234633"/>
    <w:rsid w:val="0023464A"/>
    <w:rsid w:val="00234893"/>
    <w:rsid w:val="00234999"/>
    <w:rsid w:val="002349C6"/>
    <w:rsid w:val="00234A07"/>
    <w:rsid w:val="00234A7C"/>
    <w:rsid w:val="00234C0A"/>
    <w:rsid w:val="00234E52"/>
    <w:rsid w:val="00234E75"/>
    <w:rsid w:val="00234E82"/>
    <w:rsid w:val="00234EAC"/>
    <w:rsid w:val="002351D0"/>
    <w:rsid w:val="0023526B"/>
    <w:rsid w:val="002352E7"/>
    <w:rsid w:val="00235317"/>
    <w:rsid w:val="002353AF"/>
    <w:rsid w:val="002354C3"/>
    <w:rsid w:val="00235710"/>
    <w:rsid w:val="002357DC"/>
    <w:rsid w:val="00235A01"/>
    <w:rsid w:val="00235A87"/>
    <w:rsid w:val="00235B26"/>
    <w:rsid w:val="00235EDB"/>
    <w:rsid w:val="002360DD"/>
    <w:rsid w:val="0023625B"/>
    <w:rsid w:val="0023639B"/>
    <w:rsid w:val="002365A9"/>
    <w:rsid w:val="0023671C"/>
    <w:rsid w:val="00236782"/>
    <w:rsid w:val="002367DD"/>
    <w:rsid w:val="002368C1"/>
    <w:rsid w:val="00236948"/>
    <w:rsid w:val="002369DB"/>
    <w:rsid w:val="00236B34"/>
    <w:rsid w:val="00236BEC"/>
    <w:rsid w:val="00236C23"/>
    <w:rsid w:val="00236CBD"/>
    <w:rsid w:val="00236EC0"/>
    <w:rsid w:val="00236F78"/>
    <w:rsid w:val="002370DF"/>
    <w:rsid w:val="00237412"/>
    <w:rsid w:val="002374C7"/>
    <w:rsid w:val="002374EC"/>
    <w:rsid w:val="0023755A"/>
    <w:rsid w:val="0023757D"/>
    <w:rsid w:val="0023758A"/>
    <w:rsid w:val="00237656"/>
    <w:rsid w:val="0023780A"/>
    <w:rsid w:val="00237818"/>
    <w:rsid w:val="0023783C"/>
    <w:rsid w:val="00237888"/>
    <w:rsid w:val="0023797C"/>
    <w:rsid w:val="00237AFA"/>
    <w:rsid w:val="00237C3E"/>
    <w:rsid w:val="00237C80"/>
    <w:rsid w:val="00237D28"/>
    <w:rsid w:val="00237D4B"/>
    <w:rsid w:val="00237E2B"/>
    <w:rsid w:val="00237F0C"/>
    <w:rsid w:val="00237FE1"/>
    <w:rsid w:val="00240077"/>
    <w:rsid w:val="0024023E"/>
    <w:rsid w:val="00240321"/>
    <w:rsid w:val="00240355"/>
    <w:rsid w:val="002403AB"/>
    <w:rsid w:val="002405BF"/>
    <w:rsid w:val="002406A7"/>
    <w:rsid w:val="002406C0"/>
    <w:rsid w:val="00240854"/>
    <w:rsid w:val="00240960"/>
    <w:rsid w:val="00240B66"/>
    <w:rsid w:val="00240CF5"/>
    <w:rsid w:val="00240D37"/>
    <w:rsid w:val="00240E10"/>
    <w:rsid w:val="00240E7F"/>
    <w:rsid w:val="00240FD6"/>
    <w:rsid w:val="00241429"/>
    <w:rsid w:val="002414B3"/>
    <w:rsid w:val="002414C4"/>
    <w:rsid w:val="002414DA"/>
    <w:rsid w:val="00241692"/>
    <w:rsid w:val="0024169C"/>
    <w:rsid w:val="002416C6"/>
    <w:rsid w:val="002417E7"/>
    <w:rsid w:val="002419F1"/>
    <w:rsid w:val="00241DA3"/>
    <w:rsid w:val="00241E22"/>
    <w:rsid w:val="00241FC9"/>
    <w:rsid w:val="00241FF3"/>
    <w:rsid w:val="0024215F"/>
    <w:rsid w:val="00242208"/>
    <w:rsid w:val="00242300"/>
    <w:rsid w:val="00242648"/>
    <w:rsid w:val="002428D3"/>
    <w:rsid w:val="002429C2"/>
    <w:rsid w:val="00242B28"/>
    <w:rsid w:val="00242BA3"/>
    <w:rsid w:val="00242C66"/>
    <w:rsid w:val="00242D53"/>
    <w:rsid w:val="00242EE5"/>
    <w:rsid w:val="00242F1E"/>
    <w:rsid w:val="002430BA"/>
    <w:rsid w:val="00243146"/>
    <w:rsid w:val="002431A3"/>
    <w:rsid w:val="0024325E"/>
    <w:rsid w:val="0024325F"/>
    <w:rsid w:val="0024339C"/>
    <w:rsid w:val="002433E8"/>
    <w:rsid w:val="00243462"/>
    <w:rsid w:val="002434BF"/>
    <w:rsid w:val="0024350B"/>
    <w:rsid w:val="002437C5"/>
    <w:rsid w:val="00243AB8"/>
    <w:rsid w:val="00243BB4"/>
    <w:rsid w:val="00243BD9"/>
    <w:rsid w:val="00243D33"/>
    <w:rsid w:val="00243D65"/>
    <w:rsid w:val="00243D66"/>
    <w:rsid w:val="00243E4F"/>
    <w:rsid w:val="00243F83"/>
    <w:rsid w:val="002440FB"/>
    <w:rsid w:val="0024413B"/>
    <w:rsid w:val="00244142"/>
    <w:rsid w:val="00244180"/>
    <w:rsid w:val="002445F4"/>
    <w:rsid w:val="00244791"/>
    <w:rsid w:val="002447EE"/>
    <w:rsid w:val="002447F6"/>
    <w:rsid w:val="00244849"/>
    <w:rsid w:val="00244A86"/>
    <w:rsid w:val="00244A8C"/>
    <w:rsid w:val="00244B77"/>
    <w:rsid w:val="00244DCF"/>
    <w:rsid w:val="00244DE6"/>
    <w:rsid w:val="00244F27"/>
    <w:rsid w:val="00245074"/>
    <w:rsid w:val="0024509B"/>
    <w:rsid w:val="00245308"/>
    <w:rsid w:val="002455D2"/>
    <w:rsid w:val="00245609"/>
    <w:rsid w:val="00245686"/>
    <w:rsid w:val="002457B7"/>
    <w:rsid w:val="00245818"/>
    <w:rsid w:val="0024582D"/>
    <w:rsid w:val="00245A38"/>
    <w:rsid w:val="00245B1E"/>
    <w:rsid w:val="00245D3E"/>
    <w:rsid w:val="00245E0A"/>
    <w:rsid w:val="00245F08"/>
    <w:rsid w:val="0024600E"/>
    <w:rsid w:val="00246059"/>
    <w:rsid w:val="0024607F"/>
    <w:rsid w:val="00246126"/>
    <w:rsid w:val="0024633E"/>
    <w:rsid w:val="00246432"/>
    <w:rsid w:val="00246522"/>
    <w:rsid w:val="00246578"/>
    <w:rsid w:val="0024657B"/>
    <w:rsid w:val="002466D4"/>
    <w:rsid w:val="00246710"/>
    <w:rsid w:val="00246856"/>
    <w:rsid w:val="002468E2"/>
    <w:rsid w:val="0024696E"/>
    <w:rsid w:val="002469FC"/>
    <w:rsid w:val="00246A00"/>
    <w:rsid w:val="00246C73"/>
    <w:rsid w:val="00246D68"/>
    <w:rsid w:val="00246DB9"/>
    <w:rsid w:val="00246F0A"/>
    <w:rsid w:val="00247040"/>
    <w:rsid w:val="0024709E"/>
    <w:rsid w:val="002470BE"/>
    <w:rsid w:val="002470C7"/>
    <w:rsid w:val="002471F4"/>
    <w:rsid w:val="0024728B"/>
    <w:rsid w:val="0024741A"/>
    <w:rsid w:val="002474D9"/>
    <w:rsid w:val="0024763C"/>
    <w:rsid w:val="00247688"/>
    <w:rsid w:val="0024777F"/>
    <w:rsid w:val="00247866"/>
    <w:rsid w:val="002478BF"/>
    <w:rsid w:val="002479D2"/>
    <w:rsid w:val="00247AEE"/>
    <w:rsid w:val="00247D27"/>
    <w:rsid w:val="00247FF7"/>
    <w:rsid w:val="002500A5"/>
    <w:rsid w:val="002500D7"/>
    <w:rsid w:val="002500E2"/>
    <w:rsid w:val="0025017E"/>
    <w:rsid w:val="002501CA"/>
    <w:rsid w:val="0025046C"/>
    <w:rsid w:val="0025048E"/>
    <w:rsid w:val="002504B4"/>
    <w:rsid w:val="002504F5"/>
    <w:rsid w:val="002504F9"/>
    <w:rsid w:val="002505FB"/>
    <w:rsid w:val="002505FD"/>
    <w:rsid w:val="002507FB"/>
    <w:rsid w:val="002508F0"/>
    <w:rsid w:val="00250D66"/>
    <w:rsid w:val="00250E1A"/>
    <w:rsid w:val="0025111A"/>
    <w:rsid w:val="00251200"/>
    <w:rsid w:val="002512D9"/>
    <w:rsid w:val="0025135A"/>
    <w:rsid w:val="0025138F"/>
    <w:rsid w:val="00251491"/>
    <w:rsid w:val="00251625"/>
    <w:rsid w:val="002516FB"/>
    <w:rsid w:val="0025172F"/>
    <w:rsid w:val="002517DF"/>
    <w:rsid w:val="002519D6"/>
    <w:rsid w:val="00251A52"/>
    <w:rsid w:val="00251AE5"/>
    <w:rsid w:val="00251B26"/>
    <w:rsid w:val="00251BDB"/>
    <w:rsid w:val="00251C5C"/>
    <w:rsid w:val="00251D11"/>
    <w:rsid w:val="00251DAF"/>
    <w:rsid w:val="00251E7E"/>
    <w:rsid w:val="00251F6B"/>
    <w:rsid w:val="0025213E"/>
    <w:rsid w:val="00252240"/>
    <w:rsid w:val="002522E5"/>
    <w:rsid w:val="002524FD"/>
    <w:rsid w:val="00252602"/>
    <w:rsid w:val="00252624"/>
    <w:rsid w:val="00252643"/>
    <w:rsid w:val="002526FA"/>
    <w:rsid w:val="002527D0"/>
    <w:rsid w:val="00252933"/>
    <w:rsid w:val="002529F2"/>
    <w:rsid w:val="00252CE5"/>
    <w:rsid w:val="00252E2A"/>
    <w:rsid w:val="0025304F"/>
    <w:rsid w:val="002531A9"/>
    <w:rsid w:val="002531AC"/>
    <w:rsid w:val="002531C4"/>
    <w:rsid w:val="0025328B"/>
    <w:rsid w:val="00253297"/>
    <w:rsid w:val="002532DE"/>
    <w:rsid w:val="0025331B"/>
    <w:rsid w:val="002533ED"/>
    <w:rsid w:val="00253844"/>
    <w:rsid w:val="0025388D"/>
    <w:rsid w:val="002538D4"/>
    <w:rsid w:val="0025392F"/>
    <w:rsid w:val="00253935"/>
    <w:rsid w:val="00253975"/>
    <w:rsid w:val="002539F8"/>
    <w:rsid w:val="00253AA0"/>
    <w:rsid w:val="00253AE5"/>
    <w:rsid w:val="00253AF9"/>
    <w:rsid w:val="00253B61"/>
    <w:rsid w:val="00253E80"/>
    <w:rsid w:val="00253F03"/>
    <w:rsid w:val="00253F41"/>
    <w:rsid w:val="00254026"/>
    <w:rsid w:val="0025405B"/>
    <w:rsid w:val="002540BF"/>
    <w:rsid w:val="002541B0"/>
    <w:rsid w:val="002541C0"/>
    <w:rsid w:val="0025426A"/>
    <w:rsid w:val="002543E2"/>
    <w:rsid w:val="002544C7"/>
    <w:rsid w:val="002545E3"/>
    <w:rsid w:val="00254687"/>
    <w:rsid w:val="002547DC"/>
    <w:rsid w:val="00254900"/>
    <w:rsid w:val="0025495E"/>
    <w:rsid w:val="00254B12"/>
    <w:rsid w:val="00254B30"/>
    <w:rsid w:val="00254BC2"/>
    <w:rsid w:val="00254D8B"/>
    <w:rsid w:val="002551BB"/>
    <w:rsid w:val="002551D0"/>
    <w:rsid w:val="00255210"/>
    <w:rsid w:val="0025566D"/>
    <w:rsid w:val="00255713"/>
    <w:rsid w:val="00255735"/>
    <w:rsid w:val="0025577D"/>
    <w:rsid w:val="002557ED"/>
    <w:rsid w:val="002558FD"/>
    <w:rsid w:val="002559FA"/>
    <w:rsid w:val="00255B70"/>
    <w:rsid w:val="00255CEC"/>
    <w:rsid w:val="00255D51"/>
    <w:rsid w:val="00255DCE"/>
    <w:rsid w:val="0025603B"/>
    <w:rsid w:val="0025608F"/>
    <w:rsid w:val="002560F2"/>
    <w:rsid w:val="002561AB"/>
    <w:rsid w:val="002562D5"/>
    <w:rsid w:val="002565A3"/>
    <w:rsid w:val="002565ED"/>
    <w:rsid w:val="00256659"/>
    <w:rsid w:val="00256691"/>
    <w:rsid w:val="002566E0"/>
    <w:rsid w:val="002567E4"/>
    <w:rsid w:val="00256931"/>
    <w:rsid w:val="00256AF2"/>
    <w:rsid w:val="00256CFE"/>
    <w:rsid w:val="00256D6D"/>
    <w:rsid w:val="00256FAC"/>
    <w:rsid w:val="00256FB1"/>
    <w:rsid w:val="0025705F"/>
    <w:rsid w:val="00257091"/>
    <w:rsid w:val="002570DB"/>
    <w:rsid w:val="002570DC"/>
    <w:rsid w:val="00257131"/>
    <w:rsid w:val="00257186"/>
    <w:rsid w:val="002571CC"/>
    <w:rsid w:val="00257206"/>
    <w:rsid w:val="00257287"/>
    <w:rsid w:val="002572EC"/>
    <w:rsid w:val="002573BD"/>
    <w:rsid w:val="0025752C"/>
    <w:rsid w:val="00257542"/>
    <w:rsid w:val="00257589"/>
    <w:rsid w:val="002575E4"/>
    <w:rsid w:val="0025770D"/>
    <w:rsid w:val="00257798"/>
    <w:rsid w:val="002578D9"/>
    <w:rsid w:val="00257929"/>
    <w:rsid w:val="00257ADE"/>
    <w:rsid w:val="00257B0D"/>
    <w:rsid w:val="00257BDB"/>
    <w:rsid w:val="00257C6B"/>
    <w:rsid w:val="00257DCF"/>
    <w:rsid w:val="00257E3E"/>
    <w:rsid w:val="00257F06"/>
    <w:rsid w:val="002600AA"/>
    <w:rsid w:val="002600BC"/>
    <w:rsid w:val="00260104"/>
    <w:rsid w:val="00260474"/>
    <w:rsid w:val="00260636"/>
    <w:rsid w:val="00260944"/>
    <w:rsid w:val="00260A61"/>
    <w:rsid w:val="00260B44"/>
    <w:rsid w:val="00260D33"/>
    <w:rsid w:val="00260D55"/>
    <w:rsid w:val="00260E7F"/>
    <w:rsid w:val="00260F6D"/>
    <w:rsid w:val="0026105B"/>
    <w:rsid w:val="002611D0"/>
    <w:rsid w:val="0026138A"/>
    <w:rsid w:val="0026147F"/>
    <w:rsid w:val="00261680"/>
    <w:rsid w:val="0026193A"/>
    <w:rsid w:val="00261A50"/>
    <w:rsid w:val="00261B11"/>
    <w:rsid w:val="00261C91"/>
    <w:rsid w:val="00261F0D"/>
    <w:rsid w:val="00261F14"/>
    <w:rsid w:val="00261FBF"/>
    <w:rsid w:val="002620BA"/>
    <w:rsid w:val="002620ED"/>
    <w:rsid w:val="002620FE"/>
    <w:rsid w:val="00262134"/>
    <w:rsid w:val="0026216F"/>
    <w:rsid w:val="00262258"/>
    <w:rsid w:val="002623CD"/>
    <w:rsid w:val="002623DA"/>
    <w:rsid w:val="002625D3"/>
    <w:rsid w:val="00262790"/>
    <w:rsid w:val="0026290B"/>
    <w:rsid w:val="00262994"/>
    <w:rsid w:val="00262A73"/>
    <w:rsid w:val="00262A7D"/>
    <w:rsid w:val="00262D00"/>
    <w:rsid w:val="00262D51"/>
    <w:rsid w:val="00262DCB"/>
    <w:rsid w:val="00262E47"/>
    <w:rsid w:val="00262ED5"/>
    <w:rsid w:val="00262F58"/>
    <w:rsid w:val="00263030"/>
    <w:rsid w:val="0026309D"/>
    <w:rsid w:val="00263443"/>
    <w:rsid w:val="00263530"/>
    <w:rsid w:val="0026377D"/>
    <w:rsid w:val="002638C0"/>
    <w:rsid w:val="002638F6"/>
    <w:rsid w:val="00263924"/>
    <w:rsid w:val="00263ABF"/>
    <w:rsid w:val="00263AEF"/>
    <w:rsid w:val="00263BAD"/>
    <w:rsid w:val="00263BC7"/>
    <w:rsid w:val="00263C6E"/>
    <w:rsid w:val="00263C85"/>
    <w:rsid w:val="00263CC7"/>
    <w:rsid w:val="00263D2A"/>
    <w:rsid w:val="00263D70"/>
    <w:rsid w:val="00263FD5"/>
    <w:rsid w:val="002642BE"/>
    <w:rsid w:val="00264380"/>
    <w:rsid w:val="00264450"/>
    <w:rsid w:val="002645AE"/>
    <w:rsid w:val="00264625"/>
    <w:rsid w:val="00264645"/>
    <w:rsid w:val="00264800"/>
    <w:rsid w:val="002648B5"/>
    <w:rsid w:val="002649E0"/>
    <w:rsid w:val="00264C76"/>
    <w:rsid w:val="00264E7C"/>
    <w:rsid w:val="00264ECD"/>
    <w:rsid w:val="00264EDF"/>
    <w:rsid w:val="00264FC3"/>
    <w:rsid w:val="0026507E"/>
    <w:rsid w:val="0026512F"/>
    <w:rsid w:val="0026513D"/>
    <w:rsid w:val="0026514F"/>
    <w:rsid w:val="002652BB"/>
    <w:rsid w:val="002652FB"/>
    <w:rsid w:val="002653D2"/>
    <w:rsid w:val="00265595"/>
    <w:rsid w:val="002655C5"/>
    <w:rsid w:val="0026564F"/>
    <w:rsid w:val="0026577B"/>
    <w:rsid w:val="0026588E"/>
    <w:rsid w:val="0026595D"/>
    <w:rsid w:val="002659F5"/>
    <w:rsid w:val="00265A63"/>
    <w:rsid w:val="00265A73"/>
    <w:rsid w:val="00265BED"/>
    <w:rsid w:val="00265C3A"/>
    <w:rsid w:val="00265D62"/>
    <w:rsid w:val="00265DCA"/>
    <w:rsid w:val="00265F59"/>
    <w:rsid w:val="00265FC0"/>
    <w:rsid w:val="00265FF4"/>
    <w:rsid w:val="0026650C"/>
    <w:rsid w:val="002666D1"/>
    <w:rsid w:val="00266849"/>
    <w:rsid w:val="002669BD"/>
    <w:rsid w:val="002669F5"/>
    <w:rsid w:val="00266A3D"/>
    <w:rsid w:val="00266B73"/>
    <w:rsid w:val="00266C15"/>
    <w:rsid w:val="00266DA0"/>
    <w:rsid w:val="00266E06"/>
    <w:rsid w:val="00266F92"/>
    <w:rsid w:val="00266FE5"/>
    <w:rsid w:val="0026723B"/>
    <w:rsid w:val="0026729E"/>
    <w:rsid w:val="002672A0"/>
    <w:rsid w:val="002672F5"/>
    <w:rsid w:val="0026748F"/>
    <w:rsid w:val="002674A8"/>
    <w:rsid w:val="00267605"/>
    <w:rsid w:val="00267672"/>
    <w:rsid w:val="0026782D"/>
    <w:rsid w:val="00267847"/>
    <w:rsid w:val="00267A25"/>
    <w:rsid w:val="00267C8E"/>
    <w:rsid w:val="00267E3D"/>
    <w:rsid w:val="00267EA2"/>
    <w:rsid w:val="00267EB0"/>
    <w:rsid w:val="00267EB2"/>
    <w:rsid w:val="00267EE1"/>
    <w:rsid w:val="00267F12"/>
    <w:rsid w:val="00270007"/>
    <w:rsid w:val="0027014C"/>
    <w:rsid w:val="002701A7"/>
    <w:rsid w:val="00270210"/>
    <w:rsid w:val="00270235"/>
    <w:rsid w:val="002702EA"/>
    <w:rsid w:val="00270419"/>
    <w:rsid w:val="0027042E"/>
    <w:rsid w:val="002704A3"/>
    <w:rsid w:val="002704CD"/>
    <w:rsid w:val="00270586"/>
    <w:rsid w:val="0027065A"/>
    <w:rsid w:val="0027068D"/>
    <w:rsid w:val="00270717"/>
    <w:rsid w:val="0027080A"/>
    <w:rsid w:val="00270988"/>
    <w:rsid w:val="00270A93"/>
    <w:rsid w:val="00270AA9"/>
    <w:rsid w:val="00270BEB"/>
    <w:rsid w:val="00270C9C"/>
    <w:rsid w:val="00270FD1"/>
    <w:rsid w:val="0027102F"/>
    <w:rsid w:val="00271223"/>
    <w:rsid w:val="00271389"/>
    <w:rsid w:val="002713EF"/>
    <w:rsid w:val="00271493"/>
    <w:rsid w:val="0027165A"/>
    <w:rsid w:val="00271889"/>
    <w:rsid w:val="00271946"/>
    <w:rsid w:val="002719FC"/>
    <w:rsid w:val="00271A89"/>
    <w:rsid w:val="00271BC8"/>
    <w:rsid w:val="00271CD4"/>
    <w:rsid w:val="00271CDD"/>
    <w:rsid w:val="00271D2F"/>
    <w:rsid w:val="00271D93"/>
    <w:rsid w:val="00271DC6"/>
    <w:rsid w:val="00271E6F"/>
    <w:rsid w:val="00272122"/>
    <w:rsid w:val="00272232"/>
    <w:rsid w:val="00272290"/>
    <w:rsid w:val="0027229B"/>
    <w:rsid w:val="00272582"/>
    <w:rsid w:val="002725D6"/>
    <w:rsid w:val="00272692"/>
    <w:rsid w:val="0027270B"/>
    <w:rsid w:val="002728CD"/>
    <w:rsid w:val="002729DC"/>
    <w:rsid w:val="00272AA7"/>
    <w:rsid w:val="00272B96"/>
    <w:rsid w:val="00272C65"/>
    <w:rsid w:val="00272F23"/>
    <w:rsid w:val="002730D9"/>
    <w:rsid w:val="0027321B"/>
    <w:rsid w:val="002732B6"/>
    <w:rsid w:val="00273485"/>
    <w:rsid w:val="00273496"/>
    <w:rsid w:val="0027356B"/>
    <w:rsid w:val="0027364F"/>
    <w:rsid w:val="00273677"/>
    <w:rsid w:val="0027378A"/>
    <w:rsid w:val="002738C9"/>
    <w:rsid w:val="00273A5A"/>
    <w:rsid w:val="00273AA1"/>
    <w:rsid w:val="00273AE3"/>
    <w:rsid w:val="00273B05"/>
    <w:rsid w:val="00273B07"/>
    <w:rsid w:val="00273B46"/>
    <w:rsid w:val="00273C28"/>
    <w:rsid w:val="00273C3A"/>
    <w:rsid w:val="00273EDA"/>
    <w:rsid w:val="00273F19"/>
    <w:rsid w:val="00274027"/>
    <w:rsid w:val="00274134"/>
    <w:rsid w:val="002742DF"/>
    <w:rsid w:val="00274321"/>
    <w:rsid w:val="00274496"/>
    <w:rsid w:val="002744BE"/>
    <w:rsid w:val="002744E2"/>
    <w:rsid w:val="0027451B"/>
    <w:rsid w:val="002746D4"/>
    <w:rsid w:val="0027481C"/>
    <w:rsid w:val="00274916"/>
    <w:rsid w:val="00274A65"/>
    <w:rsid w:val="00274D80"/>
    <w:rsid w:val="00274DEB"/>
    <w:rsid w:val="00274EC1"/>
    <w:rsid w:val="002750D7"/>
    <w:rsid w:val="0027512D"/>
    <w:rsid w:val="00275237"/>
    <w:rsid w:val="00275299"/>
    <w:rsid w:val="002753C6"/>
    <w:rsid w:val="002754AE"/>
    <w:rsid w:val="002755FB"/>
    <w:rsid w:val="00275700"/>
    <w:rsid w:val="00275836"/>
    <w:rsid w:val="0027592F"/>
    <w:rsid w:val="00275ABF"/>
    <w:rsid w:val="00275C33"/>
    <w:rsid w:val="00275C51"/>
    <w:rsid w:val="00275D3F"/>
    <w:rsid w:val="002760B1"/>
    <w:rsid w:val="002760B6"/>
    <w:rsid w:val="002760FC"/>
    <w:rsid w:val="00276289"/>
    <w:rsid w:val="0027638B"/>
    <w:rsid w:val="00276485"/>
    <w:rsid w:val="002767DA"/>
    <w:rsid w:val="0027690C"/>
    <w:rsid w:val="0027699B"/>
    <w:rsid w:val="00276ADB"/>
    <w:rsid w:val="00276B49"/>
    <w:rsid w:val="00276C03"/>
    <w:rsid w:val="00276F6E"/>
    <w:rsid w:val="00276FE4"/>
    <w:rsid w:val="002771AE"/>
    <w:rsid w:val="002772EF"/>
    <w:rsid w:val="002772F7"/>
    <w:rsid w:val="00277383"/>
    <w:rsid w:val="00277426"/>
    <w:rsid w:val="0027763F"/>
    <w:rsid w:val="002777CA"/>
    <w:rsid w:val="0027781D"/>
    <w:rsid w:val="00277822"/>
    <w:rsid w:val="00277A1C"/>
    <w:rsid w:val="00277B5A"/>
    <w:rsid w:val="00277EE7"/>
    <w:rsid w:val="00277EFF"/>
    <w:rsid w:val="00277F44"/>
    <w:rsid w:val="00280095"/>
    <w:rsid w:val="00280146"/>
    <w:rsid w:val="002801DE"/>
    <w:rsid w:val="00280320"/>
    <w:rsid w:val="002804E0"/>
    <w:rsid w:val="0028059D"/>
    <w:rsid w:val="002805E0"/>
    <w:rsid w:val="00280632"/>
    <w:rsid w:val="00280664"/>
    <w:rsid w:val="002806B9"/>
    <w:rsid w:val="00280751"/>
    <w:rsid w:val="00280858"/>
    <w:rsid w:val="00280928"/>
    <w:rsid w:val="00280A99"/>
    <w:rsid w:val="00280B38"/>
    <w:rsid w:val="00280BBB"/>
    <w:rsid w:val="00280D16"/>
    <w:rsid w:val="00280D3F"/>
    <w:rsid w:val="00280DC6"/>
    <w:rsid w:val="00280FAA"/>
    <w:rsid w:val="00281335"/>
    <w:rsid w:val="002813DB"/>
    <w:rsid w:val="0028159C"/>
    <w:rsid w:val="002815CF"/>
    <w:rsid w:val="0028162F"/>
    <w:rsid w:val="002816C3"/>
    <w:rsid w:val="00281882"/>
    <w:rsid w:val="00281921"/>
    <w:rsid w:val="00281A7C"/>
    <w:rsid w:val="00281AA9"/>
    <w:rsid w:val="00281AFB"/>
    <w:rsid w:val="00281B01"/>
    <w:rsid w:val="00281B3D"/>
    <w:rsid w:val="00281D8B"/>
    <w:rsid w:val="00281DEC"/>
    <w:rsid w:val="00281EA6"/>
    <w:rsid w:val="00281EC0"/>
    <w:rsid w:val="00281FCE"/>
    <w:rsid w:val="002821A4"/>
    <w:rsid w:val="00282333"/>
    <w:rsid w:val="0028238A"/>
    <w:rsid w:val="0028262A"/>
    <w:rsid w:val="0028264C"/>
    <w:rsid w:val="00282650"/>
    <w:rsid w:val="0028266C"/>
    <w:rsid w:val="002826E1"/>
    <w:rsid w:val="0028271A"/>
    <w:rsid w:val="0028279E"/>
    <w:rsid w:val="0028287D"/>
    <w:rsid w:val="00282AC2"/>
    <w:rsid w:val="00282AF8"/>
    <w:rsid w:val="00282C0F"/>
    <w:rsid w:val="00282E2D"/>
    <w:rsid w:val="00282EA3"/>
    <w:rsid w:val="00282F3C"/>
    <w:rsid w:val="00283038"/>
    <w:rsid w:val="002830CB"/>
    <w:rsid w:val="00283219"/>
    <w:rsid w:val="0028323B"/>
    <w:rsid w:val="002832ED"/>
    <w:rsid w:val="00283375"/>
    <w:rsid w:val="002833A8"/>
    <w:rsid w:val="00283538"/>
    <w:rsid w:val="002835BF"/>
    <w:rsid w:val="00283649"/>
    <w:rsid w:val="002837DC"/>
    <w:rsid w:val="002838D9"/>
    <w:rsid w:val="0028394F"/>
    <w:rsid w:val="002839B9"/>
    <w:rsid w:val="00283BD9"/>
    <w:rsid w:val="00283DDD"/>
    <w:rsid w:val="0028417C"/>
    <w:rsid w:val="002843C6"/>
    <w:rsid w:val="002847D2"/>
    <w:rsid w:val="00284852"/>
    <w:rsid w:val="0028497A"/>
    <w:rsid w:val="00284A7D"/>
    <w:rsid w:val="00284C98"/>
    <w:rsid w:val="00284E9F"/>
    <w:rsid w:val="00284EC4"/>
    <w:rsid w:val="00284FB8"/>
    <w:rsid w:val="00285055"/>
    <w:rsid w:val="002850B3"/>
    <w:rsid w:val="00285161"/>
    <w:rsid w:val="002852A2"/>
    <w:rsid w:val="00285429"/>
    <w:rsid w:val="00285578"/>
    <w:rsid w:val="002855CF"/>
    <w:rsid w:val="002856B5"/>
    <w:rsid w:val="002856C5"/>
    <w:rsid w:val="002856D1"/>
    <w:rsid w:val="00285741"/>
    <w:rsid w:val="00285BD8"/>
    <w:rsid w:val="00285C02"/>
    <w:rsid w:val="00285D0C"/>
    <w:rsid w:val="00285D12"/>
    <w:rsid w:val="00285E3B"/>
    <w:rsid w:val="00285F91"/>
    <w:rsid w:val="002860B5"/>
    <w:rsid w:val="0028626A"/>
    <w:rsid w:val="0028627E"/>
    <w:rsid w:val="00286322"/>
    <w:rsid w:val="0028632C"/>
    <w:rsid w:val="002866FE"/>
    <w:rsid w:val="0028679E"/>
    <w:rsid w:val="002867DF"/>
    <w:rsid w:val="00286C1D"/>
    <w:rsid w:val="00286DC9"/>
    <w:rsid w:val="002871EA"/>
    <w:rsid w:val="00287216"/>
    <w:rsid w:val="0028723A"/>
    <w:rsid w:val="0028774B"/>
    <w:rsid w:val="00287867"/>
    <w:rsid w:val="0028797C"/>
    <w:rsid w:val="00287AAC"/>
    <w:rsid w:val="00287B65"/>
    <w:rsid w:val="00287CBC"/>
    <w:rsid w:val="00287D41"/>
    <w:rsid w:val="00287DF6"/>
    <w:rsid w:val="00287FD2"/>
    <w:rsid w:val="0029012E"/>
    <w:rsid w:val="002901D3"/>
    <w:rsid w:val="002903B0"/>
    <w:rsid w:val="00290550"/>
    <w:rsid w:val="002905A0"/>
    <w:rsid w:val="002905D0"/>
    <w:rsid w:val="002906F9"/>
    <w:rsid w:val="0029071D"/>
    <w:rsid w:val="00290778"/>
    <w:rsid w:val="0029090C"/>
    <w:rsid w:val="00290964"/>
    <w:rsid w:val="00290A40"/>
    <w:rsid w:val="00290DED"/>
    <w:rsid w:val="00290E08"/>
    <w:rsid w:val="00290F4C"/>
    <w:rsid w:val="0029130D"/>
    <w:rsid w:val="0029156A"/>
    <w:rsid w:val="00291601"/>
    <w:rsid w:val="00291644"/>
    <w:rsid w:val="0029167D"/>
    <w:rsid w:val="002916C0"/>
    <w:rsid w:val="002919C7"/>
    <w:rsid w:val="00291A39"/>
    <w:rsid w:val="00291ACD"/>
    <w:rsid w:val="00291BCF"/>
    <w:rsid w:val="00291BFB"/>
    <w:rsid w:val="00291C06"/>
    <w:rsid w:val="00291E4D"/>
    <w:rsid w:val="0029248A"/>
    <w:rsid w:val="00292648"/>
    <w:rsid w:val="00292664"/>
    <w:rsid w:val="002926D4"/>
    <w:rsid w:val="002928A8"/>
    <w:rsid w:val="002929EC"/>
    <w:rsid w:val="00292A14"/>
    <w:rsid w:val="00292BC9"/>
    <w:rsid w:val="00292CD6"/>
    <w:rsid w:val="00292CF7"/>
    <w:rsid w:val="002931CD"/>
    <w:rsid w:val="00293406"/>
    <w:rsid w:val="00293415"/>
    <w:rsid w:val="002935E5"/>
    <w:rsid w:val="002937A2"/>
    <w:rsid w:val="002937EF"/>
    <w:rsid w:val="0029390E"/>
    <w:rsid w:val="00293ADE"/>
    <w:rsid w:val="00293BA3"/>
    <w:rsid w:val="00293BB3"/>
    <w:rsid w:val="00293C53"/>
    <w:rsid w:val="00293CF9"/>
    <w:rsid w:val="00293E10"/>
    <w:rsid w:val="00293ED7"/>
    <w:rsid w:val="002941DF"/>
    <w:rsid w:val="002942AC"/>
    <w:rsid w:val="002942B0"/>
    <w:rsid w:val="00294488"/>
    <w:rsid w:val="002944C4"/>
    <w:rsid w:val="0029457B"/>
    <w:rsid w:val="00294777"/>
    <w:rsid w:val="00294A01"/>
    <w:rsid w:val="00294A3E"/>
    <w:rsid w:val="00294AB1"/>
    <w:rsid w:val="00294ADC"/>
    <w:rsid w:val="00294BFD"/>
    <w:rsid w:val="00294C3D"/>
    <w:rsid w:val="00294C45"/>
    <w:rsid w:val="00294FCB"/>
    <w:rsid w:val="00295241"/>
    <w:rsid w:val="0029525A"/>
    <w:rsid w:val="0029529C"/>
    <w:rsid w:val="002952BD"/>
    <w:rsid w:val="00295331"/>
    <w:rsid w:val="0029535B"/>
    <w:rsid w:val="00295386"/>
    <w:rsid w:val="00295389"/>
    <w:rsid w:val="0029557F"/>
    <w:rsid w:val="00295751"/>
    <w:rsid w:val="00295860"/>
    <w:rsid w:val="0029598D"/>
    <w:rsid w:val="00295AA1"/>
    <w:rsid w:val="00295AC8"/>
    <w:rsid w:val="00295EA4"/>
    <w:rsid w:val="00295F83"/>
    <w:rsid w:val="0029608F"/>
    <w:rsid w:val="002960BB"/>
    <w:rsid w:val="002960E8"/>
    <w:rsid w:val="002960EC"/>
    <w:rsid w:val="00296268"/>
    <w:rsid w:val="00296393"/>
    <w:rsid w:val="0029639B"/>
    <w:rsid w:val="002964AD"/>
    <w:rsid w:val="00296716"/>
    <w:rsid w:val="00296760"/>
    <w:rsid w:val="002968BA"/>
    <w:rsid w:val="002969D4"/>
    <w:rsid w:val="00296B45"/>
    <w:rsid w:val="00296CFB"/>
    <w:rsid w:val="00296DC2"/>
    <w:rsid w:val="00296FEF"/>
    <w:rsid w:val="00297109"/>
    <w:rsid w:val="002971E0"/>
    <w:rsid w:val="002972BB"/>
    <w:rsid w:val="0029742B"/>
    <w:rsid w:val="00297463"/>
    <w:rsid w:val="00297469"/>
    <w:rsid w:val="002975A5"/>
    <w:rsid w:val="00297614"/>
    <w:rsid w:val="00297939"/>
    <w:rsid w:val="00297958"/>
    <w:rsid w:val="0029796F"/>
    <w:rsid w:val="002979C5"/>
    <w:rsid w:val="00297C22"/>
    <w:rsid w:val="00297CD7"/>
    <w:rsid w:val="00297D2B"/>
    <w:rsid w:val="00297FAE"/>
    <w:rsid w:val="002A00C4"/>
    <w:rsid w:val="002A01E0"/>
    <w:rsid w:val="002A01F4"/>
    <w:rsid w:val="002A0244"/>
    <w:rsid w:val="002A02BC"/>
    <w:rsid w:val="002A039D"/>
    <w:rsid w:val="002A04E3"/>
    <w:rsid w:val="002A0527"/>
    <w:rsid w:val="002A055B"/>
    <w:rsid w:val="002A061F"/>
    <w:rsid w:val="002A0640"/>
    <w:rsid w:val="002A0656"/>
    <w:rsid w:val="002A087E"/>
    <w:rsid w:val="002A08CC"/>
    <w:rsid w:val="002A0A1D"/>
    <w:rsid w:val="002A0AAF"/>
    <w:rsid w:val="002A0C7D"/>
    <w:rsid w:val="002A0D48"/>
    <w:rsid w:val="002A0D7A"/>
    <w:rsid w:val="002A0DBF"/>
    <w:rsid w:val="002A0E0E"/>
    <w:rsid w:val="002A0E17"/>
    <w:rsid w:val="002A1086"/>
    <w:rsid w:val="002A115C"/>
    <w:rsid w:val="002A12DA"/>
    <w:rsid w:val="002A1427"/>
    <w:rsid w:val="002A157F"/>
    <w:rsid w:val="002A1692"/>
    <w:rsid w:val="002A16D5"/>
    <w:rsid w:val="002A1714"/>
    <w:rsid w:val="002A17FA"/>
    <w:rsid w:val="002A1901"/>
    <w:rsid w:val="002A1AA7"/>
    <w:rsid w:val="002A1ADE"/>
    <w:rsid w:val="002A1B05"/>
    <w:rsid w:val="002A1BA3"/>
    <w:rsid w:val="002A1C15"/>
    <w:rsid w:val="002A1D0C"/>
    <w:rsid w:val="002A1E74"/>
    <w:rsid w:val="002A204B"/>
    <w:rsid w:val="002A2474"/>
    <w:rsid w:val="002A24BD"/>
    <w:rsid w:val="002A2530"/>
    <w:rsid w:val="002A266A"/>
    <w:rsid w:val="002A27EB"/>
    <w:rsid w:val="002A2BBF"/>
    <w:rsid w:val="002A2BC9"/>
    <w:rsid w:val="002A2CB8"/>
    <w:rsid w:val="002A2D3F"/>
    <w:rsid w:val="002A2D59"/>
    <w:rsid w:val="002A2E94"/>
    <w:rsid w:val="002A2F28"/>
    <w:rsid w:val="002A2FA7"/>
    <w:rsid w:val="002A302D"/>
    <w:rsid w:val="002A3055"/>
    <w:rsid w:val="002A30E2"/>
    <w:rsid w:val="002A32C1"/>
    <w:rsid w:val="002A3332"/>
    <w:rsid w:val="002A33C7"/>
    <w:rsid w:val="002A3413"/>
    <w:rsid w:val="002A343F"/>
    <w:rsid w:val="002A348E"/>
    <w:rsid w:val="002A355C"/>
    <w:rsid w:val="002A3592"/>
    <w:rsid w:val="002A366C"/>
    <w:rsid w:val="002A3782"/>
    <w:rsid w:val="002A38A6"/>
    <w:rsid w:val="002A38EF"/>
    <w:rsid w:val="002A395C"/>
    <w:rsid w:val="002A39AF"/>
    <w:rsid w:val="002A39BC"/>
    <w:rsid w:val="002A3A0F"/>
    <w:rsid w:val="002A3A43"/>
    <w:rsid w:val="002A3A72"/>
    <w:rsid w:val="002A3AA8"/>
    <w:rsid w:val="002A3B99"/>
    <w:rsid w:val="002A3E62"/>
    <w:rsid w:val="002A3ED2"/>
    <w:rsid w:val="002A3F98"/>
    <w:rsid w:val="002A3F99"/>
    <w:rsid w:val="002A407F"/>
    <w:rsid w:val="002A418A"/>
    <w:rsid w:val="002A419A"/>
    <w:rsid w:val="002A4234"/>
    <w:rsid w:val="002A426C"/>
    <w:rsid w:val="002A43B8"/>
    <w:rsid w:val="002A43ED"/>
    <w:rsid w:val="002A440F"/>
    <w:rsid w:val="002A4572"/>
    <w:rsid w:val="002A47D8"/>
    <w:rsid w:val="002A4862"/>
    <w:rsid w:val="002A49C2"/>
    <w:rsid w:val="002A4BAB"/>
    <w:rsid w:val="002A4BF4"/>
    <w:rsid w:val="002A4D46"/>
    <w:rsid w:val="002A4DC8"/>
    <w:rsid w:val="002A4E0F"/>
    <w:rsid w:val="002A502A"/>
    <w:rsid w:val="002A50DD"/>
    <w:rsid w:val="002A50E8"/>
    <w:rsid w:val="002A5124"/>
    <w:rsid w:val="002A5170"/>
    <w:rsid w:val="002A5322"/>
    <w:rsid w:val="002A5420"/>
    <w:rsid w:val="002A54EB"/>
    <w:rsid w:val="002A552B"/>
    <w:rsid w:val="002A5669"/>
    <w:rsid w:val="002A57C4"/>
    <w:rsid w:val="002A58E4"/>
    <w:rsid w:val="002A5904"/>
    <w:rsid w:val="002A596D"/>
    <w:rsid w:val="002A59BA"/>
    <w:rsid w:val="002A5A4D"/>
    <w:rsid w:val="002A5B4E"/>
    <w:rsid w:val="002A5C9C"/>
    <w:rsid w:val="002A5CC9"/>
    <w:rsid w:val="002A5D18"/>
    <w:rsid w:val="002A5E42"/>
    <w:rsid w:val="002A5EFC"/>
    <w:rsid w:val="002A5F18"/>
    <w:rsid w:val="002A5F6B"/>
    <w:rsid w:val="002A5F9B"/>
    <w:rsid w:val="002A5FAC"/>
    <w:rsid w:val="002A6342"/>
    <w:rsid w:val="002A6352"/>
    <w:rsid w:val="002A63AF"/>
    <w:rsid w:val="002A644A"/>
    <w:rsid w:val="002A644E"/>
    <w:rsid w:val="002A6467"/>
    <w:rsid w:val="002A6480"/>
    <w:rsid w:val="002A64BB"/>
    <w:rsid w:val="002A64C8"/>
    <w:rsid w:val="002A64DB"/>
    <w:rsid w:val="002A6531"/>
    <w:rsid w:val="002A6620"/>
    <w:rsid w:val="002A67F0"/>
    <w:rsid w:val="002A681C"/>
    <w:rsid w:val="002A6861"/>
    <w:rsid w:val="002A68A4"/>
    <w:rsid w:val="002A68A9"/>
    <w:rsid w:val="002A696F"/>
    <w:rsid w:val="002A6A26"/>
    <w:rsid w:val="002A6CAC"/>
    <w:rsid w:val="002A6CD5"/>
    <w:rsid w:val="002A6D3F"/>
    <w:rsid w:val="002A6E5B"/>
    <w:rsid w:val="002A6ECB"/>
    <w:rsid w:val="002A6ED5"/>
    <w:rsid w:val="002A6ED9"/>
    <w:rsid w:val="002A6F6C"/>
    <w:rsid w:val="002A71BB"/>
    <w:rsid w:val="002A72D6"/>
    <w:rsid w:val="002A7355"/>
    <w:rsid w:val="002A7522"/>
    <w:rsid w:val="002A7534"/>
    <w:rsid w:val="002A767B"/>
    <w:rsid w:val="002A77C7"/>
    <w:rsid w:val="002A77DC"/>
    <w:rsid w:val="002A7804"/>
    <w:rsid w:val="002A79C1"/>
    <w:rsid w:val="002A7B13"/>
    <w:rsid w:val="002A7B7C"/>
    <w:rsid w:val="002A7D2F"/>
    <w:rsid w:val="002A7D86"/>
    <w:rsid w:val="002B007B"/>
    <w:rsid w:val="002B009D"/>
    <w:rsid w:val="002B026A"/>
    <w:rsid w:val="002B03D6"/>
    <w:rsid w:val="002B0572"/>
    <w:rsid w:val="002B06FA"/>
    <w:rsid w:val="002B0703"/>
    <w:rsid w:val="002B0748"/>
    <w:rsid w:val="002B07B2"/>
    <w:rsid w:val="002B0A4B"/>
    <w:rsid w:val="002B0ADD"/>
    <w:rsid w:val="002B0BBF"/>
    <w:rsid w:val="002B10FA"/>
    <w:rsid w:val="002B131D"/>
    <w:rsid w:val="002B1565"/>
    <w:rsid w:val="002B164D"/>
    <w:rsid w:val="002B16DD"/>
    <w:rsid w:val="002B175B"/>
    <w:rsid w:val="002B17C8"/>
    <w:rsid w:val="002B18CF"/>
    <w:rsid w:val="002B18D9"/>
    <w:rsid w:val="002B194A"/>
    <w:rsid w:val="002B1A95"/>
    <w:rsid w:val="002B1D5C"/>
    <w:rsid w:val="002B1D99"/>
    <w:rsid w:val="002B1DCA"/>
    <w:rsid w:val="002B1E27"/>
    <w:rsid w:val="002B202E"/>
    <w:rsid w:val="002B20D3"/>
    <w:rsid w:val="002B2185"/>
    <w:rsid w:val="002B2338"/>
    <w:rsid w:val="002B23F0"/>
    <w:rsid w:val="002B2655"/>
    <w:rsid w:val="002B2754"/>
    <w:rsid w:val="002B27D0"/>
    <w:rsid w:val="002B2820"/>
    <w:rsid w:val="002B2906"/>
    <w:rsid w:val="002B290E"/>
    <w:rsid w:val="002B29AE"/>
    <w:rsid w:val="002B2A3A"/>
    <w:rsid w:val="002B2A63"/>
    <w:rsid w:val="002B2BA4"/>
    <w:rsid w:val="002B2C00"/>
    <w:rsid w:val="002B2C58"/>
    <w:rsid w:val="002B2D09"/>
    <w:rsid w:val="002B2DE8"/>
    <w:rsid w:val="002B2DFA"/>
    <w:rsid w:val="002B2E72"/>
    <w:rsid w:val="002B2ECB"/>
    <w:rsid w:val="002B2ED7"/>
    <w:rsid w:val="002B310B"/>
    <w:rsid w:val="002B32E3"/>
    <w:rsid w:val="002B33FE"/>
    <w:rsid w:val="002B3470"/>
    <w:rsid w:val="002B34F0"/>
    <w:rsid w:val="002B36ED"/>
    <w:rsid w:val="002B3803"/>
    <w:rsid w:val="002B397C"/>
    <w:rsid w:val="002B39CD"/>
    <w:rsid w:val="002B39F9"/>
    <w:rsid w:val="002B3A58"/>
    <w:rsid w:val="002B3B56"/>
    <w:rsid w:val="002B3B6B"/>
    <w:rsid w:val="002B3CD2"/>
    <w:rsid w:val="002B3CEB"/>
    <w:rsid w:val="002B3FF6"/>
    <w:rsid w:val="002B4020"/>
    <w:rsid w:val="002B416D"/>
    <w:rsid w:val="002B42BA"/>
    <w:rsid w:val="002B43B1"/>
    <w:rsid w:val="002B4534"/>
    <w:rsid w:val="002B460D"/>
    <w:rsid w:val="002B46BD"/>
    <w:rsid w:val="002B46C0"/>
    <w:rsid w:val="002B47F6"/>
    <w:rsid w:val="002B47FF"/>
    <w:rsid w:val="002B49A6"/>
    <w:rsid w:val="002B4A9F"/>
    <w:rsid w:val="002B4AFA"/>
    <w:rsid w:val="002B4CB0"/>
    <w:rsid w:val="002B4E5E"/>
    <w:rsid w:val="002B4E9D"/>
    <w:rsid w:val="002B50CF"/>
    <w:rsid w:val="002B510A"/>
    <w:rsid w:val="002B5116"/>
    <w:rsid w:val="002B5503"/>
    <w:rsid w:val="002B5535"/>
    <w:rsid w:val="002B560D"/>
    <w:rsid w:val="002B5622"/>
    <w:rsid w:val="002B5795"/>
    <w:rsid w:val="002B59E8"/>
    <w:rsid w:val="002B5A57"/>
    <w:rsid w:val="002B5B02"/>
    <w:rsid w:val="002B5C7B"/>
    <w:rsid w:val="002B5CD5"/>
    <w:rsid w:val="002B5D85"/>
    <w:rsid w:val="002B5DD9"/>
    <w:rsid w:val="002B5EDF"/>
    <w:rsid w:val="002B5FDD"/>
    <w:rsid w:val="002B6160"/>
    <w:rsid w:val="002B623E"/>
    <w:rsid w:val="002B625C"/>
    <w:rsid w:val="002B6592"/>
    <w:rsid w:val="002B6717"/>
    <w:rsid w:val="002B6839"/>
    <w:rsid w:val="002B688D"/>
    <w:rsid w:val="002B692F"/>
    <w:rsid w:val="002B6952"/>
    <w:rsid w:val="002B69B4"/>
    <w:rsid w:val="002B69BA"/>
    <w:rsid w:val="002B6BC7"/>
    <w:rsid w:val="002B6D05"/>
    <w:rsid w:val="002B6D97"/>
    <w:rsid w:val="002B6DD9"/>
    <w:rsid w:val="002B6E4C"/>
    <w:rsid w:val="002B7028"/>
    <w:rsid w:val="002B711A"/>
    <w:rsid w:val="002B714A"/>
    <w:rsid w:val="002B723B"/>
    <w:rsid w:val="002B7242"/>
    <w:rsid w:val="002B72C5"/>
    <w:rsid w:val="002B75DC"/>
    <w:rsid w:val="002B770D"/>
    <w:rsid w:val="002B7992"/>
    <w:rsid w:val="002B7A1D"/>
    <w:rsid w:val="002B7CB0"/>
    <w:rsid w:val="002B7CB8"/>
    <w:rsid w:val="002B7D18"/>
    <w:rsid w:val="002B7D4D"/>
    <w:rsid w:val="002C024D"/>
    <w:rsid w:val="002C06AC"/>
    <w:rsid w:val="002C06F0"/>
    <w:rsid w:val="002C079C"/>
    <w:rsid w:val="002C0880"/>
    <w:rsid w:val="002C0AF8"/>
    <w:rsid w:val="002C0B0E"/>
    <w:rsid w:val="002C0B2D"/>
    <w:rsid w:val="002C0C0D"/>
    <w:rsid w:val="002C0C8B"/>
    <w:rsid w:val="002C0D0C"/>
    <w:rsid w:val="002C0D29"/>
    <w:rsid w:val="002C0D36"/>
    <w:rsid w:val="002C0DCE"/>
    <w:rsid w:val="002C0E50"/>
    <w:rsid w:val="002C0EA6"/>
    <w:rsid w:val="002C0F7A"/>
    <w:rsid w:val="002C100E"/>
    <w:rsid w:val="002C1171"/>
    <w:rsid w:val="002C1323"/>
    <w:rsid w:val="002C1345"/>
    <w:rsid w:val="002C156E"/>
    <w:rsid w:val="002C158D"/>
    <w:rsid w:val="002C15C9"/>
    <w:rsid w:val="002C163B"/>
    <w:rsid w:val="002C1772"/>
    <w:rsid w:val="002C17B0"/>
    <w:rsid w:val="002C17C9"/>
    <w:rsid w:val="002C1809"/>
    <w:rsid w:val="002C1848"/>
    <w:rsid w:val="002C1AD0"/>
    <w:rsid w:val="002C1B9E"/>
    <w:rsid w:val="002C1DDB"/>
    <w:rsid w:val="002C1E63"/>
    <w:rsid w:val="002C1EAA"/>
    <w:rsid w:val="002C1EB8"/>
    <w:rsid w:val="002C1FA0"/>
    <w:rsid w:val="002C20DF"/>
    <w:rsid w:val="002C21FB"/>
    <w:rsid w:val="002C224A"/>
    <w:rsid w:val="002C256A"/>
    <w:rsid w:val="002C26B1"/>
    <w:rsid w:val="002C2833"/>
    <w:rsid w:val="002C2879"/>
    <w:rsid w:val="002C2A11"/>
    <w:rsid w:val="002C2B02"/>
    <w:rsid w:val="002C2BE8"/>
    <w:rsid w:val="002C2D14"/>
    <w:rsid w:val="002C2D39"/>
    <w:rsid w:val="002C2E11"/>
    <w:rsid w:val="002C2E90"/>
    <w:rsid w:val="002C2F19"/>
    <w:rsid w:val="002C2F5E"/>
    <w:rsid w:val="002C2FA3"/>
    <w:rsid w:val="002C2FC1"/>
    <w:rsid w:val="002C302D"/>
    <w:rsid w:val="002C3046"/>
    <w:rsid w:val="002C30C3"/>
    <w:rsid w:val="002C3223"/>
    <w:rsid w:val="002C326C"/>
    <w:rsid w:val="002C34C0"/>
    <w:rsid w:val="002C35D4"/>
    <w:rsid w:val="002C3680"/>
    <w:rsid w:val="002C376F"/>
    <w:rsid w:val="002C37CD"/>
    <w:rsid w:val="002C39D4"/>
    <w:rsid w:val="002C3BFD"/>
    <w:rsid w:val="002C3E4E"/>
    <w:rsid w:val="002C3E64"/>
    <w:rsid w:val="002C4027"/>
    <w:rsid w:val="002C405A"/>
    <w:rsid w:val="002C423C"/>
    <w:rsid w:val="002C439D"/>
    <w:rsid w:val="002C439F"/>
    <w:rsid w:val="002C43F8"/>
    <w:rsid w:val="002C4538"/>
    <w:rsid w:val="002C4695"/>
    <w:rsid w:val="002C4757"/>
    <w:rsid w:val="002C47F9"/>
    <w:rsid w:val="002C484D"/>
    <w:rsid w:val="002C495F"/>
    <w:rsid w:val="002C49BC"/>
    <w:rsid w:val="002C49BE"/>
    <w:rsid w:val="002C49C4"/>
    <w:rsid w:val="002C49E2"/>
    <w:rsid w:val="002C4A4F"/>
    <w:rsid w:val="002C4A9D"/>
    <w:rsid w:val="002C4D47"/>
    <w:rsid w:val="002C4D7A"/>
    <w:rsid w:val="002C4DE8"/>
    <w:rsid w:val="002C4FB4"/>
    <w:rsid w:val="002C5357"/>
    <w:rsid w:val="002C5442"/>
    <w:rsid w:val="002C5514"/>
    <w:rsid w:val="002C556D"/>
    <w:rsid w:val="002C56B0"/>
    <w:rsid w:val="002C56DD"/>
    <w:rsid w:val="002C56EF"/>
    <w:rsid w:val="002C5731"/>
    <w:rsid w:val="002C573C"/>
    <w:rsid w:val="002C5908"/>
    <w:rsid w:val="002C5A7F"/>
    <w:rsid w:val="002C5DA0"/>
    <w:rsid w:val="002C5DA8"/>
    <w:rsid w:val="002C5F15"/>
    <w:rsid w:val="002C5FEA"/>
    <w:rsid w:val="002C6081"/>
    <w:rsid w:val="002C6597"/>
    <w:rsid w:val="002C663D"/>
    <w:rsid w:val="002C6682"/>
    <w:rsid w:val="002C69FE"/>
    <w:rsid w:val="002C6A21"/>
    <w:rsid w:val="002C6FE7"/>
    <w:rsid w:val="002C7316"/>
    <w:rsid w:val="002C74D5"/>
    <w:rsid w:val="002C7507"/>
    <w:rsid w:val="002C7518"/>
    <w:rsid w:val="002C7528"/>
    <w:rsid w:val="002C7771"/>
    <w:rsid w:val="002C7A0F"/>
    <w:rsid w:val="002C7B02"/>
    <w:rsid w:val="002C7BEA"/>
    <w:rsid w:val="002C7C25"/>
    <w:rsid w:val="002D005A"/>
    <w:rsid w:val="002D00E5"/>
    <w:rsid w:val="002D012B"/>
    <w:rsid w:val="002D0152"/>
    <w:rsid w:val="002D0217"/>
    <w:rsid w:val="002D03E7"/>
    <w:rsid w:val="002D04AE"/>
    <w:rsid w:val="002D056D"/>
    <w:rsid w:val="002D0585"/>
    <w:rsid w:val="002D0619"/>
    <w:rsid w:val="002D0627"/>
    <w:rsid w:val="002D06B1"/>
    <w:rsid w:val="002D06D6"/>
    <w:rsid w:val="002D090D"/>
    <w:rsid w:val="002D09A9"/>
    <w:rsid w:val="002D09C7"/>
    <w:rsid w:val="002D0C5C"/>
    <w:rsid w:val="002D0DC8"/>
    <w:rsid w:val="002D0E44"/>
    <w:rsid w:val="002D0EAD"/>
    <w:rsid w:val="002D0FFE"/>
    <w:rsid w:val="002D1259"/>
    <w:rsid w:val="002D12D0"/>
    <w:rsid w:val="002D14AE"/>
    <w:rsid w:val="002D14F0"/>
    <w:rsid w:val="002D1559"/>
    <w:rsid w:val="002D1567"/>
    <w:rsid w:val="002D17F2"/>
    <w:rsid w:val="002D1870"/>
    <w:rsid w:val="002D1B38"/>
    <w:rsid w:val="002D1BAC"/>
    <w:rsid w:val="002D1BEB"/>
    <w:rsid w:val="002D1CAA"/>
    <w:rsid w:val="002D1D94"/>
    <w:rsid w:val="002D1E00"/>
    <w:rsid w:val="002D228D"/>
    <w:rsid w:val="002D229E"/>
    <w:rsid w:val="002D22E2"/>
    <w:rsid w:val="002D242F"/>
    <w:rsid w:val="002D2497"/>
    <w:rsid w:val="002D255D"/>
    <w:rsid w:val="002D26B8"/>
    <w:rsid w:val="002D27DE"/>
    <w:rsid w:val="002D294E"/>
    <w:rsid w:val="002D2A1A"/>
    <w:rsid w:val="002D2AA4"/>
    <w:rsid w:val="002D2B08"/>
    <w:rsid w:val="002D2C9A"/>
    <w:rsid w:val="002D2CA1"/>
    <w:rsid w:val="002D2CB5"/>
    <w:rsid w:val="002D2E5B"/>
    <w:rsid w:val="002D3173"/>
    <w:rsid w:val="002D3246"/>
    <w:rsid w:val="002D3272"/>
    <w:rsid w:val="002D329D"/>
    <w:rsid w:val="002D338F"/>
    <w:rsid w:val="002D350A"/>
    <w:rsid w:val="002D360E"/>
    <w:rsid w:val="002D363C"/>
    <w:rsid w:val="002D373A"/>
    <w:rsid w:val="002D3741"/>
    <w:rsid w:val="002D384B"/>
    <w:rsid w:val="002D3878"/>
    <w:rsid w:val="002D395B"/>
    <w:rsid w:val="002D39C6"/>
    <w:rsid w:val="002D3A51"/>
    <w:rsid w:val="002D3B41"/>
    <w:rsid w:val="002D3B5F"/>
    <w:rsid w:val="002D3BF9"/>
    <w:rsid w:val="002D3C0B"/>
    <w:rsid w:val="002D3CE0"/>
    <w:rsid w:val="002D3D62"/>
    <w:rsid w:val="002D3D9E"/>
    <w:rsid w:val="002D3E41"/>
    <w:rsid w:val="002D3EF3"/>
    <w:rsid w:val="002D4092"/>
    <w:rsid w:val="002D4298"/>
    <w:rsid w:val="002D4301"/>
    <w:rsid w:val="002D44BF"/>
    <w:rsid w:val="002D44FB"/>
    <w:rsid w:val="002D4518"/>
    <w:rsid w:val="002D45D0"/>
    <w:rsid w:val="002D460D"/>
    <w:rsid w:val="002D48A2"/>
    <w:rsid w:val="002D4BB7"/>
    <w:rsid w:val="002D4D0F"/>
    <w:rsid w:val="002D4D64"/>
    <w:rsid w:val="002D4E53"/>
    <w:rsid w:val="002D4EE5"/>
    <w:rsid w:val="002D5081"/>
    <w:rsid w:val="002D5105"/>
    <w:rsid w:val="002D51E5"/>
    <w:rsid w:val="002D5231"/>
    <w:rsid w:val="002D52EA"/>
    <w:rsid w:val="002D52F9"/>
    <w:rsid w:val="002D53CD"/>
    <w:rsid w:val="002D5422"/>
    <w:rsid w:val="002D548C"/>
    <w:rsid w:val="002D54C0"/>
    <w:rsid w:val="002D54E4"/>
    <w:rsid w:val="002D55AA"/>
    <w:rsid w:val="002D5779"/>
    <w:rsid w:val="002D59CA"/>
    <w:rsid w:val="002D5A48"/>
    <w:rsid w:val="002D5B7D"/>
    <w:rsid w:val="002D5BB5"/>
    <w:rsid w:val="002D5C4C"/>
    <w:rsid w:val="002D5E6D"/>
    <w:rsid w:val="002D608A"/>
    <w:rsid w:val="002D60E1"/>
    <w:rsid w:val="002D61A0"/>
    <w:rsid w:val="002D638C"/>
    <w:rsid w:val="002D653F"/>
    <w:rsid w:val="002D667A"/>
    <w:rsid w:val="002D671B"/>
    <w:rsid w:val="002D6779"/>
    <w:rsid w:val="002D67BA"/>
    <w:rsid w:val="002D6888"/>
    <w:rsid w:val="002D6A29"/>
    <w:rsid w:val="002D6B35"/>
    <w:rsid w:val="002D6B73"/>
    <w:rsid w:val="002D6B7B"/>
    <w:rsid w:val="002D6C58"/>
    <w:rsid w:val="002D6D36"/>
    <w:rsid w:val="002D6F6B"/>
    <w:rsid w:val="002D765B"/>
    <w:rsid w:val="002D76FD"/>
    <w:rsid w:val="002D7886"/>
    <w:rsid w:val="002D78EA"/>
    <w:rsid w:val="002D7A3A"/>
    <w:rsid w:val="002D7A54"/>
    <w:rsid w:val="002D7BEA"/>
    <w:rsid w:val="002D7C0D"/>
    <w:rsid w:val="002D7D61"/>
    <w:rsid w:val="002D7F62"/>
    <w:rsid w:val="002D7FD6"/>
    <w:rsid w:val="002E0052"/>
    <w:rsid w:val="002E00AE"/>
    <w:rsid w:val="002E027E"/>
    <w:rsid w:val="002E0281"/>
    <w:rsid w:val="002E058C"/>
    <w:rsid w:val="002E05D7"/>
    <w:rsid w:val="002E0603"/>
    <w:rsid w:val="002E071F"/>
    <w:rsid w:val="002E0788"/>
    <w:rsid w:val="002E07E2"/>
    <w:rsid w:val="002E0C26"/>
    <w:rsid w:val="002E0FA9"/>
    <w:rsid w:val="002E0FC9"/>
    <w:rsid w:val="002E100D"/>
    <w:rsid w:val="002E111B"/>
    <w:rsid w:val="002E11CB"/>
    <w:rsid w:val="002E11D5"/>
    <w:rsid w:val="002E1223"/>
    <w:rsid w:val="002E1442"/>
    <w:rsid w:val="002E161F"/>
    <w:rsid w:val="002E163C"/>
    <w:rsid w:val="002E16B2"/>
    <w:rsid w:val="002E16C5"/>
    <w:rsid w:val="002E16CE"/>
    <w:rsid w:val="002E17B6"/>
    <w:rsid w:val="002E193B"/>
    <w:rsid w:val="002E1A9D"/>
    <w:rsid w:val="002E1AC1"/>
    <w:rsid w:val="002E1C2F"/>
    <w:rsid w:val="002E1C65"/>
    <w:rsid w:val="002E1CC8"/>
    <w:rsid w:val="002E1D4F"/>
    <w:rsid w:val="002E1DAB"/>
    <w:rsid w:val="002E1F57"/>
    <w:rsid w:val="002E2050"/>
    <w:rsid w:val="002E207A"/>
    <w:rsid w:val="002E20F4"/>
    <w:rsid w:val="002E21E4"/>
    <w:rsid w:val="002E2335"/>
    <w:rsid w:val="002E23F5"/>
    <w:rsid w:val="002E24F3"/>
    <w:rsid w:val="002E263C"/>
    <w:rsid w:val="002E26A7"/>
    <w:rsid w:val="002E274E"/>
    <w:rsid w:val="002E2768"/>
    <w:rsid w:val="002E2831"/>
    <w:rsid w:val="002E2995"/>
    <w:rsid w:val="002E2A62"/>
    <w:rsid w:val="002E2B29"/>
    <w:rsid w:val="002E2B4C"/>
    <w:rsid w:val="002E2D0F"/>
    <w:rsid w:val="002E2E03"/>
    <w:rsid w:val="002E2E1C"/>
    <w:rsid w:val="002E3058"/>
    <w:rsid w:val="002E3197"/>
    <w:rsid w:val="002E3231"/>
    <w:rsid w:val="002E3280"/>
    <w:rsid w:val="002E331A"/>
    <w:rsid w:val="002E3419"/>
    <w:rsid w:val="002E342D"/>
    <w:rsid w:val="002E3496"/>
    <w:rsid w:val="002E34D6"/>
    <w:rsid w:val="002E34F4"/>
    <w:rsid w:val="002E3508"/>
    <w:rsid w:val="002E394D"/>
    <w:rsid w:val="002E3962"/>
    <w:rsid w:val="002E3997"/>
    <w:rsid w:val="002E3B61"/>
    <w:rsid w:val="002E3BDC"/>
    <w:rsid w:val="002E3C6C"/>
    <w:rsid w:val="002E3CC7"/>
    <w:rsid w:val="002E3CF6"/>
    <w:rsid w:val="002E3D5F"/>
    <w:rsid w:val="002E3F3B"/>
    <w:rsid w:val="002E3FE0"/>
    <w:rsid w:val="002E3FF2"/>
    <w:rsid w:val="002E4234"/>
    <w:rsid w:val="002E4361"/>
    <w:rsid w:val="002E43AE"/>
    <w:rsid w:val="002E445E"/>
    <w:rsid w:val="002E44D7"/>
    <w:rsid w:val="002E450A"/>
    <w:rsid w:val="002E4C32"/>
    <w:rsid w:val="002E4E2F"/>
    <w:rsid w:val="002E4E6F"/>
    <w:rsid w:val="002E504C"/>
    <w:rsid w:val="002E5063"/>
    <w:rsid w:val="002E516F"/>
    <w:rsid w:val="002E541C"/>
    <w:rsid w:val="002E5555"/>
    <w:rsid w:val="002E5593"/>
    <w:rsid w:val="002E55A1"/>
    <w:rsid w:val="002E5683"/>
    <w:rsid w:val="002E573F"/>
    <w:rsid w:val="002E5813"/>
    <w:rsid w:val="002E59E0"/>
    <w:rsid w:val="002E5A9E"/>
    <w:rsid w:val="002E5CD3"/>
    <w:rsid w:val="002E5DCB"/>
    <w:rsid w:val="002E5E4F"/>
    <w:rsid w:val="002E5F47"/>
    <w:rsid w:val="002E5F65"/>
    <w:rsid w:val="002E5F95"/>
    <w:rsid w:val="002E6178"/>
    <w:rsid w:val="002E6239"/>
    <w:rsid w:val="002E624B"/>
    <w:rsid w:val="002E6283"/>
    <w:rsid w:val="002E62C8"/>
    <w:rsid w:val="002E62F0"/>
    <w:rsid w:val="002E631F"/>
    <w:rsid w:val="002E63F4"/>
    <w:rsid w:val="002E656B"/>
    <w:rsid w:val="002E65B5"/>
    <w:rsid w:val="002E661F"/>
    <w:rsid w:val="002E6673"/>
    <w:rsid w:val="002E676D"/>
    <w:rsid w:val="002E6820"/>
    <w:rsid w:val="002E68D6"/>
    <w:rsid w:val="002E69B7"/>
    <w:rsid w:val="002E69B9"/>
    <w:rsid w:val="002E6D15"/>
    <w:rsid w:val="002E6D24"/>
    <w:rsid w:val="002E6D48"/>
    <w:rsid w:val="002E6DA4"/>
    <w:rsid w:val="002E6F8C"/>
    <w:rsid w:val="002E6FFB"/>
    <w:rsid w:val="002E70DF"/>
    <w:rsid w:val="002E70F6"/>
    <w:rsid w:val="002E7174"/>
    <w:rsid w:val="002E7382"/>
    <w:rsid w:val="002E73D0"/>
    <w:rsid w:val="002E754A"/>
    <w:rsid w:val="002E757D"/>
    <w:rsid w:val="002E75B0"/>
    <w:rsid w:val="002E7622"/>
    <w:rsid w:val="002E7632"/>
    <w:rsid w:val="002E771F"/>
    <w:rsid w:val="002E7734"/>
    <w:rsid w:val="002E7753"/>
    <w:rsid w:val="002E7767"/>
    <w:rsid w:val="002E7863"/>
    <w:rsid w:val="002E7A3B"/>
    <w:rsid w:val="002E7C45"/>
    <w:rsid w:val="002E7EA1"/>
    <w:rsid w:val="002E7F6B"/>
    <w:rsid w:val="002E7F97"/>
    <w:rsid w:val="002F0021"/>
    <w:rsid w:val="002F008A"/>
    <w:rsid w:val="002F0146"/>
    <w:rsid w:val="002F02DE"/>
    <w:rsid w:val="002F0393"/>
    <w:rsid w:val="002F03CD"/>
    <w:rsid w:val="002F056C"/>
    <w:rsid w:val="002F06A7"/>
    <w:rsid w:val="002F073B"/>
    <w:rsid w:val="002F0825"/>
    <w:rsid w:val="002F086A"/>
    <w:rsid w:val="002F0AAF"/>
    <w:rsid w:val="002F0B9F"/>
    <w:rsid w:val="002F0C6D"/>
    <w:rsid w:val="002F0CB7"/>
    <w:rsid w:val="002F0CF9"/>
    <w:rsid w:val="002F0E86"/>
    <w:rsid w:val="002F0ED8"/>
    <w:rsid w:val="002F0FBE"/>
    <w:rsid w:val="002F11A0"/>
    <w:rsid w:val="002F12AB"/>
    <w:rsid w:val="002F1327"/>
    <w:rsid w:val="002F1423"/>
    <w:rsid w:val="002F143D"/>
    <w:rsid w:val="002F1486"/>
    <w:rsid w:val="002F14DA"/>
    <w:rsid w:val="002F14E0"/>
    <w:rsid w:val="002F150B"/>
    <w:rsid w:val="002F1513"/>
    <w:rsid w:val="002F156E"/>
    <w:rsid w:val="002F1675"/>
    <w:rsid w:val="002F1724"/>
    <w:rsid w:val="002F1A85"/>
    <w:rsid w:val="002F1ACF"/>
    <w:rsid w:val="002F1B3B"/>
    <w:rsid w:val="002F1B65"/>
    <w:rsid w:val="002F1C4C"/>
    <w:rsid w:val="002F1D71"/>
    <w:rsid w:val="002F1DB7"/>
    <w:rsid w:val="002F1E68"/>
    <w:rsid w:val="002F1E89"/>
    <w:rsid w:val="002F2131"/>
    <w:rsid w:val="002F218A"/>
    <w:rsid w:val="002F2248"/>
    <w:rsid w:val="002F22CA"/>
    <w:rsid w:val="002F230D"/>
    <w:rsid w:val="002F2396"/>
    <w:rsid w:val="002F24D5"/>
    <w:rsid w:val="002F25E1"/>
    <w:rsid w:val="002F25E7"/>
    <w:rsid w:val="002F262F"/>
    <w:rsid w:val="002F271B"/>
    <w:rsid w:val="002F2729"/>
    <w:rsid w:val="002F274A"/>
    <w:rsid w:val="002F2846"/>
    <w:rsid w:val="002F2A15"/>
    <w:rsid w:val="002F2BDD"/>
    <w:rsid w:val="002F2C13"/>
    <w:rsid w:val="002F2C57"/>
    <w:rsid w:val="002F2DC6"/>
    <w:rsid w:val="002F2FCF"/>
    <w:rsid w:val="002F317A"/>
    <w:rsid w:val="002F3252"/>
    <w:rsid w:val="002F3307"/>
    <w:rsid w:val="002F334C"/>
    <w:rsid w:val="002F33CD"/>
    <w:rsid w:val="002F34C8"/>
    <w:rsid w:val="002F35FA"/>
    <w:rsid w:val="002F3963"/>
    <w:rsid w:val="002F3B1C"/>
    <w:rsid w:val="002F3B45"/>
    <w:rsid w:val="002F3C88"/>
    <w:rsid w:val="002F3D0B"/>
    <w:rsid w:val="002F3D1D"/>
    <w:rsid w:val="002F3E47"/>
    <w:rsid w:val="002F3F1A"/>
    <w:rsid w:val="002F426F"/>
    <w:rsid w:val="002F42B3"/>
    <w:rsid w:val="002F4385"/>
    <w:rsid w:val="002F43B8"/>
    <w:rsid w:val="002F43C0"/>
    <w:rsid w:val="002F4447"/>
    <w:rsid w:val="002F45E5"/>
    <w:rsid w:val="002F4629"/>
    <w:rsid w:val="002F4632"/>
    <w:rsid w:val="002F46FA"/>
    <w:rsid w:val="002F47C0"/>
    <w:rsid w:val="002F47C8"/>
    <w:rsid w:val="002F4900"/>
    <w:rsid w:val="002F493B"/>
    <w:rsid w:val="002F4940"/>
    <w:rsid w:val="002F49DA"/>
    <w:rsid w:val="002F4A3D"/>
    <w:rsid w:val="002F4ABB"/>
    <w:rsid w:val="002F4BAF"/>
    <w:rsid w:val="002F4D5D"/>
    <w:rsid w:val="002F4D9F"/>
    <w:rsid w:val="002F4E34"/>
    <w:rsid w:val="002F4F11"/>
    <w:rsid w:val="002F51A5"/>
    <w:rsid w:val="002F5238"/>
    <w:rsid w:val="002F5278"/>
    <w:rsid w:val="002F530E"/>
    <w:rsid w:val="002F5341"/>
    <w:rsid w:val="002F5425"/>
    <w:rsid w:val="002F5581"/>
    <w:rsid w:val="002F55D1"/>
    <w:rsid w:val="002F561F"/>
    <w:rsid w:val="002F57BC"/>
    <w:rsid w:val="002F5803"/>
    <w:rsid w:val="002F5C75"/>
    <w:rsid w:val="002F5C9E"/>
    <w:rsid w:val="002F5D5F"/>
    <w:rsid w:val="002F5D76"/>
    <w:rsid w:val="002F6058"/>
    <w:rsid w:val="002F6075"/>
    <w:rsid w:val="002F6135"/>
    <w:rsid w:val="002F61B8"/>
    <w:rsid w:val="002F61C8"/>
    <w:rsid w:val="002F625A"/>
    <w:rsid w:val="002F6271"/>
    <w:rsid w:val="002F6334"/>
    <w:rsid w:val="002F63DA"/>
    <w:rsid w:val="002F6508"/>
    <w:rsid w:val="002F6517"/>
    <w:rsid w:val="002F6617"/>
    <w:rsid w:val="002F6651"/>
    <w:rsid w:val="002F66A6"/>
    <w:rsid w:val="002F671E"/>
    <w:rsid w:val="002F67E5"/>
    <w:rsid w:val="002F6882"/>
    <w:rsid w:val="002F689B"/>
    <w:rsid w:val="002F69CC"/>
    <w:rsid w:val="002F6B7F"/>
    <w:rsid w:val="002F6CD2"/>
    <w:rsid w:val="002F6CF9"/>
    <w:rsid w:val="002F7001"/>
    <w:rsid w:val="002F716E"/>
    <w:rsid w:val="002F71B6"/>
    <w:rsid w:val="002F71B7"/>
    <w:rsid w:val="002F71DF"/>
    <w:rsid w:val="002F7280"/>
    <w:rsid w:val="002F7319"/>
    <w:rsid w:val="002F7344"/>
    <w:rsid w:val="002F759A"/>
    <w:rsid w:val="002F7667"/>
    <w:rsid w:val="002F77EB"/>
    <w:rsid w:val="002F7903"/>
    <w:rsid w:val="002F7B61"/>
    <w:rsid w:val="002F7B7A"/>
    <w:rsid w:val="002F7BF4"/>
    <w:rsid w:val="002F7BF6"/>
    <w:rsid w:val="002F7CC5"/>
    <w:rsid w:val="002F7D06"/>
    <w:rsid w:val="002F7D45"/>
    <w:rsid w:val="002F7DFF"/>
    <w:rsid w:val="002F7E00"/>
    <w:rsid w:val="002F7E1B"/>
    <w:rsid w:val="002F7F4F"/>
    <w:rsid w:val="002F7F6F"/>
    <w:rsid w:val="0030001F"/>
    <w:rsid w:val="003000C6"/>
    <w:rsid w:val="00300230"/>
    <w:rsid w:val="00300312"/>
    <w:rsid w:val="00300424"/>
    <w:rsid w:val="0030049A"/>
    <w:rsid w:val="003004D7"/>
    <w:rsid w:val="0030062D"/>
    <w:rsid w:val="00300643"/>
    <w:rsid w:val="00300997"/>
    <w:rsid w:val="00300EAC"/>
    <w:rsid w:val="00301104"/>
    <w:rsid w:val="00301167"/>
    <w:rsid w:val="0030118D"/>
    <w:rsid w:val="00301236"/>
    <w:rsid w:val="0030174D"/>
    <w:rsid w:val="00301799"/>
    <w:rsid w:val="003017B9"/>
    <w:rsid w:val="00301821"/>
    <w:rsid w:val="00301830"/>
    <w:rsid w:val="0030186E"/>
    <w:rsid w:val="00301986"/>
    <w:rsid w:val="00301999"/>
    <w:rsid w:val="00301ACC"/>
    <w:rsid w:val="00301AEA"/>
    <w:rsid w:val="00301B69"/>
    <w:rsid w:val="00301CAA"/>
    <w:rsid w:val="00301E25"/>
    <w:rsid w:val="00301E38"/>
    <w:rsid w:val="00302038"/>
    <w:rsid w:val="0030203C"/>
    <w:rsid w:val="0030213B"/>
    <w:rsid w:val="0030216D"/>
    <w:rsid w:val="0030245C"/>
    <w:rsid w:val="00302578"/>
    <w:rsid w:val="003025D4"/>
    <w:rsid w:val="003027CD"/>
    <w:rsid w:val="003027E6"/>
    <w:rsid w:val="003028A9"/>
    <w:rsid w:val="0030296F"/>
    <w:rsid w:val="00302998"/>
    <w:rsid w:val="003029FF"/>
    <w:rsid w:val="00302B1F"/>
    <w:rsid w:val="00302CC4"/>
    <w:rsid w:val="00302D77"/>
    <w:rsid w:val="00302DEF"/>
    <w:rsid w:val="00302ED6"/>
    <w:rsid w:val="003031EF"/>
    <w:rsid w:val="0030324A"/>
    <w:rsid w:val="003032E5"/>
    <w:rsid w:val="00303305"/>
    <w:rsid w:val="003033E7"/>
    <w:rsid w:val="0030349E"/>
    <w:rsid w:val="003035A5"/>
    <w:rsid w:val="003035F2"/>
    <w:rsid w:val="00303781"/>
    <w:rsid w:val="00303848"/>
    <w:rsid w:val="00303987"/>
    <w:rsid w:val="00303B5D"/>
    <w:rsid w:val="00303B65"/>
    <w:rsid w:val="00303BB1"/>
    <w:rsid w:val="00303C98"/>
    <w:rsid w:val="003040A2"/>
    <w:rsid w:val="00304185"/>
    <w:rsid w:val="00304187"/>
    <w:rsid w:val="003041C8"/>
    <w:rsid w:val="00304317"/>
    <w:rsid w:val="00304335"/>
    <w:rsid w:val="0030444C"/>
    <w:rsid w:val="003044CA"/>
    <w:rsid w:val="003045E0"/>
    <w:rsid w:val="00304732"/>
    <w:rsid w:val="0030476E"/>
    <w:rsid w:val="00304775"/>
    <w:rsid w:val="003048CE"/>
    <w:rsid w:val="00304943"/>
    <w:rsid w:val="00304A00"/>
    <w:rsid w:val="00304A2C"/>
    <w:rsid w:val="00304A3D"/>
    <w:rsid w:val="00304A4C"/>
    <w:rsid w:val="00304AD9"/>
    <w:rsid w:val="00304C9B"/>
    <w:rsid w:val="00304E96"/>
    <w:rsid w:val="00304EDA"/>
    <w:rsid w:val="00305108"/>
    <w:rsid w:val="00305152"/>
    <w:rsid w:val="003051FD"/>
    <w:rsid w:val="00305230"/>
    <w:rsid w:val="0030537E"/>
    <w:rsid w:val="00305451"/>
    <w:rsid w:val="003055CD"/>
    <w:rsid w:val="00305662"/>
    <w:rsid w:val="003056A0"/>
    <w:rsid w:val="00305740"/>
    <w:rsid w:val="0030581A"/>
    <w:rsid w:val="00305AEA"/>
    <w:rsid w:val="00305BF0"/>
    <w:rsid w:val="00305D3B"/>
    <w:rsid w:val="00305F2C"/>
    <w:rsid w:val="00305FEA"/>
    <w:rsid w:val="00305FF6"/>
    <w:rsid w:val="00305FFF"/>
    <w:rsid w:val="00306066"/>
    <w:rsid w:val="0030607E"/>
    <w:rsid w:val="0030618A"/>
    <w:rsid w:val="003061AB"/>
    <w:rsid w:val="003061E5"/>
    <w:rsid w:val="0030621E"/>
    <w:rsid w:val="003064BE"/>
    <w:rsid w:val="003068B5"/>
    <w:rsid w:val="00306908"/>
    <w:rsid w:val="003069C1"/>
    <w:rsid w:val="00306A5F"/>
    <w:rsid w:val="00306CD5"/>
    <w:rsid w:val="00306DFE"/>
    <w:rsid w:val="00306EA9"/>
    <w:rsid w:val="00306EEB"/>
    <w:rsid w:val="0030714D"/>
    <w:rsid w:val="003071BD"/>
    <w:rsid w:val="003071C0"/>
    <w:rsid w:val="0030722D"/>
    <w:rsid w:val="00307285"/>
    <w:rsid w:val="00307320"/>
    <w:rsid w:val="0030735D"/>
    <w:rsid w:val="003073AD"/>
    <w:rsid w:val="0030759E"/>
    <w:rsid w:val="003075BE"/>
    <w:rsid w:val="0030760F"/>
    <w:rsid w:val="003076EE"/>
    <w:rsid w:val="00307816"/>
    <w:rsid w:val="0030781E"/>
    <w:rsid w:val="00307867"/>
    <w:rsid w:val="00307913"/>
    <w:rsid w:val="00307A7C"/>
    <w:rsid w:val="00307B66"/>
    <w:rsid w:val="00307CD4"/>
    <w:rsid w:val="003101CC"/>
    <w:rsid w:val="00310250"/>
    <w:rsid w:val="00310282"/>
    <w:rsid w:val="0031038B"/>
    <w:rsid w:val="003104A5"/>
    <w:rsid w:val="00310535"/>
    <w:rsid w:val="00310590"/>
    <w:rsid w:val="00310634"/>
    <w:rsid w:val="00310863"/>
    <w:rsid w:val="003109CE"/>
    <w:rsid w:val="00310AFF"/>
    <w:rsid w:val="00310B2B"/>
    <w:rsid w:val="00310C67"/>
    <w:rsid w:val="00310D8D"/>
    <w:rsid w:val="00310E59"/>
    <w:rsid w:val="00310E99"/>
    <w:rsid w:val="00310F00"/>
    <w:rsid w:val="00311275"/>
    <w:rsid w:val="003113AE"/>
    <w:rsid w:val="003113E3"/>
    <w:rsid w:val="00311407"/>
    <w:rsid w:val="0031141B"/>
    <w:rsid w:val="0031149A"/>
    <w:rsid w:val="003114D9"/>
    <w:rsid w:val="003114FE"/>
    <w:rsid w:val="003116F9"/>
    <w:rsid w:val="0031174B"/>
    <w:rsid w:val="0031176A"/>
    <w:rsid w:val="00311792"/>
    <w:rsid w:val="003117FF"/>
    <w:rsid w:val="003118BC"/>
    <w:rsid w:val="003118C3"/>
    <w:rsid w:val="00311974"/>
    <w:rsid w:val="00311B60"/>
    <w:rsid w:val="00311B73"/>
    <w:rsid w:val="00311BDE"/>
    <w:rsid w:val="00311BE6"/>
    <w:rsid w:val="00311C59"/>
    <w:rsid w:val="00311CC1"/>
    <w:rsid w:val="00311D20"/>
    <w:rsid w:val="00311D67"/>
    <w:rsid w:val="00311EB2"/>
    <w:rsid w:val="00311EED"/>
    <w:rsid w:val="00311EF2"/>
    <w:rsid w:val="00311EF9"/>
    <w:rsid w:val="0031205D"/>
    <w:rsid w:val="00312187"/>
    <w:rsid w:val="0031222A"/>
    <w:rsid w:val="003123C6"/>
    <w:rsid w:val="003125CE"/>
    <w:rsid w:val="00312680"/>
    <w:rsid w:val="003126CC"/>
    <w:rsid w:val="003126ED"/>
    <w:rsid w:val="003126EE"/>
    <w:rsid w:val="003127FB"/>
    <w:rsid w:val="00312C12"/>
    <w:rsid w:val="00312CC9"/>
    <w:rsid w:val="00312CF7"/>
    <w:rsid w:val="00312DD4"/>
    <w:rsid w:val="00312E5B"/>
    <w:rsid w:val="00312E6F"/>
    <w:rsid w:val="00312ED6"/>
    <w:rsid w:val="0031305E"/>
    <w:rsid w:val="003130AC"/>
    <w:rsid w:val="003131F4"/>
    <w:rsid w:val="00313245"/>
    <w:rsid w:val="003132E5"/>
    <w:rsid w:val="0031330F"/>
    <w:rsid w:val="00313339"/>
    <w:rsid w:val="003133B7"/>
    <w:rsid w:val="00313405"/>
    <w:rsid w:val="00313521"/>
    <w:rsid w:val="0031361F"/>
    <w:rsid w:val="00313638"/>
    <w:rsid w:val="0031372E"/>
    <w:rsid w:val="0031380A"/>
    <w:rsid w:val="003138FB"/>
    <w:rsid w:val="00313BB7"/>
    <w:rsid w:val="00313BC3"/>
    <w:rsid w:val="00313F0E"/>
    <w:rsid w:val="00313FA1"/>
    <w:rsid w:val="003140E5"/>
    <w:rsid w:val="003141B2"/>
    <w:rsid w:val="003141D5"/>
    <w:rsid w:val="0031429F"/>
    <w:rsid w:val="0031456E"/>
    <w:rsid w:val="0031459F"/>
    <w:rsid w:val="0031460E"/>
    <w:rsid w:val="003146B6"/>
    <w:rsid w:val="0031481F"/>
    <w:rsid w:val="00314A06"/>
    <w:rsid w:val="00314AAF"/>
    <w:rsid w:val="00314B03"/>
    <w:rsid w:val="00314D8D"/>
    <w:rsid w:val="00314E5E"/>
    <w:rsid w:val="00314F48"/>
    <w:rsid w:val="003150AB"/>
    <w:rsid w:val="00315119"/>
    <w:rsid w:val="00315173"/>
    <w:rsid w:val="003151C5"/>
    <w:rsid w:val="00315353"/>
    <w:rsid w:val="0031537F"/>
    <w:rsid w:val="003153AB"/>
    <w:rsid w:val="0031546A"/>
    <w:rsid w:val="00315574"/>
    <w:rsid w:val="003156AA"/>
    <w:rsid w:val="00315894"/>
    <w:rsid w:val="003158B9"/>
    <w:rsid w:val="003159FF"/>
    <w:rsid w:val="00315A91"/>
    <w:rsid w:val="00315B15"/>
    <w:rsid w:val="00315BDA"/>
    <w:rsid w:val="00315CE4"/>
    <w:rsid w:val="00315D92"/>
    <w:rsid w:val="00315F74"/>
    <w:rsid w:val="00316076"/>
    <w:rsid w:val="00316096"/>
    <w:rsid w:val="003160E6"/>
    <w:rsid w:val="003161A7"/>
    <w:rsid w:val="003161E7"/>
    <w:rsid w:val="003164D6"/>
    <w:rsid w:val="0031663A"/>
    <w:rsid w:val="003167C6"/>
    <w:rsid w:val="0031686D"/>
    <w:rsid w:val="003169B6"/>
    <w:rsid w:val="00316B0A"/>
    <w:rsid w:val="00316E6F"/>
    <w:rsid w:val="00316E7C"/>
    <w:rsid w:val="00316EE9"/>
    <w:rsid w:val="00316F7C"/>
    <w:rsid w:val="003175F5"/>
    <w:rsid w:val="00317652"/>
    <w:rsid w:val="00317783"/>
    <w:rsid w:val="00317867"/>
    <w:rsid w:val="0031792C"/>
    <w:rsid w:val="003179C9"/>
    <w:rsid w:val="00317A81"/>
    <w:rsid w:val="00317B05"/>
    <w:rsid w:val="00317BA7"/>
    <w:rsid w:val="00317F53"/>
    <w:rsid w:val="00317FC4"/>
    <w:rsid w:val="003200C9"/>
    <w:rsid w:val="003200D5"/>
    <w:rsid w:val="003201D3"/>
    <w:rsid w:val="00320223"/>
    <w:rsid w:val="003203C6"/>
    <w:rsid w:val="00320474"/>
    <w:rsid w:val="0032056E"/>
    <w:rsid w:val="003206AB"/>
    <w:rsid w:val="003206BF"/>
    <w:rsid w:val="00320809"/>
    <w:rsid w:val="0032085D"/>
    <w:rsid w:val="00320963"/>
    <w:rsid w:val="00320B2E"/>
    <w:rsid w:val="00320C31"/>
    <w:rsid w:val="00320CBC"/>
    <w:rsid w:val="00320D14"/>
    <w:rsid w:val="00320EA5"/>
    <w:rsid w:val="00320EB6"/>
    <w:rsid w:val="00320EC0"/>
    <w:rsid w:val="00320EE7"/>
    <w:rsid w:val="00321165"/>
    <w:rsid w:val="003211FA"/>
    <w:rsid w:val="00321208"/>
    <w:rsid w:val="003212A6"/>
    <w:rsid w:val="003212CE"/>
    <w:rsid w:val="0032137A"/>
    <w:rsid w:val="00321573"/>
    <w:rsid w:val="00321690"/>
    <w:rsid w:val="00321801"/>
    <w:rsid w:val="00321A0F"/>
    <w:rsid w:val="00321A5A"/>
    <w:rsid w:val="00321B25"/>
    <w:rsid w:val="00321B2F"/>
    <w:rsid w:val="00321B44"/>
    <w:rsid w:val="00321D0C"/>
    <w:rsid w:val="00321E1B"/>
    <w:rsid w:val="0032206F"/>
    <w:rsid w:val="0032231A"/>
    <w:rsid w:val="003223BF"/>
    <w:rsid w:val="00322489"/>
    <w:rsid w:val="003224BC"/>
    <w:rsid w:val="003225A3"/>
    <w:rsid w:val="00322749"/>
    <w:rsid w:val="00322880"/>
    <w:rsid w:val="003229ED"/>
    <w:rsid w:val="00322B06"/>
    <w:rsid w:val="00322BF0"/>
    <w:rsid w:val="00322C96"/>
    <w:rsid w:val="00322E75"/>
    <w:rsid w:val="00322F5A"/>
    <w:rsid w:val="00322FCD"/>
    <w:rsid w:val="00323165"/>
    <w:rsid w:val="00323297"/>
    <w:rsid w:val="00323320"/>
    <w:rsid w:val="003233D1"/>
    <w:rsid w:val="003233DE"/>
    <w:rsid w:val="00323578"/>
    <w:rsid w:val="0032362C"/>
    <w:rsid w:val="003238D0"/>
    <w:rsid w:val="003238D8"/>
    <w:rsid w:val="003239BC"/>
    <w:rsid w:val="00323AD4"/>
    <w:rsid w:val="00323ADB"/>
    <w:rsid w:val="00323AE5"/>
    <w:rsid w:val="00323B42"/>
    <w:rsid w:val="00323D03"/>
    <w:rsid w:val="00323D3D"/>
    <w:rsid w:val="00323DCF"/>
    <w:rsid w:val="00323E0F"/>
    <w:rsid w:val="00323F66"/>
    <w:rsid w:val="00323F6D"/>
    <w:rsid w:val="00324084"/>
    <w:rsid w:val="00324091"/>
    <w:rsid w:val="003240CE"/>
    <w:rsid w:val="0032410E"/>
    <w:rsid w:val="0032422E"/>
    <w:rsid w:val="003243F9"/>
    <w:rsid w:val="0032450F"/>
    <w:rsid w:val="0032453C"/>
    <w:rsid w:val="0032455E"/>
    <w:rsid w:val="003245F9"/>
    <w:rsid w:val="0032462D"/>
    <w:rsid w:val="0032474C"/>
    <w:rsid w:val="003248E8"/>
    <w:rsid w:val="00324B89"/>
    <w:rsid w:val="00324BD7"/>
    <w:rsid w:val="00324C14"/>
    <w:rsid w:val="00324C67"/>
    <w:rsid w:val="00324C71"/>
    <w:rsid w:val="00324C8B"/>
    <w:rsid w:val="00324CEA"/>
    <w:rsid w:val="00324D24"/>
    <w:rsid w:val="00324D39"/>
    <w:rsid w:val="00324FC3"/>
    <w:rsid w:val="00325162"/>
    <w:rsid w:val="00325188"/>
    <w:rsid w:val="003251D2"/>
    <w:rsid w:val="003252D4"/>
    <w:rsid w:val="0032568E"/>
    <w:rsid w:val="003256C8"/>
    <w:rsid w:val="00325777"/>
    <w:rsid w:val="003257BB"/>
    <w:rsid w:val="0032581D"/>
    <w:rsid w:val="00325914"/>
    <w:rsid w:val="0032598F"/>
    <w:rsid w:val="00325A23"/>
    <w:rsid w:val="00325ACC"/>
    <w:rsid w:val="00325ADF"/>
    <w:rsid w:val="00325B93"/>
    <w:rsid w:val="00325CF2"/>
    <w:rsid w:val="00325E51"/>
    <w:rsid w:val="00325EFA"/>
    <w:rsid w:val="00325F3C"/>
    <w:rsid w:val="0032624E"/>
    <w:rsid w:val="003263D3"/>
    <w:rsid w:val="0032649D"/>
    <w:rsid w:val="003264F2"/>
    <w:rsid w:val="0032659F"/>
    <w:rsid w:val="00326628"/>
    <w:rsid w:val="00326707"/>
    <w:rsid w:val="00326925"/>
    <w:rsid w:val="00326929"/>
    <w:rsid w:val="00326943"/>
    <w:rsid w:val="00326A13"/>
    <w:rsid w:val="00326A8F"/>
    <w:rsid w:val="00326BBE"/>
    <w:rsid w:val="00326C57"/>
    <w:rsid w:val="00326E30"/>
    <w:rsid w:val="00326F03"/>
    <w:rsid w:val="003271AA"/>
    <w:rsid w:val="0032746B"/>
    <w:rsid w:val="00327477"/>
    <w:rsid w:val="0032762B"/>
    <w:rsid w:val="00327799"/>
    <w:rsid w:val="00327835"/>
    <w:rsid w:val="003278D6"/>
    <w:rsid w:val="00327B48"/>
    <w:rsid w:val="00327BCE"/>
    <w:rsid w:val="00327C0C"/>
    <w:rsid w:val="00327C17"/>
    <w:rsid w:val="00327C1A"/>
    <w:rsid w:val="00327C34"/>
    <w:rsid w:val="00327D68"/>
    <w:rsid w:val="00327F88"/>
    <w:rsid w:val="00330133"/>
    <w:rsid w:val="00330340"/>
    <w:rsid w:val="00330459"/>
    <w:rsid w:val="003304BD"/>
    <w:rsid w:val="0033056F"/>
    <w:rsid w:val="003308FF"/>
    <w:rsid w:val="00330995"/>
    <w:rsid w:val="003309B3"/>
    <w:rsid w:val="00330A65"/>
    <w:rsid w:val="00330AB9"/>
    <w:rsid w:val="00330D00"/>
    <w:rsid w:val="00330E33"/>
    <w:rsid w:val="00330F09"/>
    <w:rsid w:val="003310A2"/>
    <w:rsid w:val="00331166"/>
    <w:rsid w:val="00331236"/>
    <w:rsid w:val="0033125B"/>
    <w:rsid w:val="00331630"/>
    <w:rsid w:val="003317A5"/>
    <w:rsid w:val="003317C8"/>
    <w:rsid w:val="003317E6"/>
    <w:rsid w:val="0033183C"/>
    <w:rsid w:val="00331962"/>
    <w:rsid w:val="003319D1"/>
    <w:rsid w:val="003319F6"/>
    <w:rsid w:val="00331A12"/>
    <w:rsid w:val="00331A13"/>
    <w:rsid w:val="00331B0D"/>
    <w:rsid w:val="00331B7E"/>
    <w:rsid w:val="00331B84"/>
    <w:rsid w:val="00331BBC"/>
    <w:rsid w:val="00331D02"/>
    <w:rsid w:val="00331D3A"/>
    <w:rsid w:val="00331E04"/>
    <w:rsid w:val="00331E44"/>
    <w:rsid w:val="00331EE3"/>
    <w:rsid w:val="00331F92"/>
    <w:rsid w:val="003321D1"/>
    <w:rsid w:val="0033223E"/>
    <w:rsid w:val="003323D5"/>
    <w:rsid w:val="003325B4"/>
    <w:rsid w:val="00332615"/>
    <w:rsid w:val="003326D0"/>
    <w:rsid w:val="00332905"/>
    <w:rsid w:val="0033291C"/>
    <w:rsid w:val="003329C5"/>
    <w:rsid w:val="00332A74"/>
    <w:rsid w:val="00332B38"/>
    <w:rsid w:val="00332CDB"/>
    <w:rsid w:val="00332DA3"/>
    <w:rsid w:val="00332DC7"/>
    <w:rsid w:val="00332E1C"/>
    <w:rsid w:val="00332FF8"/>
    <w:rsid w:val="0033309F"/>
    <w:rsid w:val="003331AB"/>
    <w:rsid w:val="003331C2"/>
    <w:rsid w:val="0033322A"/>
    <w:rsid w:val="003332DB"/>
    <w:rsid w:val="003334D9"/>
    <w:rsid w:val="003336AF"/>
    <w:rsid w:val="003337C5"/>
    <w:rsid w:val="003337D3"/>
    <w:rsid w:val="0033395A"/>
    <w:rsid w:val="00333B35"/>
    <w:rsid w:val="00333BF5"/>
    <w:rsid w:val="00333CB3"/>
    <w:rsid w:val="00333CC1"/>
    <w:rsid w:val="00333DA3"/>
    <w:rsid w:val="00333DAA"/>
    <w:rsid w:val="00333E83"/>
    <w:rsid w:val="00333F7B"/>
    <w:rsid w:val="00334018"/>
    <w:rsid w:val="00334068"/>
    <w:rsid w:val="003340A2"/>
    <w:rsid w:val="003340A4"/>
    <w:rsid w:val="0033411E"/>
    <w:rsid w:val="0033447F"/>
    <w:rsid w:val="00334565"/>
    <w:rsid w:val="003345E5"/>
    <w:rsid w:val="003347A9"/>
    <w:rsid w:val="003347C2"/>
    <w:rsid w:val="0033482A"/>
    <w:rsid w:val="0033483C"/>
    <w:rsid w:val="0033494B"/>
    <w:rsid w:val="003349F2"/>
    <w:rsid w:val="00334A8D"/>
    <w:rsid w:val="00334B7B"/>
    <w:rsid w:val="00334D79"/>
    <w:rsid w:val="00334EF0"/>
    <w:rsid w:val="00334FA1"/>
    <w:rsid w:val="00335215"/>
    <w:rsid w:val="0033538F"/>
    <w:rsid w:val="003353FD"/>
    <w:rsid w:val="00335595"/>
    <w:rsid w:val="00335609"/>
    <w:rsid w:val="00335617"/>
    <w:rsid w:val="003357A1"/>
    <w:rsid w:val="0033592A"/>
    <w:rsid w:val="003359EB"/>
    <w:rsid w:val="00335A19"/>
    <w:rsid w:val="00335B52"/>
    <w:rsid w:val="00335D71"/>
    <w:rsid w:val="00335DED"/>
    <w:rsid w:val="00335E5A"/>
    <w:rsid w:val="00335E65"/>
    <w:rsid w:val="00335E71"/>
    <w:rsid w:val="00335EA4"/>
    <w:rsid w:val="00335FA0"/>
    <w:rsid w:val="0033606A"/>
    <w:rsid w:val="0033610F"/>
    <w:rsid w:val="00336139"/>
    <w:rsid w:val="00336162"/>
    <w:rsid w:val="0033618E"/>
    <w:rsid w:val="00336391"/>
    <w:rsid w:val="003363BF"/>
    <w:rsid w:val="003364C9"/>
    <w:rsid w:val="003364E9"/>
    <w:rsid w:val="003364F8"/>
    <w:rsid w:val="0033659E"/>
    <w:rsid w:val="00336604"/>
    <w:rsid w:val="00336651"/>
    <w:rsid w:val="0033668E"/>
    <w:rsid w:val="0033675D"/>
    <w:rsid w:val="003368BC"/>
    <w:rsid w:val="003368CB"/>
    <w:rsid w:val="00336947"/>
    <w:rsid w:val="003369B2"/>
    <w:rsid w:val="00336B79"/>
    <w:rsid w:val="00336C9B"/>
    <w:rsid w:val="00336D3B"/>
    <w:rsid w:val="00336D68"/>
    <w:rsid w:val="00336F18"/>
    <w:rsid w:val="00337002"/>
    <w:rsid w:val="003371A8"/>
    <w:rsid w:val="0033738A"/>
    <w:rsid w:val="0033744A"/>
    <w:rsid w:val="0033757A"/>
    <w:rsid w:val="0033761E"/>
    <w:rsid w:val="00337647"/>
    <w:rsid w:val="0033766E"/>
    <w:rsid w:val="0033770F"/>
    <w:rsid w:val="003379A3"/>
    <w:rsid w:val="00337B05"/>
    <w:rsid w:val="00337C13"/>
    <w:rsid w:val="00337C38"/>
    <w:rsid w:val="00337CC9"/>
    <w:rsid w:val="00337D41"/>
    <w:rsid w:val="00337DA3"/>
    <w:rsid w:val="00337F5F"/>
    <w:rsid w:val="00340002"/>
    <w:rsid w:val="00340019"/>
    <w:rsid w:val="0034011F"/>
    <w:rsid w:val="00340174"/>
    <w:rsid w:val="00340273"/>
    <w:rsid w:val="0034027C"/>
    <w:rsid w:val="00340301"/>
    <w:rsid w:val="003403FF"/>
    <w:rsid w:val="00340615"/>
    <w:rsid w:val="003407C8"/>
    <w:rsid w:val="003407E0"/>
    <w:rsid w:val="003408B2"/>
    <w:rsid w:val="00340A1E"/>
    <w:rsid w:val="00340A9B"/>
    <w:rsid w:val="00340C1E"/>
    <w:rsid w:val="00340C22"/>
    <w:rsid w:val="00340CB6"/>
    <w:rsid w:val="00340E27"/>
    <w:rsid w:val="00340F4F"/>
    <w:rsid w:val="0034106D"/>
    <w:rsid w:val="0034122E"/>
    <w:rsid w:val="0034133E"/>
    <w:rsid w:val="003414A5"/>
    <w:rsid w:val="00341808"/>
    <w:rsid w:val="0034186E"/>
    <w:rsid w:val="0034193D"/>
    <w:rsid w:val="003419CC"/>
    <w:rsid w:val="003419D5"/>
    <w:rsid w:val="00341A4C"/>
    <w:rsid w:val="00341C4D"/>
    <w:rsid w:val="00341C90"/>
    <w:rsid w:val="00341CF1"/>
    <w:rsid w:val="00341D2D"/>
    <w:rsid w:val="00341D69"/>
    <w:rsid w:val="00341E10"/>
    <w:rsid w:val="00341E47"/>
    <w:rsid w:val="00341E90"/>
    <w:rsid w:val="00342077"/>
    <w:rsid w:val="0034227B"/>
    <w:rsid w:val="00342326"/>
    <w:rsid w:val="00342358"/>
    <w:rsid w:val="00342367"/>
    <w:rsid w:val="00342607"/>
    <w:rsid w:val="0034265E"/>
    <w:rsid w:val="0034279E"/>
    <w:rsid w:val="00342836"/>
    <w:rsid w:val="003429CE"/>
    <w:rsid w:val="003429E0"/>
    <w:rsid w:val="00342C2C"/>
    <w:rsid w:val="00342C8F"/>
    <w:rsid w:val="00342E23"/>
    <w:rsid w:val="00342E54"/>
    <w:rsid w:val="00343043"/>
    <w:rsid w:val="0034314D"/>
    <w:rsid w:val="003431AA"/>
    <w:rsid w:val="003431D0"/>
    <w:rsid w:val="0034324E"/>
    <w:rsid w:val="003435AE"/>
    <w:rsid w:val="0034383C"/>
    <w:rsid w:val="00343858"/>
    <w:rsid w:val="00343871"/>
    <w:rsid w:val="003438A5"/>
    <w:rsid w:val="003438DE"/>
    <w:rsid w:val="00343A24"/>
    <w:rsid w:val="00343A41"/>
    <w:rsid w:val="00343A83"/>
    <w:rsid w:val="00343BB8"/>
    <w:rsid w:val="00343CCB"/>
    <w:rsid w:val="00343E45"/>
    <w:rsid w:val="00343EB3"/>
    <w:rsid w:val="00343F1E"/>
    <w:rsid w:val="00344012"/>
    <w:rsid w:val="0034422C"/>
    <w:rsid w:val="00344442"/>
    <w:rsid w:val="0034464F"/>
    <w:rsid w:val="003446D4"/>
    <w:rsid w:val="003446DA"/>
    <w:rsid w:val="00344711"/>
    <w:rsid w:val="0034481E"/>
    <w:rsid w:val="00344843"/>
    <w:rsid w:val="0034488C"/>
    <w:rsid w:val="00344968"/>
    <w:rsid w:val="003449E7"/>
    <w:rsid w:val="00344A9D"/>
    <w:rsid w:val="00344AB3"/>
    <w:rsid w:val="00344C1D"/>
    <w:rsid w:val="00344DAD"/>
    <w:rsid w:val="0034501B"/>
    <w:rsid w:val="003450ED"/>
    <w:rsid w:val="0034526D"/>
    <w:rsid w:val="00345474"/>
    <w:rsid w:val="003454C6"/>
    <w:rsid w:val="0034550F"/>
    <w:rsid w:val="003455A1"/>
    <w:rsid w:val="003455CB"/>
    <w:rsid w:val="003456A9"/>
    <w:rsid w:val="003456ED"/>
    <w:rsid w:val="00345889"/>
    <w:rsid w:val="0034597C"/>
    <w:rsid w:val="00345A55"/>
    <w:rsid w:val="00345C4C"/>
    <w:rsid w:val="00345D6E"/>
    <w:rsid w:val="00345D74"/>
    <w:rsid w:val="00345DD8"/>
    <w:rsid w:val="00345E4C"/>
    <w:rsid w:val="00345EEA"/>
    <w:rsid w:val="00345F2B"/>
    <w:rsid w:val="0034605A"/>
    <w:rsid w:val="00346104"/>
    <w:rsid w:val="00346122"/>
    <w:rsid w:val="003461B3"/>
    <w:rsid w:val="00346308"/>
    <w:rsid w:val="0034642B"/>
    <w:rsid w:val="00346465"/>
    <w:rsid w:val="003464AD"/>
    <w:rsid w:val="003464CC"/>
    <w:rsid w:val="003465B5"/>
    <w:rsid w:val="0034681C"/>
    <w:rsid w:val="0034685E"/>
    <w:rsid w:val="00346995"/>
    <w:rsid w:val="003469DF"/>
    <w:rsid w:val="00346A50"/>
    <w:rsid w:val="00346AC9"/>
    <w:rsid w:val="00346B47"/>
    <w:rsid w:val="00346B63"/>
    <w:rsid w:val="00346BBF"/>
    <w:rsid w:val="00346BCA"/>
    <w:rsid w:val="00346C31"/>
    <w:rsid w:val="00346CEE"/>
    <w:rsid w:val="00346E9C"/>
    <w:rsid w:val="00346F85"/>
    <w:rsid w:val="003470BF"/>
    <w:rsid w:val="00347202"/>
    <w:rsid w:val="003472C1"/>
    <w:rsid w:val="00347324"/>
    <w:rsid w:val="00347648"/>
    <w:rsid w:val="00347913"/>
    <w:rsid w:val="00347B1C"/>
    <w:rsid w:val="00347B8E"/>
    <w:rsid w:val="00347C05"/>
    <w:rsid w:val="00347C8E"/>
    <w:rsid w:val="00347D8B"/>
    <w:rsid w:val="00347EF1"/>
    <w:rsid w:val="00347F7B"/>
    <w:rsid w:val="00350028"/>
    <w:rsid w:val="00350076"/>
    <w:rsid w:val="00350247"/>
    <w:rsid w:val="00350503"/>
    <w:rsid w:val="00350677"/>
    <w:rsid w:val="003507A7"/>
    <w:rsid w:val="00350A6C"/>
    <w:rsid w:val="00350B3E"/>
    <w:rsid w:val="00350CF4"/>
    <w:rsid w:val="00350D53"/>
    <w:rsid w:val="00351103"/>
    <w:rsid w:val="0035114A"/>
    <w:rsid w:val="003512B8"/>
    <w:rsid w:val="003512BA"/>
    <w:rsid w:val="003512E0"/>
    <w:rsid w:val="003512FF"/>
    <w:rsid w:val="003513C4"/>
    <w:rsid w:val="003513F6"/>
    <w:rsid w:val="003514DC"/>
    <w:rsid w:val="0035164B"/>
    <w:rsid w:val="003516E2"/>
    <w:rsid w:val="00351722"/>
    <w:rsid w:val="0035178A"/>
    <w:rsid w:val="003517D2"/>
    <w:rsid w:val="003519CD"/>
    <w:rsid w:val="003519FE"/>
    <w:rsid w:val="00351B2C"/>
    <w:rsid w:val="00351C16"/>
    <w:rsid w:val="00351C84"/>
    <w:rsid w:val="00351DFA"/>
    <w:rsid w:val="00351ED0"/>
    <w:rsid w:val="00352012"/>
    <w:rsid w:val="003520E3"/>
    <w:rsid w:val="00352229"/>
    <w:rsid w:val="00352239"/>
    <w:rsid w:val="00352306"/>
    <w:rsid w:val="00352367"/>
    <w:rsid w:val="00352570"/>
    <w:rsid w:val="003526C8"/>
    <w:rsid w:val="003527E9"/>
    <w:rsid w:val="00352887"/>
    <w:rsid w:val="00352897"/>
    <w:rsid w:val="003528EF"/>
    <w:rsid w:val="0035292F"/>
    <w:rsid w:val="00352980"/>
    <w:rsid w:val="00352AB1"/>
    <w:rsid w:val="00352ACB"/>
    <w:rsid w:val="00352B07"/>
    <w:rsid w:val="00352B93"/>
    <w:rsid w:val="00352C0C"/>
    <w:rsid w:val="00352D53"/>
    <w:rsid w:val="00352E4E"/>
    <w:rsid w:val="00352E6F"/>
    <w:rsid w:val="00352ECB"/>
    <w:rsid w:val="00352F59"/>
    <w:rsid w:val="00353298"/>
    <w:rsid w:val="003533AA"/>
    <w:rsid w:val="003533B0"/>
    <w:rsid w:val="00353490"/>
    <w:rsid w:val="003534F2"/>
    <w:rsid w:val="0035376D"/>
    <w:rsid w:val="003537AA"/>
    <w:rsid w:val="003538D4"/>
    <w:rsid w:val="003538D8"/>
    <w:rsid w:val="0035395D"/>
    <w:rsid w:val="003539FB"/>
    <w:rsid w:val="00353B00"/>
    <w:rsid w:val="00353B3A"/>
    <w:rsid w:val="00353D0D"/>
    <w:rsid w:val="00353D68"/>
    <w:rsid w:val="00353FBF"/>
    <w:rsid w:val="003540E1"/>
    <w:rsid w:val="0035425A"/>
    <w:rsid w:val="0035428A"/>
    <w:rsid w:val="0035431E"/>
    <w:rsid w:val="0035441A"/>
    <w:rsid w:val="0035443A"/>
    <w:rsid w:val="00354507"/>
    <w:rsid w:val="0035456B"/>
    <w:rsid w:val="003546E1"/>
    <w:rsid w:val="00354767"/>
    <w:rsid w:val="003547DC"/>
    <w:rsid w:val="003549CF"/>
    <w:rsid w:val="00354AB3"/>
    <w:rsid w:val="00354CC5"/>
    <w:rsid w:val="00354D0D"/>
    <w:rsid w:val="00354E2A"/>
    <w:rsid w:val="00354E2C"/>
    <w:rsid w:val="00354E80"/>
    <w:rsid w:val="0035501E"/>
    <w:rsid w:val="003551E4"/>
    <w:rsid w:val="00355238"/>
    <w:rsid w:val="00355423"/>
    <w:rsid w:val="00355684"/>
    <w:rsid w:val="00355734"/>
    <w:rsid w:val="0035575A"/>
    <w:rsid w:val="00355807"/>
    <w:rsid w:val="00355970"/>
    <w:rsid w:val="00355BBA"/>
    <w:rsid w:val="00355BC3"/>
    <w:rsid w:val="00355CF9"/>
    <w:rsid w:val="00355D33"/>
    <w:rsid w:val="00355DB4"/>
    <w:rsid w:val="00355E10"/>
    <w:rsid w:val="00355EEC"/>
    <w:rsid w:val="00355F56"/>
    <w:rsid w:val="00355F6F"/>
    <w:rsid w:val="00355FCF"/>
    <w:rsid w:val="003560F7"/>
    <w:rsid w:val="00356173"/>
    <w:rsid w:val="00356379"/>
    <w:rsid w:val="003563D1"/>
    <w:rsid w:val="003563FF"/>
    <w:rsid w:val="003564A5"/>
    <w:rsid w:val="0035661C"/>
    <w:rsid w:val="003566F5"/>
    <w:rsid w:val="003569D0"/>
    <w:rsid w:val="00356AAE"/>
    <w:rsid w:val="00356CE0"/>
    <w:rsid w:val="00356CE2"/>
    <w:rsid w:val="00356DB4"/>
    <w:rsid w:val="00356E43"/>
    <w:rsid w:val="003571D4"/>
    <w:rsid w:val="003573C4"/>
    <w:rsid w:val="00357431"/>
    <w:rsid w:val="00357438"/>
    <w:rsid w:val="003575AD"/>
    <w:rsid w:val="003576C6"/>
    <w:rsid w:val="003577AF"/>
    <w:rsid w:val="003577ED"/>
    <w:rsid w:val="00357AB1"/>
    <w:rsid w:val="00357AE3"/>
    <w:rsid w:val="00357BA1"/>
    <w:rsid w:val="00357BAB"/>
    <w:rsid w:val="00357D06"/>
    <w:rsid w:val="00357D42"/>
    <w:rsid w:val="00357F7D"/>
    <w:rsid w:val="00360076"/>
    <w:rsid w:val="00360262"/>
    <w:rsid w:val="003602BD"/>
    <w:rsid w:val="003605B0"/>
    <w:rsid w:val="003605D1"/>
    <w:rsid w:val="00360738"/>
    <w:rsid w:val="003608CB"/>
    <w:rsid w:val="00360922"/>
    <w:rsid w:val="00360965"/>
    <w:rsid w:val="003609BB"/>
    <w:rsid w:val="00360B1F"/>
    <w:rsid w:val="00360BC1"/>
    <w:rsid w:val="00360CDB"/>
    <w:rsid w:val="00360DD7"/>
    <w:rsid w:val="00360E31"/>
    <w:rsid w:val="00360F2E"/>
    <w:rsid w:val="00360F82"/>
    <w:rsid w:val="0036108D"/>
    <w:rsid w:val="00361100"/>
    <w:rsid w:val="0036122A"/>
    <w:rsid w:val="00361351"/>
    <w:rsid w:val="0036156D"/>
    <w:rsid w:val="003615FB"/>
    <w:rsid w:val="003616EC"/>
    <w:rsid w:val="0036172C"/>
    <w:rsid w:val="0036179E"/>
    <w:rsid w:val="003617BA"/>
    <w:rsid w:val="00361805"/>
    <w:rsid w:val="00361831"/>
    <w:rsid w:val="00361930"/>
    <w:rsid w:val="0036193C"/>
    <w:rsid w:val="00361A27"/>
    <w:rsid w:val="00361D54"/>
    <w:rsid w:val="00361D93"/>
    <w:rsid w:val="00361EA0"/>
    <w:rsid w:val="00361F73"/>
    <w:rsid w:val="00361FD5"/>
    <w:rsid w:val="0036202A"/>
    <w:rsid w:val="0036230E"/>
    <w:rsid w:val="00362342"/>
    <w:rsid w:val="0036259C"/>
    <w:rsid w:val="0036283D"/>
    <w:rsid w:val="0036283E"/>
    <w:rsid w:val="00362A54"/>
    <w:rsid w:val="00362CAC"/>
    <w:rsid w:val="00362CB3"/>
    <w:rsid w:val="00362CE9"/>
    <w:rsid w:val="00362D37"/>
    <w:rsid w:val="00362E17"/>
    <w:rsid w:val="00362EE0"/>
    <w:rsid w:val="00362F24"/>
    <w:rsid w:val="00363096"/>
    <w:rsid w:val="00363099"/>
    <w:rsid w:val="0036316B"/>
    <w:rsid w:val="00363266"/>
    <w:rsid w:val="0036365D"/>
    <w:rsid w:val="0036367C"/>
    <w:rsid w:val="003638D4"/>
    <w:rsid w:val="00363A24"/>
    <w:rsid w:val="00363A55"/>
    <w:rsid w:val="00363B47"/>
    <w:rsid w:val="00363B6B"/>
    <w:rsid w:val="00363C3D"/>
    <w:rsid w:val="00363C89"/>
    <w:rsid w:val="00363D36"/>
    <w:rsid w:val="00363EEC"/>
    <w:rsid w:val="00363F01"/>
    <w:rsid w:val="00363F77"/>
    <w:rsid w:val="00364041"/>
    <w:rsid w:val="00364076"/>
    <w:rsid w:val="00364148"/>
    <w:rsid w:val="003642B7"/>
    <w:rsid w:val="003642E6"/>
    <w:rsid w:val="00364329"/>
    <w:rsid w:val="0036445A"/>
    <w:rsid w:val="0036457F"/>
    <w:rsid w:val="0036466C"/>
    <w:rsid w:val="0036469A"/>
    <w:rsid w:val="003646BC"/>
    <w:rsid w:val="0036476E"/>
    <w:rsid w:val="003647CF"/>
    <w:rsid w:val="00364869"/>
    <w:rsid w:val="0036488A"/>
    <w:rsid w:val="00364997"/>
    <w:rsid w:val="00364A0F"/>
    <w:rsid w:val="00364B56"/>
    <w:rsid w:val="00364DD0"/>
    <w:rsid w:val="00364DFF"/>
    <w:rsid w:val="00364F7D"/>
    <w:rsid w:val="0036508E"/>
    <w:rsid w:val="003650C9"/>
    <w:rsid w:val="00365200"/>
    <w:rsid w:val="003653FE"/>
    <w:rsid w:val="003655F1"/>
    <w:rsid w:val="003656C1"/>
    <w:rsid w:val="00365997"/>
    <w:rsid w:val="00365A91"/>
    <w:rsid w:val="00365AB0"/>
    <w:rsid w:val="00365ACD"/>
    <w:rsid w:val="00365ADC"/>
    <w:rsid w:val="00365B85"/>
    <w:rsid w:val="00365BF8"/>
    <w:rsid w:val="00365C28"/>
    <w:rsid w:val="00365CA8"/>
    <w:rsid w:val="00365FAB"/>
    <w:rsid w:val="00366026"/>
    <w:rsid w:val="00366035"/>
    <w:rsid w:val="003660F7"/>
    <w:rsid w:val="0036611E"/>
    <w:rsid w:val="003661BC"/>
    <w:rsid w:val="003663C0"/>
    <w:rsid w:val="00366423"/>
    <w:rsid w:val="00366428"/>
    <w:rsid w:val="003664A9"/>
    <w:rsid w:val="0036674E"/>
    <w:rsid w:val="003669C8"/>
    <w:rsid w:val="00366A3A"/>
    <w:rsid w:val="00366A4B"/>
    <w:rsid w:val="00366A70"/>
    <w:rsid w:val="00366B40"/>
    <w:rsid w:val="00366CDA"/>
    <w:rsid w:val="00366D1E"/>
    <w:rsid w:val="00366D70"/>
    <w:rsid w:val="00366DED"/>
    <w:rsid w:val="00367151"/>
    <w:rsid w:val="00367156"/>
    <w:rsid w:val="00367241"/>
    <w:rsid w:val="003673EE"/>
    <w:rsid w:val="00367406"/>
    <w:rsid w:val="00367498"/>
    <w:rsid w:val="00367580"/>
    <w:rsid w:val="003676CD"/>
    <w:rsid w:val="00367966"/>
    <w:rsid w:val="003679C3"/>
    <w:rsid w:val="00367A9E"/>
    <w:rsid w:val="00367AD4"/>
    <w:rsid w:val="00367B19"/>
    <w:rsid w:val="00367B42"/>
    <w:rsid w:val="00367BBA"/>
    <w:rsid w:val="00367D44"/>
    <w:rsid w:val="00367E8C"/>
    <w:rsid w:val="003700C4"/>
    <w:rsid w:val="0037015B"/>
    <w:rsid w:val="003701F3"/>
    <w:rsid w:val="00370270"/>
    <w:rsid w:val="0037034E"/>
    <w:rsid w:val="00370403"/>
    <w:rsid w:val="00370971"/>
    <w:rsid w:val="003709FB"/>
    <w:rsid w:val="00370A52"/>
    <w:rsid w:val="00370B0E"/>
    <w:rsid w:val="00370BBA"/>
    <w:rsid w:val="00370BF4"/>
    <w:rsid w:val="00370E2F"/>
    <w:rsid w:val="00370F98"/>
    <w:rsid w:val="0037133B"/>
    <w:rsid w:val="003714E2"/>
    <w:rsid w:val="00371543"/>
    <w:rsid w:val="003715A7"/>
    <w:rsid w:val="003715D9"/>
    <w:rsid w:val="00371681"/>
    <w:rsid w:val="00371694"/>
    <w:rsid w:val="003717F1"/>
    <w:rsid w:val="003717F7"/>
    <w:rsid w:val="00371888"/>
    <w:rsid w:val="003718A7"/>
    <w:rsid w:val="00371B75"/>
    <w:rsid w:val="00371BAF"/>
    <w:rsid w:val="00371BB8"/>
    <w:rsid w:val="00371BBB"/>
    <w:rsid w:val="00371C13"/>
    <w:rsid w:val="00371C24"/>
    <w:rsid w:val="00371CA1"/>
    <w:rsid w:val="00371CAF"/>
    <w:rsid w:val="00371D18"/>
    <w:rsid w:val="00371D2F"/>
    <w:rsid w:val="00371D43"/>
    <w:rsid w:val="00371E04"/>
    <w:rsid w:val="00371EB2"/>
    <w:rsid w:val="00371FD2"/>
    <w:rsid w:val="0037201D"/>
    <w:rsid w:val="00372137"/>
    <w:rsid w:val="0037215B"/>
    <w:rsid w:val="003721AB"/>
    <w:rsid w:val="003722EA"/>
    <w:rsid w:val="003722F3"/>
    <w:rsid w:val="003724AC"/>
    <w:rsid w:val="003725C8"/>
    <w:rsid w:val="003726B2"/>
    <w:rsid w:val="00372772"/>
    <w:rsid w:val="00372790"/>
    <w:rsid w:val="003727B4"/>
    <w:rsid w:val="0037289B"/>
    <w:rsid w:val="0037293E"/>
    <w:rsid w:val="00372959"/>
    <w:rsid w:val="0037299C"/>
    <w:rsid w:val="00372A0A"/>
    <w:rsid w:val="00372A63"/>
    <w:rsid w:val="00372AB6"/>
    <w:rsid w:val="00372B25"/>
    <w:rsid w:val="00372CAF"/>
    <w:rsid w:val="00372DE2"/>
    <w:rsid w:val="00372F47"/>
    <w:rsid w:val="00372F60"/>
    <w:rsid w:val="00372F80"/>
    <w:rsid w:val="00372FE3"/>
    <w:rsid w:val="00373004"/>
    <w:rsid w:val="0037319A"/>
    <w:rsid w:val="003732A3"/>
    <w:rsid w:val="00373387"/>
    <w:rsid w:val="003735F4"/>
    <w:rsid w:val="00373697"/>
    <w:rsid w:val="003736DF"/>
    <w:rsid w:val="00373A1B"/>
    <w:rsid w:val="00373A1F"/>
    <w:rsid w:val="00373B5C"/>
    <w:rsid w:val="00373CB7"/>
    <w:rsid w:val="00373D70"/>
    <w:rsid w:val="00373E21"/>
    <w:rsid w:val="00373EBE"/>
    <w:rsid w:val="00373F08"/>
    <w:rsid w:val="00373F76"/>
    <w:rsid w:val="00373FB5"/>
    <w:rsid w:val="00374049"/>
    <w:rsid w:val="00374052"/>
    <w:rsid w:val="00374074"/>
    <w:rsid w:val="00374284"/>
    <w:rsid w:val="003742EC"/>
    <w:rsid w:val="00374442"/>
    <w:rsid w:val="003744D1"/>
    <w:rsid w:val="0037451C"/>
    <w:rsid w:val="00374550"/>
    <w:rsid w:val="003745C0"/>
    <w:rsid w:val="0037465A"/>
    <w:rsid w:val="00374714"/>
    <w:rsid w:val="00374718"/>
    <w:rsid w:val="00374817"/>
    <w:rsid w:val="0037482C"/>
    <w:rsid w:val="00374930"/>
    <w:rsid w:val="00374937"/>
    <w:rsid w:val="00374A0C"/>
    <w:rsid w:val="00374A23"/>
    <w:rsid w:val="00374B18"/>
    <w:rsid w:val="00374B2B"/>
    <w:rsid w:val="00374CB9"/>
    <w:rsid w:val="00374D46"/>
    <w:rsid w:val="00374E6A"/>
    <w:rsid w:val="00374E6C"/>
    <w:rsid w:val="00374F0C"/>
    <w:rsid w:val="00374FE6"/>
    <w:rsid w:val="0037501D"/>
    <w:rsid w:val="003750AE"/>
    <w:rsid w:val="00375279"/>
    <w:rsid w:val="00375308"/>
    <w:rsid w:val="00375353"/>
    <w:rsid w:val="00375619"/>
    <w:rsid w:val="003756C2"/>
    <w:rsid w:val="00375793"/>
    <w:rsid w:val="0037593D"/>
    <w:rsid w:val="0037593F"/>
    <w:rsid w:val="00375BA2"/>
    <w:rsid w:val="00375C35"/>
    <w:rsid w:val="00375E05"/>
    <w:rsid w:val="00375E0C"/>
    <w:rsid w:val="00375E8C"/>
    <w:rsid w:val="00375EF5"/>
    <w:rsid w:val="0037609F"/>
    <w:rsid w:val="00376119"/>
    <w:rsid w:val="00376140"/>
    <w:rsid w:val="003761A4"/>
    <w:rsid w:val="0037628A"/>
    <w:rsid w:val="003762CE"/>
    <w:rsid w:val="00376316"/>
    <w:rsid w:val="00376321"/>
    <w:rsid w:val="003763F9"/>
    <w:rsid w:val="00376402"/>
    <w:rsid w:val="003764CC"/>
    <w:rsid w:val="003764D9"/>
    <w:rsid w:val="0037661C"/>
    <w:rsid w:val="0037663A"/>
    <w:rsid w:val="0037694C"/>
    <w:rsid w:val="003769AD"/>
    <w:rsid w:val="00376A05"/>
    <w:rsid w:val="00376A6F"/>
    <w:rsid w:val="00376AE2"/>
    <w:rsid w:val="00376BBC"/>
    <w:rsid w:val="00376BE9"/>
    <w:rsid w:val="00376C70"/>
    <w:rsid w:val="00376CB1"/>
    <w:rsid w:val="00376CF2"/>
    <w:rsid w:val="00376E55"/>
    <w:rsid w:val="00376F79"/>
    <w:rsid w:val="00376FAC"/>
    <w:rsid w:val="003773CE"/>
    <w:rsid w:val="0037750E"/>
    <w:rsid w:val="003775A1"/>
    <w:rsid w:val="003777E3"/>
    <w:rsid w:val="0037784A"/>
    <w:rsid w:val="00377884"/>
    <w:rsid w:val="00377965"/>
    <w:rsid w:val="003779F1"/>
    <w:rsid w:val="00377A1F"/>
    <w:rsid w:val="00377ACC"/>
    <w:rsid w:val="00377B2D"/>
    <w:rsid w:val="00377B72"/>
    <w:rsid w:val="00377C99"/>
    <w:rsid w:val="00377D33"/>
    <w:rsid w:val="00377E11"/>
    <w:rsid w:val="00377EEB"/>
    <w:rsid w:val="00377FC4"/>
    <w:rsid w:val="00377FD4"/>
    <w:rsid w:val="00377FE2"/>
    <w:rsid w:val="003800CB"/>
    <w:rsid w:val="003800EB"/>
    <w:rsid w:val="00380144"/>
    <w:rsid w:val="00380222"/>
    <w:rsid w:val="0038045D"/>
    <w:rsid w:val="0038057B"/>
    <w:rsid w:val="0038057E"/>
    <w:rsid w:val="0038073C"/>
    <w:rsid w:val="0038080B"/>
    <w:rsid w:val="003809D2"/>
    <w:rsid w:val="00380A06"/>
    <w:rsid w:val="00380B39"/>
    <w:rsid w:val="00380B74"/>
    <w:rsid w:val="00380BAF"/>
    <w:rsid w:val="00380BD0"/>
    <w:rsid w:val="00380C3D"/>
    <w:rsid w:val="00380E9F"/>
    <w:rsid w:val="00380EBF"/>
    <w:rsid w:val="00380F6E"/>
    <w:rsid w:val="00381029"/>
    <w:rsid w:val="003810BA"/>
    <w:rsid w:val="003811C5"/>
    <w:rsid w:val="003811F3"/>
    <w:rsid w:val="003811F6"/>
    <w:rsid w:val="00381344"/>
    <w:rsid w:val="003813FD"/>
    <w:rsid w:val="003813FE"/>
    <w:rsid w:val="00381467"/>
    <w:rsid w:val="00381563"/>
    <w:rsid w:val="00381565"/>
    <w:rsid w:val="00381676"/>
    <w:rsid w:val="003818DD"/>
    <w:rsid w:val="0038199C"/>
    <w:rsid w:val="00381A40"/>
    <w:rsid w:val="00381AD2"/>
    <w:rsid w:val="00381B8D"/>
    <w:rsid w:val="00381BC4"/>
    <w:rsid w:val="00381E4E"/>
    <w:rsid w:val="00381E60"/>
    <w:rsid w:val="00381F57"/>
    <w:rsid w:val="00382275"/>
    <w:rsid w:val="00382397"/>
    <w:rsid w:val="00382423"/>
    <w:rsid w:val="00382434"/>
    <w:rsid w:val="003824A2"/>
    <w:rsid w:val="00382546"/>
    <w:rsid w:val="003825BE"/>
    <w:rsid w:val="00382899"/>
    <w:rsid w:val="003828D0"/>
    <w:rsid w:val="0038290E"/>
    <w:rsid w:val="00382A19"/>
    <w:rsid w:val="00382ABC"/>
    <w:rsid w:val="00382B6A"/>
    <w:rsid w:val="00382C17"/>
    <w:rsid w:val="00382D25"/>
    <w:rsid w:val="00382D44"/>
    <w:rsid w:val="00382D47"/>
    <w:rsid w:val="00382DDE"/>
    <w:rsid w:val="00382E00"/>
    <w:rsid w:val="00382E21"/>
    <w:rsid w:val="00382EFD"/>
    <w:rsid w:val="00382F53"/>
    <w:rsid w:val="00382FB1"/>
    <w:rsid w:val="00382FCC"/>
    <w:rsid w:val="00383023"/>
    <w:rsid w:val="003830D5"/>
    <w:rsid w:val="003831C7"/>
    <w:rsid w:val="00383508"/>
    <w:rsid w:val="003835DE"/>
    <w:rsid w:val="0038367B"/>
    <w:rsid w:val="003837EB"/>
    <w:rsid w:val="00383839"/>
    <w:rsid w:val="003839C2"/>
    <w:rsid w:val="00383A50"/>
    <w:rsid w:val="00383BB7"/>
    <w:rsid w:val="00383BBB"/>
    <w:rsid w:val="00383C44"/>
    <w:rsid w:val="00383D8A"/>
    <w:rsid w:val="00383ED9"/>
    <w:rsid w:val="00383EFC"/>
    <w:rsid w:val="00383FE5"/>
    <w:rsid w:val="003841B4"/>
    <w:rsid w:val="003841E3"/>
    <w:rsid w:val="003841EC"/>
    <w:rsid w:val="0038431F"/>
    <w:rsid w:val="00384346"/>
    <w:rsid w:val="00384368"/>
    <w:rsid w:val="00384487"/>
    <w:rsid w:val="00384502"/>
    <w:rsid w:val="00384548"/>
    <w:rsid w:val="0038466D"/>
    <w:rsid w:val="003846A6"/>
    <w:rsid w:val="003847B7"/>
    <w:rsid w:val="003849A4"/>
    <w:rsid w:val="00384B60"/>
    <w:rsid w:val="00384CB9"/>
    <w:rsid w:val="00384D74"/>
    <w:rsid w:val="00384D87"/>
    <w:rsid w:val="00384DE7"/>
    <w:rsid w:val="00384E75"/>
    <w:rsid w:val="00384F1F"/>
    <w:rsid w:val="00384F7A"/>
    <w:rsid w:val="00384FA6"/>
    <w:rsid w:val="00385063"/>
    <w:rsid w:val="0038510A"/>
    <w:rsid w:val="0038511B"/>
    <w:rsid w:val="00385228"/>
    <w:rsid w:val="003853CF"/>
    <w:rsid w:val="003854B8"/>
    <w:rsid w:val="00385685"/>
    <w:rsid w:val="003856BD"/>
    <w:rsid w:val="0038579B"/>
    <w:rsid w:val="003857C1"/>
    <w:rsid w:val="003858B5"/>
    <w:rsid w:val="003858FF"/>
    <w:rsid w:val="0038591E"/>
    <w:rsid w:val="0038591F"/>
    <w:rsid w:val="00385968"/>
    <w:rsid w:val="0038598E"/>
    <w:rsid w:val="003859DE"/>
    <w:rsid w:val="00385B26"/>
    <w:rsid w:val="00385B84"/>
    <w:rsid w:val="00385C9C"/>
    <w:rsid w:val="00385C9F"/>
    <w:rsid w:val="00385E53"/>
    <w:rsid w:val="00385EF9"/>
    <w:rsid w:val="00385FC2"/>
    <w:rsid w:val="00386029"/>
    <w:rsid w:val="003860D2"/>
    <w:rsid w:val="00386208"/>
    <w:rsid w:val="003862EC"/>
    <w:rsid w:val="003862F2"/>
    <w:rsid w:val="003863F3"/>
    <w:rsid w:val="003864E8"/>
    <w:rsid w:val="00386556"/>
    <w:rsid w:val="0038662E"/>
    <w:rsid w:val="00386633"/>
    <w:rsid w:val="00386663"/>
    <w:rsid w:val="0038667F"/>
    <w:rsid w:val="003868B0"/>
    <w:rsid w:val="003868ED"/>
    <w:rsid w:val="00386A51"/>
    <w:rsid w:val="00386CFC"/>
    <w:rsid w:val="00386D51"/>
    <w:rsid w:val="00386E28"/>
    <w:rsid w:val="00386E2D"/>
    <w:rsid w:val="00387017"/>
    <w:rsid w:val="003874AE"/>
    <w:rsid w:val="00387666"/>
    <w:rsid w:val="00387681"/>
    <w:rsid w:val="003876B1"/>
    <w:rsid w:val="003876CF"/>
    <w:rsid w:val="0038770B"/>
    <w:rsid w:val="00387752"/>
    <w:rsid w:val="003877FD"/>
    <w:rsid w:val="00387874"/>
    <w:rsid w:val="00387AAF"/>
    <w:rsid w:val="00387DA1"/>
    <w:rsid w:val="00387EC6"/>
    <w:rsid w:val="00387F00"/>
    <w:rsid w:val="003900F1"/>
    <w:rsid w:val="00390231"/>
    <w:rsid w:val="0039024E"/>
    <w:rsid w:val="0039051E"/>
    <w:rsid w:val="003906BE"/>
    <w:rsid w:val="003906C7"/>
    <w:rsid w:val="003907BD"/>
    <w:rsid w:val="00390836"/>
    <w:rsid w:val="003908CB"/>
    <w:rsid w:val="00390AEE"/>
    <w:rsid w:val="00390C17"/>
    <w:rsid w:val="00390F04"/>
    <w:rsid w:val="00390F80"/>
    <w:rsid w:val="0039118E"/>
    <w:rsid w:val="003911CA"/>
    <w:rsid w:val="0039136F"/>
    <w:rsid w:val="0039140D"/>
    <w:rsid w:val="0039165F"/>
    <w:rsid w:val="0039169F"/>
    <w:rsid w:val="003917A7"/>
    <w:rsid w:val="003918C9"/>
    <w:rsid w:val="003918F2"/>
    <w:rsid w:val="00391925"/>
    <w:rsid w:val="00391B64"/>
    <w:rsid w:val="00391C3A"/>
    <w:rsid w:val="00391C4F"/>
    <w:rsid w:val="00391DD8"/>
    <w:rsid w:val="00391E8B"/>
    <w:rsid w:val="00391E92"/>
    <w:rsid w:val="003921F4"/>
    <w:rsid w:val="00392289"/>
    <w:rsid w:val="0039235B"/>
    <w:rsid w:val="003925B8"/>
    <w:rsid w:val="00392682"/>
    <w:rsid w:val="00392686"/>
    <w:rsid w:val="00392699"/>
    <w:rsid w:val="003927D3"/>
    <w:rsid w:val="003927D6"/>
    <w:rsid w:val="003929CC"/>
    <w:rsid w:val="00392B8F"/>
    <w:rsid w:val="00392BAF"/>
    <w:rsid w:val="00392CDD"/>
    <w:rsid w:val="00392D2A"/>
    <w:rsid w:val="00392DC9"/>
    <w:rsid w:val="00392E76"/>
    <w:rsid w:val="00392F3B"/>
    <w:rsid w:val="00392F88"/>
    <w:rsid w:val="00392F8D"/>
    <w:rsid w:val="00393015"/>
    <w:rsid w:val="003932A3"/>
    <w:rsid w:val="00393547"/>
    <w:rsid w:val="003936C2"/>
    <w:rsid w:val="003937EE"/>
    <w:rsid w:val="0039380E"/>
    <w:rsid w:val="00393889"/>
    <w:rsid w:val="0039388D"/>
    <w:rsid w:val="00393899"/>
    <w:rsid w:val="00393A47"/>
    <w:rsid w:val="00393A85"/>
    <w:rsid w:val="00393D52"/>
    <w:rsid w:val="00393D9B"/>
    <w:rsid w:val="00393FD3"/>
    <w:rsid w:val="0039402C"/>
    <w:rsid w:val="003941FF"/>
    <w:rsid w:val="003943D2"/>
    <w:rsid w:val="003943FE"/>
    <w:rsid w:val="00394590"/>
    <w:rsid w:val="00394768"/>
    <w:rsid w:val="00394808"/>
    <w:rsid w:val="00394974"/>
    <w:rsid w:val="00394C11"/>
    <w:rsid w:val="00394D3A"/>
    <w:rsid w:val="00394D6F"/>
    <w:rsid w:val="00394DF2"/>
    <w:rsid w:val="00394F4B"/>
    <w:rsid w:val="00394FBE"/>
    <w:rsid w:val="003950BC"/>
    <w:rsid w:val="003950C3"/>
    <w:rsid w:val="003950CB"/>
    <w:rsid w:val="00395131"/>
    <w:rsid w:val="00395282"/>
    <w:rsid w:val="003953A0"/>
    <w:rsid w:val="0039549D"/>
    <w:rsid w:val="003954CF"/>
    <w:rsid w:val="00395540"/>
    <w:rsid w:val="00395570"/>
    <w:rsid w:val="0039566B"/>
    <w:rsid w:val="003956C5"/>
    <w:rsid w:val="00395755"/>
    <w:rsid w:val="00395788"/>
    <w:rsid w:val="003958BD"/>
    <w:rsid w:val="00395A05"/>
    <w:rsid w:val="00395A45"/>
    <w:rsid w:val="00395BFF"/>
    <w:rsid w:val="00395C86"/>
    <w:rsid w:val="00395E74"/>
    <w:rsid w:val="00395F74"/>
    <w:rsid w:val="003960FD"/>
    <w:rsid w:val="00396172"/>
    <w:rsid w:val="003962C8"/>
    <w:rsid w:val="00396667"/>
    <w:rsid w:val="0039672B"/>
    <w:rsid w:val="003967B6"/>
    <w:rsid w:val="00396811"/>
    <w:rsid w:val="00396834"/>
    <w:rsid w:val="00396842"/>
    <w:rsid w:val="003968D6"/>
    <w:rsid w:val="00396927"/>
    <w:rsid w:val="0039697C"/>
    <w:rsid w:val="00396A31"/>
    <w:rsid w:val="00396AF7"/>
    <w:rsid w:val="00396B15"/>
    <w:rsid w:val="00396B2A"/>
    <w:rsid w:val="00396C91"/>
    <w:rsid w:val="00396E5C"/>
    <w:rsid w:val="0039707F"/>
    <w:rsid w:val="00397143"/>
    <w:rsid w:val="003971D2"/>
    <w:rsid w:val="003972EB"/>
    <w:rsid w:val="00397352"/>
    <w:rsid w:val="0039736E"/>
    <w:rsid w:val="00397472"/>
    <w:rsid w:val="00397614"/>
    <w:rsid w:val="0039777D"/>
    <w:rsid w:val="003979E7"/>
    <w:rsid w:val="00397A78"/>
    <w:rsid w:val="00397AFB"/>
    <w:rsid w:val="00397B2D"/>
    <w:rsid w:val="00397B2F"/>
    <w:rsid w:val="00397B8A"/>
    <w:rsid w:val="00397C20"/>
    <w:rsid w:val="00397C9A"/>
    <w:rsid w:val="00397D54"/>
    <w:rsid w:val="00397DA9"/>
    <w:rsid w:val="00397DC7"/>
    <w:rsid w:val="00397E0F"/>
    <w:rsid w:val="00397E70"/>
    <w:rsid w:val="00397EFA"/>
    <w:rsid w:val="00397F3B"/>
    <w:rsid w:val="00397F45"/>
    <w:rsid w:val="00397FEE"/>
    <w:rsid w:val="003A00B4"/>
    <w:rsid w:val="003A02AD"/>
    <w:rsid w:val="003A03AB"/>
    <w:rsid w:val="003A06FB"/>
    <w:rsid w:val="003A0784"/>
    <w:rsid w:val="003A0832"/>
    <w:rsid w:val="003A08D5"/>
    <w:rsid w:val="003A0989"/>
    <w:rsid w:val="003A0A4F"/>
    <w:rsid w:val="003A0E98"/>
    <w:rsid w:val="003A0F17"/>
    <w:rsid w:val="003A0FD7"/>
    <w:rsid w:val="003A0FD9"/>
    <w:rsid w:val="003A0FDB"/>
    <w:rsid w:val="003A0FE9"/>
    <w:rsid w:val="003A10E3"/>
    <w:rsid w:val="003A1109"/>
    <w:rsid w:val="003A11A3"/>
    <w:rsid w:val="003A11E0"/>
    <w:rsid w:val="003A140F"/>
    <w:rsid w:val="003A1678"/>
    <w:rsid w:val="003A177C"/>
    <w:rsid w:val="003A17F3"/>
    <w:rsid w:val="003A1948"/>
    <w:rsid w:val="003A1B50"/>
    <w:rsid w:val="003A1B64"/>
    <w:rsid w:val="003A1C2D"/>
    <w:rsid w:val="003A1DC5"/>
    <w:rsid w:val="003A1E9E"/>
    <w:rsid w:val="003A1F9C"/>
    <w:rsid w:val="003A20C6"/>
    <w:rsid w:val="003A20E9"/>
    <w:rsid w:val="003A210D"/>
    <w:rsid w:val="003A210F"/>
    <w:rsid w:val="003A2216"/>
    <w:rsid w:val="003A2253"/>
    <w:rsid w:val="003A2305"/>
    <w:rsid w:val="003A240E"/>
    <w:rsid w:val="003A2414"/>
    <w:rsid w:val="003A2444"/>
    <w:rsid w:val="003A24DC"/>
    <w:rsid w:val="003A2503"/>
    <w:rsid w:val="003A2556"/>
    <w:rsid w:val="003A2647"/>
    <w:rsid w:val="003A267B"/>
    <w:rsid w:val="003A26AC"/>
    <w:rsid w:val="003A2736"/>
    <w:rsid w:val="003A2A95"/>
    <w:rsid w:val="003A2B8F"/>
    <w:rsid w:val="003A2CD0"/>
    <w:rsid w:val="003A2D61"/>
    <w:rsid w:val="003A2E31"/>
    <w:rsid w:val="003A2E8B"/>
    <w:rsid w:val="003A2F9A"/>
    <w:rsid w:val="003A3004"/>
    <w:rsid w:val="003A312A"/>
    <w:rsid w:val="003A3207"/>
    <w:rsid w:val="003A3406"/>
    <w:rsid w:val="003A34AD"/>
    <w:rsid w:val="003A3516"/>
    <w:rsid w:val="003A36DE"/>
    <w:rsid w:val="003A3708"/>
    <w:rsid w:val="003A3947"/>
    <w:rsid w:val="003A3951"/>
    <w:rsid w:val="003A3952"/>
    <w:rsid w:val="003A3C66"/>
    <w:rsid w:val="003A3DC1"/>
    <w:rsid w:val="003A3DFC"/>
    <w:rsid w:val="003A3E40"/>
    <w:rsid w:val="003A3F01"/>
    <w:rsid w:val="003A3F97"/>
    <w:rsid w:val="003A41B8"/>
    <w:rsid w:val="003A4551"/>
    <w:rsid w:val="003A48EE"/>
    <w:rsid w:val="003A4986"/>
    <w:rsid w:val="003A4A41"/>
    <w:rsid w:val="003A4AA5"/>
    <w:rsid w:val="003A4B3F"/>
    <w:rsid w:val="003A4BC6"/>
    <w:rsid w:val="003A4C4E"/>
    <w:rsid w:val="003A4DA4"/>
    <w:rsid w:val="003A4DC2"/>
    <w:rsid w:val="003A4FC4"/>
    <w:rsid w:val="003A51C5"/>
    <w:rsid w:val="003A5242"/>
    <w:rsid w:val="003A5272"/>
    <w:rsid w:val="003A528A"/>
    <w:rsid w:val="003A534B"/>
    <w:rsid w:val="003A534C"/>
    <w:rsid w:val="003A538A"/>
    <w:rsid w:val="003A5617"/>
    <w:rsid w:val="003A596E"/>
    <w:rsid w:val="003A59F8"/>
    <w:rsid w:val="003A5A68"/>
    <w:rsid w:val="003A5AED"/>
    <w:rsid w:val="003A5B2F"/>
    <w:rsid w:val="003A5C0B"/>
    <w:rsid w:val="003A5C0D"/>
    <w:rsid w:val="003A5D93"/>
    <w:rsid w:val="003A5F21"/>
    <w:rsid w:val="003A6142"/>
    <w:rsid w:val="003A61ED"/>
    <w:rsid w:val="003A6213"/>
    <w:rsid w:val="003A6218"/>
    <w:rsid w:val="003A63AB"/>
    <w:rsid w:val="003A642A"/>
    <w:rsid w:val="003A6512"/>
    <w:rsid w:val="003A658C"/>
    <w:rsid w:val="003A65A5"/>
    <w:rsid w:val="003A660B"/>
    <w:rsid w:val="003A6621"/>
    <w:rsid w:val="003A68BE"/>
    <w:rsid w:val="003A6937"/>
    <w:rsid w:val="003A6956"/>
    <w:rsid w:val="003A6ACF"/>
    <w:rsid w:val="003A6B18"/>
    <w:rsid w:val="003A6C47"/>
    <w:rsid w:val="003A704A"/>
    <w:rsid w:val="003A70DD"/>
    <w:rsid w:val="003A7282"/>
    <w:rsid w:val="003A757B"/>
    <w:rsid w:val="003A7598"/>
    <w:rsid w:val="003A77CB"/>
    <w:rsid w:val="003A781A"/>
    <w:rsid w:val="003A7823"/>
    <w:rsid w:val="003A7852"/>
    <w:rsid w:val="003A79EF"/>
    <w:rsid w:val="003A7B51"/>
    <w:rsid w:val="003A7F74"/>
    <w:rsid w:val="003A7F9E"/>
    <w:rsid w:val="003B019D"/>
    <w:rsid w:val="003B01F9"/>
    <w:rsid w:val="003B0341"/>
    <w:rsid w:val="003B0352"/>
    <w:rsid w:val="003B06EC"/>
    <w:rsid w:val="003B089B"/>
    <w:rsid w:val="003B08C3"/>
    <w:rsid w:val="003B08F5"/>
    <w:rsid w:val="003B090F"/>
    <w:rsid w:val="003B0959"/>
    <w:rsid w:val="003B0C09"/>
    <w:rsid w:val="003B0D72"/>
    <w:rsid w:val="003B0DA0"/>
    <w:rsid w:val="003B10C5"/>
    <w:rsid w:val="003B1104"/>
    <w:rsid w:val="003B110D"/>
    <w:rsid w:val="003B1158"/>
    <w:rsid w:val="003B11D4"/>
    <w:rsid w:val="003B1281"/>
    <w:rsid w:val="003B1490"/>
    <w:rsid w:val="003B1626"/>
    <w:rsid w:val="003B162F"/>
    <w:rsid w:val="003B16FC"/>
    <w:rsid w:val="003B170B"/>
    <w:rsid w:val="003B1719"/>
    <w:rsid w:val="003B19D3"/>
    <w:rsid w:val="003B1D1A"/>
    <w:rsid w:val="003B1D2B"/>
    <w:rsid w:val="003B1DB2"/>
    <w:rsid w:val="003B1E5E"/>
    <w:rsid w:val="003B1EB6"/>
    <w:rsid w:val="003B1F10"/>
    <w:rsid w:val="003B1F3F"/>
    <w:rsid w:val="003B1F91"/>
    <w:rsid w:val="003B1FD8"/>
    <w:rsid w:val="003B2095"/>
    <w:rsid w:val="003B2236"/>
    <w:rsid w:val="003B2247"/>
    <w:rsid w:val="003B2296"/>
    <w:rsid w:val="003B230E"/>
    <w:rsid w:val="003B2312"/>
    <w:rsid w:val="003B27B4"/>
    <w:rsid w:val="003B2870"/>
    <w:rsid w:val="003B288C"/>
    <w:rsid w:val="003B2A2B"/>
    <w:rsid w:val="003B2A92"/>
    <w:rsid w:val="003B2ADA"/>
    <w:rsid w:val="003B2C41"/>
    <w:rsid w:val="003B2C55"/>
    <w:rsid w:val="003B2E6D"/>
    <w:rsid w:val="003B2E72"/>
    <w:rsid w:val="003B2E84"/>
    <w:rsid w:val="003B2F05"/>
    <w:rsid w:val="003B2F40"/>
    <w:rsid w:val="003B2F43"/>
    <w:rsid w:val="003B3064"/>
    <w:rsid w:val="003B354B"/>
    <w:rsid w:val="003B358E"/>
    <w:rsid w:val="003B3681"/>
    <w:rsid w:val="003B36D8"/>
    <w:rsid w:val="003B373D"/>
    <w:rsid w:val="003B37F6"/>
    <w:rsid w:val="003B3A29"/>
    <w:rsid w:val="003B3A55"/>
    <w:rsid w:val="003B3AE7"/>
    <w:rsid w:val="003B3C65"/>
    <w:rsid w:val="003B3D2A"/>
    <w:rsid w:val="003B3D3B"/>
    <w:rsid w:val="003B3DC8"/>
    <w:rsid w:val="003B3ECF"/>
    <w:rsid w:val="003B3EE4"/>
    <w:rsid w:val="003B3FA2"/>
    <w:rsid w:val="003B40FC"/>
    <w:rsid w:val="003B4283"/>
    <w:rsid w:val="003B44DB"/>
    <w:rsid w:val="003B45B5"/>
    <w:rsid w:val="003B45CA"/>
    <w:rsid w:val="003B46F2"/>
    <w:rsid w:val="003B48C2"/>
    <w:rsid w:val="003B49E2"/>
    <w:rsid w:val="003B4A86"/>
    <w:rsid w:val="003B4ABB"/>
    <w:rsid w:val="003B4B35"/>
    <w:rsid w:val="003B4BC3"/>
    <w:rsid w:val="003B4E03"/>
    <w:rsid w:val="003B4E73"/>
    <w:rsid w:val="003B4EAC"/>
    <w:rsid w:val="003B50D4"/>
    <w:rsid w:val="003B50FC"/>
    <w:rsid w:val="003B5870"/>
    <w:rsid w:val="003B5B96"/>
    <w:rsid w:val="003B5BC2"/>
    <w:rsid w:val="003B5C79"/>
    <w:rsid w:val="003B5D14"/>
    <w:rsid w:val="003B5E18"/>
    <w:rsid w:val="003B5E3B"/>
    <w:rsid w:val="003B5EB1"/>
    <w:rsid w:val="003B5F17"/>
    <w:rsid w:val="003B5FC7"/>
    <w:rsid w:val="003B60F1"/>
    <w:rsid w:val="003B61A8"/>
    <w:rsid w:val="003B624C"/>
    <w:rsid w:val="003B65D7"/>
    <w:rsid w:val="003B67CF"/>
    <w:rsid w:val="003B682A"/>
    <w:rsid w:val="003B6A37"/>
    <w:rsid w:val="003B6C94"/>
    <w:rsid w:val="003B6CFD"/>
    <w:rsid w:val="003B6DC2"/>
    <w:rsid w:val="003B6F6D"/>
    <w:rsid w:val="003B6F87"/>
    <w:rsid w:val="003B6FF1"/>
    <w:rsid w:val="003B7056"/>
    <w:rsid w:val="003B7086"/>
    <w:rsid w:val="003B70D8"/>
    <w:rsid w:val="003B7388"/>
    <w:rsid w:val="003B74AC"/>
    <w:rsid w:val="003B7634"/>
    <w:rsid w:val="003B763C"/>
    <w:rsid w:val="003B7792"/>
    <w:rsid w:val="003B7864"/>
    <w:rsid w:val="003B791E"/>
    <w:rsid w:val="003B7A4F"/>
    <w:rsid w:val="003B7A5D"/>
    <w:rsid w:val="003B7B53"/>
    <w:rsid w:val="003B7B80"/>
    <w:rsid w:val="003B7B8C"/>
    <w:rsid w:val="003B7B97"/>
    <w:rsid w:val="003B7BC7"/>
    <w:rsid w:val="003B7C3E"/>
    <w:rsid w:val="003B7C89"/>
    <w:rsid w:val="003B7D99"/>
    <w:rsid w:val="003B7E66"/>
    <w:rsid w:val="003B7ED7"/>
    <w:rsid w:val="003B7EE2"/>
    <w:rsid w:val="003B7F20"/>
    <w:rsid w:val="003B7F2E"/>
    <w:rsid w:val="003B7FE9"/>
    <w:rsid w:val="003C027C"/>
    <w:rsid w:val="003C028D"/>
    <w:rsid w:val="003C02BD"/>
    <w:rsid w:val="003C0383"/>
    <w:rsid w:val="003C04B3"/>
    <w:rsid w:val="003C0589"/>
    <w:rsid w:val="003C0650"/>
    <w:rsid w:val="003C0680"/>
    <w:rsid w:val="003C06F9"/>
    <w:rsid w:val="003C08D8"/>
    <w:rsid w:val="003C094C"/>
    <w:rsid w:val="003C0B8C"/>
    <w:rsid w:val="003C0BA6"/>
    <w:rsid w:val="003C0BE6"/>
    <w:rsid w:val="003C0EC6"/>
    <w:rsid w:val="003C1025"/>
    <w:rsid w:val="003C123C"/>
    <w:rsid w:val="003C1297"/>
    <w:rsid w:val="003C13FD"/>
    <w:rsid w:val="003C1409"/>
    <w:rsid w:val="003C1423"/>
    <w:rsid w:val="003C14B9"/>
    <w:rsid w:val="003C1534"/>
    <w:rsid w:val="003C1557"/>
    <w:rsid w:val="003C1641"/>
    <w:rsid w:val="003C1663"/>
    <w:rsid w:val="003C1680"/>
    <w:rsid w:val="003C170B"/>
    <w:rsid w:val="003C1731"/>
    <w:rsid w:val="003C18D8"/>
    <w:rsid w:val="003C195D"/>
    <w:rsid w:val="003C1A40"/>
    <w:rsid w:val="003C1A86"/>
    <w:rsid w:val="003C1B58"/>
    <w:rsid w:val="003C1B7C"/>
    <w:rsid w:val="003C1D04"/>
    <w:rsid w:val="003C1D54"/>
    <w:rsid w:val="003C1DB5"/>
    <w:rsid w:val="003C1E9E"/>
    <w:rsid w:val="003C1ECA"/>
    <w:rsid w:val="003C2064"/>
    <w:rsid w:val="003C224B"/>
    <w:rsid w:val="003C228C"/>
    <w:rsid w:val="003C23C9"/>
    <w:rsid w:val="003C2409"/>
    <w:rsid w:val="003C25C3"/>
    <w:rsid w:val="003C2680"/>
    <w:rsid w:val="003C26F9"/>
    <w:rsid w:val="003C277F"/>
    <w:rsid w:val="003C2BC0"/>
    <w:rsid w:val="003C2C57"/>
    <w:rsid w:val="003C2D55"/>
    <w:rsid w:val="003C2DE0"/>
    <w:rsid w:val="003C2F75"/>
    <w:rsid w:val="003C2FAE"/>
    <w:rsid w:val="003C3125"/>
    <w:rsid w:val="003C319F"/>
    <w:rsid w:val="003C3297"/>
    <w:rsid w:val="003C355D"/>
    <w:rsid w:val="003C35F4"/>
    <w:rsid w:val="003C37F7"/>
    <w:rsid w:val="003C3B3F"/>
    <w:rsid w:val="003C3C28"/>
    <w:rsid w:val="003C3DC1"/>
    <w:rsid w:val="003C3F60"/>
    <w:rsid w:val="003C40A2"/>
    <w:rsid w:val="003C40CE"/>
    <w:rsid w:val="003C42C5"/>
    <w:rsid w:val="003C42E3"/>
    <w:rsid w:val="003C450D"/>
    <w:rsid w:val="003C48E1"/>
    <w:rsid w:val="003C4995"/>
    <w:rsid w:val="003C49BF"/>
    <w:rsid w:val="003C4AAF"/>
    <w:rsid w:val="003C4AE7"/>
    <w:rsid w:val="003C4BF2"/>
    <w:rsid w:val="003C4C6E"/>
    <w:rsid w:val="003C4E03"/>
    <w:rsid w:val="003C4FA5"/>
    <w:rsid w:val="003C5064"/>
    <w:rsid w:val="003C51A6"/>
    <w:rsid w:val="003C5222"/>
    <w:rsid w:val="003C5329"/>
    <w:rsid w:val="003C542C"/>
    <w:rsid w:val="003C5470"/>
    <w:rsid w:val="003C54B9"/>
    <w:rsid w:val="003C5518"/>
    <w:rsid w:val="003C556E"/>
    <w:rsid w:val="003C5578"/>
    <w:rsid w:val="003C55EE"/>
    <w:rsid w:val="003C56B5"/>
    <w:rsid w:val="003C56C8"/>
    <w:rsid w:val="003C5714"/>
    <w:rsid w:val="003C5766"/>
    <w:rsid w:val="003C596C"/>
    <w:rsid w:val="003C59E1"/>
    <w:rsid w:val="003C5A19"/>
    <w:rsid w:val="003C5A4B"/>
    <w:rsid w:val="003C5A7D"/>
    <w:rsid w:val="003C5C48"/>
    <w:rsid w:val="003C5CCF"/>
    <w:rsid w:val="003C5DF2"/>
    <w:rsid w:val="003C5E89"/>
    <w:rsid w:val="003C5FFC"/>
    <w:rsid w:val="003C6108"/>
    <w:rsid w:val="003C61FD"/>
    <w:rsid w:val="003C6208"/>
    <w:rsid w:val="003C62C8"/>
    <w:rsid w:val="003C6349"/>
    <w:rsid w:val="003C63C3"/>
    <w:rsid w:val="003C6446"/>
    <w:rsid w:val="003C64A5"/>
    <w:rsid w:val="003C666D"/>
    <w:rsid w:val="003C6829"/>
    <w:rsid w:val="003C6937"/>
    <w:rsid w:val="003C6A60"/>
    <w:rsid w:val="003C6CA8"/>
    <w:rsid w:val="003C6D57"/>
    <w:rsid w:val="003C6DC8"/>
    <w:rsid w:val="003C6DD5"/>
    <w:rsid w:val="003C6E8C"/>
    <w:rsid w:val="003C6ED5"/>
    <w:rsid w:val="003C6F88"/>
    <w:rsid w:val="003C6FC5"/>
    <w:rsid w:val="003C7084"/>
    <w:rsid w:val="003C7093"/>
    <w:rsid w:val="003C71F6"/>
    <w:rsid w:val="003C7230"/>
    <w:rsid w:val="003C7378"/>
    <w:rsid w:val="003C7568"/>
    <w:rsid w:val="003C760D"/>
    <w:rsid w:val="003C7646"/>
    <w:rsid w:val="003C76F2"/>
    <w:rsid w:val="003C772C"/>
    <w:rsid w:val="003C782F"/>
    <w:rsid w:val="003C79FB"/>
    <w:rsid w:val="003C7BAF"/>
    <w:rsid w:val="003C7D09"/>
    <w:rsid w:val="003C7E14"/>
    <w:rsid w:val="003C7F0D"/>
    <w:rsid w:val="003C7F0F"/>
    <w:rsid w:val="003C7F85"/>
    <w:rsid w:val="003C7F90"/>
    <w:rsid w:val="003D000A"/>
    <w:rsid w:val="003D00D1"/>
    <w:rsid w:val="003D0203"/>
    <w:rsid w:val="003D03A8"/>
    <w:rsid w:val="003D03CA"/>
    <w:rsid w:val="003D04C4"/>
    <w:rsid w:val="003D0561"/>
    <w:rsid w:val="003D07E1"/>
    <w:rsid w:val="003D0833"/>
    <w:rsid w:val="003D0876"/>
    <w:rsid w:val="003D08FE"/>
    <w:rsid w:val="003D0BC2"/>
    <w:rsid w:val="003D0BE2"/>
    <w:rsid w:val="003D0C25"/>
    <w:rsid w:val="003D0D50"/>
    <w:rsid w:val="003D0D8E"/>
    <w:rsid w:val="003D0EE4"/>
    <w:rsid w:val="003D0F79"/>
    <w:rsid w:val="003D0FED"/>
    <w:rsid w:val="003D11C2"/>
    <w:rsid w:val="003D120A"/>
    <w:rsid w:val="003D123A"/>
    <w:rsid w:val="003D1368"/>
    <w:rsid w:val="003D14DA"/>
    <w:rsid w:val="003D1541"/>
    <w:rsid w:val="003D1574"/>
    <w:rsid w:val="003D160C"/>
    <w:rsid w:val="003D178C"/>
    <w:rsid w:val="003D17CB"/>
    <w:rsid w:val="003D1918"/>
    <w:rsid w:val="003D1971"/>
    <w:rsid w:val="003D1A08"/>
    <w:rsid w:val="003D1BA7"/>
    <w:rsid w:val="003D1D82"/>
    <w:rsid w:val="003D1E6D"/>
    <w:rsid w:val="003D1F26"/>
    <w:rsid w:val="003D1FA4"/>
    <w:rsid w:val="003D1FFF"/>
    <w:rsid w:val="003D201F"/>
    <w:rsid w:val="003D2072"/>
    <w:rsid w:val="003D207C"/>
    <w:rsid w:val="003D209E"/>
    <w:rsid w:val="003D20E4"/>
    <w:rsid w:val="003D2130"/>
    <w:rsid w:val="003D21C1"/>
    <w:rsid w:val="003D22E3"/>
    <w:rsid w:val="003D23A9"/>
    <w:rsid w:val="003D23F4"/>
    <w:rsid w:val="003D248F"/>
    <w:rsid w:val="003D250B"/>
    <w:rsid w:val="003D25CD"/>
    <w:rsid w:val="003D271C"/>
    <w:rsid w:val="003D2751"/>
    <w:rsid w:val="003D28E8"/>
    <w:rsid w:val="003D28F9"/>
    <w:rsid w:val="003D2AB0"/>
    <w:rsid w:val="003D2B09"/>
    <w:rsid w:val="003D2BA5"/>
    <w:rsid w:val="003D2C22"/>
    <w:rsid w:val="003D2DAA"/>
    <w:rsid w:val="003D2E63"/>
    <w:rsid w:val="003D31A2"/>
    <w:rsid w:val="003D3209"/>
    <w:rsid w:val="003D327A"/>
    <w:rsid w:val="003D32D8"/>
    <w:rsid w:val="003D33DB"/>
    <w:rsid w:val="003D34FE"/>
    <w:rsid w:val="003D3528"/>
    <w:rsid w:val="003D3610"/>
    <w:rsid w:val="003D375B"/>
    <w:rsid w:val="003D376D"/>
    <w:rsid w:val="003D381A"/>
    <w:rsid w:val="003D3841"/>
    <w:rsid w:val="003D3ACE"/>
    <w:rsid w:val="003D3B25"/>
    <w:rsid w:val="003D3D52"/>
    <w:rsid w:val="003D3DA4"/>
    <w:rsid w:val="003D3FE7"/>
    <w:rsid w:val="003D4148"/>
    <w:rsid w:val="003D425E"/>
    <w:rsid w:val="003D42B2"/>
    <w:rsid w:val="003D43C0"/>
    <w:rsid w:val="003D453E"/>
    <w:rsid w:val="003D46FB"/>
    <w:rsid w:val="003D473E"/>
    <w:rsid w:val="003D4779"/>
    <w:rsid w:val="003D490D"/>
    <w:rsid w:val="003D498B"/>
    <w:rsid w:val="003D4D10"/>
    <w:rsid w:val="003D4E78"/>
    <w:rsid w:val="003D4EB8"/>
    <w:rsid w:val="003D4F01"/>
    <w:rsid w:val="003D4F7B"/>
    <w:rsid w:val="003D4FFE"/>
    <w:rsid w:val="003D50E4"/>
    <w:rsid w:val="003D514E"/>
    <w:rsid w:val="003D5178"/>
    <w:rsid w:val="003D52B1"/>
    <w:rsid w:val="003D53A4"/>
    <w:rsid w:val="003D56BD"/>
    <w:rsid w:val="003D575C"/>
    <w:rsid w:val="003D5950"/>
    <w:rsid w:val="003D5B05"/>
    <w:rsid w:val="003D5C62"/>
    <w:rsid w:val="003D5EB7"/>
    <w:rsid w:val="003D5EFC"/>
    <w:rsid w:val="003D5F49"/>
    <w:rsid w:val="003D6081"/>
    <w:rsid w:val="003D6264"/>
    <w:rsid w:val="003D63BC"/>
    <w:rsid w:val="003D63FE"/>
    <w:rsid w:val="003D6571"/>
    <w:rsid w:val="003D67A1"/>
    <w:rsid w:val="003D6A39"/>
    <w:rsid w:val="003D6D8E"/>
    <w:rsid w:val="003D6DD7"/>
    <w:rsid w:val="003D6F64"/>
    <w:rsid w:val="003D7013"/>
    <w:rsid w:val="003D7084"/>
    <w:rsid w:val="003D70A7"/>
    <w:rsid w:val="003D714A"/>
    <w:rsid w:val="003D72D5"/>
    <w:rsid w:val="003D73D6"/>
    <w:rsid w:val="003D74BC"/>
    <w:rsid w:val="003D753D"/>
    <w:rsid w:val="003D75A5"/>
    <w:rsid w:val="003D76A4"/>
    <w:rsid w:val="003D76BF"/>
    <w:rsid w:val="003D76C8"/>
    <w:rsid w:val="003D76D0"/>
    <w:rsid w:val="003D76E5"/>
    <w:rsid w:val="003D77BB"/>
    <w:rsid w:val="003D7851"/>
    <w:rsid w:val="003D7956"/>
    <w:rsid w:val="003D797A"/>
    <w:rsid w:val="003D7A9B"/>
    <w:rsid w:val="003D7AD9"/>
    <w:rsid w:val="003D7C3E"/>
    <w:rsid w:val="003D7CC6"/>
    <w:rsid w:val="003D7D88"/>
    <w:rsid w:val="003D7DBC"/>
    <w:rsid w:val="003D7E81"/>
    <w:rsid w:val="003D7EE3"/>
    <w:rsid w:val="003D7F2A"/>
    <w:rsid w:val="003E02A8"/>
    <w:rsid w:val="003E02D1"/>
    <w:rsid w:val="003E050F"/>
    <w:rsid w:val="003E0556"/>
    <w:rsid w:val="003E07A8"/>
    <w:rsid w:val="003E09F5"/>
    <w:rsid w:val="003E0B64"/>
    <w:rsid w:val="003E0BF5"/>
    <w:rsid w:val="003E0BFF"/>
    <w:rsid w:val="003E0CD6"/>
    <w:rsid w:val="003E0D31"/>
    <w:rsid w:val="003E0D3B"/>
    <w:rsid w:val="003E0D53"/>
    <w:rsid w:val="003E0D85"/>
    <w:rsid w:val="003E0DD7"/>
    <w:rsid w:val="003E0DF5"/>
    <w:rsid w:val="003E0F02"/>
    <w:rsid w:val="003E10D3"/>
    <w:rsid w:val="003E1156"/>
    <w:rsid w:val="003E115F"/>
    <w:rsid w:val="003E12F3"/>
    <w:rsid w:val="003E1338"/>
    <w:rsid w:val="003E136F"/>
    <w:rsid w:val="003E13F7"/>
    <w:rsid w:val="003E1515"/>
    <w:rsid w:val="003E1576"/>
    <w:rsid w:val="003E1666"/>
    <w:rsid w:val="003E17C4"/>
    <w:rsid w:val="003E18D9"/>
    <w:rsid w:val="003E1A15"/>
    <w:rsid w:val="003E1C3C"/>
    <w:rsid w:val="003E1E19"/>
    <w:rsid w:val="003E2152"/>
    <w:rsid w:val="003E23F3"/>
    <w:rsid w:val="003E2471"/>
    <w:rsid w:val="003E259C"/>
    <w:rsid w:val="003E25F6"/>
    <w:rsid w:val="003E2610"/>
    <w:rsid w:val="003E271D"/>
    <w:rsid w:val="003E27C5"/>
    <w:rsid w:val="003E28A9"/>
    <w:rsid w:val="003E28B2"/>
    <w:rsid w:val="003E2A06"/>
    <w:rsid w:val="003E2A36"/>
    <w:rsid w:val="003E2AFD"/>
    <w:rsid w:val="003E2CBF"/>
    <w:rsid w:val="003E2D0A"/>
    <w:rsid w:val="003E2E1C"/>
    <w:rsid w:val="003E2F48"/>
    <w:rsid w:val="003E30B8"/>
    <w:rsid w:val="003E31D6"/>
    <w:rsid w:val="003E31E3"/>
    <w:rsid w:val="003E3243"/>
    <w:rsid w:val="003E32A5"/>
    <w:rsid w:val="003E34A5"/>
    <w:rsid w:val="003E3525"/>
    <w:rsid w:val="003E3597"/>
    <w:rsid w:val="003E35B0"/>
    <w:rsid w:val="003E36CF"/>
    <w:rsid w:val="003E3796"/>
    <w:rsid w:val="003E3864"/>
    <w:rsid w:val="003E38D0"/>
    <w:rsid w:val="003E3968"/>
    <w:rsid w:val="003E39CC"/>
    <w:rsid w:val="003E3A81"/>
    <w:rsid w:val="003E3AA3"/>
    <w:rsid w:val="003E3AF2"/>
    <w:rsid w:val="003E3BB6"/>
    <w:rsid w:val="003E3BE3"/>
    <w:rsid w:val="003E3C32"/>
    <w:rsid w:val="003E3DE2"/>
    <w:rsid w:val="003E3DFD"/>
    <w:rsid w:val="003E3EC3"/>
    <w:rsid w:val="003E3F87"/>
    <w:rsid w:val="003E4015"/>
    <w:rsid w:val="003E4046"/>
    <w:rsid w:val="003E40C6"/>
    <w:rsid w:val="003E415F"/>
    <w:rsid w:val="003E4162"/>
    <w:rsid w:val="003E41B5"/>
    <w:rsid w:val="003E43DE"/>
    <w:rsid w:val="003E45AC"/>
    <w:rsid w:val="003E45B0"/>
    <w:rsid w:val="003E4607"/>
    <w:rsid w:val="003E4807"/>
    <w:rsid w:val="003E4837"/>
    <w:rsid w:val="003E4A70"/>
    <w:rsid w:val="003E4AF2"/>
    <w:rsid w:val="003E4B5E"/>
    <w:rsid w:val="003E4BD0"/>
    <w:rsid w:val="003E4C91"/>
    <w:rsid w:val="003E4C96"/>
    <w:rsid w:val="003E4E99"/>
    <w:rsid w:val="003E4EAE"/>
    <w:rsid w:val="003E4F7A"/>
    <w:rsid w:val="003E4F82"/>
    <w:rsid w:val="003E4F95"/>
    <w:rsid w:val="003E501B"/>
    <w:rsid w:val="003E504D"/>
    <w:rsid w:val="003E51A6"/>
    <w:rsid w:val="003E5336"/>
    <w:rsid w:val="003E53B7"/>
    <w:rsid w:val="003E54A6"/>
    <w:rsid w:val="003E5540"/>
    <w:rsid w:val="003E55F0"/>
    <w:rsid w:val="003E5622"/>
    <w:rsid w:val="003E59D6"/>
    <w:rsid w:val="003E5CFA"/>
    <w:rsid w:val="003E5DEA"/>
    <w:rsid w:val="003E5E54"/>
    <w:rsid w:val="003E5E94"/>
    <w:rsid w:val="003E5F9C"/>
    <w:rsid w:val="003E6085"/>
    <w:rsid w:val="003E60F6"/>
    <w:rsid w:val="003E61AF"/>
    <w:rsid w:val="003E6260"/>
    <w:rsid w:val="003E6604"/>
    <w:rsid w:val="003E67C3"/>
    <w:rsid w:val="003E67FB"/>
    <w:rsid w:val="003E6809"/>
    <w:rsid w:val="003E686C"/>
    <w:rsid w:val="003E68D5"/>
    <w:rsid w:val="003E69A4"/>
    <w:rsid w:val="003E69C7"/>
    <w:rsid w:val="003E6A62"/>
    <w:rsid w:val="003E6ADB"/>
    <w:rsid w:val="003E6B84"/>
    <w:rsid w:val="003E6CA0"/>
    <w:rsid w:val="003E6CE5"/>
    <w:rsid w:val="003E6E65"/>
    <w:rsid w:val="003E6EB2"/>
    <w:rsid w:val="003E7017"/>
    <w:rsid w:val="003E7061"/>
    <w:rsid w:val="003E7098"/>
    <w:rsid w:val="003E70F4"/>
    <w:rsid w:val="003E71C5"/>
    <w:rsid w:val="003E7315"/>
    <w:rsid w:val="003E75E0"/>
    <w:rsid w:val="003E7721"/>
    <w:rsid w:val="003E7722"/>
    <w:rsid w:val="003E77E2"/>
    <w:rsid w:val="003E7840"/>
    <w:rsid w:val="003E78C7"/>
    <w:rsid w:val="003E7AE5"/>
    <w:rsid w:val="003E7CC5"/>
    <w:rsid w:val="003E7D49"/>
    <w:rsid w:val="003E7DAE"/>
    <w:rsid w:val="003E7DBE"/>
    <w:rsid w:val="003E7EDC"/>
    <w:rsid w:val="003F0213"/>
    <w:rsid w:val="003F038C"/>
    <w:rsid w:val="003F04C2"/>
    <w:rsid w:val="003F0568"/>
    <w:rsid w:val="003F06A3"/>
    <w:rsid w:val="003F06D0"/>
    <w:rsid w:val="003F0814"/>
    <w:rsid w:val="003F0AF1"/>
    <w:rsid w:val="003F0C1A"/>
    <w:rsid w:val="003F0E23"/>
    <w:rsid w:val="003F0EA3"/>
    <w:rsid w:val="003F0EB5"/>
    <w:rsid w:val="003F0F08"/>
    <w:rsid w:val="003F0F4B"/>
    <w:rsid w:val="003F0FBB"/>
    <w:rsid w:val="003F115E"/>
    <w:rsid w:val="003F11A1"/>
    <w:rsid w:val="003F1231"/>
    <w:rsid w:val="003F143D"/>
    <w:rsid w:val="003F16F3"/>
    <w:rsid w:val="003F187E"/>
    <w:rsid w:val="003F195F"/>
    <w:rsid w:val="003F1A16"/>
    <w:rsid w:val="003F1A1A"/>
    <w:rsid w:val="003F1A93"/>
    <w:rsid w:val="003F1BB5"/>
    <w:rsid w:val="003F1C18"/>
    <w:rsid w:val="003F1C2C"/>
    <w:rsid w:val="003F1D02"/>
    <w:rsid w:val="003F1D49"/>
    <w:rsid w:val="003F1F1B"/>
    <w:rsid w:val="003F1FED"/>
    <w:rsid w:val="003F2277"/>
    <w:rsid w:val="003F22AA"/>
    <w:rsid w:val="003F24FD"/>
    <w:rsid w:val="003F25B0"/>
    <w:rsid w:val="003F25D4"/>
    <w:rsid w:val="003F25DE"/>
    <w:rsid w:val="003F26FD"/>
    <w:rsid w:val="003F294A"/>
    <w:rsid w:val="003F2A4B"/>
    <w:rsid w:val="003F2C76"/>
    <w:rsid w:val="003F3140"/>
    <w:rsid w:val="003F32AF"/>
    <w:rsid w:val="003F3497"/>
    <w:rsid w:val="003F3690"/>
    <w:rsid w:val="003F36BD"/>
    <w:rsid w:val="003F3723"/>
    <w:rsid w:val="003F3819"/>
    <w:rsid w:val="003F3909"/>
    <w:rsid w:val="003F392D"/>
    <w:rsid w:val="003F3934"/>
    <w:rsid w:val="003F399D"/>
    <w:rsid w:val="003F3A47"/>
    <w:rsid w:val="003F3A89"/>
    <w:rsid w:val="003F3A9B"/>
    <w:rsid w:val="003F3AA4"/>
    <w:rsid w:val="003F3C11"/>
    <w:rsid w:val="003F3F17"/>
    <w:rsid w:val="003F40E5"/>
    <w:rsid w:val="003F429F"/>
    <w:rsid w:val="003F42C7"/>
    <w:rsid w:val="003F432A"/>
    <w:rsid w:val="003F4497"/>
    <w:rsid w:val="003F4610"/>
    <w:rsid w:val="003F4766"/>
    <w:rsid w:val="003F47B5"/>
    <w:rsid w:val="003F4848"/>
    <w:rsid w:val="003F485E"/>
    <w:rsid w:val="003F48AE"/>
    <w:rsid w:val="003F499B"/>
    <w:rsid w:val="003F4A58"/>
    <w:rsid w:val="003F4AA9"/>
    <w:rsid w:val="003F4C46"/>
    <w:rsid w:val="003F4CFB"/>
    <w:rsid w:val="003F4DB0"/>
    <w:rsid w:val="003F4E0E"/>
    <w:rsid w:val="003F4E6E"/>
    <w:rsid w:val="003F4E79"/>
    <w:rsid w:val="003F4EEF"/>
    <w:rsid w:val="003F4FF7"/>
    <w:rsid w:val="003F50AB"/>
    <w:rsid w:val="003F5164"/>
    <w:rsid w:val="003F537B"/>
    <w:rsid w:val="003F563C"/>
    <w:rsid w:val="003F568A"/>
    <w:rsid w:val="003F5818"/>
    <w:rsid w:val="003F5903"/>
    <w:rsid w:val="003F590E"/>
    <w:rsid w:val="003F5951"/>
    <w:rsid w:val="003F59F5"/>
    <w:rsid w:val="003F5A64"/>
    <w:rsid w:val="003F5AAE"/>
    <w:rsid w:val="003F5AB3"/>
    <w:rsid w:val="003F5C84"/>
    <w:rsid w:val="003F5CEE"/>
    <w:rsid w:val="003F5CFE"/>
    <w:rsid w:val="003F5E71"/>
    <w:rsid w:val="003F6004"/>
    <w:rsid w:val="003F602A"/>
    <w:rsid w:val="003F605B"/>
    <w:rsid w:val="003F60EE"/>
    <w:rsid w:val="003F6104"/>
    <w:rsid w:val="003F654E"/>
    <w:rsid w:val="003F663D"/>
    <w:rsid w:val="003F696C"/>
    <w:rsid w:val="003F6A8E"/>
    <w:rsid w:val="003F6ABB"/>
    <w:rsid w:val="003F6ABD"/>
    <w:rsid w:val="003F6B5D"/>
    <w:rsid w:val="003F6B9D"/>
    <w:rsid w:val="003F6BBD"/>
    <w:rsid w:val="003F6C1B"/>
    <w:rsid w:val="003F6C83"/>
    <w:rsid w:val="003F6CB2"/>
    <w:rsid w:val="003F6CDD"/>
    <w:rsid w:val="003F6FE8"/>
    <w:rsid w:val="003F7071"/>
    <w:rsid w:val="003F71B7"/>
    <w:rsid w:val="003F71FF"/>
    <w:rsid w:val="003F725E"/>
    <w:rsid w:val="003F73C5"/>
    <w:rsid w:val="003F73C8"/>
    <w:rsid w:val="003F7401"/>
    <w:rsid w:val="003F74AF"/>
    <w:rsid w:val="003F761A"/>
    <w:rsid w:val="003F7824"/>
    <w:rsid w:val="003F7849"/>
    <w:rsid w:val="003F79E7"/>
    <w:rsid w:val="003F7F65"/>
    <w:rsid w:val="00400092"/>
    <w:rsid w:val="0040049B"/>
    <w:rsid w:val="00400642"/>
    <w:rsid w:val="004006C0"/>
    <w:rsid w:val="00400998"/>
    <w:rsid w:val="004009B0"/>
    <w:rsid w:val="00400B10"/>
    <w:rsid w:val="00400BCF"/>
    <w:rsid w:val="0040103A"/>
    <w:rsid w:val="00401042"/>
    <w:rsid w:val="004010A3"/>
    <w:rsid w:val="00401242"/>
    <w:rsid w:val="00401397"/>
    <w:rsid w:val="004013DE"/>
    <w:rsid w:val="0040169B"/>
    <w:rsid w:val="00401768"/>
    <w:rsid w:val="00401A08"/>
    <w:rsid w:val="00401C5B"/>
    <w:rsid w:val="00401CB6"/>
    <w:rsid w:val="00401D2A"/>
    <w:rsid w:val="00401E44"/>
    <w:rsid w:val="00401E5C"/>
    <w:rsid w:val="00401E7D"/>
    <w:rsid w:val="00401EB9"/>
    <w:rsid w:val="00401FCD"/>
    <w:rsid w:val="00401FF7"/>
    <w:rsid w:val="00402025"/>
    <w:rsid w:val="0040217C"/>
    <w:rsid w:val="00402210"/>
    <w:rsid w:val="004022DB"/>
    <w:rsid w:val="00402387"/>
    <w:rsid w:val="00402411"/>
    <w:rsid w:val="004026AA"/>
    <w:rsid w:val="004026E9"/>
    <w:rsid w:val="0040273B"/>
    <w:rsid w:val="004027EE"/>
    <w:rsid w:val="0040281C"/>
    <w:rsid w:val="00402A02"/>
    <w:rsid w:val="00402A4B"/>
    <w:rsid w:val="00402B22"/>
    <w:rsid w:val="00402B74"/>
    <w:rsid w:val="00402CF3"/>
    <w:rsid w:val="00402DF4"/>
    <w:rsid w:val="00402E53"/>
    <w:rsid w:val="00403262"/>
    <w:rsid w:val="004035D1"/>
    <w:rsid w:val="004035ED"/>
    <w:rsid w:val="004036AF"/>
    <w:rsid w:val="0040372C"/>
    <w:rsid w:val="00403804"/>
    <w:rsid w:val="004038AE"/>
    <w:rsid w:val="00403971"/>
    <w:rsid w:val="004039EA"/>
    <w:rsid w:val="00403B50"/>
    <w:rsid w:val="00403B72"/>
    <w:rsid w:val="00403DCF"/>
    <w:rsid w:val="0040413D"/>
    <w:rsid w:val="004041E0"/>
    <w:rsid w:val="0040456E"/>
    <w:rsid w:val="004045D7"/>
    <w:rsid w:val="0040466B"/>
    <w:rsid w:val="004047FF"/>
    <w:rsid w:val="004048E1"/>
    <w:rsid w:val="004049C3"/>
    <w:rsid w:val="00404C15"/>
    <w:rsid w:val="00404C48"/>
    <w:rsid w:val="00404C58"/>
    <w:rsid w:val="00404DDE"/>
    <w:rsid w:val="00404E23"/>
    <w:rsid w:val="004050EB"/>
    <w:rsid w:val="004053CF"/>
    <w:rsid w:val="004053F6"/>
    <w:rsid w:val="00405711"/>
    <w:rsid w:val="00405769"/>
    <w:rsid w:val="0040590D"/>
    <w:rsid w:val="00405913"/>
    <w:rsid w:val="00405981"/>
    <w:rsid w:val="00405A3B"/>
    <w:rsid w:val="00405ACD"/>
    <w:rsid w:val="00405D69"/>
    <w:rsid w:val="00405F2B"/>
    <w:rsid w:val="00405F4D"/>
    <w:rsid w:val="004060AD"/>
    <w:rsid w:val="004060D3"/>
    <w:rsid w:val="00406150"/>
    <w:rsid w:val="00406358"/>
    <w:rsid w:val="00406431"/>
    <w:rsid w:val="004064B8"/>
    <w:rsid w:val="004065A2"/>
    <w:rsid w:val="004065E8"/>
    <w:rsid w:val="0040666C"/>
    <w:rsid w:val="004066D3"/>
    <w:rsid w:val="00406789"/>
    <w:rsid w:val="004067E0"/>
    <w:rsid w:val="0040680F"/>
    <w:rsid w:val="004068CE"/>
    <w:rsid w:val="00406ACC"/>
    <w:rsid w:val="00406B9C"/>
    <w:rsid w:val="00406C63"/>
    <w:rsid w:val="00406F0E"/>
    <w:rsid w:val="004070E4"/>
    <w:rsid w:val="004071F7"/>
    <w:rsid w:val="00407434"/>
    <w:rsid w:val="0040756E"/>
    <w:rsid w:val="0040775B"/>
    <w:rsid w:val="0040775F"/>
    <w:rsid w:val="004078DC"/>
    <w:rsid w:val="00407962"/>
    <w:rsid w:val="00407A24"/>
    <w:rsid w:val="00407A93"/>
    <w:rsid w:val="00407B31"/>
    <w:rsid w:val="00407B53"/>
    <w:rsid w:val="00407E2C"/>
    <w:rsid w:val="00407EAE"/>
    <w:rsid w:val="00407EE5"/>
    <w:rsid w:val="00410088"/>
    <w:rsid w:val="00410096"/>
    <w:rsid w:val="00410183"/>
    <w:rsid w:val="00410200"/>
    <w:rsid w:val="0041037A"/>
    <w:rsid w:val="004104F2"/>
    <w:rsid w:val="0041053F"/>
    <w:rsid w:val="00410667"/>
    <w:rsid w:val="00410984"/>
    <w:rsid w:val="00410A51"/>
    <w:rsid w:val="00410A84"/>
    <w:rsid w:val="00410AA4"/>
    <w:rsid w:val="00410ADE"/>
    <w:rsid w:val="00410C65"/>
    <w:rsid w:val="00410CB1"/>
    <w:rsid w:val="00410CE4"/>
    <w:rsid w:val="00410D1A"/>
    <w:rsid w:val="00410D4C"/>
    <w:rsid w:val="00410E64"/>
    <w:rsid w:val="00410EAA"/>
    <w:rsid w:val="00410ED2"/>
    <w:rsid w:val="00410FC2"/>
    <w:rsid w:val="00410FDB"/>
    <w:rsid w:val="004110E6"/>
    <w:rsid w:val="0041118D"/>
    <w:rsid w:val="004111E4"/>
    <w:rsid w:val="004112D3"/>
    <w:rsid w:val="00411365"/>
    <w:rsid w:val="004116C2"/>
    <w:rsid w:val="00411795"/>
    <w:rsid w:val="004117AB"/>
    <w:rsid w:val="004117D6"/>
    <w:rsid w:val="00411835"/>
    <w:rsid w:val="00411B3D"/>
    <w:rsid w:val="00411B75"/>
    <w:rsid w:val="00411B8D"/>
    <w:rsid w:val="00411D5E"/>
    <w:rsid w:val="00411D71"/>
    <w:rsid w:val="00411D8D"/>
    <w:rsid w:val="00411DFE"/>
    <w:rsid w:val="00411F2E"/>
    <w:rsid w:val="00412077"/>
    <w:rsid w:val="004120EA"/>
    <w:rsid w:val="00412332"/>
    <w:rsid w:val="004125E8"/>
    <w:rsid w:val="00412667"/>
    <w:rsid w:val="0041268F"/>
    <w:rsid w:val="004126C7"/>
    <w:rsid w:val="004128EB"/>
    <w:rsid w:val="00412924"/>
    <w:rsid w:val="00412973"/>
    <w:rsid w:val="00412A70"/>
    <w:rsid w:val="00412B9C"/>
    <w:rsid w:val="00412C0A"/>
    <w:rsid w:val="00412C0B"/>
    <w:rsid w:val="00412C57"/>
    <w:rsid w:val="00412F4A"/>
    <w:rsid w:val="00412F63"/>
    <w:rsid w:val="00413054"/>
    <w:rsid w:val="004132DE"/>
    <w:rsid w:val="00413308"/>
    <w:rsid w:val="0041336F"/>
    <w:rsid w:val="0041342C"/>
    <w:rsid w:val="00413680"/>
    <w:rsid w:val="004136CF"/>
    <w:rsid w:val="0041370F"/>
    <w:rsid w:val="00413843"/>
    <w:rsid w:val="004139A6"/>
    <w:rsid w:val="004139BA"/>
    <w:rsid w:val="00413AE8"/>
    <w:rsid w:val="00413B4A"/>
    <w:rsid w:val="00413B83"/>
    <w:rsid w:val="00413BE5"/>
    <w:rsid w:val="00413CDA"/>
    <w:rsid w:val="00413DEB"/>
    <w:rsid w:val="004140F3"/>
    <w:rsid w:val="0041425A"/>
    <w:rsid w:val="00414289"/>
    <w:rsid w:val="004142DA"/>
    <w:rsid w:val="00414386"/>
    <w:rsid w:val="004143B4"/>
    <w:rsid w:val="00414408"/>
    <w:rsid w:val="0041445E"/>
    <w:rsid w:val="00414626"/>
    <w:rsid w:val="004146FF"/>
    <w:rsid w:val="004147E0"/>
    <w:rsid w:val="00414940"/>
    <w:rsid w:val="00414982"/>
    <w:rsid w:val="00414B9E"/>
    <w:rsid w:val="00414C24"/>
    <w:rsid w:val="00414C52"/>
    <w:rsid w:val="00414C95"/>
    <w:rsid w:val="00414CE3"/>
    <w:rsid w:val="00414D04"/>
    <w:rsid w:val="00414D7A"/>
    <w:rsid w:val="00414DB0"/>
    <w:rsid w:val="00414DD0"/>
    <w:rsid w:val="00414DD2"/>
    <w:rsid w:val="00414E24"/>
    <w:rsid w:val="00414E54"/>
    <w:rsid w:val="00414EF8"/>
    <w:rsid w:val="00414F90"/>
    <w:rsid w:val="00414FFE"/>
    <w:rsid w:val="0041502B"/>
    <w:rsid w:val="0041507C"/>
    <w:rsid w:val="0041516F"/>
    <w:rsid w:val="004151A2"/>
    <w:rsid w:val="004152EB"/>
    <w:rsid w:val="004154A8"/>
    <w:rsid w:val="004154C7"/>
    <w:rsid w:val="004154C9"/>
    <w:rsid w:val="0041554C"/>
    <w:rsid w:val="0041564D"/>
    <w:rsid w:val="004156FA"/>
    <w:rsid w:val="00415717"/>
    <w:rsid w:val="0041573E"/>
    <w:rsid w:val="00415A3C"/>
    <w:rsid w:val="00415A56"/>
    <w:rsid w:val="00415A77"/>
    <w:rsid w:val="00415B3D"/>
    <w:rsid w:val="00415B77"/>
    <w:rsid w:val="004161C2"/>
    <w:rsid w:val="00416349"/>
    <w:rsid w:val="004163B2"/>
    <w:rsid w:val="00416534"/>
    <w:rsid w:val="004165DE"/>
    <w:rsid w:val="00416782"/>
    <w:rsid w:val="0041680A"/>
    <w:rsid w:val="004168C9"/>
    <w:rsid w:val="004168E2"/>
    <w:rsid w:val="00416902"/>
    <w:rsid w:val="00416981"/>
    <w:rsid w:val="004169C9"/>
    <w:rsid w:val="004169EB"/>
    <w:rsid w:val="00416BA2"/>
    <w:rsid w:val="00416BC0"/>
    <w:rsid w:val="0041700C"/>
    <w:rsid w:val="00417142"/>
    <w:rsid w:val="00417159"/>
    <w:rsid w:val="0041720B"/>
    <w:rsid w:val="00417368"/>
    <w:rsid w:val="004173CC"/>
    <w:rsid w:val="004173FC"/>
    <w:rsid w:val="0041755F"/>
    <w:rsid w:val="004177AE"/>
    <w:rsid w:val="00417817"/>
    <w:rsid w:val="004178D6"/>
    <w:rsid w:val="004178D7"/>
    <w:rsid w:val="00417A7A"/>
    <w:rsid w:val="00417CD1"/>
    <w:rsid w:val="00417CE0"/>
    <w:rsid w:val="00417F90"/>
    <w:rsid w:val="00417FD7"/>
    <w:rsid w:val="0042003F"/>
    <w:rsid w:val="004201F5"/>
    <w:rsid w:val="0042054C"/>
    <w:rsid w:val="004205AD"/>
    <w:rsid w:val="0042069A"/>
    <w:rsid w:val="004207A8"/>
    <w:rsid w:val="00420926"/>
    <w:rsid w:val="00420A36"/>
    <w:rsid w:val="00420ADC"/>
    <w:rsid w:val="00420E78"/>
    <w:rsid w:val="00420EA0"/>
    <w:rsid w:val="0042113B"/>
    <w:rsid w:val="004211B5"/>
    <w:rsid w:val="00421273"/>
    <w:rsid w:val="0042135F"/>
    <w:rsid w:val="00421533"/>
    <w:rsid w:val="004215DF"/>
    <w:rsid w:val="0042167C"/>
    <w:rsid w:val="0042168B"/>
    <w:rsid w:val="004216FC"/>
    <w:rsid w:val="004217EF"/>
    <w:rsid w:val="00421802"/>
    <w:rsid w:val="00421977"/>
    <w:rsid w:val="004219CE"/>
    <w:rsid w:val="004219FF"/>
    <w:rsid w:val="00421B4D"/>
    <w:rsid w:val="00421B99"/>
    <w:rsid w:val="00421BA3"/>
    <w:rsid w:val="00421C14"/>
    <w:rsid w:val="00421F35"/>
    <w:rsid w:val="00421F7D"/>
    <w:rsid w:val="00422309"/>
    <w:rsid w:val="004223E3"/>
    <w:rsid w:val="004224EC"/>
    <w:rsid w:val="004224FA"/>
    <w:rsid w:val="0042250C"/>
    <w:rsid w:val="0042258C"/>
    <w:rsid w:val="0042287B"/>
    <w:rsid w:val="00422899"/>
    <w:rsid w:val="00422954"/>
    <w:rsid w:val="00422A09"/>
    <w:rsid w:val="00422A63"/>
    <w:rsid w:val="00422B1F"/>
    <w:rsid w:val="00422B61"/>
    <w:rsid w:val="00422BF8"/>
    <w:rsid w:val="00422BF9"/>
    <w:rsid w:val="00422D9E"/>
    <w:rsid w:val="00422DE9"/>
    <w:rsid w:val="00422E59"/>
    <w:rsid w:val="00422E7A"/>
    <w:rsid w:val="00422EA2"/>
    <w:rsid w:val="00422F4E"/>
    <w:rsid w:val="0042303C"/>
    <w:rsid w:val="00423272"/>
    <w:rsid w:val="00423495"/>
    <w:rsid w:val="00423603"/>
    <w:rsid w:val="00423724"/>
    <w:rsid w:val="00423737"/>
    <w:rsid w:val="00423833"/>
    <w:rsid w:val="0042384F"/>
    <w:rsid w:val="004238FB"/>
    <w:rsid w:val="0042391A"/>
    <w:rsid w:val="00423989"/>
    <w:rsid w:val="00423A9F"/>
    <w:rsid w:val="00423E72"/>
    <w:rsid w:val="00423EE7"/>
    <w:rsid w:val="00423F09"/>
    <w:rsid w:val="00423FB5"/>
    <w:rsid w:val="0042407B"/>
    <w:rsid w:val="004240D5"/>
    <w:rsid w:val="004241B3"/>
    <w:rsid w:val="004241BC"/>
    <w:rsid w:val="00424223"/>
    <w:rsid w:val="004246A1"/>
    <w:rsid w:val="004246BA"/>
    <w:rsid w:val="004246DE"/>
    <w:rsid w:val="00424701"/>
    <w:rsid w:val="0042487B"/>
    <w:rsid w:val="0042489C"/>
    <w:rsid w:val="0042497C"/>
    <w:rsid w:val="004249F6"/>
    <w:rsid w:val="00424AD5"/>
    <w:rsid w:val="00424ADB"/>
    <w:rsid w:val="00424E6F"/>
    <w:rsid w:val="00424F2C"/>
    <w:rsid w:val="00424F73"/>
    <w:rsid w:val="0042523B"/>
    <w:rsid w:val="0042528E"/>
    <w:rsid w:val="004252AA"/>
    <w:rsid w:val="00425418"/>
    <w:rsid w:val="004254AF"/>
    <w:rsid w:val="00425796"/>
    <w:rsid w:val="00425833"/>
    <w:rsid w:val="0042586F"/>
    <w:rsid w:val="0042597C"/>
    <w:rsid w:val="00425A22"/>
    <w:rsid w:val="00425ADF"/>
    <w:rsid w:val="00425AF3"/>
    <w:rsid w:val="00425BFE"/>
    <w:rsid w:val="00425C9D"/>
    <w:rsid w:val="00425CB9"/>
    <w:rsid w:val="00425D58"/>
    <w:rsid w:val="00425E1C"/>
    <w:rsid w:val="00426037"/>
    <w:rsid w:val="004263DA"/>
    <w:rsid w:val="00426410"/>
    <w:rsid w:val="004264D7"/>
    <w:rsid w:val="00426528"/>
    <w:rsid w:val="004267E6"/>
    <w:rsid w:val="004269D7"/>
    <w:rsid w:val="00426B09"/>
    <w:rsid w:val="00426B83"/>
    <w:rsid w:val="00426B9F"/>
    <w:rsid w:val="00426C32"/>
    <w:rsid w:val="00426C55"/>
    <w:rsid w:val="00426D7F"/>
    <w:rsid w:val="00426D92"/>
    <w:rsid w:val="00426E51"/>
    <w:rsid w:val="00427251"/>
    <w:rsid w:val="00427256"/>
    <w:rsid w:val="004272A5"/>
    <w:rsid w:val="00427451"/>
    <w:rsid w:val="004275BF"/>
    <w:rsid w:val="004276AE"/>
    <w:rsid w:val="00427727"/>
    <w:rsid w:val="00427899"/>
    <w:rsid w:val="00427970"/>
    <w:rsid w:val="00427997"/>
    <w:rsid w:val="004279C0"/>
    <w:rsid w:val="004279CE"/>
    <w:rsid w:val="00427A80"/>
    <w:rsid w:val="00427A92"/>
    <w:rsid w:val="00427B43"/>
    <w:rsid w:val="00427BF6"/>
    <w:rsid w:val="00427C02"/>
    <w:rsid w:val="00427CD3"/>
    <w:rsid w:val="00427EDC"/>
    <w:rsid w:val="00427F5A"/>
    <w:rsid w:val="00430131"/>
    <w:rsid w:val="004301BD"/>
    <w:rsid w:val="004301EF"/>
    <w:rsid w:val="004303F3"/>
    <w:rsid w:val="004303FC"/>
    <w:rsid w:val="0043046F"/>
    <w:rsid w:val="00430485"/>
    <w:rsid w:val="00430622"/>
    <w:rsid w:val="0043068E"/>
    <w:rsid w:val="00430714"/>
    <w:rsid w:val="00430764"/>
    <w:rsid w:val="004309D1"/>
    <w:rsid w:val="00430B21"/>
    <w:rsid w:val="00430B23"/>
    <w:rsid w:val="00430CE1"/>
    <w:rsid w:val="00430E74"/>
    <w:rsid w:val="00430EE5"/>
    <w:rsid w:val="00430F24"/>
    <w:rsid w:val="00430F65"/>
    <w:rsid w:val="00431007"/>
    <w:rsid w:val="004313A2"/>
    <w:rsid w:val="004313B0"/>
    <w:rsid w:val="00431420"/>
    <w:rsid w:val="00431475"/>
    <w:rsid w:val="0043152D"/>
    <w:rsid w:val="0043165A"/>
    <w:rsid w:val="00431813"/>
    <w:rsid w:val="0043187F"/>
    <w:rsid w:val="004319D6"/>
    <w:rsid w:val="004319F9"/>
    <w:rsid w:val="00431A4C"/>
    <w:rsid w:val="00431AE7"/>
    <w:rsid w:val="00431B13"/>
    <w:rsid w:val="00431B98"/>
    <w:rsid w:val="00431C24"/>
    <w:rsid w:val="00431C4F"/>
    <w:rsid w:val="00431D91"/>
    <w:rsid w:val="00431EC9"/>
    <w:rsid w:val="00431FDA"/>
    <w:rsid w:val="00431FE7"/>
    <w:rsid w:val="0043211A"/>
    <w:rsid w:val="00432130"/>
    <w:rsid w:val="00432199"/>
    <w:rsid w:val="004321B1"/>
    <w:rsid w:val="004321D6"/>
    <w:rsid w:val="004322C5"/>
    <w:rsid w:val="0043236B"/>
    <w:rsid w:val="00432540"/>
    <w:rsid w:val="00432573"/>
    <w:rsid w:val="00432713"/>
    <w:rsid w:val="004327B6"/>
    <w:rsid w:val="00432854"/>
    <w:rsid w:val="004328AD"/>
    <w:rsid w:val="00432946"/>
    <w:rsid w:val="00432979"/>
    <w:rsid w:val="00432A6F"/>
    <w:rsid w:val="00432B19"/>
    <w:rsid w:val="00432B23"/>
    <w:rsid w:val="00432D3B"/>
    <w:rsid w:val="00432D48"/>
    <w:rsid w:val="00432D7D"/>
    <w:rsid w:val="004330CD"/>
    <w:rsid w:val="004330DA"/>
    <w:rsid w:val="0043322B"/>
    <w:rsid w:val="004333D1"/>
    <w:rsid w:val="004333D7"/>
    <w:rsid w:val="004334A6"/>
    <w:rsid w:val="004334E8"/>
    <w:rsid w:val="0043350F"/>
    <w:rsid w:val="00433559"/>
    <w:rsid w:val="00433654"/>
    <w:rsid w:val="00433802"/>
    <w:rsid w:val="00433956"/>
    <w:rsid w:val="00433C12"/>
    <w:rsid w:val="00433D89"/>
    <w:rsid w:val="00433E89"/>
    <w:rsid w:val="00433EB4"/>
    <w:rsid w:val="00434196"/>
    <w:rsid w:val="004343BA"/>
    <w:rsid w:val="00434418"/>
    <w:rsid w:val="00434501"/>
    <w:rsid w:val="0043461B"/>
    <w:rsid w:val="00434628"/>
    <w:rsid w:val="0043479E"/>
    <w:rsid w:val="004347AA"/>
    <w:rsid w:val="0043483A"/>
    <w:rsid w:val="00434983"/>
    <w:rsid w:val="00434A10"/>
    <w:rsid w:val="00434A35"/>
    <w:rsid w:val="00434BD1"/>
    <w:rsid w:val="00434C0A"/>
    <w:rsid w:val="00434C47"/>
    <w:rsid w:val="00434CA7"/>
    <w:rsid w:val="00434CAE"/>
    <w:rsid w:val="00434D68"/>
    <w:rsid w:val="00434EAD"/>
    <w:rsid w:val="00434F34"/>
    <w:rsid w:val="004350D9"/>
    <w:rsid w:val="00435128"/>
    <w:rsid w:val="004351CE"/>
    <w:rsid w:val="00435248"/>
    <w:rsid w:val="0043533B"/>
    <w:rsid w:val="004354FC"/>
    <w:rsid w:val="0043565E"/>
    <w:rsid w:val="004356D1"/>
    <w:rsid w:val="004356F7"/>
    <w:rsid w:val="00435818"/>
    <w:rsid w:val="004358E9"/>
    <w:rsid w:val="00435956"/>
    <w:rsid w:val="00435989"/>
    <w:rsid w:val="004359E4"/>
    <w:rsid w:val="00435AB6"/>
    <w:rsid w:val="00435B63"/>
    <w:rsid w:val="00435B9E"/>
    <w:rsid w:val="00435C6E"/>
    <w:rsid w:val="00435E13"/>
    <w:rsid w:val="00436027"/>
    <w:rsid w:val="0043614B"/>
    <w:rsid w:val="00436151"/>
    <w:rsid w:val="004361CD"/>
    <w:rsid w:val="00436288"/>
    <w:rsid w:val="00436547"/>
    <w:rsid w:val="004366F0"/>
    <w:rsid w:val="004366F3"/>
    <w:rsid w:val="0043675A"/>
    <w:rsid w:val="00436B3A"/>
    <w:rsid w:val="00436BD7"/>
    <w:rsid w:val="00436BE2"/>
    <w:rsid w:val="00436C28"/>
    <w:rsid w:val="00436CA8"/>
    <w:rsid w:val="00436CBD"/>
    <w:rsid w:val="00436D7B"/>
    <w:rsid w:val="00436DBD"/>
    <w:rsid w:val="00436EFB"/>
    <w:rsid w:val="0043703E"/>
    <w:rsid w:val="00437182"/>
    <w:rsid w:val="004372FB"/>
    <w:rsid w:val="00437476"/>
    <w:rsid w:val="0043761A"/>
    <w:rsid w:val="004376AD"/>
    <w:rsid w:val="00437899"/>
    <w:rsid w:val="004378D9"/>
    <w:rsid w:val="00437942"/>
    <w:rsid w:val="00437980"/>
    <w:rsid w:val="00437A82"/>
    <w:rsid w:val="00437CF7"/>
    <w:rsid w:val="00437DC1"/>
    <w:rsid w:val="00440000"/>
    <w:rsid w:val="00440009"/>
    <w:rsid w:val="00440044"/>
    <w:rsid w:val="004400C3"/>
    <w:rsid w:val="004400F4"/>
    <w:rsid w:val="004401D9"/>
    <w:rsid w:val="0044020F"/>
    <w:rsid w:val="0044021B"/>
    <w:rsid w:val="00440224"/>
    <w:rsid w:val="0044032E"/>
    <w:rsid w:val="004403D7"/>
    <w:rsid w:val="004404C4"/>
    <w:rsid w:val="00440573"/>
    <w:rsid w:val="00440577"/>
    <w:rsid w:val="004405EE"/>
    <w:rsid w:val="004405FC"/>
    <w:rsid w:val="00440706"/>
    <w:rsid w:val="00440778"/>
    <w:rsid w:val="00440836"/>
    <w:rsid w:val="004408C7"/>
    <w:rsid w:val="00440A7C"/>
    <w:rsid w:val="00440AEA"/>
    <w:rsid w:val="00440B54"/>
    <w:rsid w:val="00440B60"/>
    <w:rsid w:val="00440D7A"/>
    <w:rsid w:val="00440F85"/>
    <w:rsid w:val="00440F9C"/>
    <w:rsid w:val="004410A3"/>
    <w:rsid w:val="00441132"/>
    <w:rsid w:val="00441239"/>
    <w:rsid w:val="0044125D"/>
    <w:rsid w:val="004414E3"/>
    <w:rsid w:val="0044151E"/>
    <w:rsid w:val="004416FB"/>
    <w:rsid w:val="00441715"/>
    <w:rsid w:val="00441785"/>
    <w:rsid w:val="004417A6"/>
    <w:rsid w:val="004419D6"/>
    <w:rsid w:val="00441BDC"/>
    <w:rsid w:val="00441C83"/>
    <w:rsid w:val="00441CEB"/>
    <w:rsid w:val="00441D87"/>
    <w:rsid w:val="00441D96"/>
    <w:rsid w:val="00441DC2"/>
    <w:rsid w:val="00441E27"/>
    <w:rsid w:val="00441E7F"/>
    <w:rsid w:val="00441FAD"/>
    <w:rsid w:val="00441FE0"/>
    <w:rsid w:val="00441FE8"/>
    <w:rsid w:val="004420EB"/>
    <w:rsid w:val="0044228E"/>
    <w:rsid w:val="004422BC"/>
    <w:rsid w:val="004422F5"/>
    <w:rsid w:val="00442411"/>
    <w:rsid w:val="004424FD"/>
    <w:rsid w:val="0044267A"/>
    <w:rsid w:val="004426DC"/>
    <w:rsid w:val="00442744"/>
    <w:rsid w:val="004427FE"/>
    <w:rsid w:val="00442831"/>
    <w:rsid w:val="00442A89"/>
    <w:rsid w:val="00442B20"/>
    <w:rsid w:val="00442CDC"/>
    <w:rsid w:val="00442ED5"/>
    <w:rsid w:val="00443095"/>
    <w:rsid w:val="00443100"/>
    <w:rsid w:val="00443141"/>
    <w:rsid w:val="004431BB"/>
    <w:rsid w:val="004432B6"/>
    <w:rsid w:val="004432DF"/>
    <w:rsid w:val="00443309"/>
    <w:rsid w:val="0044361A"/>
    <w:rsid w:val="0044388A"/>
    <w:rsid w:val="004439A6"/>
    <w:rsid w:val="004439CC"/>
    <w:rsid w:val="00443A40"/>
    <w:rsid w:val="00443A41"/>
    <w:rsid w:val="00443C59"/>
    <w:rsid w:val="00444003"/>
    <w:rsid w:val="00444306"/>
    <w:rsid w:val="00444413"/>
    <w:rsid w:val="0044442A"/>
    <w:rsid w:val="0044446F"/>
    <w:rsid w:val="0044459C"/>
    <w:rsid w:val="004445FA"/>
    <w:rsid w:val="004447AC"/>
    <w:rsid w:val="0044496F"/>
    <w:rsid w:val="00444996"/>
    <w:rsid w:val="00444A53"/>
    <w:rsid w:val="00444BB9"/>
    <w:rsid w:val="00444C4B"/>
    <w:rsid w:val="00444CDA"/>
    <w:rsid w:val="00444DD6"/>
    <w:rsid w:val="00444E6E"/>
    <w:rsid w:val="00444E80"/>
    <w:rsid w:val="00444EE1"/>
    <w:rsid w:val="00444F68"/>
    <w:rsid w:val="0044500C"/>
    <w:rsid w:val="00445192"/>
    <w:rsid w:val="00445480"/>
    <w:rsid w:val="00445495"/>
    <w:rsid w:val="004455D1"/>
    <w:rsid w:val="00445861"/>
    <w:rsid w:val="00445927"/>
    <w:rsid w:val="00445AAB"/>
    <w:rsid w:val="00445B14"/>
    <w:rsid w:val="00445B5A"/>
    <w:rsid w:val="00445C33"/>
    <w:rsid w:val="00445CD7"/>
    <w:rsid w:val="00445CED"/>
    <w:rsid w:val="00445E95"/>
    <w:rsid w:val="00445F95"/>
    <w:rsid w:val="004461C2"/>
    <w:rsid w:val="00446286"/>
    <w:rsid w:val="00446293"/>
    <w:rsid w:val="004463A7"/>
    <w:rsid w:val="004463EC"/>
    <w:rsid w:val="0044647D"/>
    <w:rsid w:val="00446552"/>
    <w:rsid w:val="00446655"/>
    <w:rsid w:val="004466CF"/>
    <w:rsid w:val="00446702"/>
    <w:rsid w:val="0044670A"/>
    <w:rsid w:val="00446881"/>
    <w:rsid w:val="0044698E"/>
    <w:rsid w:val="004469AA"/>
    <w:rsid w:val="00446AA0"/>
    <w:rsid w:val="00446AB9"/>
    <w:rsid w:val="00446BAC"/>
    <w:rsid w:val="00446CCE"/>
    <w:rsid w:val="00446CEE"/>
    <w:rsid w:val="00446D69"/>
    <w:rsid w:val="00446DE2"/>
    <w:rsid w:val="00446E2C"/>
    <w:rsid w:val="00446E37"/>
    <w:rsid w:val="00446F33"/>
    <w:rsid w:val="00447061"/>
    <w:rsid w:val="00447125"/>
    <w:rsid w:val="00447129"/>
    <w:rsid w:val="00447504"/>
    <w:rsid w:val="00447548"/>
    <w:rsid w:val="0044777D"/>
    <w:rsid w:val="004478EC"/>
    <w:rsid w:val="004478FC"/>
    <w:rsid w:val="00447953"/>
    <w:rsid w:val="004479C4"/>
    <w:rsid w:val="004479C5"/>
    <w:rsid w:val="00447C4F"/>
    <w:rsid w:val="00447D3E"/>
    <w:rsid w:val="00447DDB"/>
    <w:rsid w:val="00447E60"/>
    <w:rsid w:val="00450019"/>
    <w:rsid w:val="00450101"/>
    <w:rsid w:val="00450129"/>
    <w:rsid w:val="0045014C"/>
    <w:rsid w:val="00450207"/>
    <w:rsid w:val="0045023D"/>
    <w:rsid w:val="0045029B"/>
    <w:rsid w:val="004502A6"/>
    <w:rsid w:val="0045033C"/>
    <w:rsid w:val="004504CF"/>
    <w:rsid w:val="00450534"/>
    <w:rsid w:val="0045060E"/>
    <w:rsid w:val="00450659"/>
    <w:rsid w:val="00450677"/>
    <w:rsid w:val="0045067E"/>
    <w:rsid w:val="00450722"/>
    <w:rsid w:val="00450735"/>
    <w:rsid w:val="00450998"/>
    <w:rsid w:val="00450A21"/>
    <w:rsid w:val="00450C89"/>
    <w:rsid w:val="00450C8E"/>
    <w:rsid w:val="00450E21"/>
    <w:rsid w:val="00450FDB"/>
    <w:rsid w:val="00451064"/>
    <w:rsid w:val="00451283"/>
    <w:rsid w:val="00451554"/>
    <w:rsid w:val="004515FD"/>
    <w:rsid w:val="00451715"/>
    <w:rsid w:val="00451825"/>
    <w:rsid w:val="0045192C"/>
    <w:rsid w:val="00451B0A"/>
    <w:rsid w:val="00451C52"/>
    <w:rsid w:val="00451CCE"/>
    <w:rsid w:val="00451D6E"/>
    <w:rsid w:val="00451DF4"/>
    <w:rsid w:val="00451F79"/>
    <w:rsid w:val="004520D1"/>
    <w:rsid w:val="0045229A"/>
    <w:rsid w:val="0045245F"/>
    <w:rsid w:val="00452480"/>
    <w:rsid w:val="004524F8"/>
    <w:rsid w:val="00452605"/>
    <w:rsid w:val="004526B3"/>
    <w:rsid w:val="004526C4"/>
    <w:rsid w:val="00452744"/>
    <w:rsid w:val="004527D8"/>
    <w:rsid w:val="00452888"/>
    <w:rsid w:val="00452892"/>
    <w:rsid w:val="004529B0"/>
    <w:rsid w:val="00452B35"/>
    <w:rsid w:val="00452DF9"/>
    <w:rsid w:val="00452E0A"/>
    <w:rsid w:val="00452E50"/>
    <w:rsid w:val="00453081"/>
    <w:rsid w:val="00453237"/>
    <w:rsid w:val="00453583"/>
    <w:rsid w:val="00453664"/>
    <w:rsid w:val="004536D7"/>
    <w:rsid w:val="00453811"/>
    <w:rsid w:val="00453825"/>
    <w:rsid w:val="00453A75"/>
    <w:rsid w:val="00453ACF"/>
    <w:rsid w:val="00453B3D"/>
    <w:rsid w:val="00453E49"/>
    <w:rsid w:val="00453EEE"/>
    <w:rsid w:val="00453F52"/>
    <w:rsid w:val="004540B2"/>
    <w:rsid w:val="004541AD"/>
    <w:rsid w:val="00454229"/>
    <w:rsid w:val="00454277"/>
    <w:rsid w:val="00454790"/>
    <w:rsid w:val="004547F3"/>
    <w:rsid w:val="0045480F"/>
    <w:rsid w:val="00454835"/>
    <w:rsid w:val="00454AE0"/>
    <w:rsid w:val="00454B9B"/>
    <w:rsid w:val="00454D7E"/>
    <w:rsid w:val="00454D99"/>
    <w:rsid w:val="00454E30"/>
    <w:rsid w:val="00454E85"/>
    <w:rsid w:val="0045501A"/>
    <w:rsid w:val="00455022"/>
    <w:rsid w:val="00455084"/>
    <w:rsid w:val="00455166"/>
    <w:rsid w:val="004551B9"/>
    <w:rsid w:val="0045533F"/>
    <w:rsid w:val="00455391"/>
    <w:rsid w:val="004553BF"/>
    <w:rsid w:val="0045543D"/>
    <w:rsid w:val="00455502"/>
    <w:rsid w:val="00455571"/>
    <w:rsid w:val="00455679"/>
    <w:rsid w:val="00455880"/>
    <w:rsid w:val="004558C9"/>
    <w:rsid w:val="00455941"/>
    <w:rsid w:val="004559DD"/>
    <w:rsid w:val="00455B16"/>
    <w:rsid w:val="00455C54"/>
    <w:rsid w:val="00455D77"/>
    <w:rsid w:val="00455DC2"/>
    <w:rsid w:val="00455DE9"/>
    <w:rsid w:val="00455EAD"/>
    <w:rsid w:val="00455FA9"/>
    <w:rsid w:val="004560E8"/>
    <w:rsid w:val="00456122"/>
    <w:rsid w:val="004561F4"/>
    <w:rsid w:val="00456288"/>
    <w:rsid w:val="004563C5"/>
    <w:rsid w:val="004563E7"/>
    <w:rsid w:val="00456472"/>
    <w:rsid w:val="004564C6"/>
    <w:rsid w:val="004564C7"/>
    <w:rsid w:val="004564D7"/>
    <w:rsid w:val="0045652F"/>
    <w:rsid w:val="00456534"/>
    <w:rsid w:val="00456605"/>
    <w:rsid w:val="0045675D"/>
    <w:rsid w:val="00456801"/>
    <w:rsid w:val="00456837"/>
    <w:rsid w:val="00456943"/>
    <w:rsid w:val="00456C01"/>
    <w:rsid w:val="00456C34"/>
    <w:rsid w:val="00456C6E"/>
    <w:rsid w:val="00456DEB"/>
    <w:rsid w:val="00456E15"/>
    <w:rsid w:val="00456E36"/>
    <w:rsid w:val="00457009"/>
    <w:rsid w:val="00457035"/>
    <w:rsid w:val="00457050"/>
    <w:rsid w:val="00457165"/>
    <w:rsid w:val="004572B5"/>
    <w:rsid w:val="00457309"/>
    <w:rsid w:val="00457366"/>
    <w:rsid w:val="0045742E"/>
    <w:rsid w:val="00457759"/>
    <w:rsid w:val="00457807"/>
    <w:rsid w:val="004578B5"/>
    <w:rsid w:val="00457976"/>
    <w:rsid w:val="004579A8"/>
    <w:rsid w:val="00457B10"/>
    <w:rsid w:val="00457B34"/>
    <w:rsid w:val="00457C5D"/>
    <w:rsid w:val="00457D49"/>
    <w:rsid w:val="00457DBF"/>
    <w:rsid w:val="00457DFA"/>
    <w:rsid w:val="00457F0A"/>
    <w:rsid w:val="00457F86"/>
    <w:rsid w:val="0046007E"/>
    <w:rsid w:val="004600DC"/>
    <w:rsid w:val="00460138"/>
    <w:rsid w:val="004602A3"/>
    <w:rsid w:val="0046038F"/>
    <w:rsid w:val="00460586"/>
    <w:rsid w:val="004605CB"/>
    <w:rsid w:val="004607AA"/>
    <w:rsid w:val="004609BC"/>
    <w:rsid w:val="00460B08"/>
    <w:rsid w:val="00460BDC"/>
    <w:rsid w:val="00460C5B"/>
    <w:rsid w:val="00460CD2"/>
    <w:rsid w:val="00460F49"/>
    <w:rsid w:val="00461018"/>
    <w:rsid w:val="00461118"/>
    <w:rsid w:val="0046113F"/>
    <w:rsid w:val="00461179"/>
    <w:rsid w:val="0046125A"/>
    <w:rsid w:val="00461343"/>
    <w:rsid w:val="004613B2"/>
    <w:rsid w:val="004613EF"/>
    <w:rsid w:val="0046141F"/>
    <w:rsid w:val="004614F6"/>
    <w:rsid w:val="00461565"/>
    <w:rsid w:val="00461568"/>
    <w:rsid w:val="00461589"/>
    <w:rsid w:val="00461614"/>
    <w:rsid w:val="0046172F"/>
    <w:rsid w:val="00461917"/>
    <w:rsid w:val="004619AD"/>
    <w:rsid w:val="00461A1F"/>
    <w:rsid w:val="00461A31"/>
    <w:rsid w:val="00461C51"/>
    <w:rsid w:val="00461D0A"/>
    <w:rsid w:val="00461D3E"/>
    <w:rsid w:val="00461DAC"/>
    <w:rsid w:val="00461FE9"/>
    <w:rsid w:val="00462104"/>
    <w:rsid w:val="0046219D"/>
    <w:rsid w:val="00462219"/>
    <w:rsid w:val="0046221A"/>
    <w:rsid w:val="004624C4"/>
    <w:rsid w:val="004625EC"/>
    <w:rsid w:val="0046262C"/>
    <w:rsid w:val="004626C5"/>
    <w:rsid w:val="00462752"/>
    <w:rsid w:val="00462761"/>
    <w:rsid w:val="00462968"/>
    <w:rsid w:val="00462AFC"/>
    <w:rsid w:val="00462CEF"/>
    <w:rsid w:val="00462D4E"/>
    <w:rsid w:val="00462DBF"/>
    <w:rsid w:val="00462DFE"/>
    <w:rsid w:val="00462FA9"/>
    <w:rsid w:val="00462FE5"/>
    <w:rsid w:val="004630B5"/>
    <w:rsid w:val="00463164"/>
    <w:rsid w:val="004632D3"/>
    <w:rsid w:val="0046339A"/>
    <w:rsid w:val="00463453"/>
    <w:rsid w:val="004636EF"/>
    <w:rsid w:val="00463752"/>
    <w:rsid w:val="00463889"/>
    <w:rsid w:val="004638E9"/>
    <w:rsid w:val="0046394D"/>
    <w:rsid w:val="0046394F"/>
    <w:rsid w:val="00463A91"/>
    <w:rsid w:val="00463AA9"/>
    <w:rsid w:val="00463B4D"/>
    <w:rsid w:val="00463CF9"/>
    <w:rsid w:val="00463E8E"/>
    <w:rsid w:val="00463EB6"/>
    <w:rsid w:val="00463F66"/>
    <w:rsid w:val="00463F67"/>
    <w:rsid w:val="00463FF6"/>
    <w:rsid w:val="0046400C"/>
    <w:rsid w:val="00464149"/>
    <w:rsid w:val="004642E4"/>
    <w:rsid w:val="00464488"/>
    <w:rsid w:val="0046448D"/>
    <w:rsid w:val="004644B9"/>
    <w:rsid w:val="0046492D"/>
    <w:rsid w:val="004649C1"/>
    <w:rsid w:val="00464A3F"/>
    <w:rsid w:val="00464A60"/>
    <w:rsid w:val="00464BBF"/>
    <w:rsid w:val="00464C51"/>
    <w:rsid w:val="00464D02"/>
    <w:rsid w:val="00464E7F"/>
    <w:rsid w:val="00464EB1"/>
    <w:rsid w:val="0046507B"/>
    <w:rsid w:val="0046525A"/>
    <w:rsid w:val="0046531E"/>
    <w:rsid w:val="00465333"/>
    <w:rsid w:val="0046535A"/>
    <w:rsid w:val="004653CD"/>
    <w:rsid w:val="004653D4"/>
    <w:rsid w:val="0046550F"/>
    <w:rsid w:val="0046551F"/>
    <w:rsid w:val="0046576F"/>
    <w:rsid w:val="004657D3"/>
    <w:rsid w:val="00465825"/>
    <w:rsid w:val="004659BA"/>
    <w:rsid w:val="00465BD9"/>
    <w:rsid w:val="00465D3D"/>
    <w:rsid w:val="00465D8C"/>
    <w:rsid w:val="00465DCC"/>
    <w:rsid w:val="00465F42"/>
    <w:rsid w:val="0046653C"/>
    <w:rsid w:val="004665AA"/>
    <w:rsid w:val="0046666D"/>
    <w:rsid w:val="00466717"/>
    <w:rsid w:val="0046698C"/>
    <w:rsid w:val="00466A00"/>
    <w:rsid w:val="00466ABA"/>
    <w:rsid w:val="00466AD5"/>
    <w:rsid w:val="00466AFB"/>
    <w:rsid w:val="00466B72"/>
    <w:rsid w:val="00466E03"/>
    <w:rsid w:val="00466FF2"/>
    <w:rsid w:val="00467139"/>
    <w:rsid w:val="00467237"/>
    <w:rsid w:val="00467310"/>
    <w:rsid w:val="0046731A"/>
    <w:rsid w:val="0046737E"/>
    <w:rsid w:val="0046740B"/>
    <w:rsid w:val="0046746E"/>
    <w:rsid w:val="004675F1"/>
    <w:rsid w:val="00467618"/>
    <w:rsid w:val="00467702"/>
    <w:rsid w:val="00467855"/>
    <w:rsid w:val="0046797C"/>
    <w:rsid w:val="00467991"/>
    <w:rsid w:val="00467A76"/>
    <w:rsid w:val="00467C23"/>
    <w:rsid w:val="00467D29"/>
    <w:rsid w:val="00467D45"/>
    <w:rsid w:val="00467D56"/>
    <w:rsid w:val="00467EF0"/>
    <w:rsid w:val="00467F35"/>
    <w:rsid w:val="00470014"/>
    <w:rsid w:val="00470084"/>
    <w:rsid w:val="004701DD"/>
    <w:rsid w:val="00470223"/>
    <w:rsid w:val="004704AF"/>
    <w:rsid w:val="00470582"/>
    <w:rsid w:val="00470616"/>
    <w:rsid w:val="0047067C"/>
    <w:rsid w:val="004706A0"/>
    <w:rsid w:val="00470814"/>
    <w:rsid w:val="00470869"/>
    <w:rsid w:val="004708CC"/>
    <w:rsid w:val="00470AB5"/>
    <w:rsid w:val="00470B26"/>
    <w:rsid w:val="00470C08"/>
    <w:rsid w:val="00470DE6"/>
    <w:rsid w:val="00470E07"/>
    <w:rsid w:val="00470E2E"/>
    <w:rsid w:val="00470E4A"/>
    <w:rsid w:val="00470EF2"/>
    <w:rsid w:val="00470FD0"/>
    <w:rsid w:val="0047102E"/>
    <w:rsid w:val="004710F2"/>
    <w:rsid w:val="004712EE"/>
    <w:rsid w:val="00471420"/>
    <w:rsid w:val="004714AC"/>
    <w:rsid w:val="004714C4"/>
    <w:rsid w:val="004715E8"/>
    <w:rsid w:val="00471690"/>
    <w:rsid w:val="004717BB"/>
    <w:rsid w:val="004717E0"/>
    <w:rsid w:val="00471A5C"/>
    <w:rsid w:val="00471A96"/>
    <w:rsid w:val="00471BB9"/>
    <w:rsid w:val="00471E3B"/>
    <w:rsid w:val="00471F18"/>
    <w:rsid w:val="00471F73"/>
    <w:rsid w:val="00472022"/>
    <w:rsid w:val="00472185"/>
    <w:rsid w:val="004721DC"/>
    <w:rsid w:val="004722A6"/>
    <w:rsid w:val="004722AE"/>
    <w:rsid w:val="0047249E"/>
    <w:rsid w:val="004726EA"/>
    <w:rsid w:val="00472804"/>
    <w:rsid w:val="00472932"/>
    <w:rsid w:val="00472A15"/>
    <w:rsid w:val="00472A67"/>
    <w:rsid w:val="00472AE1"/>
    <w:rsid w:val="00472B0D"/>
    <w:rsid w:val="00472BCA"/>
    <w:rsid w:val="00472C3D"/>
    <w:rsid w:val="00472CC9"/>
    <w:rsid w:val="00472E68"/>
    <w:rsid w:val="00472E83"/>
    <w:rsid w:val="00472E85"/>
    <w:rsid w:val="00472EAB"/>
    <w:rsid w:val="00472F9E"/>
    <w:rsid w:val="00472FDB"/>
    <w:rsid w:val="0047312A"/>
    <w:rsid w:val="00473168"/>
    <w:rsid w:val="0047335C"/>
    <w:rsid w:val="0047342C"/>
    <w:rsid w:val="0047370F"/>
    <w:rsid w:val="0047393F"/>
    <w:rsid w:val="004739FD"/>
    <w:rsid w:val="00473AD3"/>
    <w:rsid w:val="00473AF0"/>
    <w:rsid w:val="00473B1F"/>
    <w:rsid w:val="00473C76"/>
    <w:rsid w:val="00473D7E"/>
    <w:rsid w:val="00473DA9"/>
    <w:rsid w:val="00473DE4"/>
    <w:rsid w:val="00473F4E"/>
    <w:rsid w:val="0047417C"/>
    <w:rsid w:val="004741FC"/>
    <w:rsid w:val="0047420E"/>
    <w:rsid w:val="0047420F"/>
    <w:rsid w:val="0047427A"/>
    <w:rsid w:val="004742B1"/>
    <w:rsid w:val="00474452"/>
    <w:rsid w:val="0047452C"/>
    <w:rsid w:val="004745A3"/>
    <w:rsid w:val="0047462B"/>
    <w:rsid w:val="004746C3"/>
    <w:rsid w:val="0047482B"/>
    <w:rsid w:val="004748BC"/>
    <w:rsid w:val="0047491C"/>
    <w:rsid w:val="00474950"/>
    <w:rsid w:val="004749A6"/>
    <w:rsid w:val="004749FD"/>
    <w:rsid w:val="00474B5F"/>
    <w:rsid w:val="00474B80"/>
    <w:rsid w:val="00474C34"/>
    <w:rsid w:val="00474D6D"/>
    <w:rsid w:val="00474DF0"/>
    <w:rsid w:val="00474F21"/>
    <w:rsid w:val="00475004"/>
    <w:rsid w:val="004750D6"/>
    <w:rsid w:val="0047534A"/>
    <w:rsid w:val="0047537C"/>
    <w:rsid w:val="00475418"/>
    <w:rsid w:val="00475500"/>
    <w:rsid w:val="00475631"/>
    <w:rsid w:val="0047575B"/>
    <w:rsid w:val="0047582B"/>
    <w:rsid w:val="00475934"/>
    <w:rsid w:val="0047596E"/>
    <w:rsid w:val="00475991"/>
    <w:rsid w:val="004759CA"/>
    <w:rsid w:val="00475A23"/>
    <w:rsid w:val="00475A7F"/>
    <w:rsid w:val="00475B98"/>
    <w:rsid w:val="00475ED7"/>
    <w:rsid w:val="00475F23"/>
    <w:rsid w:val="00476058"/>
    <w:rsid w:val="00476149"/>
    <w:rsid w:val="0047616F"/>
    <w:rsid w:val="00476259"/>
    <w:rsid w:val="0047639A"/>
    <w:rsid w:val="00476434"/>
    <w:rsid w:val="004764C8"/>
    <w:rsid w:val="004764F9"/>
    <w:rsid w:val="004765CA"/>
    <w:rsid w:val="0047663E"/>
    <w:rsid w:val="00476840"/>
    <w:rsid w:val="0047684D"/>
    <w:rsid w:val="0047686E"/>
    <w:rsid w:val="004768C1"/>
    <w:rsid w:val="004769E1"/>
    <w:rsid w:val="00476CCF"/>
    <w:rsid w:val="00476D79"/>
    <w:rsid w:val="00476D97"/>
    <w:rsid w:val="00476E70"/>
    <w:rsid w:val="00476EEE"/>
    <w:rsid w:val="00476F38"/>
    <w:rsid w:val="00476F44"/>
    <w:rsid w:val="00477071"/>
    <w:rsid w:val="0047708F"/>
    <w:rsid w:val="00477134"/>
    <w:rsid w:val="0047719E"/>
    <w:rsid w:val="004772BA"/>
    <w:rsid w:val="004772EC"/>
    <w:rsid w:val="004773D5"/>
    <w:rsid w:val="004775D7"/>
    <w:rsid w:val="00477608"/>
    <w:rsid w:val="004777AA"/>
    <w:rsid w:val="0047783A"/>
    <w:rsid w:val="00477959"/>
    <w:rsid w:val="00477978"/>
    <w:rsid w:val="00477B8F"/>
    <w:rsid w:val="00477BF1"/>
    <w:rsid w:val="00477C04"/>
    <w:rsid w:val="00477C1F"/>
    <w:rsid w:val="00477C36"/>
    <w:rsid w:val="00477CDF"/>
    <w:rsid w:val="00477D5D"/>
    <w:rsid w:val="00477D8F"/>
    <w:rsid w:val="00477E18"/>
    <w:rsid w:val="004800C1"/>
    <w:rsid w:val="00480328"/>
    <w:rsid w:val="00480351"/>
    <w:rsid w:val="004805B8"/>
    <w:rsid w:val="004806DE"/>
    <w:rsid w:val="00480771"/>
    <w:rsid w:val="00480811"/>
    <w:rsid w:val="004808BC"/>
    <w:rsid w:val="00480B32"/>
    <w:rsid w:val="00480BEF"/>
    <w:rsid w:val="00480C49"/>
    <w:rsid w:val="00480CA2"/>
    <w:rsid w:val="00480D7F"/>
    <w:rsid w:val="00480E48"/>
    <w:rsid w:val="00480E83"/>
    <w:rsid w:val="00480F64"/>
    <w:rsid w:val="0048123E"/>
    <w:rsid w:val="00481470"/>
    <w:rsid w:val="004814F8"/>
    <w:rsid w:val="00481527"/>
    <w:rsid w:val="00481658"/>
    <w:rsid w:val="004816A4"/>
    <w:rsid w:val="00481760"/>
    <w:rsid w:val="00481805"/>
    <w:rsid w:val="004818EB"/>
    <w:rsid w:val="004818F7"/>
    <w:rsid w:val="00481919"/>
    <w:rsid w:val="00481B30"/>
    <w:rsid w:val="00481C0C"/>
    <w:rsid w:val="00481C5F"/>
    <w:rsid w:val="00481D2D"/>
    <w:rsid w:val="00481DAC"/>
    <w:rsid w:val="00481E97"/>
    <w:rsid w:val="00481EE4"/>
    <w:rsid w:val="00481FF2"/>
    <w:rsid w:val="00482277"/>
    <w:rsid w:val="00482279"/>
    <w:rsid w:val="00482330"/>
    <w:rsid w:val="004823DA"/>
    <w:rsid w:val="0048243F"/>
    <w:rsid w:val="0048247E"/>
    <w:rsid w:val="0048247F"/>
    <w:rsid w:val="0048256A"/>
    <w:rsid w:val="004826CC"/>
    <w:rsid w:val="004826F6"/>
    <w:rsid w:val="004826FE"/>
    <w:rsid w:val="004827DE"/>
    <w:rsid w:val="004829C8"/>
    <w:rsid w:val="00482A75"/>
    <w:rsid w:val="00482B99"/>
    <w:rsid w:val="00482BAD"/>
    <w:rsid w:val="00482BAE"/>
    <w:rsid w:val="00482C01"/>
    <w:rsid w:val="00482C25"/>
    <w:rsid w:val="00482E16"/>
    <w:rsid w:val="00482E8E"/>
    <w:rsid w:val="00483237"/>
    <w:rsid w:val="0048335F"/>
    <w:rsid w:val="00483391"/>
    <w:rsid w:val="0048351A"/>
    <w:rsid w:val="00483795"/>
    <w:rsid w:val="00483923"/>
    <w:rsid w:val="00483A49"/>
    <w:rsid w:val="00483A98"/>
    <w:rsid w:val="00483C3D"/>
    <w:rsid w:val="00483D42"/>
    <w:rsid w:val="00483EB0"/>
    <w:rsid w:val="0048423A"/>
    <w:rsid w:val="00484307"/>
    <w:rsid w:val="0048438E"/>
    <w:rsid w:val="00484392"/>
    <w:rsid w:val="0048467B"/>
    <w:rsid w:val="004846F4"/>
    <w:rsid w:val="00484707"/>
    <w:rsid w:val="00484A54"/>
    <w:rsid w:val="00484CC3"/>
    <w:rsid w:val="00484E2B"/>
    <w:rsid w:val="00484E9C"/>
    <w:rsid w:val="00485153"/>
    <w:rsid w:val="004851FA"/>
    <w:rsid w:val="0048544A"/>
    <w:rsid w:val="0048545A"/>
    <w:rsid w:val="00485501"/>
    <w:rsid w:val="00485757"/>
    <w:rsid w:val="004858D0"/>
    <w:rsid w:val="00485A00"/>
    <w:rsid w:val="00485A69"/>
    <w:rsid w:val="00485C71"/>
    <w:rsid w:val="00485CDB"/>
    <w:rsid w:val="00485D17"/>
    <w:rsid w:val="00485DBE"/>
    <w:rsid w:val="004860B0"/>
    <w:rsid w:val="004861A7"/>
    <w:rsid w:val="004861DE"/>
    <w:rsid w:val="004861F1"/>
    <w:rsid w:val="00486218"/>
    <w:rsid w:val="004862E6"/>
    <w:rsid w:val="00486320"/>
    <w:rsid w:val="0048654C"/>
    <w:rsid w:val="0048656B"/>
    <w:rsid w:val="00486576"/>
    <w:rsid w:val="004865DD"/>
    <w:rsid w:val="00486678"/>
    <w:rsid w:val="00486726"/>
    <w:rsid w:val="0048686E"/>
    <w:rsid w:val="004868AF"/>
    <w:rsid w:val="0048690F"/>
    <w:rsid w:val="004869A4"/>
    <w:rsid w:val="004869BD"/>
    <w:rsid w:val="00486A7F"/>
    <w:rsid w:val="00486C3C"/>
    <w:rsid w:val="00487029"/>
    <w:rsid w:val="004870F6"/>
    <w:rsid w:val="004870FA"/>
    <w:rsid w:val="00487130"/>
    <w:rsid w:val="0048716F"/>
    <w:rsid w:val="004873AD"/>
    <w:rsid w:val="00487496"/>
    <w:rsid w:val="004875A6"/>
    <w:rsid w:val="00487746"/>
    <w:rsid w:val="00487895"/>
    <w:rsid w:val="004878EA"/>
    <w:rsid w:val="00487A3C"/>
    <w:rsid w:val="00487A68"/>
    <w:rsid w:val="00487B1C"/>
    <w:rsid w:val="00487B1D"/>
    <w:rsid w:val="00487C78"/>
    <w:rsid w:val="00487E52"/>
    <w:rsid w:val="00487F20"/>
    <w:rsid w:val="00487F4D"/>
    <w:rsid w:val="00487F91"/>
    <w:rsid w:val="00490127"/>
    <w:rsid w:val="0049022C"/>
    <w:rsid w:val="004902DC"/>
    <w:rsid w:val="004902EA"/>
    <w:rsid w:val="004902F0"/>
    <w:rsid w:val="00490542"/>
    <w:rsid w:val="004905C4"/>
    <w:rsid w:val="00490876"/>
    <w:rsid w:val="004909F3"/>
    <w:rsid w:val="00490A02"/>
    <w:rsid w:val="00490A15"/>
    <w:rsid w:val="00490B5D"/>
    <w:rsid w:val="00490C63"/>
    <w:rsid w:val="00490C6A"/>
    <w:rsid w:val="00490D07"/>
    <w:rsid w:val="0049103F"/>
    <w:rsid w:val="00491263"/>
    <w:rsid w:val="004913B2"/>
    <w:rsid w:val="004915BD"/>
    <w:rsid w:val="00491624"/>
    <w:rsid w:val="004916F8"/>
    <w:rsid w:val="0049176A"/>
    <w:rsid w:val="0049187D"/>
    <w:rsid w:val="00491924"/>
    <w:rsid w:val="00491B1D"/>
    <w:rsid w:val="00491B44"/>
    <w:rsid w:val="00491B90"/>
    <w:rsid w:val="00491D3F"/>
    <w:rsid w:val="00491DA8"/>
    <w:rsid w:val="00491DE1"/>
    <w:rsid w:val="00491FA7"/>
    <w:rsid w:val="00491FD7"/>
    <w:rsid w:val="0049202F"/>
    <w:rsid w:val="00492113"/>
    <w:rsid w:val="004921AB"/>
    <w:rsid w:val="0049233A"/>
    <w:rsid w:val="004923D6"/>
    <w:rsid w:val="004923DA"/>
    <w:rsid w:val="00492419"/>
    <w:rsid w:val="00492478"/>
    <w:rsid w:val="00492599"/>
    <w:rsid w:val="00492876"/>
    <w:rsid w:val="00492982"/>
    <w:rsid w:val="00492C06"/>
    <w:rsid w:val="00492C3B"/>
    <w:rsid w:val="00492C50"/>
    <w:rsid w:val="00492ED5"/>
    <w:rsid w:val="00492F56"/>
    <w:rsid w:val="00492FF2"/>
    <w:rsid w:val="0049305B"/>
    <w:rsid w:val="004931C8"/>
    <w:rsid w:val="004931CA"/>
    <w:rsid w:val="00493228"/>
    <w:rsid w:val="00493284"/>
    <w:rsid w:val="00493325"/>
    <w:rsid w:val="00493436"/>
    <w:rsid w:val="00493628"/>
    <w:rsid w:val="0049373E"/>
    <w:rsid w:val="004937DF"/>
    <w:rsid w:val="004938A7"/>
    <w:rsid w:val="004938C0"/>
    <w:rsid w:val="0049390F"/>
    <w:rsid w:val="004939A7"/>
    <w:rsid w:val="00493C91"/>
    <w:rsid w:val="00493E15"/>
    <w:rsid w:val="00493E2D"/>
    <w:rsid w:val="00493E6C"/>
    <w:rsid w:val="00493F03"/>
    <w:rsid w:val="00493F86"/>
    <w:rsid w:val="004941FD"/>
    <w:rsid w:val="004942CD"/>
    <w:rsid w:val="0049436E"/>
    <w:rsid w:val="004943F4"/>
    <w:rsid w:val="0049451D"/>
    <w:rsid w:val="0049462F"/>
    <w:rsid w:val="00494690"/>
    <w:rsid w:val="00494691"/>
    <w:rsid w:val="0049480C"/>
    <w:rsid w:val="00494A0D"/>
    <w:rsid w:val="00494AD8"/>
    <w:rsid w:val="00494B10"/>
    <w:rsid w:val="00494B2C"/>
    <w:rsid w:val="00494B65"/>
    <w:rsid w:val="00494B6B"/>
    <w:rsid w:val="00494D5C"/>
    <w:rsid w:val="00494D76"/>
    <w:rsid w:val="00494D8C"/>
    <w:rsid w:val="00494E2D"/>
    <w:rsid w:val="00494FD0"/>
    <w:rsid w:val="00495116"/>
    <w:rsid w:val="0049513F"/>
    <w:rsid w:val="004954A4"/>
    <w:rsid w:val="004954DB"/>
    <w:rsid w:val="004954EB"/>
    <w:rsid w:val="00495571"/>
    <w:rsid w:val="0049560D"/>
    <w:rsid w:val="004957A7"/>
    <w:rsid w:val="0049587D"/>
    <w:rsid w:val="00495B06"/>
    <w:rsid w:val="00495BF8"/>
    <w:rsid w:val="00495C50"/>
    <w:rsid w:val="00495CEF"/>
    <w:rsid w:val="004960F7"/>
    <w:rsid w:val="00496236"/>
    <w:rsid w:val="00496683"/>
    <w:rsid w:val="00496813"/>
    <w:rsid w:val="00496B36"/>
    <w:rsid w:val="00496BCC"/>
    <w:rsid w:val="00496D1A"/>
    <w:rsid w:val="00496D37"/>
    <w:rsid w:val="00496DF1"/>
    <w:rsid w:val="00496E44"/>
    <w:rsid w:val="00497030"/>
    <w:rsid w:val="00497375"/>
    <w:rsid w:val="004973E5"/>
    <w:rsid w:val="0049760D"/>
    <w:rsid w:val="00497724"/>
    <w:rsid w:val="00497860"/>
    <w:rsid w:val="00497943"/>
    <w:rsid w:val="004979BF"/>
    <w:rsid w:val="00497B34"/>
    <w:rsid w:val="00497C6E"/>
    <w:rsid w:val="00497CC9"/>
    <w:rsid w:val="00497CF2"/>
    <w:rsid w:val="00497E42"/>
    <w:rsid w:val="00497EBB"/>
    <w:rsid w:val="004A0132"/>
    <w:rsid w:val="004A0147"/>
    <w:rsid w:val="004A0160"/>
    <w:rsid w:val="004A020E"/>
    <w:rsid w:val="004A0348"/>
    <w:rsid w:val="004A03EB"/>
    <w:rsid w:val="004A0415"/>
    <w:rsid w:val="004A049F"/>
    <w:rsid w:val="004A05F2"/>
    <w:rsid w:val="004A0771"/>
    <w:rsid w:val="004A083B"/>
    <w:rsid w:val="004A08A1"/>
    <w:rsid w:val="004A08FD"/>
    <w:rsid w:val="004A099F"/>
    <w:rsid w:val="004A0AB4"/>
    <w:rsid w:val="004A0B1D"/>
    <w:rsid w:val="004A0CF5"/>
    <w:rsid w:val="004A0D53"/>
    <w:rsid w:val="004A0EB2"/>
    <w:rsid w:val="004A0EC4"/>
    <w:rsid w:val="004A0EFA"/>
    <w:rsid w:val="004A0FE6"/>
    <w:rsid w:val="004A109E"/>
    <w:rsid w:val="004A10C6"/>
    <w:rsid w:val="004A127D"/>
    <w:rsid w:val="004A12B9"/>
    <w:rsid w:val="004A18E0"/>
    <w:rsid w:val="004A1904"/>
    <w:rsid w:val="004A192C"/>
    <w:rsid w:val="004A194E"/>
    <w:rsid w:val="004A1CDA"/>
    <w:rsid w:val="004A1F87"/>
    <w:rsid w:val="004A214D"/>
    <w:rsid w:val="004A2236"/>
    <w:rsid w:val="004A2341"/>
    <w:rsid w:val="004A23B3"/>
    <w:rsid w:val="004A244D"/>
    <w:rsid w:val="004A2489"/>
    <w:rsid w:val="004A24DD"/>
    <w:rsid w:val="004A268E"/>
    <w:rsid w:val="004A27C1"/>
    <w:rsid w:val="004A2843"/>
    <w:rsid w:val="004A2912"/>
    <w:rsid w:val="004A2999"/>
    <w:rsid w:val="004A29F4"/>
    <w:rsid w:val="004A2A2E"/>
    <w:rsid w:val="004A2B70"/>
    <w:rsid w:val="004A2BCB"/>
    <w:rsid w:val="004A2E2D"/>
    <w:rsid w:val="004A3085"/>
    <w:rsid w:val="004A31EB"/>
    <w:rsid w:val="004A31F3"/>
    <w:rsid w:val="004A3249"/>
    <w:rsid w:val="004A32F3"/>
    <w:rsid w:val="004A339A"/>
    <w:rsid w:val="004A33C7"/>
    <w:rsid w:val="004A3517"/>
    <w:rsid w:val="004A3575"/>
    <w:rsid w:val="004A361D"/>
    <w:rsid w:val="004A3629"/>
    <w:rsid w:val="004A3708"/>
    <w:rsid w:val="004A376D"/>
    <w:rsid w:val="004A377F"/>
    <w:rsid w:val="004A39FD"/>
    <w:rsid w:val="004A3A39"/>
    <w:rsid w:val="004A3AC6"/>
    <w:rsid w:val="004A3C63"/>
    <w:rsid w:val="004A3E61"/>
    <w:rsid w:val="004A401D"/>
    <w:rsid w:val="004A4092"/>
    <w:rsid w:val="004A40A4"/>
    <w:rsid w:val="004A414A"/>
    <w:rsid w:val="004A4222"/>
    <w:rsid w:val="004A4564"/>
    <w:rsid w:val="004A459A"/>
    <w:rsid w:val="004A465F"/>
    <w:rsid w:val="004A46B7"/>
    <w:rsid w:val="004A4840"/>
    <w:rsid w:val="004A4AFA"/>
    <w:rsid w:val="004A4B12"/>
    <w:rsid w:val="004A4BF8"/>
    <w:rsid w:val="004A4F59"/>
    <w:rsid w:val="004A4FD8"/>
    <w:rsid w:val="004A51DB"/>
    <w:rsid w:val="004A51E3"/>
    <w:rsid w:val="004A51F9"/>
    <w:rsid w:val="004A52C3"/>
    <w:rsid w:val="004A5330"/>
    <w:rsid w:val="004A539D"/>
    <w:rsid w:val="004A5592"/>
    <w:rsid w:val="004A5648"/>
    <w:rsid w:val="004A570B"/>
    <w:rsid w:val="004A5781"/>
    <w:rsid w:val="004A5791"/>
    <w:rsid w:val="004A5931"/>
    <w:rsid w:val="004A598A"/>
    <w:rsid w:val="004A5D69"/>
    <w:rsid w:val="004A5F57"/>
    <w:rsid w:val="004A5F5D"/>
    <w:rsid w:val="004A5F75"/>
    <w:rsid w:val="004A60AE"/>
    <w:rsid w:val="004A6193"/>
    <w:rsid w:val="004A6234"/>
    <w:rsid w:val="004A62C4"/>
    <w:rsid w:val="004A632B"/>
    <w:rsid w:val="004A6440"/>
    <w:rsid w:val="004A65DA"/>
    <w:rsid w:val="004A66E4"/>
    <w:rsid w:val="004A6701"/>
    <w:rsid w:val="004A6749"/>
    <w:rsid w:val="004A67EF"/>
    <w:rsid w:val="004A6B48"/>
    <w:rsid w:val="004A6B4B"/>
    <w:rsid w:val="004A6CFB"/>
    <w:rsid w:val="004A6D64"/>
    <w:rsid w:val="004A6DDA"/>
    <w:rsid w:val="004A6E42"/>
    <w:rsid w:val="004A6E67"/>
    <w:rsid w:val="004A6E85"/>
    <w:rsid w:val="004A6ED8"/>
    <w:rsid w:val="004A6F99"/>
    <w:rsid w:val="004A6FE3"/>
    <w:rsid w:val="004A702C"/>
    <w:rsid w:val="004A70F4"/>
    <w:rsid w:val="004A714A"/>
    <w:rsid w:val="004A7272"/>
    <w:rsid w:val="004A731D"/>
    <w:rsid w:val="004A73A7"/>
    <w:rsid w:val="004A73C7"/>
    <w:rsid w:val="004A73D4"/>
    <w:rsid w:val="004A7471"/>
    <w:rsid w:val="004A7642"/>
    <w:rsid w:val="004A7667"/>
    <w:rsid w:val="004A7668"/>
    <w:rsid w:val="004A7851"/>
    <w:rsid w:val="004A7878"/>
    <w:rsid w:val="004A78DA"/>
    <w:rsid w:val="004A79DD"/>
    <w:rsid w:val="004A7A08"/>
    <w:rsid w:val="004A7AAB"/>
    <w:rsid w:val="004A7AD4"/>
    <w:rsid w:val="004A7CBD"/>
    <w:rsid w:val="004A7CED"/>
    <w:rsid w:val="004A7CF9"/>
    <w:rsid w:val="004A7FD7"/>
    <w:rsid w:val="004B006F"/>
    <w:rsid w:val="004B0094"/>
    <w:rsid w:val="004B00A4"/>
    <w:rsid w:val="004B00A7"/>
    <w:rsid w:val="004B00F7"/>
    <w:rsid w:val="004B013C"/>
    <w:rsid w:val="004B0377"/>
    <w:rsid w:val="004B0429"/>
    <w:rsid w:val="004B044E"/>
    <w:rsid w:val="004B04AD"/>
    <w:rsid w:val="004B05B6"/>
    <w:rsid w:val="004B05EF"/>
    <w:rsid w:val="004B08CB"/>
    <w:rsid w:val="004B0A64"/>
    <w:rsid w:val="004B0B62"/>
    <w:rsid w:val="004B0BD4"/>
    <w:rsid w:val="004B0C22"/>
    <w:rsid w:val="004B0C60"/>
    <w:rsid w:val="004B0CBF"/>
    <w:rsid w:val="004B0D0D"/>
    <w:rsid w:val="004B0D2A"/>
    <w:rsid w:val="004B0D50"/>
    <w:rsid w:val="004B0F5B"/>
    <w:rsid w:val="004B1004"/>
    <w:rsid w:val="004B1077"/>
    <w:rsid w:val="004B11A9"/>
    <w:rsid w:val="004B1202"/>
    <w:rsid w:val="004B127E"/>
    <w:rsid w:val="004B135D"/>
    <w:rsid w:val="004B137F"/>
    <w:rsid w:val="004B145D"/>
    <w:rsid w:val="004B14D9"/>
    <w:rsid w:val="004B14F2"/>
    <w:rsid w:val="004B1595"/>
    <w:rsid w:val="004B17BF"/>
    <w:rsid w:val="004B18FE"/>
    <w:rsid w:val="004B190F"/>
    <w:rsid w:val="004B1A14"/>
    <w:rsid w:val="004B1A2B"/>
    <w:rsid w:val="004B1B02"/>
    <w:rsid w:val="004B1B61"/>
    <w:rsid w:val="004B1B89"/>
    <w:rsid w:val="004B1BF1"/>
    <w:rsid w:val="004B1BFE"/>
    <w:rsid w:val="004B1D9D"/>
    <w:rsid w:val="004B1E1D"/>
    <w:rsid w:val="004B1E69"/>
    <w:rsid w:val="004B210E"/>
    <w:rsid w:val="004B22C0"/>
    <w:rsid w:val="004B241D"/>
    <w:rsid w:val="004B2438"/>
    <w:rsid w:val="004B2439"/>
    <w:rsid w:val="004B24A5"/>
    <w:rsid w:val="004B2633"/>
    <w:rsid w:val="004B27BD"/>
    <w:rsid w:val="004B2874"/>
    <w:rsid w:val="004B28BA"/>
    <w:rsid w:val="004B28E5"/>
    <w:rsid w:val="004B2A08"/>
    <w:rsid w:val="004B2A20"/>
    <w:rsid w:val="004B2B18"/>
    <w:rsid w:val="004B2BDA"/>
    <w:rsid w:val="004B2D87"/>
    <w:rsid w:val="004B2DCC"/>
    <w:rsid w:val="004B2E40"/>
    <w:rsid w:val="004B2F46"/>
    <w:rsid w:val="004B2FD2"/>
    <w:rsid w:val="004B3008"/>
    <w:rsid w:val="004B30B4"/>
    <w:rsid w:val="004B31FF"/>
    <w:rsid w:val="004B32F5"/>
    <w:rsid w:val="004B339F"/>
    <w:rsid w:val="004B33A4"/>
    <w:rsid w:val="004B3443"/>
    <w:rsid w:val="004B35DB"/>
    <w:rsid w:val="004B35EB"/>
    <w:rsid w:val="004B360A"/>
    <w:rsid w:val="004B3725"/>
    <w:rsid w:val="004B382A"/>
    <w:rsid w:val="004B38D6"/>
    <w:rsid w:val="004B398B"/>
    <w:rsid w:val="004B3A06"/>
    <w:rsid w:val="004B3A25"/>
    <w:rsid w:val="004B3A4F"/>
    <w:rsid w:val="004B3A73"/>
    <w:rsid w:val="004B3AD2"/>
    <w:rsid w:val="004B3B9A"/>
    <w:rsid w:val="004B3C72"/>
    <w:rsid w:val="004B3C8E"/>
    <w:rsid w:val="004B3D10"/>
    <w:rsid w:val="004B3D6E"/>
    <w:rsid w:val="004B3E12"/>
    <w:rsid w:val="004B3FDA"/>
    <w:rsid w:val="004B3FE6"/>
    <w:rsid w:val="004B4013"/>
    <w:rsid w:val="004B40AA"/>
    <w:rsid w:val="004B40D5"/>
    <w:rsid w:val="004B4102"/>
    <w:rsid w:val="004B415A"/>
    <w:rsid w:val="004B42F6"/>
    <w:rsid w:val="004B438C"/>
    <w:rsid w:val="004B439B"/>
    <w:rsid w:val="004B43EC"/>
    <w:rsid w:val="004B45F4"/>
    <w:rsid w:val="004B46B5"/>
    <w:rsid w:val="004B4781"/>
    <w:rsid w:val="004B480A"/>
    <w:rsid w:val="004B4863"/>
    <w:rsid w:val="004B496C"/>
    <w:rsid w:val="004B4A20"/>
    <w:rsid w:val="004B4A35"/>
    <w:rsid w:val="004B4A6C"/>
    <w:rsid w:val="004B4C4D"/>
    <w:rsid w:val="004B4D12"/>
    <w:rsid w:val="004B4E2D"/>
    <w:rsid w:val="004B4EE4"/>
    <w:rsid w:val="004B5039"/>
    <w:rsid w:val="004B5060"/>
    <w:rsid w:val="004B518A"/>
    <w:rsid w:val="004B51BB"/>
    <w:rsid w:val="004B534C"/>
    <w:rsid w:val="004B538C"/>
    <w:rsid w:val="004B5394"/>
    <w:rsid w:val="004B53D0"/>
    <w:rsid w:val="004B5579"/>
    <w:rsid w:val="004B55B0"/>
    <w:rsid w:val="004B55B1"/>
    <w:rsid w:val="004B5654"/>
    <w:rsid w:val="004B5673"/>
    <w:rsid w:val="004B593D"/>
    <w:rsid w:val="004B5A9A"/>
    <w:rsid w:val="004B5AED"/>
    <w:rsid w:val="004B5B2F"/>
    <w:rsid w:val="004B5B83"/>
    <w:rsid w:val="004B5C8E"/>
    <w:rsid w:val="004B5E8C"/>
    <w:rsid w:val="004B5F58"/>
    <w:rsid w:val="004B6039"/>
    <w:rsid w:val="004B604A"/>
    <w:rsid w:val="004B630B"/>
    <w:rsid w:val="004B633D"/>
    <w:rsid w:val="004B635C"/>
    <w:rsid w:val="004B64BE"/>
    <w:rsid w:val="004B65DC"/>
    <w:rsid w:val="004B66F0"/>
    <w:rsid w:val="004B67D1"/>
    <w:rsid w:val="004B6878"/>
    <w:rsid w:val="004B68D2"/>
    <w:rsid w:val="004B6917"/>
    <w:rsid w:val="004B6BB5"/>
    <w:rsid w:val="004B6C0D"/>
    <w:rsid w:val="004B6D10"/>
    <w:rsid w:val="004B6D68"/>
    <w:rsid w:val="004B6DD4"/>
    <w:rsid w:val="004B6E0C"/>
    <w:rsid w:val="004B717A"/>
    <w:rsid w:val="004B719E"/>
    <w:rsid w:val="004B72DC"/>
    <w:rsid w:val="004B7498"/>
    <w:rsid w:val="004B76E9"/>
    <w:rsid w:val="004B77F3"/>
    <w:rsid w:val="004B7832"/>
    <w:rsid w:val="004B79F5"/>
    <w:rsid w:val="004B7A60"/>
    <w:rsid w:val="004B7A6C"/>
    <w:rsid w:val="004B7A92"/>
    <w:rsid w:val="004B7AAF"/>
    <w:rsid w:val="004B7AF1"/>
    <w:rsid w:val="004B7B85"/>
    <w:rsid w:val="004B7C14"/>
    <w:rsid w:val="004B7DEB"/>
    <w:rsid w:val="004B7E9B"/>
    <w:rsid w:val="004B7ED6"/>
    <w:rsid w:val="004B7F11"/>
    <w:rsid w:val="004B7F39"/>
    <w:rsid w:val="004B7F6F"/>
    <w:rsid w:val="004B7F73"/>
    <w:rsid w:val="004B7FE4"/>
    <w:rsid w:val="004C003A"/>
    <w:rsid w:val="004C0083"/>
    <w:rsid w:val="004C00ED"/>
    <w:rsid w:val="004C00FB"/>
    <w:rsid w:val="004C0195"/>
    <w:rsid w:val="004C01D1"/>
    <w:rsid w:val="004C025A"/>
    <w:rsid w:val="004C032D"/>
    <w:rsid w:val="004C0514"/>
    <w:rsid w:val="004C0527"/>
    <w:rsid w:val="004C062F"/>
    <w:rsid w:val="004C0682"/>
    <w:rsid w:val="004C0725"/>
    <w:rsid w:val="004C07A9"/>
    <w:rsid w:val="004C07B8"/>
    <w:rsid w:val="004C07F5"/>
    <w:rsid w:val="004C07FA"/>
    <w:rsid w:val="004C092B"/>
    <w:rsid w:val="004C09A7"/>
    <w:rsid w:val="004C0AAF"/>
    <w:rsid w:val="004C0B14"/>
    <w:rsid w:val="004C0D4D"/>
    <w:rsid w:val="004C0E8C"/>
    <w:rsid w:val="004C10CF"/>
    <w:rsid w:val="004C1133"/>
    <w:rsid w:val="004C1177"/>
    <w:rsid w:val="004C11B7"/>
    <w:rsid w:val="004C11BE"/>
    <w:rsid w:val="004C1334"/>
    <w:rsid w:val="004C1542"/>
    <w:rsid w:val="004C162F"/>
    <w:rsid w:val="004C171A"/>
    <w:rsid w:val="004C1814"/>
    <w:rsid w:val="004C196F"/>
    <w:rsid w:val="004C1A91"/>
    <w:rsid w:val="004C1CD0"/>
    <w:rsid w:val="004C1D9C"/>
    <w:rsid w:val="004C2067"/>
    <w:rsid w:val="004C2146"/>
    <w:rsid w:val="004C214C"/>
    <w:rsid w:val="004C2247"/>
    <w:rsid w:val="004C227B"/>
    <w:rsid w:val="004C22BE"/>
    <w:rsid w:val="004C24C1"/>
    <w:rsid w:val="004C256E"/>
    <w:rsid w:val="004C257C"/>
    <w:rsid w:val="004C25D7"/>
    <w:rsid w:val="004C2788"/>
    <w:rsid w:val="004C2965"/>
    <w:rsid w:val="004C2998"/>
    <w:rsid w:val="004C2E15"/>
    <w:rsid w:val="004C3090"/>
    <w:rsid w:val="004C32CE"/>
    <w:rsid w:val="004C37A0"/>
    <w:rsid w:val="004C37AD"/>
    <w:rsid w:val="004C37E3"/>
    <w:rsid w:val="004C38CE"/>
    <w:rsid w:val="004C39C2"/>
    <w:rsid w:val="004C3A72"/>
    <w:rsid w:val="004C3AC3"/>
    <w:rsid w:val="004C3B90"/>
    <w:rsid w:val="004C3C7F"/>
    <w:rsid w:val="004C3CEF"/>
    <w:rsid w:val="004C3CF6"/>
    <w:rsid w:val="004C3D37"/>
    <w:rsid w:val="004C3D9A"/>
    <w:rsid w:val="004C3EA5"/>
    <w:rsid w:val="004C40D9"/>
    <w:rsid w:val="004C41A9"/>
    <w:rsid w:val="004C41AE"/>
    <w:rsid w:val="004C428D"/>
    <w:rsid w:val="004C435C"/>
    <w:rsid w:val="004C43CC"/>
    <w:rsid w:val="004C469C"/>
    <w:rsid w:val="004C4775"/>
    <w:rsid w:val="004C4A5D"/>
    <w:rsid w:val="004C4A9B"/>
    <w:rsid w:val="004C4A9F"/>
    <w:rsid w:val="004C4AE8"/>
    <w:rsid w:val="004C4CCF"/>
    <w:rsid w:val="004C4D85"/>
    <w:rsid w:val="004C4DEB"/>
    <w:rsid w:val="004C4E78"/>
    <w:rsid w:val="004C4E7C"/>
    <w:rsid w:val="004C50B5"/>
    <w:rsid w:val="004C50D9"/>
    <w:rsid w:val="004C50F5"/>
    <w:rsid w:val="004C5130"/>
    <w:rsid w:val="004C527B"/>
    <w:rsid w:val="004C5306"/>
    <w:rsid w:val="004C531F"/>
    <w:rsid w:val="004C5326"/>
    <w:rsid w:val="004C5448"/>
    <w:rsid w:val="004C54AE"/>
    <w:rsid w:val="004C54FF"/>
    <w:rsid w:val="004C556D"/>
    <w:rsid w:val="004C55B8"/>
    <w:rsid w:val="004C5661"/>
    <w:rsid w:val="004C5A32"/>
    <w:rsid w:val="004C5B30"/>
    <w:rsid w:val="004C5C7D"/>
    <w:rsid w:val="004C5FF2"/>
    <w:rsid w:val="004C613E"/>
    <w:rsid w:val="004C6180"/>
    <w:rsid w:val="004C62DD"/>
    <w:rsid w:val="004C63DE"/>
    <w:rsid w:val="004C6598"/>
    <w:rsid w:val="004C66E5"/>
    <w:rsid w:val="004C6813"/>
    <w:rsid w:val="004C6880"/>
    <w:rsid w:val="004C6994"/>
    <w:rsid w:val="004C699C"/>
    <w:rsid w:val="004C6A83"/>
    <w:rsid w:val="004C6AAF"/>
    <w:rsid w:val="004C6C73"/>
    <w:rsid w:val="004C6CD0"/>
    <w:rsid w:val="004C6CDC"/>
    <w:rsid w:val="004C6D54"/>
    <w:rsid w:val="004C6ED8"/>
    <w:rsid w:val="004C6F65"/>
    <w:rsid w:val="004C6F95"/>
    <w:rsid w:val="004C6FDE"/>
    <w:rsid w:val="004C701F"/>
    <w:rsid w:val="004C713A"/>
    <w:rsid w:val="004C731D"/>
    <w:rsid w:val="004C7473"/>
    <w:rsid w:val="004C7494"/>
    <w:rsid w:val="004C7531"/>
    <w:rsid w:val="004C75FF"/>
    <w:rsid w:val="004C77EB"/>
    <w:rsid w:val="004C7895"/>
    <w:rsid w:val="004C7950"/>
    <w:rsid w:val="004C797B"/>
    <w:rsid w:val="004C7A72"/>
    <w:rsid w:val="004C7B09"/>
    <w:rsid w:val="004C7B57"/>
    <w:rsid w:val="004C7C26"/>
    <w:rsid w:val="004C7C51"/>
    <w:rsid w:val="004C7C71"/>
    <w:rsid w:val="004C7CEA"/>
    <w:rsid w:val="004C7F89"/>
    <w:rsid w:val="004C7FE6"/>
    <w:rsid w:val="004D0147"/>
    <w:rsid w:val="004D0216"/>
    <w:rsid w:val="004D025B"/>
    <w:rsid w:val="004D028A"/>
    <w:rsid w:val="004D02BF"/>
    <w:rsid w:val="004D02CD"/>
    <w:rsid w:val="004D032D"/>
    <w:rsid w:val="004D0397"/>
    <w:rsid w:val="004D0546"/>
    <w:rsid w:val="004D0B28"/>
    <w:rsid w:val="004D0CAD"/>
    <w:rsid w:val="004D0E92"/>
    <w:rsid w:val="004D0F68"/>
    <w:rsid w:val="004D1104"/>
    <w:rsid w:val="004D12ED"/>
    <w:rsid w:val="004D14EB"/>
    <w:rsid w:val="004D15C5"/>
    <w:rsid w:val="004D1722"/>
    <w:rsid w:val="004D172B"/>
    <w:rsid w:val="004D175F"/>
    <w:rsid w:val="004D1790"/>
    <w:rsid w:val="004D1844"/>
    <w:rsid w:val="004D18AF"/>
    <w:rsid w:val="004D1922"/>
    <w:rsid w:val="004D1932"/>
    <w:rsid w:val="004D1966"/>
    <w:rsid w:val="004D19C2"/>
    <w:rsid w:val="004D1C8D"/>
    <w:rsid w:val="004D1D5E"/>
    <w:rsid w:val="004D1EA6"/>
    <w:rsid w:val="004D2039"/>
    <w:rsid w:val="004D213B"/>
    <w:rsid w:val="004D2217"/>
    <w:rsid w:val="004D2288"/>
    <w:rsid w:val="004D22E2"/>
    <w:rsid w:val="004D23F5"/>
    <w:rsid w:val="004D24FF"/>
    <w:rsid w:val="004D2538"/>
    <w:rsid w:val="004D257E"/>
    <w:rsid w:val="004D25B0"/>
    <w:rsid w:val="004D2609"/>
    <w:rsid w:val="004D26E8"/>
    <w:rsid w:val="004D2768"/>
    <w:rsid w:val="004D2825"/>
    <w:rsid w:val="004D2933"/>
    <w:rsid w:val="004D2A58"/>
    <w:rsid w:val="004D2B1F"/>
    <w:rsid w:val="004D2B5A"/>
    <w:rsid w:val="004D2BF8"/>
    <w:rsid w:val="004D2D0F"/>
    <w:rsid w:val="004D2D8A"/>
    <w:rsid w:val="004D2F34"/>
    <w:rsid w:val="004D310B"/>
    <w:rsid w:val="004D3288"/>
    <w:rsid w:val="004D32A9"/>
    <w:rsid w:val="004D3520"/>
    <w:rsid w:val="004D356F"/>
    <w:rsid w:val="004D35B5"/>
    <w:rsid w:val="004D36D4"/>
    <w:rsid w:val="004D3745"/>
    <w:rsid w:val="004D3901"/>
    <w:rsid w:val="004D3AB5"/>
    <w:rsid w:val="004D3BD4"/>
    <w:rsid w:val="004D3C81"/>
    <w:rsid w:val="004D41CC"/>
    <w:rsid w:val="004D423C"/>
    <w:rsid w:val="004D433C"/>
    <w:rsid w:val="004D4378"/>
    <w:rsid w:val="004D43A3"/>
    <w:rsid w:val="004D4500"/>
    <w:rsid w:val="004D470D"/>
    <w:rsid w:val="004D4743"/>
    <w:rsid w:val="004D47FC"/>
    <w:rsid w:val="004D48C3"/>
    <w:rsid w:val="004D496D"/>
    <w:rsid w:val="004D4999"/>
    <w:rsid w:val="004D4D58"/>
    <w:rsid w:val="004D4DF2"/>
    <w:rsid w:val="004D4E72"/>
    <w:rsid w:val="004D4EC6"/>
    <w:rsid w:val="004D4F9C"/>
    <w:rsid w:val="004D506C"/>
    <w:rsid w:val="004D51C5"/>
    <w:rsid w:val="004D555B"/>
    <w:rsid w:val="004D5654"/>
    <w:rsid w:val="004D5789"/>
    <w:rsid w:val="004D5855"/>
    <w:rsid w:val="004D5B41"/>
    <w:rsid w:val="004D5BC9"/>
    <w:rsid w:val="004D5C38"/>
    <w:rsid w:val="004D5DF3"/>
    <w:rsid w:val="004D5F89"/>
    <w:rsid w:val="004D5FBD"/>
    <w:rsid w:val="004D5FEA"/>
    <w:rsid w:val="004D617B"/>
    <w:rsid w:val="004D620B"/>
    <w:rsid w:val="004D6250"/>
    <w:rsid w:val="004D6272"/>
    <w:rsid w:val="004D628D"/>
    <w:rsid w:val="004D6374"/>
    <w:rsid w:val="004D6381"/>
    <w:rsid w:val="004D6475"/>
    <w:rsid w:val="004D659D"/>
    <w:rsid w:val="004D661B"/>
    <w:rsid w:val="004D6656"/>
    <w:rsid w:val="004D66B3"/>
    <w:rsid w:val="004D66E8"/>
    <w:rsid w:val="004D6887"/>
    <w:rsid w:val="004D68C8"/>
    <w:rsid w:val="004D6993"/>
    <w:rsid w:val="004D6A3C"/>
    <w:rsid w:val="004D6AA7"/>
    <w:rsid w:val="004D6C07"/>
    <w:rsid w:val="004D6D0C"/>
    <w:rsid w:val="004D6DF6"/>
    <w:rsid w:val="004D7010"/>
    <w:rsid w:val="004D70B3"/>
    <w:rsid w:val="004D7170"/>
    <w:rsid w:val="004D7174"/>
    <w:rsid w:val="004D7176"/>
    <w:rsid w:val="004D7259"/>
    <w:rsid w:val="004D72C1"/>
    <w:rsid w:val="004D72DC"/>
    <w:rsid w:val="004D7429"/>
    <w:rsid w:val="004D7438"/>
    <w:rsid w:val="004D75D1"/>
    <w:rsid w:val="004D765E"/>
    <w:rsid w:val="004D79E9"/>
    <w:rsid w:val="004D7A97"/>
    <w:rsid w:val="004D7ADE"/>
    <w:rsid w:val="004D7AE6"/>
    <w:rsid w:val="004D7CC8"/>
    <w:rsid w:val="004D7E97"/>
    <w:rsid w:val="004D7FC4"/>
    <w:rsid w:val="004E02A2"/>
    <w:rsid w:val="004E02D8"/>
    <w:rsid w:val="004E0460"/>
    <w:rsid w:val="004E06B3"/>
    <w:rsid w:val="004E073E"/>
    <w:rsid w:val="004E07DC"/>
    <w:rsid w:val="004E0AD3"/>
    <w:rsid w:val="004E0C9F"/>
    <w:rsid w:val="004E0E1A"/>
    <w:rsid w:val="004E0E25"/>
    <w:rsid w:val="004E0EC6"/>
    <w:rsid w:val="004E0FF7"/>
    <w:rsid w:val="004E132E"/>
    <w:rsid w:val="004E13BE"/>
    <w:rsid w:val="004E1471"/>
    <w:rsid w:val="004E15B0"/>
    <w:rsid w:val="004E17E0"/>
    <w:rsid w:val="004E17EC"/>
    <w:rsid w:val="004E1A11"/>
    <w:rsid w:val="004E1B1A"/>
    <w:rsid w:val="004E1C0E"/>
    <w:rsid w:val="004E1D75"/>
    <w:rsid w:val="004E1E95"/>
    <w:rsid w:val="004E2073"/>
    <w:rsid w:val="004E2110"/>
    <w:rsid w:val="004E2201"/>
    <w:rsid w:val="004E2254"/>
    <w:rsid w:val="004E22C2"/>
    <w:rsid w:val="004E2327"/>
    <w:rsid w:val="004E2354"/>
    <w:rsid w:val="004E2422"/>
    <w:rsid w:val="004E259C"/>
    <w:rsid w:val="004E2746"/>
    <w:rsid w:val="004E275E"/>
    <w:rsid w:val="004E2806"/>
    <w:rsid w:val="004E2817"/>
    <w:rsid w:val="004E2AB9"/>
    <w:rsid w:val="004E2ADE"/>
    <w:rsid w:val="004E2B14"/>
    <w:rsid w:val="004E2B48"/>
    <w:rsid w:val="004E2BE2"/>
    <w:rsid w:val="004E2CA7"/>
    <w:rsid w:val="004E2D89"/>
    <w:rsid w:val="004E2E8D"/>
    <w:rsid w:val="004E304E"/>
    <w:rsid w:val="004E306F"/>
    <w:rsid w:val="004E324B"/>
    <w:rsid w:val="004E3332"/>
    <w:rsid w:val="004E33A3"/>
    <w:rsid w:val="004E3402"/>
    <w:rsid w:val="004E358C"/>
    <w:rsid w:val="004E3792"/>
    <w:rsid w:val="004E3916"/>
    <w:rsid w:val="004E3A30"/>
    <w:rsid w:val="004E3C29"/>
    <w:rsid w:val="004E3CDA"/>
    <w:rsid w:val="004E3D31"/>
    <w:rsid w:val="004E3D6F"/>
    <w:rsid w:val="004E3D80"/>
    <w:rsid w:val="004E3EFD"/>
    <w:rsid w:val="004E4060"/>
    <w:rsid w:val="004E40BD"/>
    <w:rsid w:val="004E40C4"/>
    <w:rsid w:val="004E411D"/>
    <w:rsid w:val="004E4274"/>
    <w:rsid w:val="004E438D"/>
    <w:rsid w:val="004E4469"/>
    <w:rsid w:val="004E4681"/>
    <w:rsid w:val="004E4810"/>
    <w:rsid w:val="004E4898"/>
    <w:rsid w:val="004E49ED"/>
    <w:rsid w:val="004E4A18"/>
    <w:rsid w:val="004E4A97"/>
    <w:rsid w:val="004E4AB3"/>
    <w:rsid w:val="004E4AE8"/>
    <w:rsid w:val="004E4C1A"/>
    <w:rsid w:val="004E4C9F"/>
    <w:rsid w:val="004E4CEF"/>
    <w:rsid w:val="004E4F03"/>
    <w:rsid w:val="004E4F07"/>
    <w:rsid w:val="004E4F27"/>
    <w:rsid w:val="004E502E"/>
    <w:rsid w:val="004E505B"/>
    <w:rsid w:val="004E508F"/>
    <w:rsid w:val="004E51DA"/>
    <w:rsid w:val="004E5258"/>
    <w:rsid w:val="004E527F"/>
    <w:rsid w:val="004E5282"/>
    <w:rsid w:val="004E543A"/>
    <w:rsid w:val="004E54B9"/>
    <w:rsid w:val="004E556C"/>
    <w:rsid w:val="004E5592"/>
    <w:rsid w:val="004E578C"/>
    <w:rsid w:val="004E57D2"/>
    <w:rsid w:val="004E5845"/>
    <w:rsid w:val="004E5A7D"/>
    <w:rsid w:val="004E5AA3"/>
    <w:rsid w:val="004E5B08"/>
    <w:rsid w:val="004E5B71"/>
    <w:rsid w:val="004E5CBA"/>
    <w:rsid w:val="004E5EB8"/>
    <w:rsid w:val="004E5EDC"/>
    <w:rsid w:val="004E5FED"/>
    <w:rsid w:val="004E6026"/>
    <w:rsid w:val="004E622F"/>
    <w:rsid w:val="004E624E"/>
    <w:rsid w:val="004E627B"/>
    <w:rsid w:val="004E629C"/>
    <w:rsid w:val="004E63FE"/>
    <w:rsid w:val="004E6408"/>
    <w:rsid w:val="004E643C"/>
    <w:rsid w:val="004E64CA"/>
    <w:rsid w:val="004E651A"/>
    <w:rsid w:val="004E651F"/>
    <w:rsid w:val="004E6671"/>
    <w:rsid w:val="004E66BE"/>
    <w:rsid w:val="004E686C"/>
    <w:rsid w:val="004E6AB2"/>
    <w:rsid w:val="004E6B39"/>
    <w:rsid w:val="004E6B5B"/>
    <w:rsid w:val="004E6C16"/>
    <w:rsid w:val="004E6C74"/>
    <w:rsid w:val="004E6C8B"/>
    <w:rsid w:val="004E6CD5"/>
    <w:rsid w:val="004E6D8E"/>
    <w:rsid w:val="004E6DBB"/>
    <w:rsid w:val="004E6DE7"/>
    <w:rsid w:val="004E6E15"/>
    <w:rsid w:val="004E7043"/>
    <w:rsid w:val="004E71AB"/>
    <w:rsid w:val="004E728C"/>
    <w:rsid w:val="004E72CB"/>
    <w:rsid w:val="004E7533"/>
    <w:rsid w:val="004E764B"/>
    <w:rsid w:val="004E7885"/>
    <w:rsid w:val="004E792D"/>
    <w:rsid w:val="004E7A16"/>
    <w:rsid w:val="004E7A79"/>
    <w:rsid w:val="004E7CAF"/>
    <w:rsid w:val="004E7D6C"/>
    <w:rsid w:val="004E7E8E"/>
    <w:rsid w:val="004E7EAF"/>
    <w:rsid w:val="004E7FDC"/>
    <w:rsid w:val="004F0142"/>
    <w:rsid w:val="004F0163"/>
    <w:rsid w:val="004F022C"/>
    <w:rsid w:val="004F0245"/>
    <w:rsid w:val="004F0333"/>
    <w:rsid w:val="004F0396"/>
    <w:rsid w:val="004F046F"/>
    <w:rsid w:val="004F0509"/>
    <w:rsid w:val="004F0557"/>
    <w:rsid w:val="004F063D"/>
    <w:rsid w:val="004F0694"/>
    <w:rsid w:val="004F0861"/>
    <w:rsid w:val="004F093D"/>
    <w:rsid w:val="004F0962"/>
    <w:rsid w:val="004F0A7B"/>
    <w:rsid w:val="004F0B13"/>
    <w:rsid w:val="004F0B9A"/>
    <w:rsid w:val="004F0B9E"/>
    <w:rsid w:val="004F0DF9"/>
    <w:rsid w:val="004F0E38"/>
    <w:rsid w:val="004F1054"/>
    <w:rsid w:val="004F12D4"/>
    <w:rsid w:val="004F12FB"/>
    <w:rsid w:val="004F1342"/>
    <w:rsid w:val="004F1403"/>
    <w:rsid w:val="004F150F"/>
    <w:rsid w:val="004F15F9"/>
    <w:rsid w:val="004F16A5"/>
    <w:rsid w:val="004F16B3"/>
    <w:rsid w:val="004F1707"/>
    <w:rsid w:val="004F1713"/>
    <w:rsid w:val="004F1853"/>
    <w:rsid w:val="004F1A39"/>
    <w:rsid w:val="004F1B4F"/>
    <w:rsid w:val="004F1C24"/>
    <w:rsid w:val="004F1DC4"/>
    <w:rsid w:val="004F20B3"/>
    <w:rsid w:val="004F20BC"/>
    <w:rsid w:val="004F2191"/>
    <w:rsid w:val="004F22FC"/>
    <w:rsid w:val="004F2340"/>
    <w:rsid w:val="004F2369"/>
    <w:rsid w:val="004F2520"/>
    <w:rsid w:val="004F2777"/>
    <w:rsid w:val="004F2882"/>
    <w:rsid w:val="004F2907"/>
    <w:rsid w:val="004F2A52"/>
    <w:rsid w:val="004F2C92"/>
    <w:rsid w:val="004F301D"/>
    <w:rsid w:val="004F329A"/>
    <w:rsid w:val="004F3363"/>
    <w:rsid w:val="004F3471"/>
    <w:rsid w:val="004F3600"/>
    <w:rsid w:val="004F36D5"/>
    <w:rsid w:val="004F3842"/>
    <w:rsid w:val="004F3C19"/>
    <w:rsid w:val="004F3C3B"/>
    <w:rsid w:val="004F3D4B"/>
    <w:rsid w:val="004F3D86"/>
    <w:rsid w:val="004F3F48"/>
    <w:rsid w:val="004F3F6E"/>
    <w:rsid w:val="004F4015"/>
    <w:rsid w:val="004F4088"/>
    <w:rsid w:val="004F40C9"/>
    <w:rsid w:val="004F411A"/>
    <w:rsid w:val="004F415B"/>
    <w:rsid w:val="004F41AE"/>
    <w:rsid w:val="004F4335"/>
    <w:rsid w:val="004F4419"/>
    <w:rsid w:val="004F4581"/>
    <w:rsid w:val="004F46E7"/>
    <w:rsid w:val="004F47AA"/>
    <w:rsid w:val="004F48D3"/>
    <w:rsid w:val="004F4A8A"/>
    <w:rsid w:val="004F4B1F"/>
    <w:rsid w:val="004F4D99"/>
    <w:rsid w:val="004F4FA1"/>
    <w:rsid w:val="004F50E9"/>
    <w:rsid w:val="004F51A3"/>
    <w:rsid w:val="004F51AC"/>
    <w:rsid w:val="004F522E"/>
    <w:rsid w:val="004F5299"/>
    <w:rsid w:val="004F536F"/>
    <w:rsid w:val="004F53AB"/>
    <w:rsid w:val="004F54BD"/>
    <w:rsid w:val="004F55C6"/>
    <w:rsid w:val="004F57DB"/>
    <w:rsid w:val="004F5932"/>
    <w:rsid w:val="004F5A21"/>
    <w:rsid w:val="004F5A22"/>
    <w:rsid w:val="004F5C20"/>
    <w:rsid w:val="004F5C4C"/>
    <w:rsid w:val="004F5CB2"/>
    <w:rsid w:val="004F5D34"/>
    <w:rsid w:val="004F5DC6"/>
    <w:rsid w:val="004F5E0E"/>
    <w:rsid w:val="004F5FA4"/>
    <w:rsid w:val="004F5FA5"/>
    <w:rsid w:val="004F6029"/>
    <w:rsid w:val="004F609E"/>
    <w:rsid w:val="004F60A6"/>
    <w:rsid w:val="004F60B0"/>
    <w:rsid w:val="004F6106"/>
    <w:rsid w:val="004F6396"/>
    <w:rsid w:val="004F64F6"/>
    <w:rsid w:val="004F6585"/>
    <w:rsid w:val="004F65E0"/>
    <w:rsid w:val="004F65E4"/>
    <w:rsid w:val="004F67BE"/>
    <w:rsid w:val="004F6862"/>
    <w:rsid w:val="004F689C"/>
    <w:rsid w:val="004F6960"/>
    <w:rsid w:val="004F6A49"/>
    <w:rsid w:val="004F6AFB"/>
    <w:rsid w:val="004F6B1C"/>
    <w:rsid w:val="004F6C32"/>
    <w:rsid w:val="004F6C3A"/>
    <w:rsid w:val="004F6CE1"/>
    <w:rsid w:val="004F6D0E"/>
    <w:rsid w:val="004F7101"/>
    <w:rsid w:val="004F7374"/>
    <w:rsid w:val="004F739A"/>
    <w:rsid w:val="004F75AE"/>
    <w:rsid w:val="004F75B6"/>
    <w:rsid w:val="004F75D5"/>
    <w:rsid w:val="004F772E"/>
    <w:rsid w:val="004F78D4"/>
    <w:rsid w:val="004F7AD3"/>
    <w:rsid w:val="004F7B3B"/>
    <w:rsid w:val="004F7E12"/>
    <w:rsid w:val="004F7ED0"/>
    <w:rsid w:val="005001B1"/>
    <w:rsid w:val="0050036D"/>
    <w:rsid w:val="00500434"/>
    <w:rsid w:val="005005B1"/>
    <w:rsid w:val="005006B0"/>
    <w:rsid w:val="00500816"/>
    <w:rsid w:val="00500841"/>
    <w:rsid w:val="00500901"/>
    <w:rsid w:val="00500994"/>
    <w:rsid w:val="00500A0D"/>
    <w:rsid w:val="00500A4A"/>
    <w:rsid w:val="00500A91"/>
    <w:rsid w:val="00500C94"/>
    <w:rsid w:val="00500D1D"/>
    <w:rsid w:val="005010B2"/>
    <w:rsid w:val="00501306"/>
    <w:rsid w:val="00501350"/>
    <w:rsid w:val="005013E7"/>
    <w:rsid w:val="005014F6"/>
    <w:rsid w:val="005015E5"/>
    <w:rsid w:val="0050167E"/>
    <w:rsid w:val="005018AF"/>
    <w:rsid w:val="00501B3C"/>
    <w:rsid w:val="00501B4D"/>
    <w:rsid w:val="00501BF6"/>
    <w:rsid w:val="00501D41"/>
    <w:rsid w:val="00501E24"/>
    <w:rsid w:val="00501F8A"/>
    <w:rsid w:val="00502094"/>
    <w:rsid w:val="00502184"/>
    <w:rsid w:val="005022AB"/>
    <w:rsid w:val="00502319"/>
    <w:rsid w:val="005023BF"/>
    <w:rsid w:val="005023E5"/>
    <w:rsid w:val="00502461"/>
    <w:rsid w:val="00502484"/>
    <w:rsid w:val="00502549"/>
    <w:rsid w:val="0050259B"/>
    <w:rsid w:val="005025AB"/>
    <w:rsid w:val="005026F0"/>
    <w:rsid w:val="00502A8B"/>
    <w:rsid w:val="00502C4C"/>
    <w:rsid w:val="00502C69"/>
    <w:rsid w:val="00502E3D"/>
    <w:rsid w:val="00502ED2"/>
    <w:rsid w:val="00502F67"/>
    <w:rsid w:val="0050307A"/>
    <w:rsid w:val="0050315A"/>
    <w:rsid w:val="005031EF"/>
    <w:rsid w:val="0050322D"/>
    <w:rsid w:val="005032DA"/>
    <w:rsid w:val="00503488"/>
    <w:rsid w:val="00503553"/>
    <w:rsid w:val="005035DE"/>
    <w:rsid w:val="00503705"/>
    <w:rsid w:val="0050371B"/>
    <w:rsid w:val="00503740"/>
    <w:rsid w:val="00503839"/>
    <w:rsid w:val="00503AC2"/>
    <w:rsid w:val="00503B01"/>
    <w:rsid w:val="00503C01"/>
    <w:rsid w:val="00503C63"/>
    <w:rsid w:val="00503DCF"/>
    <w:rsid w:val="00503E3C"/>
    <w:rsid w:val="00503F76"/>
    <w:rsid w:val="00504154"/>
    <w:rsid w:val="00504366"/>
    <w:rsid w:val="0050439F"/>
    <w:rsid w:val="00504470"/>
    <w:rsid w:val="00504645"/>
    <w:rsid w:val="005046F3"/>
    <w:rsid w:val="005048E9"/>
    <w:rsid w:val="005049E9"/>
    <w:rsid w:val="00504A12"/>
    <w:rsid w:val="00504A24"/>
    <w:rsid w:val="00504B67"/>
    <w:rsid w:val="00504B81"/>
    <w:rsid w:val="00504C03"/>
    <w:rsid w:val="00504F44"/>
    <w:rsid w:val="00504FE4"/>
    <w:rsid w:val="00505108"/>
    <w:rsid w:val="005054B2"/>
    <w:rsid w:val="0050596D"/>
    <w:rsid w:val="00505983"/>
    <w:rsid w:val="00505A72"/>
    <w:rsid w:val="00505CEF"/>
    <w:rsid w:val="00505D55"/>
    <w:rsid w:val="00505DB0"/>
    <w:rsid w:val="0050656A"/>
    <w:rsid w:val="005065F7"/>
    <w:rsid w:val="00506645"/>
    <w:rsid w:val="005066AC"/>
    <w:rsid w:val="005066E6"/>
    <w:rsid w:val="00506902"/>
    <w:rsid w:val="00506A58"/>
    <w:rsid w:val="00506C8F"/>
    <w:rsid w:val="00506CF8"/>
    <w:rsid w:val="00506DF8"/>
    <w:rsid w:val="00506E70"/>
    <w:rsid w:val="00506EE1"/>
    <w:rsid w:val="00506F10"/>
    <w:rsid w:val="00506F32"/>
    <w:rsid w:val="00507012"/>
    <w:rsid w:val="00507045"/>
    <w:rsid w:val="00507191"/>
    <w:rsid w:val="00507265"/>
    <w:rsid w:val="005072C0"/>
    <w:rsid w:val="0050745C"/>
    <w:rsid w:val="00507486"/>
    <w:rsid w:val="00507501"/>
    <w:rsid w:val="00507518"/>
    <w:rsid w:val="005076A9"/>
    <w:rsid w:val="00507730"/>
    <w:rsid w:val="00507735"/>
    <w:rsid w:val="005077D4"/>
    <w:rsid w:val="005077DE"/>
    <w:rsid w:val="00507A33"/>
    <w:rsid w:val="00507A41"/>
    <w:rsid w:val="00507C04"/>
    <w:rsid w:val="00507C3E"/>
    <w:rsid w:val="00507E84"/>
    <w:rsid w:val="00507ECF"/>
    <w:rsid w:val="00507FFB"/>
    <w:rsid w:val="005100FC"/>
    <w:rsid w:val="00510137"/>
    <w:rsid w:val="00510203"/>
    <w:rsid w:val="00510320"/>
    <w:rsid w:val="005103F8"/>
    <w:rsid w:val="005105D7"/>
    <w:rsid w:val="00510691"/>
    <w:rsid w:val="005106D9"/>
    <w:rsid w:val="00510788"/>
    <w:rsid w:val="005107E9"/>
    <w:rsid w:val="005108E1"/>
    <w:rsid w:val="005109B9"/>
    <w:rsid w:val="00510A5A"/>
    <w:rsid w:val="00510A7C"/>
    <w:rsid w:val="00510B5C"/>
    <w:rsid w:val="00510CCF"/>
    <w:rsid w:val="00510CF0"/>
    <w:rsid w:val="00510E0A"/>
    <w:rsid w:val="00510E81"/>
    <w:rsid w:val="005110EE"/>
    <w:rsid w:val="00511195"/>
    <w:rsid w:val="0051128A"/>
    <w:rsid w:val="005112BC"/>
    <w:rsid w:val="005116EA"/>
    <w:rsid w:val="00511797"/>
    <w:rsid w:val="00511829"/>
    <w:rsid w:val="00511B04"/>
    <w:rsid w:val="00511C4F"/>
    <w:rsid w:val="00511CC2"/>
    <w:rsid w:val="00511E5B"/>
    <w:rsid w:val="00511E93"/>
    <w:rsid w:val="00511EFF"/>
    <w:rsid w:val="00511FDA"/>
    <w:rsid w:val="005120A0"/>
    <w:rsid w:val="005121B2"/>
    <w:rsid w:val="0051220A"/>
    <w:rsid w:val="00512220"/>
    <w:rsid w:val="0051229D"/>
    <w:rsid w:val="00512301"/>
    <w:rsid w:val="0051238E"/>
    <w:rsid w:val="00512431"/>
    <w:rsid w:val="0051243D"/>
    <w:rsid w:val="005124BA"/>
    <w:rsid w:val="0051252E"/>
    <w:rsid w:val="0051260F"/>
    <w:rsid w:val="005126EB"/>
    <w:rsid w:val="00512714"/>
    <w:rsid w:val="0051276D"/>
    <w:rsid w:val="005127BA"/>
    <w:rsid w:val="005128AB"/>
    <w:rsid w:val="00512AC7"/>
    <w:rsid w:val="00512AF7"/>
    <w:rsid w:val="00512BE9"/>
    <w:rsid w:val="00512CAB"/>
    <w:rsid w:val="00512D0B"/>
    <w:rsid w:val="00512DA2"/>
    <w:rsid w:val="00512DDA"/>
    <w:rsid w:val="00512E73"/>
    <w:rsid w:val="00512E92"/>
    <w:rsid w:val="00513156"/>
    <w:rsid w:val="00513392"/>
    <w:rsid w:val="0051357B"/>
    <w:rsid w:val="005136D2"/>
    <w:rsid w:val="0051380B"/>
    <w:rsid w:val="00513842"/>
    <w:rsid w:val="005138C6"/>
    <w:rsid w:val="00513953"/>
    <w:rsid w:val="005139FD"/>
    <w:rsid w:val="00513A30"/>
    <w:rsid w:val="00513B68"/>
    <w:rsid w:val="00513B76"/>
    <w:rsid w:val="00513D06"/>
    <w:rsid w:val="00513D4D"/>
    <w:rsid w:val="00513D5A"/>
    <w:rsid w:val="00513E21"/>
    <w:rsid w:val="00513E81"/>
    <w:rsid w:val="00513FAE"/>
    <w:rsid w:val="00513FBB"/>
    <w:rsid w:val="00514207"/>
    <w:rsid w:val="0051424C"/>
    <w:rsid w:val="005142D4"/>
    <w:rsid w:val="00514377"/>
    <w:rsid w:val="00514389"/>
    <w:rsid w:val="005143A9"/>
    <w:rsid w:val="00514483"/>
    <w:rsid w:val="005144A4"/>
    <w:rsid w:val="00514632"/>
    <w:rsid w:val="00514646"/>
    <w:rsid w:val="0051470D"/>
    <w:rsid w:val="00514786"/>
    <w:rsid w:val="00514796"/>
    <w:rsid w:val="005147A0"/>
    <w:rsid w:val="0051482A"/>
    <w:rsid w:val="005148F0"/>
    <w:rsid w:val="00514A10"/>
    <w:rsid w:val="00514A67"/>
    <w:rsid w:val="00514C84"/>
    <w:rsid w:val="00514C9D"/>
    <w:rsid w:val="00514CA6"/>
    <w:rsid w:val="00514D42"/>
    <w:rsid w:val="00514DC1"/>
    <w:rsid w:val="00514E96"/>
    <w:rsid w:val="00514FED"/>
    <w:rsid w:val="0051501F"/>
    <w:rsid w:val="00515075"/>
    <w:rsid w:val="005151CE"/>
    <w:rsid w:val="005152B2"/>
    <w:rsid w:val="005152B6"/>
    <w:rsid w:val="00515323"/>
    <w:rsid w:val="00515413"/>
    <w:rsid w:val="005155D5"/>
    <w:rsid w:val="00515639"/>
    <w:rsid w:val="00515772"/>
    <w:rsid w:val="0051577D"/>
    <w:rsid w:val="005157A9"/>
    <w:rsid w:val="00515A4B"/>
    <w:rsid w:val="00515A99"/>
    <w:rsid w:val="0051600F"/>
    <w:rsid w:val="005160F7"/>
    <w:rsid w:val="00516259"/>
    <w:rsid w:val="005163BE"/>
    <w:rsid w:val="005164DF"/>
    <w:rsid w:val="00516599"/>
    <w:rsid w:val="005165B5"/>
    <w:rsid w:val="00516779"/>
    <w:rsid w:val="005167BF"/>
    <w:rsid w:val="005168D0"/>
    <w:rsid w:val="005169CB"/>
    <w:rsid w:val="00516AF5"/>
    <w:rsid w:val="00516B44"/>
    <w:rsid w:val="00516B97"/>
    <w:rsid w:val="00516DC1"/>
    <w:rsid w:val="00516F9A"/>
    <w:rsid w:val="00516FBA"/>
    <w:rsid w:val="00516FD7"/>
    <w:rsid w:val="005171A7"/>
    <w:rsid w:val="00517202"/>
    <w:rsid w:val="00517324"/>
    <w:rsid w:val="005173AE"/>
    <w:rsid w:val="005174D5"/>
    <w:rsid w:val="00517833"/>
    <w:rsid w:val="00517860"/>
    <w:rsid w:val="005178DE"/>
    <w:rsid w:val="00517914"/>
    <w:rsid w:val="0051798B"/>
    <w:rsid w:val="00517A0B"/>
    <w:rsid w:val="00517AC4"/>
    <w:rsid w:val="00517BD8"/>
    <w:rsid w:val="00517C29"/>
    <w:rsid w:val="00517CC7"/>
    <w:rsid w:val="00517D3B"/>
    <w:rsid w:val="00517D69"/>
    <w:rsid w:val="00520045"/>
    <w:rsid w:val="00520094"/>
    <w:rsid w:val="00520301"/>
    <w:rsid w:val="00520488"/>
    <w:rsid w:val="00520539"/>
    <w:rsid w:val="00520551"/>
    <w:rsid w:val="005205A3"/>
    <w:rsid w:val="00520667"/>
    <w:rsid w:val="005206B1"/>
    <w:rsid w:val="00520806"/>
    <w:rsid w:val="00520809"/>
    <w:rsid w:val="00520AC0"/>
    <w:rsid w:val="00520B1B"/>
    <w:rsid w:val="00520B37"/>
    <w:rsid w:val="00520B91"/>
    <w:rsid w:val="00520C23"/>
    <w:rsid w:val="00520C7C"/>
    <w:rsid w:val="00520CD8"/>
    <w:rsid w:val="00520D55"/>
    <w:rsid w:val="00521050"/>
    <w:rsid w:val="00521224"/>
    <w:rsid w:val="00521351"/>
    <w:rsid w:val="00521937"/>
    <w:rsid w:val="0052198D"/>
    <w:rsid w:val="00521AED"/>
    <w:rsid w:val="00521B16"/>
    <w:rsid w:val="00521B59"/>
    <w:rsid w:val="00521CB8"/>
    <w:rsid w:val="00521D3A"/>
    <w:rsid w:val="00521D40"/>
    <w:rsid w:val="00521F0F"/>
    <w:rsid w:val="00521F4D"/>
    <w:rsid w:val="00521FB5"/>
    <w:rsid w:val="00522136"/>
    <w:rsid w:val="00522190"/>
    <w:rsid w:val="00522290"/>
    <w:rsid w:val="0052233B"/>
    <w:rsid w:val="005223B0"/>
    <w:rsid w:val="005223CA"/>
    <w:rsid w:val="00522460"/>
    <w:rsid w:val="005224F4"/>
    <w:rsid w:val="0052299F"/>
    <w:rsid w:val="00522A17"/>
    <w:rsid w:val="00522B65"/>
    <w:rsid w:val="00522BFF"/>
    <w:rsid w:val="00522D43"/>
    <w:rsid w:val="00522D4D"/>
    <w:rsid w:val="00522D50"/>
    <w:rsid w:val="00522FC6"/>
    <w:rsid w:val="00522FFC"/>
    <w:rsid w:val="00523006"/>
    <w:rsid w:val="00523010"/>
    <w:rsid w:val="00523037"/>
    <w:rsid w:val="005232AD"/>
    <w:rsid w:val="005232D9"/>
    <w:rsid w:val="00523301"/>
    <w:rsid w:val="0052339F"/>
    <w:rsid w:val="005233D1"/>
    <w:rsid w:val="00523721"/>
    <w:rsid w:val="005237C5"/>
    <w:rsid w:val="005237D6"/>
    <w:rsid w:val="005238A1"/>
    <w:rsid w:val="005238ED"/>
    <w:rsid w:val="00523985"/>
    <w:rsid w:val="0052399D"/>
    <w:rsid w:val="00523A69"/>
    <w:rsid w:val="00523ADA"/>
    <w:rsid w:val="00523B0B"/>
    <w:rsid w:val="00523BBB"/>
    <w:rsid w:val="00523C02"/>
    <w:rsid w:val="00524028"/>
    <w:rsid w:val="0052403F"/>
    <w:rsid w:val="005240DE"/>
    <w:rsid w:val="0052440D"/>
    <w:rsid w:val="0052446D"/>
    <w:rsid w:val="005244DA"/>
    <w:rsid w:val="005246C2"/>
    <w:rsid w:val="005246D6"/>
    <w:rsid w:val="00524783"/>
    <w:rsid w:val="005247A7"/>
    <w:rsid w:val="0052489A"/>
    <w:rsid w:val="00524ACB"/>
    <w:rsid w:val="00524AFF"/>
    <w:rsid w:val="00524BC0"/>
    <w:rsid w:val="00524C04"/>
    <w:rsid w:val="00524C6F"/>
    <w:rsid w:val="00524CA8"/>
    <w:rsid w:val="00524DC9"/>
    <w:rsid w:val="00525003"/>
    <w:rsid w:val="00525248"/>
    <w:rsid w:val="00525261"/>
    <w:rsid w:val="005253CD"/>
    <w:rsid w:val="00525443"/>
    <w:rsid w:val="005254E9"/>
    <w:rsid w:val="0052562D"/>
    <w:rsid w:val="00525882"/>
    <w:rsid w:val="00525A12"/>
    <w:rsid w:val="00525A9E"/>
    <w:rsid w:val="00525B56"/>
    <w:rsid w:val="00525CA0"/>
    <w:rsid w:val="00525CDA"/>
    <w:rsid w:val="00525EF8"/>
    <w:rsid w:val="0052601F"/>
    <w:rsid w:val="00526081"/>
    <w:rsid w:val="00526251"/>
    <w:rsid w:val="00526268"/>
    <w:rsid w:val="005262ED"/>
    <w:rsid w:val="0052669D"/>
    <w:rsid w:val="00526719"/>
    <w:rsid w:val="00526821"/>
    <w:rsid w:val="005268F0"/>
    <w:rsid w:val="00526A47"/>
    <w:rsid w:val="00526B3B"/>
    <w:rsid w:val="00526C17"/>
    <w:rsid w:val="00526D94"/>
    <w:rsid w:val="00526F6D"/>
    <w:rsid w:val="0052729E"/>
    <w:rsid w:val="0052738D"/>
    <w:rsid w:val="005273E7"/>
    <w:rsid w:val="00527465"/>
    <w:rsid w:val="005274F8"/>
    <w:rsid w:val="0052752B"/>
    <w:rsid w:val="00527553"/>
    <w:rsid w:val="005275CC"/>
    <w:rsid w:val="0052766A"/>
    <w:rsid w:val="005276C8"/>
    <w:rsid w:val="00527833"/>
    <w:rsid w:val="00527AA5"/>
    <w:rsid w:val="00527BD7"/>
    <w:rsid w:val="00527CA9"/>
    <w:rsid w:val="00527CB2"/>
    <w:rsid w:val="00527CDF"/>
    <w:rsid w:val="00527D7B"/>
    <w:rsid w:val="00527F06"/>
    <w:rsid w:val="00530308"/>
    <w:rsid w:val="00530354"/>
    <w:rsid w:val="00530398"/>
    <w:rsid w:val="0053056A"/>
    <w:rsid w:val="005305B7"/>
    <w:rsid w:val="0053067C"/>
    <w:rsid w:val="00530720"/>
    <w:rsid w:val="00530723"/>
    <w:rsid w:val="00530867"/>
    <w:rsid w:val="005308B9"/>
    <w:rsid w:val="00530952"/>
    <w:rsid w:val="005309A7"/>
    <w:rsid w:val="00530DDC"/>
    <w:rsid w:val="00530F06"/>
    <w:rsid w:val="00531110"/>
    <w:rsid w:val="0053114E"/>
    <w:rsid w:val="0053115A"/>
    <w:rsid w:val="005311E2"/>
    <w:rsid w:val="00531210"/>
    <w:rsid w:val="00531218"/>
    <w:rsid w:val="0053148E"/>
    <w:rsid w:val="005314AF"/>
    <w:rsid w:val="00531520"/>
    <w:rsid w:val="005316CA"/>
    <w:rsid w:val="005317BD"/>
    <w:rsid w:val="0053184C"/>
    <w:rsid w:val="00531877"/>
    <w:rsid w:val="00531929"/>
    <w:rsid w:val="00531D8F"/>
    <w:rsid w:val="00531DD0"/>
    <w:rsid w:val="00531F97"/>
    <w:rsid w:val="0053200F"/>
    <w:rsid w:val="005321C0"/>
    <w:rsid w:val="0053223C"/>
    <w:rsid w:val="0053225F"/>
    <w:rsid w:val="005322FC"/>
    <w:rsid w:val="00532365"/>
    <w:rsid w:val="00532369"/>
    <w:rsid w:val="00532529"/>
    <w:rsid w:val="0053277F"/>
    <w:rsid w:val="005327B4"/>
    <w:rsid w:val="00532816"/>
    <w:rsid w:val="0053284E"/>
    <w:rsid w:val="00532A36"/>
    <w:rsid w:val="00532B5B"/>
    <w:rsid w:val="00532B86"/>
    <w:rsid w:val="00532BA3"/>
    <w:rsid w:val="00532C4A"/>
    <w:rsid w:val="00532C84"/>
    <w:rsid w:val="00532DE2"/>
    <w:rsid w:val="00533020"/>
    <w:rsid w:val="00533070"/>
    <w:rsid w:val="00533136"/>
    <w:rsid w:val="00533161"/>
    <w:rsid w:val="00533321"/>
    <w:rsid w:val="00533806"/>
    <w:rsid w:val="005338E9"/>
    <w:rsid w:val="005339F7"/>
    <w:rsid w:val="00533A02"/>
    <w:rsid w:val="00533A2E"/>
    <w:rsid w:val="00533A53"/>
    <w:rsid w:val="00533B4D"/>
    <w:rsid w:val="00533CBE"/>
    <w:rsid w:val="00533D17"/>
    <w:rsid w:val="00533D69"/>
    <w:rsid w:val="00533DC3"/>
    <w:rsid w:val="00533E77"/>
    <w:rsid w:val="00534093"/>
    <w:rsid w:val="005341A6"/>
    <w:rsid w:val="0053433F"/>
    <w:rsid w:val="005345B5"/>
    <w:rsid w:val="00534635"/>
    <w:rsid w:val="00534684"/>
    <w:rsid w:val="005349F8"/>
    <w:rsid w:val="00534BEC"/>
    <w:rsid w:val="00534D12"/>
    <w:rsid w:val="00534D21"/>
    <w:rsid w:val="00534EF8"/>
    <w:rsid w:val="00534FF7"/>
    <w:rsid w:val="0053500B"/>
    <w:rsid w:val="0053509A"/>
    <w:rsid w:val="00535126"/>
    <w:rsid w:val="0053521A"/>
    <w:rsid w:val="00535336"/>
    <w:rsid w:val="00535474"/>
    <w:rsid w:val="00535574"/>
    <w:rsid w:val="005359C2"/>
    <w:rsid w:val="00535A57"/>
    <w:rsid w:val="00535CAB"/>
    <w:rsid w:val="00535D1C"/>
    <w:rsid w:val="00535D37"/>
    <w:rsid w:val="00535D39"/>
    <w:rsid w:val="00535D52"/>
    <w:rsid w:val="00535E39"/>
    <w:rsid w:val="00535E49"/>
    <w:rsid w:val="00535EDD"/>
    <w:rsid w:val="005360B6"/>
    <w:rsid w:val="00536201"/>
    <w:rsid w:val="00536249"/>
    <w:rsid w:val="0053626D"/>
    <w:rsid w:val="005362DB"/>
    <w:rsid w:val="00536379"/>
    <w:rsid w:val="005366C3"/>
    <w:rsid w:val="0053673B"/>
    <w:rsid w:val="00536759"/>
    <w:rsid w:val="00536780"/>
    <w:rsid w:val="005367DE"/>
    <w:rsid w:val="00536A1F"/>
    <w:rsid w:val="00536B1A"/>
    <w:rsid w:val="00536B56"/>
    <w:rsid w:val="00536BB0"/>
    <w:rsid w:val="00536C7B"/>
    <w:rsid w:val="00536D74"/>
    <w:rsid w:val="00536DEE"/>
    <w:rsid w:val="00536F47"/>
    <w:rsid w:val="00536F49"/>
    <w:rsid w:val="005371AC"/>
    <w:rsid w:val="005373BC"/>
    <w:rsid w:val="005373D9"/>
    <w:rsid w:val="00537567"/>
    <w:rsid w:val="005375A2"/>
    <w:rsid w:val="005375A6"/>
    <w:rsid w:val="0053775B"/>
    <w:rsid w:val="005378A7"/>
    <w:rsid w:val="005378E3"/>
    <w:rsid w:val="005378F7"/>
    <w:rsid w:val="005379A4"/>
    <w:rsid w:val="005379EE"/>
    <w:rsid w:val="00537ABA"/>
    <w:rsid w:val="00537AFC"/>
    <w:rsid w:val="00537CF1"/>
    <w:rsid w:val="00537D7E"/>
    <w:rsid w:val="00537E1C"/>
    <w:rsid w:val="00537EA8"/>
    <w:rsid w:val="00537FEE"/>
    <w:rsid w:val="005400A6"/>
    <w:rsid w:val="005402B6"/>
    <w:rsid w:val="0054044E"/>
    <w:rsid w:val="0054049B"/>
    <w:rsid w:val="005405E1"/>
    <w:rsid w:val="0054073F"/>
    <w:rsid w:val="005409DC"/>
    <w:rsid w:val="00540BB9"/>
    <w:rsid w:val="00540BC8"/>
    <w:rsid w:val="00540E08"/>
    <w:rsid w:val="00540E9B"/>
    <w:rsid w:val="00540EAE"/>
    <w:rsid w:val="00540FAC"/>
    <w:rsid w:val="00541004"/>
    <w:rsid w:val="0054107C"/>
    <w:rsid w:val="0054117C"/>
    <w:rsid w:val="005411EC"/>
    <w:rsid w:val="005411F2"/>
    <w:rsid w:val="00541278"/>
    <w:rsid w:val="005412D5"/>
    <w:rsid w:val="00541348"/>
    <w:rsid w:val="00541377"/>
    <w:rsid w:val="0054140B"/>
    <w:rsid w:val="005414EA"/>
    <w:rsid w:val="005414F2"/>
    <w:rsid w:val="00541523"/>
    <w:rsid w:val="005415DB"/>
    <w:rsid w:val="0054160C"/>
    <w:rsid w:val="0054160E"/>
    <w:rsid w:val="0054163F"/>
    <w:rsid w:val="005416D0"/>
    <w:rsid w:val="005416D9"/>
    <w:rsid w:val="0054177C"/>
    <w:rsid w:val="00541787"/>
    <w:rsid w:val="00541864"/>
    <w:rsid w:val="00541987"/>
    <w:rsid w:val="005419CF"/>
    <w:rsid w:val="00541A34"/>
    <w:rsid w:val="00541BCA"/>
    <w:rsid w:val="00541E55"/>
    <w:rsid w:val="00541F0E"/>
    <w:rsid w:val="00542044"/>
    <w:rsid w:val="00542315"/>
    <w:rsid w:val="00542476"/>
    <w:rsid w:val="005425A9"/>
    <w:rsid w:val="005425E8"/>
    <w:rsid w:val="00542637"/>
    <w:rsid w:val="00542644"/>
    <w:rsid w:val="005426F4"/>
    <w:rsid w:val="00542777"/>
    <w:rsid w:val="0054278A"/>
    <w:rsid w:val="00542812"/>
    <w:rsid w:val="00542A09"/>
    <w:rsid w:val="00542A1B"/>
    <w:rsid w:val="00542BBC"/>
    <w:rsid w:val="00542BC9"/>
    <w:rsid w:val="00542BD3"/>
    <w:rsid w:val="00542E81"/>
    <w:rsid w:val="00542FD0"/>
    <w:rsid w:val="00542FEE"/>
    <w:rsid w:val="00543028"/>
    <w:rsid w:val="0054312E"/>
    <w:rsid w:val="0054314F"/>
    <w:rsid w:val="00543300"/>
    <w:rsid w:val="005433FA"/>
    <w:rsid w:val="00543504"/>
    <w:rsid w:val="0054355C"/>
    <w:rsid w:val="00543791"/>
    <w:rsid w:val="00543833"/>
    <w:rsid w:val="00543A1D"/>
    <w:rsid w:val="00543E9C"/>
    <w:rsid w:val="00543EFE"/>
    <w:rsid w:val="00543F98"/>
    <w:rsid w:val="00544124"/>
    <w:rsid w:val="005444EB"/>
    <w:rsid w:val="0054452C"/>
    <w:rsid w:val="00544549"/>
    <w:rsid w:val="00544587"/>
    <w:rsid w:val="005445B3"/>
    <w:rsid w:val="005445E4"/>
    <w:rsid w:val="00544626"/>
    <w:rsid w:val="00544812"/>
    <w:rsid w:val="00544950"/>
    <w:rsid w:val="005449D1"/>
    <w:rsid w:val="00544AD7"/>
    <w:rsid w:val="00544BA9"/>
    <w:rsid w:val="00544C1B"/>
    <w:rsid w:val="00544C31"/>
    <w:rsid w:val="00544C88"/>
    <w:rsid w:val="00544E94"/>
    <w:rsid w:val="0054510E"/>
    <w:rsid w:val="005455DD"/>
    <w:rsid w:val="00545600"/>
    <w:rsid w:val="005456A6"/>
    <w:rsid w:val="005456BA"/>
    <w:rsid w:val="00545721"/>
    <w:rsid w:val="0054582B"/>
    <w:rsid w:val="00545BAF"/>
    <w:rsid w:val="00545BBC"/>
    <w:rsid w:val="00545CDB"/>
    <w:rsid w:val="00545CFF"/>
    <w:rsid w:val="00545D73"/>
    <w:rsid w:val="00545F70"/>
    <w:rsid w:val="00545F81"/>
    <w:rsid w:val="00546070"/>
    <w:rsid w:val="005461DD"/>
    <w:rsid w:val="00546201"/>
    <w:rsid w:val="00546230"/>
    <w:rsid w:val="00546292"/>
    <w:rsid w:val="005462D6"/>
    <w:rsid w:val="005463AF"/>
    <w:rsid w:val="005463B1"/>
    <w:rsid w:val="005464DD"/>
    <w:rsid w:val="005465D4"/>
    <w:rsid w:val="00546660"/>
    <w:rsid w:val="005468BB"/>
    <w:rsid w:val="0054697D"/>
    <w:rsid w:val="00546A81"/>
    <w:rsid w:val="00546AA2"/>
    <w:rsid w:val="00546CB3"/>
    <w:rsid w:val="00546D08"/>
    <w:rsid w:val="00546E03"/>
    <w:rsid w:val="00546E0F"/>
    <w:rsid w:val="00546EFC"/>
    <w:rsid w:val="00546FE8"/>
    <w:rsid w:val="00547174"/>
    <w:rsid w:val="005471CE"/>
    <w:rsid w:val="00547257"/>
    <w:rsid w:val="00547707"/>
    <w:rsid w:val="0054779B"/>
    <w:rsid w:val="005477D4"/>
    <w:rsid w:val="00547827"/>
    <w:rsid w:val="00547849"/>
    <w:rsid w:val="00547A0D"/>
    <w:rsid w:val="00547A20"/>
    <w:rsid w:val="00547A61"/>
    <w:rsid w:val="00547AD5"/>
    <w:rsid w:val="00547BA1"/>
    <w:rsid w:val="00547E7C"/>
    <w:rsid w:val="00547F01"/>
    <w:rsid w:val="00547FBA"/>
    <w:rsid w:val="00550018"/>
    <w:rsid w:val="005500B1"/>
    <w:rsid w:val="005502D8"/>
    <w:rsid w:val="005503E4"/>
    <w:rsid w:val="00550518"/>
    <w:rsid w:val="005505BE"/>
    <w:rsid w:val="00550660"/>
    <w:rsid w:val="005506D1"/>
    <w:rsid w:val="00550732"/>
    <w:rsid w:val="00550881"/>
    <w:rsid w:val="005508EC"/>
    <w:rsid w:val="00550957"/>
    <w:rsid w:val="005509F1"/>
    <w:rsid w:val="00550AE2"/>
    <w:rsid w:val="00550B53"/>
    <w:rsid w:val="00550B5A"/>
    <w:rsid w:val="00550C51"/>
    <w:rsid w:val="00550D36"/>
    <w:rsid w:val="00550DD7"/>
    <w:rsid w:val="00550EEA"/>
    <w:rsid w:val="0055101C"/>
    <w:rsid w:val="005511B1"/>
    <w:rsid w:val="00551214"/>
    <w:rsid w:val="0055125C"/>
    <w:rsid w:val="00551593"/>
    <w:rsid w:val="0055169A"/>
    <w:rsid w:val="005516BB"/>
    <w:rsid w:val="005516F6"/>
    <w:rsid w:val="00551812"/>
    <w:rsid w:val="00551891"/>
    <w:rsid w:val="00551B42"/>
    <w:rsid w:val="00551B89"/>
    <w:rsid w:val="00551BCA"/>
    <w:rsid w:val="00551C10"/>
    <w:rsid w:val="00551D8B"/>
    <w:rsid w:val="00551EE9"/>
    <w:rsid w:val="005520D8"/>
    <w:rsid w:val="005523D7"/>
    <w:rsid w:val="005527C7"/>
    <w:rsid w:val="00552A00"/>
    <w:rsid w:val="00552A85"/>
    <w:rsid w:val="00552C6C"/>
    <w:rsid w:val="00552D04"/>
    <w:rsid w:val="00552D48"/>
    <w:rsid w:val="00552F6E"/>
    <w:rsid w:val="00552F9A"/>
    <w:rsid w:val="00552FCA"/>
    <w:rsid w:val="00552FD5"/>
    <w:rsid w:val="005530E9"/>
    <w:rsid w:val="00553151"/>
    <w:rsid w:val="005531BA"/>
    <w:rsid w:val="00553315"/>
    <w:rsid w:val="005533B0"/>
    <w:rsid w:val="0055358B"/>
    <w:rsid w:val="0055382A"/>
    <w:rsid w:val="0055388F"/>
    <w:rsid w:val="00553995"/>
    <w:rsid w:val="00553B80"/>
    <w:rsid w:val="00553BAC"/>
    <w:rsid w:val="00553E17"/>
    <w:rsid w:val="00553E7E"/>
    <w:rsid w:val="00553EA9"/>
    <w:rsid w:val="00553F28"/>
    <w:rsid w:val="00554025"/>
    <w:rsid w:val="005540D6"/>
    <w:rsid w:val="005540DF"/>
    <w:rsid w:val="005541D4"/>
    <w:rsid w:val="00554274"/>
    <w:rsid w:val="00554374"/>
    <w:rsid w:val="0055447F"/>
    <w:rsid w:val="005545C8"/>
    <w:rsid w:val="0055460B"/>
    <w:rsid w:val="00554772"/>
    <w:rsid w:val="005547D5"/>
    <w:rsid w:val="00554891"/>
    <w:rsid w:val="005548D7"/>
    <w:rsid w:val="0055493B"/>
    <w:rsid w:val="0055499B"/>
    <w:rsid w:val="005549A4"/>
    <w:rsid w:val="005549E8"/>
    <w:rsid w:val="00554A0D"/>
    <w:rsid w:val="00554C4B"/>
    <w:rsid w:val="00554DF0"/>
    <w:rsid w:val="00554EC7"/>
    <w:rsid w:val="00554EF9"/>
    <w:rsid w:val="00554FBB"/>
    <w:rsid w:val="005550C2"/>
    <w:rsid w:val="0055515D"/>
    <w:rsid w:val="00555160"/>
    <w:rsid w:val="00555173"/>
    <w:rsid w:val="005551D4"/>
    <w:rsid w:val="005551F2"/>
    <w:rsid w:val="0055520A"/>
    <w:rsid w:val="005554BD"/>
    <w:rsid w:val="00555620"/>
    <w:rsid w:val="005556CB"/>
    <w:rsid w:val="00555816"/>
    <w:rsid w:val="0055595B"/>
    <w:rsid w:val="00555A35"/>
    <w:rsid w:val="00555A63"/>
    <w:rsid w:val="00555A9D"/>
    <w:rsid w:val="00555BCE"/>
    <w:rsid w:val="00555C2A"/>
    <w:rsid w:val="00555C3E"/>
    <w:rsid w:val="00555C72"/>
    <w:rsid w:val="00555E36"/>
    <w:rsid w:val="00555E4F"/>
    <w:rsid w:val="00555E66"/>
    <w:rsid w:val="00555EF8"/>
    <w:rsid w:val="00555F3F"/>
    <w:rsid w:val="00555F87"/>
    <w:rsid w:val="0055603F"/>
    <w:rsid w:val="005560F9"/>
    <w:rsid w:val="005561E6"/>
    <w:rsid w:val="005562DC"/>
    <w:rsid w:val="00556398"/>
    <w:rsid w:val="005563B9"/>
    <w:rsid w:val="00556453"/>
    <w:rsid w:val="005564F0"/>
    <w:rsid w:val="0055657B"/>
    <w:rsid w:val="00556582"/>
    <w:rsid w:val="0055659B"/>
    <w:rsid w:val="00556610"/>
    <w:rsid w:val="0055679B"/>
    <w:rsid w:val="005567B5"/>
    <w:rsid w:val="005567C4"/>
    <w:rsid w:val="00556839"/>
    <w:rsid w:val="00556859"/>
    <w:rsid w:val="005568E8"/>
    <w:rsid w:val="0055692B"/>
    <w:rsid w:val="00556979"/>
    <w:rsid w:val="00556B31"/>
    <w:rsid w:val="00556B4B"/>
    <w:rsid w:val="00556BAE"/>
    <w:rsid w:val="00556D97"/>
    <w:rsid w:val="00556ED0"/>
    <w:rsid w:val="00556EE2"/>
    <w:rsid w:val="00556F98"/>
    <w:rsid w:val="0055709B"/>
    <w:rsid w:val="005571A4"/>
    <w:rsid w:val="005571C1"/>
    <w:rsid w:val="00557244"/>
    <w:rsid w:val="005572F4"/>
    <w:rsid w:val="005573B5"/>
    <w:rsid w:val="0055740C"/>
    <w:rsid w:val="005574A5"/>
    <w:rsid w:val="00557589"/>
    <w:rsid w:val="005576D7"/>
    <w:rsid w:val="005578F0"/>
    <w:rsid w:val="00557939"/>
    <w:rsid w:val="00557976"/>
    <w:rsid w:val="00557A44"/>
    <w:rsid w:val="00557B4A"/>
    <w:rsid w:val="00557BAD"/>
    <w:rsid w:val="00557CED"/>
    <w:rsid w:val="00557D81"/>
    <w:rsid w:val="00557E1F"/>
    <w:rsid w:val="00557F89"/>
    <w:rsid w:val="00557FC0"/>
    <w:rsid w:val="00557FDA"/>
    <w:rsid w:val="00557FED"/>
    <w:rsid w:val="00560003"/>
    <w:rsid w:val="005600A9"/>
    <w:rsid w:val="00560136"/>
    <w:rsid w:val="0056016D"/>
    <w:rsid w:val="0056019D"/>
    <w:rsid w:val="00560295"/>
    <w:rsid w:val="0056034D"/>
    <w:rsid w:val="0056035D"/>
    <w:rsid w:val="005603CD"/>
    <w:rsid w:val="0056051D"/>
    <w:rsid w:val="0056067A"/>
    <w:rsid w:val="00560708"/>
    <w:rsid w:val="00560817"/>
    <w:rsid w:val="005608E2"/>
    <w:rsid w:val="00560AAF"/>
    <w:rsid w:val="00560ADB"/>
    <w:rsid w:val="00560BFC"/>
    <w:rsid w:val="00560E09"/>
    <w:rsid w:val="00560E0F"/>
    <w:rsid w:val="00560EDE"/>
    <w:rsid w:val="00560F4F"/>
    <w:rsid w:val="00560F83"/>
    <w:rsid w:val="005610F0"/>
    <w:rsid w:val="00561303"/>
    <w:rsid w:val="0056157C"/>
    <w:rsid w:val="00561606"/>
    <w:rsid w:val="005618BB"/>
    <w:rsid w:val="005619E9"/>
    <w:rsid w:val="00561BE7"/>
    <w:rsid w:val="00561DE4"/>
    <w:rsid w:val="00561DFA"/>
    <w:rsid w:val="00561E87"/>
    <w:rsid w:val="00561F4D"/>
    <w:rsid w:val="00562027"/>
    <w:rsid w:val="0056206B"/>
    <w:rsid w:val="0056207E"/>
    <w:rsid w:val="005621B2"/>
    <w:rsid w:val="0056221D"/>
    <w:rsid w:val="005623EC"/>
    <w:rsid w:val="0056250E"/>
    <w:rsid w:val="0056257D"/>
    <w:rsid w:val="005625CB"/>
    <w:rsid w:val="0056269C"/>
    <w:rsid w:val="00562796"/>
    <w:rsid w:val="0056282E"/>
    <w:rsid w:val="0056286C"/>
    <w:rsid w:val="00562965"/>
    <w:rsid w:val="00562B41"/>
    <w:rsid w:val="00562B60"/>
    <w:rsid w:val="00562C59"/>
    <w:rsid w:val="00562C67"/>
    <w:rsid w:val="00562C75"/>
    <w:rsid w:val="00562CEF"/>
    <w:rsid w:val="00562D1A"/>
    <w:rsid w:val="0056304B"/>
    <w:rsid w:val="005630B3"/>
    <w:rsid w:val="0056312C"/>
    <w:rsid w:val="00563165"/>
    <w:rsid w:val="005631B9"/>
    <w:rsid w:val="005632E4"/>
    <w:rsid w:val="0056330D"/>
    <w:rsid w:val="00563391"/>
    <w:rsid w:val="005633D4"/>
    <w:rsid w:val="005635D1"/>
    <w:rsid w:val="00563611"/>
    <w:rsid w:val="0056379C"/>
    <w:rsid w:val="0056383B"/>
    <w:rsid w:val="0056384B"/>
    <w:rsid w:val="00563AAD"/>
    <w:rsid w:val="00563C1C"/>
    <w:rsid w:val="00563C40"/>
    <w:rsid w:val="00563C59"/>
    <w:rsid w:val="00563C83"/>
    <w:rsid w:val="00563CB8"/>
    <w:rsid w:val="00563E15"/>
    <w:rsid w:val="005640F2"/>
    <w:rsid w:val="005641BA"/>
    <w:rsid w:val="00564448"/>
    <w:rsid w:val="005645E1"/>
    <w:rsid w:val="005647F0"/>
    <w:rsid w:val="005649E8"/>
    <w:rsid w:val="00564B1A"/>
    <w:rsid w:val="00564B2B"/>
    <w:rsid w:val="00564B9D"/>
    <w:rsid w:val="00564CB3"/>
    <w:rsid w:val="00564D41"/>
    <w:rsid w:val="00564DAD"/>
    <w:rsid w:val="00564F21"/>
    <w:rsid w:val="00564F94"/>
    <w:rsid w:val="0056503F"/>
    <w:rsid w:val="00565205"/>
    <w:rsid w:val="005652F2"/>
    <w:rsid w:val="0056532E"/>
    <w:rsid w:val="00565386"/>
    <w:rsid w:val="005653C7"/>
    <w:rsid w:val="005656EB"/>
    <w:rsid w:val="00565746"/>
    <w:rsid w:val="0056574D"/>
    <w:rsid w:val="005657E3"/>
    <w:rsid w:val="00565855"/>
    <w:rsid w:val="00565B20"/>
    <w:rsid w:val="00565B6D"/>
    <w:rsid w:val="00565C8A"/>
    <w:rsid w:val="00565CB4"/>
    <w:rsid w:val="00565D0A"/>
    <w:rsid w:val="00565F1B"/>
    <w:rsid w:val="00565FA4"/>
    <w:rsid w:val="00566119"/>
    <w:rsid w:val="00566254"/>
    <w:rsid w:val="00566298"/>
    <w:rsid w:val="005663BE"/>
    <w:rsid w:val="005663DB"/>
    <w:rsid w:val="005665A2"/>
    <w:rsid w:val="005665C8"/>
    <w:rsid w:val="00566786"/>
    <w:rsid w:val="005667A9"/>
    <w:rsid w:val="00566998"/>
    <w:rsid w:val="005669AB"/>
    <w:rsid w:val="005669DA"/>
    <w:rsid w:val="005669E9"/>
    <w:rsid w:val="00566AF6"/>
    <w:rsid w:val="00566B4F"/>
    <w:rsid w:val="00566CB8"/>
    <w:rsid w:val="00566FA1"/>
    <w:rsid w:val="0056700A"/>
    <w:rsid w:val="00567075"/>
    <w:rsid w:val="005670B0"/>
    <w:rsid w:val="00567175"/>
    <w:rsid w:val="005671AE"/>
    <w:rsid w:val="00567262"/>
    <w:rsid w:val="0056727C"/>
    <w:rsid w:val="005672C6"/>
    <w:rsid w:val="005673CB"/>
    <w:rsid w:val="00567405"/>
    <w:rsid w:val="005676EE"/>
    <w:rsid w:val="005677A9"/>
    <w:rsid w:val="005679D6"/>
    <w:rsid w:val="005679EF"/>
    <w:rsid w:val="00567A34"/>
    <w:rsid w:val="00567C39"/>
    <w:rsid w:val="00567C84"/>
    <w:rsid w:val="00567D73"/>
    <w:rsid w:val="00567D9B"/>
    <w:rsid w:val="00567DD1"/>
    <w:rsid w:val="00567F74"/>
    <w:rsid w:val="0057004A"/>
    <w:rsid w:val="00570116"/>
    <w:rsid w:val="00570195"/>
    <w:rsid w:val="0057023C"/>
    <w:rsid w:val="00570304"/>
    <w:rsid w:val="00570351"/>
    <w:rsid w:val="0057045E"/>
    <w:rsid w:val="005704AE"/>
    <w:rsid w:val="005704C6"/>
    <w:rsid w:val="005704EF"/>
    <w:rsid w:val="005706B2"/>
    <w:rsid w:val="00570737"/>
    <w:rsid w:val="0057076B"/>
    <w:rsid w:val="005708B1"/>
    <w:rsid w:val="00570A20"/>
    <w:rsid w:val="00570A85"/>
    <w:rsid w:val="00570AE6"/>
    <w:rsid w:val="00570BB1"/>
    <w:rsid w:val="00570BB9"/>
    <w:rsid w:val="00570C18"/>
    <w:rsid w:val="00570D35"/>
    <w:rsid w:val="00570D65"/>
    <w:rsid w:val="00570DD4"/>
    <w:rsid w:val="00570E80"/>
    <w:rsid w:val="00570EA1"/>
    <w:rsid w:val="00570EB7"/>
    <w:rsid w:val="005710E3"/>
    <w:rsid w:val="005710E6"/>
    <w:rsid w:val="005711DE"/>
    <w:rsid w:val="0057127D"/>
    <w:rsid w:val="005712BE"/>
    <w:rsid w:val="00571431"/>
    <w:rsid w:val="00571540"/>
    <w:rsid w:val="00571745"/>
    <w:rsid w:val="00571765"/>
    <w:rsid w:val="0057178B"/>
    <w:rsid w:val="005717A6"/>
    <w:rsid w:val="00571867"/>
    <w:rsid w:val="00571AE2"/>
    <w:rsid w:val="00571B78"/>
    <w:rsid w:val="00571BD4"/>
    <w:rsid w:val="00571C3E"/>
    <w:rsid w:val="00571D49"/>
    <w:rsid w:val="00571E65"/>
    <w:rsid w:val="00571E8F"/>
    <w:rsid w:val="00572061"/>
    <w:rsid w:val="005721C5"/>
    <w:rsid w:val="005721FF"/>
    <w:rsid w:val="005723D8"/>
    <w:rsid w:val="0057258F"/>
    <w:rsid w:val="00572614"/>
    <w:rsid w:val="005726A0"/>
    <w:rsid w:val="0057272E"/>
    <w:rsid w:val="005728B1"/>
    <w:rsid w:val="005729F1"/>
    <w:rsid w:val="00572A40"/>
    <w:rsid w:val="00572BE2"/>
    <w:rsid w:val="00572C92"/>
    <w:rsid w:val="0057317B"/>
    <w:rsid w:val="005731F0"/>
    <w:rsid w:val="005734E8"/>
    <w:rsid w:val="00573526"/>
    <w:rsid w:val="0057354E"/>
    <w:rsid w:val="005735B6"/>
    <w:rsid w:val="0057377F"/>
    <w:rsid w:val="005739A2"/>
    <w:rsid w:val="00573ACA"/>
    <w:rsid w:val="00573B55"/>
    <w:rsid w:val="00573B84"/>
    <w:rsid w:val="00573E58"/>
    <w:rsid w:val="00573F85"/>
    <w:rsid w:val="00574008"/>
    <w:rsid w:val="00574079"/>
    <w:rsid w:val="005742D8"/>
    <w:rsid w:val="00574408"/>
    <w:rsid w:val="00574490"/>
    <w:rsid w:val="0057452C"/>
    <w:rsid w:val="00574773"/>
    <w:rsid w:val="005747D3"/>
    <w:rsid w:val="005748A5"/>
    <w:rsid w:val="005748E0"/>
    <w:rsid w:val="005749BF"/>
    <w:rsid w:val="005749C0"/>
    <w:rsid w:val="00574B6A"/>
    <w:rsid w:val="00574D00"/>
    <w:rsid w:val="0057501E"/>
    <w:rsid w:val="00575183"/>
    <w:rsid w:val="0057525E"/>
    <w:rsid w:val="00575404"/>
    <w:rsid w:val="00575418"/>
    <w:rsid w:val="005754CC"/>
    <w:rsid w:val="005756DC"/>
    <w:rsid w:val="005757BB"/>
    <w:rsid w:val="00575948"/>
    <w:rsid w:val="0057595B"/>
    <w:rsid w:val="00575A0D"/>
    <w:rsid w:val="00575A73"/>
    <w:rsid w:val="00575B2C"/>
    <w:rsid w:val="00575BB5"/>
    <w:rsid w:val="00575D01"/>
    <w:rsid w:val="00575F55"/>
    <w:rsid w:val="005760B8"/>
    <w:rsid w:val="0057613F"/>
    <w:rsid w:val="00576162"/>
    <w:rsid w:val="005761E7"/>
    <w:rsid w:val="005762B2"/>
    <w:rsid w:val="00576649"/>
    <w:rsid w:val="005766DE"/>
    <w:rsid w:val="005766E9"/>
    <w:rsid w:val="005767D8"/>
    <w:rsid w:val="005767DD"/>
    <w:rsid w:val="00576817"/>
    <w:rsid w:val="005768D9"/>
    <w:rsid w:val="00576936"/>
    <w:rsid w:val="00576DD1"/>
    <w:rsid w:val="00576E9C"/>
    <w:rsid w:val="00576E9D"/>
    <w:rsid w:val="00577308"/>
    <w:rsid w:val="00577381"/>
    <w:rsid w:val="00577430"/>
    <w:rsid w:val="005774FB"/>
    <w:rsid w:val="00577760"/>
    <w:rsid w:val="00577787"/>
    <w:rsid w:val="005777AE"/>
    <w:rsid w:val="0057783E"/>
    <w:rsid w:val="0057784D"/>
    <w:rsid w:val="00577AAE"/>
    <w:rsid w:val="00577BF8"/>
    <w:rsid w:val="00577CDE"/>
    <w:rsid w:val="00577D20"/>
    <w:rsid w:val="00577F0D"/>
    <w:rsid w:val="00580048"/>
    <w:rsid w:val="0058023E"/>
    <w:rsid w:val="00580317"/>
    <w:rsid w:val="0058039F"/>
    <w:rsid w:val="005803B5"/>
    <w:rsid w:val="005804A6"/>
    <w:rsid w:val="00580595"/>
    <w:rsid w:val="005806EB"/>
    <w:rsid w:val="005806EC"/>
    <w:rsid w:val="00580864"/>
    <w:rsid w:val="005808C3"/>
    <w:rsid w:val="005809B2"/>
    <w:rsid w:val="00580AC3"/>
    <w:rsid w:val="00580B14"/>
    <w:rsid w:val="00580C19"/>
    <w:rsid w:val="00580E3E"/>
    <w:rsid w:val="00580EC8"/>
    <w:rsid w:val="005810AE"/>
    <w:rsid w:val="005810BC"/>
    <w:rsid w:val="00581216"/>
    <w:rsid w:val="00581291"/>
    <w:rsid w:val="00581307"/>
    <w:rsid w:val="00581390"/>
    <w:rsid w:val="005814E8"/>
    <w:rsid w:val="00581555"/>
    <w:rsid w:val="00581606"/>
    <w:rsid w:val="005817CC"/>
    <w:rsid w:val="005819CA"/>
    <w:rsid w:val="00581A3E"/>
    <w:rsid w:val="00581AFB"/>
    <w:rsid w:val="00581C59"/>
    <w:rsid w:val="00581CEB"/>
    <w:rsid w:val="00581DA6"/>
    <w:rsid w:val="00581DC4"/>
    <w:rsid w:val="00581F3A"/>
    <w:rsid w:val="00581F53"/>
    <w:rsid w:val="0058208D"/>
    <w:rsid w:val="00582099"/>
    <w:rsid w:val="005820B7"/>
    <w:rsid w:val="00582278"/>
    <w:rsid w:val="0058292F"/>
    <w:rsid w:val="00582951"/>
    <w:rsid w:val="00582A17"/>
    <w:rsid w:val="00582CE4"/>
    <w:rsid w:val="00582DC1"/>
    <w:rsid w:val="00583016"/>
    <w:rsid w:val="00583297"/>
    <w:rsid w:val="005832E5"/>
    <w:rsid w:val="005833E4"/>
    <w:rsid w:val="005833FB"/>
    <w:rsid w:val="005834AB"/>
    <w:rsid w:val="005834E7"/>
    <w:rsid w:val="00583583"/>
    <w:rsid w:val="00583802"/>
    <w:rsid w:val="0058380D"/>
    <w:rsid w:val="0058399F"/>
    <w:rsid w:val="00583A62"/>
    <w:rsid w:val="00583B59"/>
    <w:rsid w:val="00583BA0"/>
    <w:rsid w:val="00583BE3"/>
    <w:rsid w:val="00583C17"/>
    <w:rsid w:val="00583CDD"/>
    <w:rsid w:val="00583E85"/>
    <w:rsid w:val="00583EE8"/>
    <w:rsid w:val="00583F56"/>
    <w:rsid w:val="00583FD4"/>
    <w:rsid w:val="0058406F"/>
    <w:rsid w:val="005841A8"/>
    <w:rsid w:val="0058420C"/>
    <w:rsid w:val="0058428C"/>
    <w:rsid w:val="00584306"/>
    <w:rsid w:val="0058430A"/>
    <w:rsid w:val="00584370"/>
    <w:rsid w:val="005843BF"/>
    <w:rsid w:val="0058444A"/>
    <w:rsid w:val="005844FC"/>
    <w:rsid w:val="005846C2"/>
    <w:rsid w:val="00584709"/>
    <w:rsid w:val="0058485B"/>
    <w:rsid w:val="00584916"/>
    <w:rsid w:val="00584972"/>
    <w:rsid w:val="00584BC5"/>
    <w:rsid w:val="00584CE7"/>
    <w:rsid w:val="00584D50"/>
    <w:rsid w:val="00584F0A"/>
    <w:rsid w:val="00584F69"/>
    <w:rsid w:val="00585106"/>
    <w:rsid w:val="0058517E"/>
    <w:rsid w:val="00585181"/>
    <w:rsid w:val="005851C4"/>
    <w:rsid w:val="00585247"/>
    <w:rsid w:val="005853B3"/>
    <w:rsid w:val="00585418"/>
    <w:rsid w:val="005855A1"/>
    <w:rsid w:val="005855C8"/>
    <w:rsid w:val="0058579C"/>
    <w:rsid w:val="0058580A"/>
    <w:rsid w:val="005859D3"/>
    <w:rsid w:val="00585AFA"/>
    <w:rsid w:val="00585B58"/>
    <w:rsid w:val="00585C1B"/>
    <w:rsid w:val="00585CA3"/>
    <w:rsid w:val="00585DDA"/>
    <w:rsid w:val="00585DF4"/>
    <w:rsid w:val="00585E3C"/>
    <w:rsid w:val="00585E5F"/>
    <w:rsid w:val="00585EA3"/>
    <w:rsid w:val="00585F45"/>
    <w:rsid w:val="00586053"/>
    <w:rsid w:val="00586184"/>
    <w:rsid w:val="00586271"/>
    <w:rsid w:val="005862A2"/>
    <w:rsid w:val="00586316"/>
    <w:rsid w:val="00586449"/>
    <w:rsid w:val="0058644E"/>
    <w:rsid w:val="005865AD"/>
    <w:rsid w:val="00586754"/>
    <w:rsid w:val="00586807"/>
    <w:rsid w:val="00586847"/>
    <w:rsid w:val="0058687C"/>
    <w:rsid w:val="0058694D"/>
    <w:rsid w:val="005869E1"/>
    <w:rsid w:val="00586AC4"/>
    <w:rsid w:val="00586AFB"/>
    <w:rsid w:val="00586DCC"/>
    <w:rsid w:val="00586EF9"/>
    <w:rsid w:val="005870ED"/>
    <w:rsid w:val="00587280"/>
    <w:rsid w:val="00587449"/>
    <w:rsid w:val="00587499"/>
    <w:rsid w:val="00587629"/>
    <w:rsid w:val="00587762"/>
    <w:rsid w:val="0058779B"/>
    <w:rsid w:val="00587914"/>
    <w:rsid w:val="00587CED"/>
    <w:rsid w:val="00587D35"/>
    <w:rsid w:val="00587D84"/>
    <w:rsid w:val="00587DF6"/>
    <w:rsid w:val="00587E98"/>
    <w:rsid w:val="00587EA3"/>
    <w:rsid w:val="00587EEE"/>
    <w:rsid w:val="0059002E"/>
    <w:rsid w:val="00590129"/>
    <w:rsid w:val="00590255"/>
    <w:rsid w:val="0059038B"/>
    <w:rsid w:val="00590494"/>
    <w:rsid w:val="005904A0"/>
    <w:rsid w:val="0059055A"/>
    <w:rsid w:val="005905C6"/>
    <w:rsid w:val="005907A3"/>
    <w:rsid w:val="005907D5"/>
    <w:rsid w:val="005909BB"/>
    <w:rsid w:val="00590C49"/>
    <w:rsid w:val="00590D27"/>
    <w:rsid w:val="00590DDC"/>
    <w:rsid w:val="00590E08"/>
    <w:rsid w:val="00590E4B"/>
    <w:rsid w:val="00590EE8"/>
    <w:rsid w:val="00590F6A"/>
    <w:rsid w:val="00590FA3"/>
    <w:rsid w:val="00591171"/>
    <w:rsid w:val="00591184"/>
    <w:rsid w:val="005911A4"/>
    <w:rsid w:val="005914D9"/>
    <w:rsid w:val="005916F7"/>
    <w:rsid w:val="00591702"/>
    <w:rsid w:val="00591924"/>
    <w:rsid w:val="0059198D"/>
    <w:rsid w:val="00591B67"/>
    <w:rsid w:val="00591C12"/>
    <w:rsid w:val="00591E20"/>
    <w:rsid w:val="00591ED9"/>
    <w:rsid w:val="00591F67"/>
    <w:rsid w:val="00591F8E"/>
    <w:rsid w:val="005920F6"/>
    <w:rsid w:val="005921C2"/>
    <w:rsid w:val="00592270"/>
    <w:rsid w:val="00592356"/>
    <w:rsid w:val="0059246D"/>
    <w:rsid w:val="005925D2"/>
    <w:rsid w:val="00592665"/>
    <w:rsid w:val="00592710"/>
    <w:rsid w:val="0059279D"/>
    <w:rsid w:val="0059289F"/>
    <w:rsid w:val="0059298E"/>
    <w:rsid w:val="005929F2"/>
    <w:rsid w:val="005931BA"/>
    <w:rsid w:val="0059327D"/>
    <w:rsid w:val="005932F5"/>
    <w:rsid w:val="00593437"/>
    <w:rsid w:val="005934F0"/>
    <w:rsid w:val="00593507"/>
    <w:rsid w:val="00593527"/>
    <w:rsid w:val="00593597"/>
    <w:rsid w:val="005935C8"/>
    <w:rsid w:val="00593625"/>
    <w:rsid w:val="00593630"/>
    <w:rsid w:val="0059375A"/>
    <w:rsid w:val="00593770"/>
    <w:rsid w:val="0059387B"/>
    <w:rsid w:val="00593A1A"/>
    <w:rsid w:val="00593AE8"/>
    <w:rsid w:val="00593B56"/>
    <w:rsid w:val="00593B5B"/>
    <w:rsid w:val="00593DD8"/>
    <w:rsid w:val="00593E54"/>
    <w:rsid w:val="00593F51"/>
    <w:rsid w:val="005940E3"/>
    <w:rsid w:val="00594494"/>
    <w:rsid w:val="005945B0"/>
    <w:rsid w:val="005946A6"/>
    <w:rsid w:val="0059486E"/>
    <w:rsid w:val="005948B9"/>
    <w:rsid w:val="00594947"/>
    <w:rsid w:val="005949AF"/>
    <w:rsid w:val="00594A54"/>
    <w:rsid w:val="00594A60"/>
    <w:rsid w:val="00594ADE"/>
    <w:rsid w:val="00594B53"/>
    <w:rsid w:val="00594B83"/>
    <w:rsid w:val="00594E0C"/>
    <w:rsid w:val="00594E63"/>
    <w:rsid w:val="00594EA5"/>
    <w:rsid w:val="00594EB7"/>
    <w:rsid w:val="00594FC6"/>
    <w:rsid w:val="00595074"/>
    <w:rsid w:val="0059509D"/>
    <w:rsid w:val="005951C8"/>
    <w:rsid w:val="00595310"/>
    <w:rsid w:val="00595500"/>
    <w:rsid w:val="00595678"/>
    <w:rsid w:val="00595696"/>
    <w:rsid w:val="005957B1"/>
    <w:rsid w:val="00595AE9"/>
    <w:rsid w:val="00595C8A"/>
    <w:rsid w:val="00595FA0"/>
    <w:rsid w:val="00596169"/>
    <w:rsid w:val="0059625D"/>
    <w:rsid w:val="00596287"/>
    <w:rsid w:val="0059630F"/>
    <w:rsid w:val="00596407"/>
    <w:rsid w:val="00596617"/>
    <w:rsid w:val="00596625"/>
    <w:rsid w:val="005968BA"/>
    <w:rsid w:val="005968C0"/>
    <w:rsid w:val="0059693E"/>
    <w:rsid w:val="005969FA"/>
    <w:rsid w:val="00596B2F"/>
    <w:rsid w:val="00596B33"/>
    <w:rsid w:val="00596C23"/>
    <w:rsid w:val="00596C6B"/>
    <w:rsid w:val="00596CF4"/>
    <w:rsid w:val="00596D5A"/>
    <w:rsid w:val="00596DCE"/>
    <w:rsid w:val="00596EAD"/>
    <w:rsid w:val="00596EDF"/>
    <w:rsid w:val="005970CC"/>
    <w:rsid w:val="00597128"/>
    <w:rsid w:val="005971BF"/>
    <w:rsid w:val="005971C5"/>
    <w:rsid w:val="0059728B"/>
    <w:rsid w:val="005973FA"/>
    <w:rsid w:val="0059757C"/>
    <w:rsid w:val="005975B4"/>
    <w:rsid w:val="0059760A"/>
    <w:rsid w:val="005976D2"/>
    <w:rsid w:val="005976FA"/>
    <w:rsid w:val="005977A7"/>
    <w:rsid w:val="00597863"/>
    <w:rsid w:val="00597A04"/>
    <w:rsid w:val="00597A30"/>
    <w:rsid w:val="00597A64"/>
    <w:rsid w:val="00597B38"/>
    <w:rsid w:val="00597E00"/>
    <w:rsid w:val="00597F75"/>
    <w:rsid w:val="005A01B3"/>
    <w:rsid w:val="005A0221"/>
    <w:rsid w:val="005A05BC"/>
    <w:rsid w:val="005A06B3"/>
    <w:rsid w:val="005A06C4"/>
    <w:rsid w:val="005A06F5"/>
    <w:rsid w:val="005A0707"/>
    <w:rsid w:val="005A070B"/>
    <w:rsid w:val="005A072A"/>
    <w:rsid w:val="005A0765"/>
    <w:rsid w:val="005A07ED"/>
    <w:rsid w:val="005A0A06"/>
    <w:rsid w:val="005A0BCE"/>
    <w:rsid w:val="005A0C1E"/>
    <w:rsid w:val="005A0C89"/>
    <w:rsid w:val="005A0CAD"/>
    <w:rsid w:val="005A0DA0"/>
    <w:rsid w:val="005A0EE5"/>
    <w:rsid w:val="005A0F05"/>
    <w:rsid w:val="005A0F13"/>
    <w:rsid w:val="005A0F6E"/>
    <w:rsid w:val="005A0FF9"/>
    <w:rsid w:val="005A128D"/>
    <w:rsid w:val="005A1325"/>
    <w:rsid w:val="005A141F"/>
    <w:rsid w:val="005A1480"/>
    <w:rsid w:val="005A155D"/>
    <w:rsid w:val="005A15B3"/>
    <w:rsid w:val="005A168E"/>
    <w:rsid w:val="005A16B8"/>
    <w:rsid w:val="005A189C"/>
    <w:rsid w:val="005A1D03"/>
    <w:rsid w:val="005A1D4B"/>
    <w:rsid w:val="005A1EF2"/>
    <w:rsid w:val="005A20FF"/>
    <w:rsid w:val="005A2302"/>
    <w:rsid w:val="005A2314"/>
    <w:rsid w:val="005A235A"/>
    <w:rsid w:val="005A2371"/>
    <w:rsid w:val="005A23D6"/>
    <w:rsid w:val="005A246B"/>
    <w:rsid w:val="005A2553"/>
    <w:rsid w:val="005A2603"/>
    <w:rsid w:val="005A2605"/>
    <w:rsid w:val="005A2691"/>
    <w:rsid w:val="005A26A5"/>
    <w:rsid w:val="005A2AC4"/>
    <w:rsid w:val="005A2B1E"/>
    <w:rsid w:val="005A2E33"/>
    <w:rsid w:val="005A2EA6"/>
    <w:rsid w:val="005A2F3E"/>
    <w:rsid w:val="005A2F69"/>
    <w:rsid w:val="005A2F7B"/>
    <w:rsid w:val="005A314D"/>
    <w:rsid w:val="005A32C2"/>
    <w:rsid w:val="005A334E"/>
    <w:rsid w:val="005A34D4"/>
    <w:rsid w:val="005A34DA"/>
    <w:rsid w:val="005A3564"/>
    <w:rsid w:val="005A35A7"/>
    <w:rsid w:val="005A365C"/>
    <w:rsid w:val="005A371C"/>
    <w:rsid w:val="005A37E4"/>
    <w:rsid w:val="005A3A0A"/>
    <w:rsid w:val="005A3A26"/>
    <w:rsid w:val="005A3A2C"/>
    <w:rsid w:val="005A3AB5"/>
    <w:rsid w:val="005A3AF2"/>
    <w:rsid w:val="005A3B05"/>
    <w:rsid w:val="005A3BAF"/>
    <w:rsid w:val="005A3C06"/>
    <w:rsid w:val="005A3FF5"/>
    <w:rsid w:val="005A40EA"/>
    <w:rsid w:val="005A423A"/>
    <w:rsid w:val="005A4356"/>
    <w:rsid w:val="005A44FC"/>
    <w:rsid w:val="005A4534"/>
    <w:rsid w:val="005A45CB"/>
    <w:rsid w:val="005A45F7"/>
    <w:rsid w:val="005A460A"/>
    <w:rsid w:val="005A4615"/>
    <w:rsid w:val="005A4626"/>
    <w:rsid w:val="005A4663"/>
    <w:rsid w:val="005A4692"/>
    <w:rsid w:val="005A47C2"/>
    <w:rsid w:val="005A4827"/>
    <w:rsid w:val="005A4905"/>
    <w:rsid w:val="005A4A2B"/>
    <w:rsid w:val="005A4ABD"/>
    <w:rsid w:val="005A4CB4"/>
    <w:rsid w:val="005A4DBA"/>
    <w:rsid w:val="005A4E1B"/>
    <w:rsid w:val="005A4E5A"/>
    <w:rsid w:val="005A4E81"/>
    <w:rsid w:val="005A4ECB"/>
    <w:rsid w:val="005A4EFC"/>
    <w:rsid w:val="005A4F60"/>
    <w:rsid w:val="005A4FC8"/>
    <w:rsid w:val="005A4FED"/>
    <w:rsid w:val="005A500C"/>
    <w:rsid w:val="005A5017"/>
    <w:rsid w:val="005A509C"/>
    <w:rsid w:val="005A530B"/>
    <w:rsid w:val="005A53FC"/>
    <w:rsid w:val="005A5563"/>
    <w:rsid w:val="005A55EE"/>
    <w:rsid w:val="005A56D4"/>
    <w:rsid w:val="005A573B"/>
    <w:rsid w:val="005A57E1"/>
    <w:rsid w:val="005A5962"/>
    <w:rsid w:val="005A5BA2"/>
    <w:rsid w:val="005A5CB5"/>
    <w:rsid w:val="005A5CE4"/>
    <w:rsid w:val="005A5DFC"/>
    <w:rsid w:val="005A5FF5"/>
    <w:rsid w:val="005A6122"/>
    <w:rsid w:val="005A61AF"/>
    <w:rsid w:val="005A63D5"/>
    <w:rsid w:val="005A663F"/>
    <w:rsid w:val="005A664F"/>
    <w:rsid w:val="005A669F"/>
    <w:rsid w:val="005A68CC"/>
    <w:rsid w:val="005A69C5"/>
    <w:rsid w:val="005A69CD"/>
    <w:rsid w:val="005A6A43"/>
    <w:rsid w:val="005A6A44"/>
    <w:rsid w:val="005A6BD9"/>
    <w:rsid w:val="005A6C17"/>
    <w:rsid w:val="005A6C47"/>
    <w:rsid w:val="005A6C81"/>
    <w:rsid w:val="005A6DF5"/>
    <w:rsid w:val="005A6F6C"/>
    <w:rsid w:val="005A705C"/>
    <w:rsid w:val="005A70D1"/>
    <w:rsid w:val="005A71B4"/>
    <w:rsid w:val="005A7441"/>
    <w:rsid w:val="005A7473"/>
    <w:rsid w:val="005A74A4"/>
    <w:rsid w:val="005A75A0"/>
    <w:rsid w:val="005A7785"/>
    <w:rsid w:val="005A7826"/>
    <w:rsid w:val="005A7907"/>
    <w:rsid w:val="005A79F6"/>
    <w:rsid w:val="005A7A15"/>
    <w:rsid w:val="005A7AB1"/>
    <w:rsid w:val="005A7B5C"/>
    <w:rsid w:val="005A7BC0"/>
    <w:rsid w:val="005A7BDC"/>
    <w:rsid w:val="005A7C52"/>
    <w:rsid w:val="005A7D14"/>
    <w:rsid w:val="005A7D20"/>
    <w:rsid w:val="005A7D37"/>
    <w:rsid w:val="005A7EB8"/>
    <w:rsid w:val="005B0076"/>
    <w:rsid w:val="005B0092"/>
    <w:rsid w:val="005B00D6"/>
    <w:rsid w:val="005B01EF"/>
    <w:rsid w:val="005B02EF"/>
    <w:rsid w:val="005B03E8"/>
    <w:rsid w:val="005B0530"/>
    <w:rsid w:val="005B05C7"/>
    <w:rsid w:val="005B0898"/>
    <w:rsid w:val="005B08DD"/>
    <w:rsid w:val="005B08EA"/>
    <w:rsid w:val="005B0A75"/>
    <w:rsid w:val="005B0A79"/>
    <w:rsid w:val="005B0A9F"/>
    <w:rsid w:val="005B0BAB"/>
    <w:rsid w:val="005B0C0D"/>
    <w:rsid w:val="005B0DC3"/>
    <w:rsid w:val="005B0DDF"/>
    <w:rsid w:val="005B0FF4"/>
    <w:rsid w:val="005B1029"/>
    <w:rsid w:val="005B1059"/>
    <w:rsid w:val="005B10F0"/>
    <w:rsid w:val="005B120C"/>
    <w:rsid w:val="005B1441"/>
    <w:rsid w:val="005B1471"/>
    <w:rsid w:val="005B14BB"/>
    <w:rsid w:val="005B1559"/>
    <w:rsid w:val="005B156E"/>
    <w:rsid w:val="005B159D"/>
    <w:rsid w:val="005B1614"/>
    <w:rsid w:val="005B17A1"/>
    <w:rsid w:val="005B17F9"/>
    <w:rsid w:val="005B19F4"/>
    <w:rsid w:val="005B1ACE"/>
    <w:rsid w:val="005B1AE3"/>
    <w:rsid w:val="005B1B4A"/>
    <w:rsid w:val="005B1C7F"/>
    <w:rsid w:val="005B1D44"/>
    <w:rsid w:val="005B1DCD"/>
    <w:rsid w:val="005B1E16"/>
    <w:rsid w:val="005B1E64"/>
    <w:rsid w:val="005B1E95"/>
    <w:rsid w:val="005B1EFD"/>
    <w:rsid w:val="005B1FC7"/>
    <w:rsid w:val="005B20C4"/>
    <w:rsid w:val="005B2126"/>
    <w:rsid w:val="005B21E9"/>
    <w:rsid w:val="005B223E"/>
    <w:rsid w:val="005B22A4"/>
    <w:rsid w:val="005B233B"/>
    <w:rsid w:val="005B23D7"/>
    <w:rsid w:val="005B2652"/>
    <w:rsid w:val="005B2743"/>
    <w:rsid w:val="005B2777"/>
    <w:rsid w:val="005B2784"/>
    <w:rsid w:val="005B29DB"/>
    <w:rsid w:val="005B2A71"/>
    <w:rsid w:val="005B2C33"/>
    <w:rsid w:val="005B2C76"/>
    <w:rsid w:val="005B2C93"/>
    <w:rsid w:val="005B2D77"/>
    <w:rsid w:val="005B2E04"/>
    <w:rsid w:val="005B2EE3"/>
    <w:rsid w:val="005B2F9E"/>
    <w:rsid w:val="005B2FAA"/>
    <w:rsid w:val="005B3002"/>
    <w:rsid w:val="005B3082"/>
    <w:rsid w:val="005B314B"/>
    <w:rsid w:val="005B330D"/>
    <w:rsid w:val="005B3318"/>
    <w:rsid w:val="005B33CF"/>
    <w:rsid w:val="005B3681"/>
    <w:rsid w:val="005B36F4"/>
    <w:rsid w:val="005B3853"/>
    <w:rsid w:val="005B39C9"/>
    <w:rsid w:val="005B3A1B"/>
    <w:rsid w:val="005B3A5B"/>
    <w:rsid w:val="005B3A8D"/>
    <w:rsid w:val="005B3FBF"/>
    <w:rsid w:val="005B4030"/>
    <w:rsid w:val="005B4073"/>
    <w:rsid w:val="005B4119"/>
    <w:rsid w:val="005B4204"/>
    <w:rsid w:val="005B46D0"/>
    <w:rsid w:val="005B470C"/>
    <w:rsid w:val="005B47B5"/>
    <w:rsid w:val="005B48A3"/>
    <w:rsid w:val="005B497E"/>
    <w:rsid w:val="005B4AA5"/>
    <w:rsid w:val="005B4CBF"/>
    <w:rsid w:val="005B4E6F"/>
    <w:rsid w:val="005B4F83"/>
    <w:rsid w:val="005B5145"/>
    <w:rsid w:val="005B548C"/>
    <w:rsid w:val="005B55E0"/>
    <w:rsid w:val="005B570F"/>
    <w:rsid w:val="005B57E5"/>
    <w:rsid w:val="005B58FA"/>
    <w:rsid w:val="005B5B25"/>
    <w:rsid w:val="005B5BCC"/>
    <w:rsid w:val="005B5C09"/>
    <w:rsid w:val="005B5C91"/>
    <w:rsid w:val="005B5CF3"/>
    <w:rsid w:val="005B5F5D"/>
    <w:rsid w:val="005B5FD8"/>
    <w:rsid w:val="005B5FE1"/>
    <w:rsid w:val="005B60BA"/>
    <w:rsid w:val="005B6181"/>
    <w:rsid w:val="005B6746"/>
    <w:rsid w:val="005B6774"/>
    <w:rsid w:val="005B686A"/>
    <w:rsid w:val="005B68D5"/>
    <w:rsid w:val="005B6A7D"/>
    <w:rsid w:val="005B6C55"/>
    <w:rsid w:val="005B6DDF"/>
    <w:rsid w:val="005B6DE1"/>
    <w:rsid w:val="005B6EF3"/>
    <w:rsid w:val="005B711D"/>
    <w:rsid w:val="005B712B"/>
    <w:rsid w:val="005B7346"/>
    <w:rsid w:val="005B74C4"/>
    <w:rsid w:val="005B74C9"/>
    <w:rsid w:val="005B74FF"/>
    <w:rsid w:val="005B7572"/>
    <w:rsid w:val="005B767B"/>
    <w:rsid w:val="005B76C8"/>
    <w:rsid w:val="005B781E"/>
    <w:rsid w:val="005B785E"/>
    <w:rsid w:val="005B78B4"/>
    <w:rsid w:val="005B79F7"/>
    <w:rsid w:val="005B7AAD"/>
    <w:rsid w:val="005B7BEA"/>
    <w:rsid w:val="005B7D03"/>
    <w:rsid w:val="005B7F27"/>
    <w:rsid w:val="005C0074"/>
    <w:rsid w:val="005C00DA"/>
    <w:rsid w:val="005C025C"/>
    <w:rsid w:val="005C0349"/>
    <w:rsid w:val="005C035A"/>
    <w:rsid w:val="005C03B6"/>
    <w:rsid w:val="005C04F8"/>
    <w:rsid w:val="005C0554"/>
    <w:rsid w:val="005C05ED"/>
    <w:rsid w:val="005C07D8"/>
    <w:rsid w:val="005C08B7"/>
    <w:rsid w:val="005C0983"/>
    <w:rsid w:val="005C0AE8"/>
    <w:rsid w:val="005C0AF8"/>
    <w:rsid w:val="005C0BBE"/>
    <w:rsid w:val="005C0C88"/>
    <w:rsid w:val="005C0DF9"/>
    <w:rsid w:val="005C0E37"/>
    <w:rsid w:val="005C0EE6"/>
    <w:rsid w:val="005C117A"/>
    <w:rsid w:val="005C1209"/>
    <w:rsid w:val="005C132C"/>
    <w:rsid w:val="005C1354"/>
    <w:rsid w:val="005C1366"/>
    <w:rsid w:val="005C145F"/>
    <w:rsid w:val="005C1460"/>
    <w:rsid w:val="005C1572"/>
    <w:rsid w:val="005C15E0"/>
    <w:rsid w:val="005C15EF"/>
    <w:rsid w:val="005C162B"/>
    <w:rsid w:val="005C1733"/>
    <w:rsid w:val="005C17F6"/>
    <w:rsid w:val="005C1A43"/>
    <w:rsid w:val="005C1AB3"/>
    <w:rsid w:val="005C1AB8"/>
    <w:rsid w:val="005C1C49"/>
    <w:rsid w:val="005C1DBE"/>
    <w:rsid w:val="005C1EB8"/>
    <w:rsid w:val="005C1ECE"/>
    <w:rsid w:val="005C1F54"/>
    <w:rsid w:val="005C1F84"/>
    <w:rsid w:val="005C1F8D"/>
    <w:rsid w:val="005C1F9E"/>
    <w:rsid w:val="005C2028"/>
    <w:rsid w:val="005C20CB"/>
    <w:rsid w:val="005C2139"/>
    <w:rsid w:val="005C21CC"/>
    <w:rsid w:val="005C2275"/>
    <w:rsid w:val="005C2357"/>
    <w:rsid w:val="005C236A"/>
    <w:rsid w:val="005C243D"/>
    <w:rsid w:val="005C2466"/>
    <w:rsid w:val="005C260C"/>
    <w:rsid w:val="005C268F"/>
    <w:rsid w:val="005C2768"/>
    <w:rsid w:val="005C2804"/>
    <w:rsid w:val="005C282C"/>
    <w:rsid w:val="005C2832"/>
    <w:rsid w:val="005C290D"/>
    <w:rsid w:val="005C2959"/>
    <w:rsid w:val="005C29CD"/>
    <w:rsid w:val="005C2A61"/>
    <w:rsid w:val="005C2AE1"/>
    <w:rsid w:val="005C2C51"/>
    <w:rsid w:val="005C2E09"/>
    <w:rsid w:val="005C2E9D"/>
    <w:rsid w:val="005C2EC3"/>
    <w:rsid w:val="005C2F2C"/>
    <w:rsid w:val="005C2FC0"/>
    <w:rsid w:val="005C307F"/>
    <w:rsid w:val="005C30DD"/>
    <w:rsid w:val="005C32A7"/>
    <w:rsid w:val="005C33FE"/>
    <w:rsid w:val="005C36A7"/>
    <w:rsid w:val="005C37DB"/>
    <w:rsid w:val="005C3A87"/>
    <w:rsid w:val="005C3AED"/>
    <w:rsid w:val="005C3AFD"/>
    <w:rsid w:val="005C3C87"/>
    <w:rsid w:val="005C3CED"/>
    <w:rsid w:val="005C3FAF"/>
    <w:rsid w:val="005C403F"/>
    <w:rsid w:val="005C4083"/>
    <w:rsid w:val="005C40F6"/>
    <w:rsid w:val="005C4455"/>
    <w:rsid w:val="005C4476"/>
    <w:rsid w:val="005C45A7"/>
    <w:rsid w:val="005C4611"/>
    <w:rsid w:val="005C49FD"/>
    <w:rsid w:val="005C4A16"/>
    <w:rsid w:val="005C4B02"/>
    <w:rsid w:val="005C4B55"/>
    <w:rsid w:val="005C4BB5"/>
    <w:rsid w:val="005C4BC8"/>
    <w:rsid w:val="005C4C63"/>
    <w:rsid w:val="005C4D01"/>
    <w:rsid w:val="005C4E00"/>
    <w:rsid w:val="005C4F01"/>
    <w:rsid w:val="005C4FF3"/>
    <w:rsid w:val="005C5458"/>
    <w:rsid w:val="005C5739"/>
    <w:rsid w:val="005C58D0"/>
    <w:rsid w:val="005C592C"/>
    <w:rsid w:val="005C5CBD"/>
    <w:rsid w:val="005C5D2E"/>
    <w:rsid w:val="005C5D9B"/>
    <w:rsid w:val="005C5DD5"/>
    <w:rsid w:val="005C5E7C"/>
    <w:rsid w:val="005C5ECC"/>
    <w:rsid w:val="005C5F10"/>
    <w:rsid w:val="005C5F95"/>
    <w:rsid w:val="005C6097"/>
    <w:rsid w:val="005C6148"/>
    <w:rsid w:val="005C620A"/>
    <w:rsid w:val="005C6215"/>
    <w:rsid w:val="005C6283"/>
    <w:rsid w:val="005C62F3"/>
    <w:rsid w:val="005C630C"/>
    <w:rsid w:val="005C631C"/>
    <w:rsid w:val="005C6387"/>
    <w:rsid w:val="005C65A3"/>
    <w:rsid w:val="005C6674"/>
    <w:rsid w:val="005C67D5"/>
    <w:rsid w:val="005C680A"/>
    <w:rsid w:val="005C685F"/>
    <w:rsid w:val="005C68BD"/>
    <w:rsid w:val="005C69BF"/>
    <w:rsid w:val="005C6A39"/>
    <w:rsid w:val="005C6B0F"/>
    <w:rsid w:val="005C6B2F"/>
    <w:rsid w:val="005C6B4D"/>
    <w:rsid w:val="005C6C47"/>
    <w:rsid w:val="005C6DE9"/>
    <w:rsid w:val="005C6E14"/>
    <w:rsid w:val="005C6E91"/>
    <w:rsid w:val="005C6EFA"/>
    <w:rsid w:val="005C6F85"/>
    <w:rsid w:val="005C70DE"/>
    <w:rsid w:val="005C7305"/>
    <w:rsid w:val="005C735C"/>
    <w:rsid w:val="005C74C5"/>
    <w:rsid w:val="005C772D"/>
    <w:rsid w:val="005C79AE"/>
    <w:rsid w:val="005C79EF"/>
    <w:rsid w:val="005C7BA5"/>
    <w:rsid w:val="005C7CD4"/>
    <w:rsid w:val="005C7D83"/>
    <w:rsid w:val="005C7DA0"/>
    <w:rsid w:val="005C7EB0"/>
    <w:rsid w:val="005C7FA2"/>
    <w:rsid w:val="005D005F"/>
    <w:rsid w:val="005D0107"/>
    <w:rsid w:val="005D0142"/>
    <w:rsid w:val="005D01A4"/>
    <w:rsid w:val="005D01F3"/>
    <w:rsid w:val="005D0282"/>
    <w:rsid w:val="005D0585"/>
    <w:rsid w:val="005D069B"/>
    <w:rsid w:val="005D06F6"/>
    <w:rsid w:val="005D0829"/>
    <w:rsid w:val="005D0890"/>
    <w:rsid w:val="005D0901"/>
    <w:rsid w:val="005D094D"/>
    <w:rsid w:val="005D097F"/>
    <w:rsid w:val="005D0B8B"/>
    <w:rsid w:val="005D0D58"/>
    <w:rsid w:val="005D0E04"/>
    <w:rsid w:val="005D0E83"/>
    <w:rsid w:val="005D0EBC"/>
    <w:rsid w:val="005D0EEF"/>
    <w:rsid w:val="005D0F22"/>
    <w:rsid w:val="005D0FF5"/>
    <w:rsid w:val="005D10E5"/>
    <w:rsid w:val="005D12A9"/>
    <w:rsid w:val="005D12FA"/>
    <w:rsid w:val="005D130D"/>
    <w:rsid w:val="005D1355"/>
    <w:rsid w:val="005D1370"/>
    <w:rsid w:val="005D1373"/>
    <w:rsid w:val="005D147D"/>
    <w:rsid w:val="005D14A9"/>
    <w:rsid w:val="005D14BC"/>
    <w:rsid w:val="005D16D0"/>
    <w:rsid w:val="005D1817"/>
    <w:rsid w:val="005D18F0"/>
    <w:rsid w:val="005D1934"/>
    <w:rsid w:val="005D1A2E"/>
    <w:rsid w:val="005D1A3A"/>
    <w:rsid w:val="005D1AE4"/>
    <w:rsid w:val="005D1D0E"/>
    <w:rsid w:val="005D1DC0"/>
    <w:rsid w:val="005D1DFA"/>
    <w:rsid w:val="005D1F2E"/>
    <w:rsid w:val="005D2000"/>
    <w:rsid w:val="005D21B2"/>
    <w:rsid w:val="005D22A5"/>
    <w:rsid w:val="005D2412"/>
    <w:rsid w:val="005D2512"/>
    <w:rsid w:val="005D262C"/>
    <w:rsid w:val="005D27BF"/>
    <w:rsid w:val="005D2825"/>
    <w:rsid w:val="005D283E"/>
    <w:rsid w:val="005D28C9"/>
    <w:rsid w:val="005D2BB3"/>
    <w:rsid w:val="005D2E09"/>
    <w:rsid w:val="005D2EA2"/>
    <w:rsid w:val="005D2F71"/>
    <w:rsid w:val="005D2FF5"/>
    <w:rsid w:val="005D30C5"/>
    <w:rsid w:val="005D32A4"/>
    <w:rsid w:val="005D32B4"/>
    <w:rsid w:val="005D34ED"/>
    <w:rsid w:val="005D3534"/>
    <w:rsid w:val="005D36C2"/>
    <w:rsid w:val="005D379B"/>
    <w:rsid w:val="005D380F"/>
    <w:rsid w:val="005D3891"/>
    <w:rsid w:val="005D39D2"/>
    <w:rsid w:val="005D3ADA"/>
    <w:rsid w:val="005D3AF8"/>
    <w:rsid w:val="005D3D19"/>
    <w:rsid w:val="005D3D42"/>
    <w:rsid w:val="005D3E9D"/>
    <w:rsid w:val="005D3F1E"/>
    <w:rsid w:val="005D40E4"/>
    <w:rsid w:val="005D4354"/>
    <w:rsid w:val="005D44BB"/>
    <w:rsid w:val="005D45CD"/>
    <w:rsid w:val="005D464E"/>
    <w:rsid w:val="005D46F3"/>
    <w:rsid w:val="005D4922"/>
    <w:rsid w:val="005D4957"/>
    <w:rsid w:val="005D4A3D"/>
    <w:rsid w:val="005D4A57"/>
    <w:rsid w:val="005D4AA3"/>
    <w:rsid w:val="005D4C11"/>
    <w:rsid w:val="005D4C66"/>
    <w:rsid w:val="005D4CE8"/>
    <w:rsid w:val="005D4D3E"/>
    <w:rsid w:val="005D4DBF"/>
    <w:rsid w:val="005D501B"/>
    <w:rsid w:val="005D51B1"/>
    <w:rsid w:val="005D532F"/>
    <w:rsid w:val="005D584B"/>
    <w:rsid w:val="005D598A"/>
    <w:rsid w:val="005D59BE"/>
    <w:rsid w:val="005D5AE5"/>
    <w:rsid w:val="005D5C38"/>
    <w:rsid w:val="005D5CE6"/>
    <w:rsid w:val="005D5DBE"/>
    <w:rsid w:val="005D5EB1"/>
    <w:rsid w:val="005D5F35"/>
    <w:rsid w:val="005D6075"/>
    <w:rsid w:val="005D60BF"/>
    <w:rsid w:val="005D62F0"/>
    <w:rsid w:val="005D63D0"/>
    <w:rsid w:val="005D64D8"/>
    <w:rsid w:val="005D6572"/>
    <w:rsid w:val="005D659C"/>
    <w:rsid w:val="005D672C"/>
    <w:rsid w:val="005D6815"/>
    <w:rsid w:val="005D6856"/>
    <w:rsid w:val="005D6863"/>
    <w:rsid w:val="005D6882"/>
    <w:rsid w:val="005D696C"/>
    <w:rsid w:val="005D6973"/>
    <w:rsid w:val="005D6C6D"/>
    <w:rsid w:val="005D6D54"/>
    <w:rsid w:val="005D6DB1"/>
    <w:rsid w:val="005D6EBA"/>
    <w:rsid w:val="005D6ED6"/>
    <w:rsid w:val="005D6F30"/>
    <w:rsid w:val="005D6F60"/>
    <w:rsid w:val="005D6F98"/>
    <w:rsid w:val="005D7004"/>
    <w:rsid w:val="005D71C2"/>
    <w:rsid w:val="005D727E"/>
    <w:rsid w:val="005D7281"/>
    <w:rsid w:val="005D72C4"/>
    <w:rsid w:val="005D72F3"/>
    <w:rsid w:val="005D72F4"/>
    <w:rsid w:val="005D7396"/>
    <w:rsid w:val="005D73F9"/>
    <w:rsid w:val="005D7586"/>
    <w:rsid w:val="005D758D"/>
    <w:rsid w:val="005D7622"/>
    <w:rsid w:val="005D764E"/>
    <w:rsid w:val="005D781C"/>
    <w:rsid w:val="005D7892"/>
    <w:rsid w:val="005D795F"/>
    <w:rsid w:val="005D79B4"/>
    <w:rsid w:val="005D79C9"/>
    <w:rsid w:val="005D7A29"/>
    <w:rsid w:val="005D7A49"/>
    <w:rsid w:val="005D7B63"/>
    <w:rsid w:val="005D7B6E"/>
    <w:rsid w:val="005D7D6D"/>
    <w:rsid w:val="005D7E12"/>
    <w:rsid w:val="005D7E20"/>
    <w:rsid w:val="005D7ECB"/>
    <w:rsid w:val="005D7FDC"/>
    <w:rsid w:val="005E0037"/>
    <w:rsid w:val="005E0068"/>
    <w:rsid w:val="005E0120"/>
    <w:rsid w:val="005E025E"/>
    <w:rsid w:val="005E02E3"/>
    <w:rsid w:val="005E0312"/>
    <w:rsid w:val="005E05B5"/>
    <w:rsid w:val="005E0677"/>
    <w:rsid w:val="005E06F4"/>
    <w:rsid w:val="005E07EB"/>
    <w:rsid w:val="005E086F"/>
    <w:rsid w:val="005E08B5"/>
    <w:rsid w:val="005E09B0"/>
    <w:rsid w:val="005E0AFE"/>
    <w:rsid w:val="005E0B37"/>
    <w:rsid w:val="005E0C0F"/>
    <w:rsid w:val="005E0DBB"/>
    <w:rsid w:val="005E0F8B"/>
    <w:rsid w:val="005E0FE2"/>
    <w:rsid w:val="005E100E"/>
    <w:rsid w:val="005E101C"/>
    <w:rsid w:val="005E113D"/>
    <w:rsid w:val="005E1145"/>
    <w:rsid w:val="005E1153"/>
    <w:rsid w:val="005E11AC"/>
    <w:rsid w:val="005E11B3"/>
    <w:rsid w:val="005E1218"/>
    <w:rsid w:val="005E1406"/>
    <w:rsid w:val="005E151F"/>
    <w:rsid w:val="005E1639"/>
    <w:rsid w:val="005E167A"/>
    <w:rsid w:val="005E171C"/>
    <w:rsid w:val="005E176E"/>
    <w:rsid w:val="005E1789"/>
    <w:rsid w:val="005E180F"/>
    <w:rsid w:val="005E185D"/>
    <w:rsid w:val="005E18FC"/>
    <w:rsid w:val="005E1962"/>
    <w:rsid w:val="005E1AE5"/>
    <w:rsid w:val="005E1B3F"/>
    <w:rsid w:val="005E1C40"/>
    <w:rsid w:val="005E1C8B"/>
    <w:rsid w:val="005E1D4C"/>
    <w:rsid w:val="005E1D73"/>
    <w:rsid w:val="005E1DA2"/>
    <w:rsid w:val="005E1E7A"/>
    <w:rsid w:val="005E1E94"/>
    <w:rsid w:val="005E1EF7"/>
    <w:rsid w:val="005E1F08"/>
    <w:rsid w:val="005E1FB9"/>
    <w:rsid w:val="005E21D2"/>
    <w:rsid w:val="005E2209"/>
    <w:rsid w:val="005E220A"/>
    <w:rsid w:val="005E22EA"/>
    <w:rsid w:val="005E2369"/>
    <w:rsid w:val="005E23EA"/>
    <w:rsid w:val="005E240D"/>
    <w:rsid w:val="005E248D"/>
    <w:rsid w:val="005E2529"/>
    <w:rsid w:val="005E2564"/>
    <w:rsid w:val="005E25F8"/>
    <w:rsid w:val="005E288C"/>
    <w:rsid w:val="005E29F8"/>
    <w:rsid w:val="005E2A62"/>
    <w:rsid w:val="005E2A96"/>
    <w:rsid w:val="005E2AEE"/>
    <w:rsid w:val="005E2AF7"/>
    <w:rsid w:val="005E2B26"/>
    <w:rsid w:val="005E2B93"/>
    <w:rsid w:val="005E2C0F"/>
    <w:rsid w:val="005E2C24"/>
    <w:rsid w:val="005E2C9D"/>
    <w:rsid w:val="005E2D71"/>
    <w:rsid w:val="005E3105"/>
    <w:rsid w:val="005E3141"/>
    <w:rsid w:val="005E31DD"/>
    <w:rsid w:val="005E3213"/>
    <w:rsid w:val="005E3251"/>
    <w:rsid w:val="005E32A3"/>
    <w:rsid w:val="005E33E1"/>
    <w:rsid w:val="005E3485"/>
    <w:rsid w:val="005E348C"/>
    <w:rsid w:val="005E36D7"/>
    <w:rsid w:val="005E3818"/>
    <w:rsid w:val="005E39C0"/>
    <w:rsid w:val="005E39EA"/>
    <w:rsid w:val="005E3B2D"/>
    <w:rsid w:val="005E3C06"/>
    <w:rsid w:val="005E3CF4"/>
    <w:rsid w:val="005E3D08"/>
    <w:rsid w:val="005E3D5A"/>
    <w:rsid w:val="005E3DBE"/>
    <w:rsid w:val="005E3F18"/>
    <w:rsid w:val="005E403E"/>
    <w:rsid w:val="005E409A"/>
    <w:rsid w:val="005E4127"/>
    <w:rsid w:val="005E4161"/>
    <w:rsid w:val="005E41C0"/>
    <w:rsid w:val="005E4218"/>
    <w:rsid w:val="005E4303"/>
    <w:rsid w:val="005E45BD"/>
    <w:rsid w:val="005E4627"/>
    <w:rsid w:val="005E4673"/>
    <w:rsid w:val="005E4696"/>
    <w:rsid w:val="005E4712"/>
    <w:rsid w:val="005E47D0"/>
    <w:rsid w:val="005E496E"/>
    <w:rsid w:val="005E4992"/>
    <w:rsid w:val="005E4B11"/>
    <w:rsid w:val="005E4B34"/>
    <w:rsid w:val="005E4BB0"/>
    <w:rsid w:val="005E4D96"/>
    <w:rsid w:val="005E4F3A"/>
    <w:rsid w:val="005E4F4F"/>
    <w:rsid w:val="005E4F99"/>
    <w:rsid w:val="005E4FCD"/>
    <w:rsid w:val="005E4FFC"/>
    <w:rsid w:val="005E5177"/>
    <w:rsid w:val="005E5234"/>
    <w:rsid w:val="005E56D1"/>
    <w:rsid w:val="005E5778"/>
    <w:rsid w:val="005E57A7"/>
    <w:rsid w:val="005E57C9"/>
    <w:rsid w:val="005E57FD"/>
    <w:rsid w:val="005E58CC"/>
    <w:rsid w:val="005E58F8"/>
    <w:rsid w:val="005E5A2C"/>
    <w:rsid w:val="005E5A85"/>
    <w:rsid w:val="005E5AEA"/>
    <w:rsid w:val="005E5DC2"/>
    <w:rsid w:val="005E614A"/>
    <w:rsid w:val="005E6177"/>
    <w:rsid w:val="005E6414"/>
    <w:rsid w:val="005E66B4"/>
    <w:rsid w:val="005E66D6"/>
    <w:rsid w:val="005E66E5"/>
    <w:rsid w:val="005E67C9"/>
    <w:rsid w:val="005E67F6"/>
    <w:rsid w:val="005E68D1"/>
    <w:rsid w:val="005E69AF"/>
    <w:rsid w:val="005E69F1"/>
    <w:rsid w:val="005E6AC2"/>
    <w:rsid w:val="005E6C38"/>
    <w:rsid w:val="005E6DA7"/>
    <w:rsid w:val="005E6DF5"/>
    <w:rsid w:val="005E6E74"/>
    <w:rsid w:val="005E7047"/>
    <w:rsid w:val="005E7176"/>
    <w:rsid w:val="005E71FA"/>
    <w:rsid w:val="005E7309"/>
    <w:rsid w:val="005E7502"/>
    <w:rsid w:val="005E7560"/>
    <w:rsid w:val="005E7725"/>
    <w:rsid w:val="005E77CE"/>
    <w:rsid w:val="005E7853"/>
    <w:rsid w:val="005E78BE"/>
    <w:rsid w:val="005E78F9"/>
    <w:rsid w:val="005E7902"/>
    <w:rsid w:val="005E7E2A"/>
    <w:rsid w:val="005E7E89"/>
    <w:rsid w:val="005E7F12"/>
    <w:rsid w:val="005F0001"/>
    <w:rsid w:val="005F00D5"/>
    <w:rsid w:val="005F01DC"/>
    <w:rsid w:val="005F04FC"/>
    <w:rsid w:val="005F053B"/>
    <w:rsid w:val="005F05BD"/>
    <w:rsid w:val="005F0677"/>
    <w:rsid w:val="005F06CE"/>
    <w:rsid w:val="005F0903"/>
    <w:rsid w:val="005F0A73"/>
    <w:rsid w:val="005F0AA8"/>
    <w:rsid w:val="005F0B43"/>
    <w:rsid w:val="005F0CD1"/>
    <w:rsid w:val="005F0E5D"/>
    <w:rsid w:val="005F0F26"/>
    <w:rsid w:val="005F11E4"/>
    <w:rsid w:val="005F1396"/>
    <w:rsid w:val="005F1517"/>
    <w:rsid w:val="005F175C"/>
    <w:rsid w:val="005F1795"/>
    <w:rsid w:val="005F179B"/>
    <w:rsid w:val="005F1828"/>
    <w:rsid w:val="005F1870"/>
    <w:rsid w:val="005F1881"/>
    <w:rsid w:val="005F18C5"/>
    <w:rsid w:val="005F18EA"/>
    <w:rsid w:val="005F196F"/>
    <w:rsid w:val="005F1996"/>
    <w:rsid w:val="005F1A24"/>
    <w:rsid w:val="005F1ABD"/>
    <w:rsid w:val="005F1D4F"/>
    <w:rsid w:val="005F1DF6"/>
    <w:rsid w:val="005F1E68"/>
    <w:rsid w:val="005F1E8A"/>
    <w:rsid w:val="005F1EC5"/>
    <w:rsid w:val="005F1EF0"/>
    <w:rsid w:val="005F1F0F"/>
    <w:rsid w:val="005F1F14"/>
    <w:rsid w:val="005F20F2"/>
    <w:rsid w:val="005F2111"/>
    <w:rsid w:val="005F21CB"/>
    <w:rsid w:val="005F21EF"/>
    <w:rsid w:val="005F25DA"/>
    <w:rsid w:val="005F270D"/>
    <w:rsid w:val="005F27AE"/>
    <w:rsid w:val="005F2827"/>
    <w:rsid w:val="005F28A8"/>
    <w:rsid w:val="005F28E6"/>
    <w:rsid w:val="005F2B6D"/>
    <w:rsid w:val="005F2C78"/>
    <w:rsid w:val="005F30F9"/>
    <w:rsid w:val="005F3161"/>
    <w:rsid w:val="005F31CE"/>
    <w:rsid w:val="005F31F8"/>
    <w:rsid w:val="005F3263"/>
    <w:rsid w:val="005F332B"/>
    <w:rsid w:val="005F3369"/>
    <w:rsid w:val="005F3473"/>
    <w:rsid w:val="005F3711"/>
    <w:rsid w:val="005F37D9"/>
    <w:rsid w:val="005F3997"/>
    <w:rsid w:val="005F3A0B"/>
    <w:rsid w:val="005F3BCE"/>
    <w:rsid w:val="005F3BEC"/>
    <w:rsid w:val="005F3CAA"/>
    <w:rsid w:val="005F3D1F"/>
    <w:rsid w:val="005F406F"/>
    <w:rsid w:val="005F4223"/>
    <w:rsid w:val="005F4227"/>
    <w:rsid w:val="005F42CA"/>
    <w:rsid w:val="005F42D6"/>
    <w:rsid w:val="005F43EA"/>
    <w:rsid w:val="005F453C"/>
    <w:rsid w:val="005F463B"/>
    <w:rsid w:val="005F4652"/>
    <w:rsid w:val="005F4663"/>
    <w:rsid w:val="005F4686"/>
    <w:rsid w:val="005F4793"/>
    <w:rsid w:val="005F4842"/>
    <w:rsid w:val="005F4973"/>
    <w:rsid w:val="005F49A8"/>
    <w:rsid w:val="005F4A1E"/>
    <w:rsid w:val="005F4A29"/>
    <w:rsid w:val="005F4BA7"/>
    <w:rsid w:val="005F4CAC"/>
    <w:rsid w:val="005F4E22"/>
    <w:rsid w:val="005F4E25"/>
    <w:rsid w:val="005F4E6C"/>
    <w:rsid w:val="005F4F0B"/>
    <w:rsid w:val="005F4F33"/>
    <w:rsid w:val="005F4FA4"/>
    <w:rsid w:val="005F51CA"/>
    <w:rsid w:val="005F52AB"/>
    <w:rsid w:val="005F52DC"/>
    <w:rsid w:val="005F52EC"/>
    <w:rsid w:val="005F545F"/>
    <w:rsid w:val="005F5674"/>
    <w:rsid w:val="005F57A2"/>
    <w:rsid w:val="005F57C6"/>
    <w:rsid w:val="005F57FB"/>
    <w:rsid w:val="005F5836"/>
    <w:rsid w:val="005F58E1"/>
    <w:rsid w:val="005F59C0"/>
    <w:rsid w:val="005F5B76"/>
    <w:rsid w:val="005F5C54"/>
    <w:rsid w:val="005F5D5B"/>
    <w:rsid w:val="005F5DE3"/>
    <w:rsid w:val="005F5E50"/>
    <w:rsid w:val="005F5EDE"/>
    <w:rsid w:val="005F5F15"/>
    <w:rsid w:val="005F606F"/>
    <w:rsid w:val="005F61AF"/>
    <w:rsid w:val="005F6640"/>
    <w:rsid w:val="005F66D1"/>
    <w:rsid w:val="005F6820"/>
    <w:rsid w:val="005F687E"/>
    <w:rsid w:val="005F6BD4"/>
    <w:rsid w:val="005F6DD5"/>
    <w:rsid w:val="005F6E7C"/>
    <w:rsid w:val="005F6E98"/>
    <w:rsid w:val="005F701A"/>
    <w:rsid w:val="005F70E1"/>
    <w:rsid w:val="005F728C"/>
    <w:rsid w:val="005F75D2"/>
    <w:rsid w:val="005F7734"/>
    <w:rsid w:val="005F7904"/>
    <w:rsid w:val="005F7917"/>
    <w:rsid w:val="005F7A84"/>
    <w:rsid w:val="005F7A88"/>
    <w:rsid w:val="005F7AAB"/>
    <w:rsid w:val="005F7AC7"/>
    <w:rsid w:val="005F7DB8"/>
    <w:rsid w:val="005F7E97"/>
    <w:rsid w:val="005F7F3C"/>
    <w:rsid w:val="006000D6"/>
    <w:rsid w:val="00600151"/>
    <w:rsid w:val="00600216"/>
    <w:rsid w:val="0060034F"/>
    <w:rsid w:val="00600530"/>
    <w:rsid w:val="006005D1"/>
    <w:rsid w:val="00600762"/>
    <w:rsid w:val="0060093C"/>
    <w:rsid w:val="00600A7E"/>
    <w:rsid w:val="00600B48"/>
    <w:rsid w:val="00600B8E"/>
    <w:rsid w:val="00600BBA"/>
    <w:rsid w:val="00600CF3"/>
    <w:rsid w:val="00600D81"/>
    <w:rsid w:val="00600E99"/>
    <w:rsid w:val="00600F79"/>
    <w:rsid w:val="006010D9"/>
    <w:rsid w:val="00601253"/>
    <w:rsid w:val="00601281"/>
    <w:rsid w:val="006012B6"/>
    <w:rsid w:val="00601342"/>
    <w:rsid w:val="00601385"/>
    <w:rsid w:val="006013C2"/>
    <w:rsid w:val="006013E4"/>
    <w:rsid w:val="0060158C"/>
    <w:rsid w:val="00601689"/>
    <w:rsid w:val="0060173E"/>
    <w:rsid w:val="00601814"/>
    <w:rsid w:val="006018F0"/>
    <w:rsid w:val="00601954"/>
    <w:rsid w:val="00601B7E"/>
    <w:rsid w:val="00601DA4"/>
    <w:rsid w:val="00601F10"/>
    <w:rsid w:val="0060214A"/>
    <w:rsid w:val="00602218"/>
    <w:rsid w:val="00602235"/>
    <w:rsid w:val="006023DD"/>
    <w:rsid w:val="0060241A"/>
    <w:rsid w:val="0060243A"/>
    <w:rsid w:val="0060243B"/>
    <w:rsid w:val="006025B3"/>
    <w:rsid w:val="0060265B"/>
    <w:rsid w:val="0060273A"/>
    <w:rsid w:val="006028AF"/>
    <w:rsid w:val="00602917"/>
    <w:rsid w:val="0060291A"/>
    <w:rsid w:val="00602A24"/>
    <w:rsid w:val="00602A6E"/>
    <w:rsid w:val="00602C2B"/>
    <w:rsid w:val="00602D69"/>
    <w:rsid w:val="00602ECE"/>
    <w:rsid w:val="00602F1F"/>
    <w:rsid w:val="00603107"/>
    <w:rsid w:val="00603122"/>
    <w:rsid w:val="00603168"/>
    <w:rsid w:val="00603244"/>
    <w:rsid w:val="006032B2"/>
    <w:rsid w:val="0060333E"/>
    <w:rsid w:val="006033B3"/>
    <w:rsid w:val="00603420"/>
    <w:rsid w:val="006034A0"/>
    <w:rsid w:val="0060368B"/>
    <w:rsid w:val="006036AB"/>
    <w:rsid w:val="00603754"/>
    <w:rsid w:val="00603839"/>
    <w:rsid w:val="006038D2"/>
    <w:rsid w:val="00603913"/>
    <w:rsid w:val="0060394B"/>
    <w:rsid w:val="00603A8F"/>
    <w:rsid w:val="00603CC2"/>
    <w:rsid w:val="00603CF5"/>
    <w:rsid w:val="00603F6C"/>
    <w:rsid w:val="00604036"/>
    <w:rsid w:val="006040E8"/>
    <w:rsid w:val="006041A4"/>
    <w:rsid w:val="006041FD"/>
    <w:rsid w:val="0060427B"/>
    <w:rsid w:val="00604323"/>
    <w:rsid w:val="00604361"/>
    <w:rsid w:val="00604408"/>
    <w:rsid w:val="0060441B"/>
    <w:rsid w:val="0060442F"/>
    <w:rsid w:val="0060449A"/>
    <w:rsid w:val="006044BB"/>
    <w:rsid w:val="00604623"/>
    <w:rsid w:val="00604653"/>
    <w:rsid w:val="00604678"/>
    <w:rsid w:val="006046D4"/>
    <w:rsid w:val="006046F2"/>
    <w:rsid w:val="00604730"/>
    <w:rsid w:val="006047E8"/>
    <w:rsid w:val="006048D6"/>
    <w:rsid w:val="006048D7"/>
    <w:rsid w:val="0060491B"/>
    <w:rsid w:val="00604B26"/>
    <w:rsid w:val="00604B27"/>
    <w:rsid w:val="00604C46"/>
    <w:rsid w:val="00604C5D"/>
    <w:rsid w:val="00604E5E"/>
    <w:rsid w:val="00604EC5"/>
    <w:rsid w:val="00604FDA"/>
    <w:rsid w:val="006050E8"/>
    <w:rsid w:val="00605100"/>
    <w:rsid w:val="00605178"/>
    <w:rsid w:val="00605186"/>
    <w:rsid w:val="00605346"/>
    <w:rsid w:val="00605375"/>
    <w:rsid w:val="006053AD"/>
    <w:rsid w:val="006053D2"/>
    <w:rsid w:val="006055AA"/>
    <w:rsid w:val="006055E8"/>
    <w:rsid w:val="006057DF"/>
    <w:rsid w:val="006057F9"/>
    <w:rsid w:val="006059FC"/>
    <w:rsid w:val="00605A5C"/>
    <w:rsid w:val="00605A5D"/>
    <w:rsid w:val="00605A6B"/>
    <w:rsid w:val="00605AD5"/>
    <w:rsid w:val="00605C15"/>
    <w:rsid w:val="00605C32"/>
    <w:rsid w:val="00605CAF"/>
    <w:rsid w:val="00605CE0"/>
    <w:rsid w:val="00605D95"/>
    <w:rsid w:val="00605E53"/>
    <w:rsid w:val="00605F24"/>
    <w:rsid w:val="00605F5D"/>
    <w:rsid w:val="00605FE7"/>
    <w:rsid w:val="00606022"/>
    <w:rsid w:val="0060609B"/>
    <w:rsid w:val="0060610D"/>
    <w:rsid w:val="0060622B"/>
    <w:rsid w:val="0060624C"/>
    <w:rsid w:val="00606261"/>
    <w:rsid w:val="00606300"/>
    <w:rsid w:val="00606310"/>
    <w:rsid w:val="00606364"/>
    <w:rsid w:val="00606962"/>
    <w:rsid w:val="006069A4"/>
    <w:rsid w:val="006069F9"/>
    <w:rsid w:val="00606B85"/>
    <w:rsid w:val="00606BA9"/>
    <w:rsid w:val="00606C01"/>
    <w:rsid w:val="00606C49"/>
    <w:rsid w:val="00606D59"/>
    <w:rsid w:val="00606EB2"/>
    <w:rsid w:val="00606EF7"/>
    <w:rsid w:val="006070F5"/>
    <w:rsid w:val="0060714A"/>
    <w:rsid w:val="006071D0"/>
    <w:rsid w:val="006071FB"/>
    <w:rsid w:val="006074EE"/>
    <w:rsid w:val="006075C3"/>
    <w:rsid w:val="006076C4"/>
    <w:rsid w:val="006076DB"/>
    <w:rsid w:val="006076FB"/>
    <w:rsid w:val="0060790F"/>
    <w:rsid w:val="0060792B"/>
    <w:rsid w:val="0060797B"/>
    <w:rsid w:val="0060798D"/>
    <w:rsid w:val="006079FC"/>
    <w:rsid w:val="00607A2D"/>
    <w:rsid w:val="00607A8D"/>
    <w:rsid w:val="00607B7E"/>
    <w:rsid w:val="00607D16"/>
    <w:rsid w:val="00607D1E"/>
    <w:rsid w:val="00607DAE"/>
    <w:rsid w:val="00607DF9"/>
    <w:rsid w:val="00607E41"/>
    <w:rsid w:val="00607F76"/>
    <w:rsid w:val="00607FD1"/>
    <w:rsid w:val="006100BC"/>
    <w:rsid w:val="006100DB"/>
    <w:rsid w:val="006101B7"/>
    <w:rsid w:val="0061028E"/>
    <w:rsid w:val="006102CD"/>
    <w:rsid w:val="00610322"/>
    <w:rsid w:val="00610328"/>
    <w:rsid w:val="00610341"/>
    <w:rsid w:val="00610399"/>
    <w:rsid w:val="00610459"/>
    <w:rsid w:val="00610481"/>
    <w:rsid w:val="006104E5"/>
    <w:rsid w:val="006105D1"/>
    <w:rsid w:val="0061067B"/>
    <w:rsid w:val="0061069E"/>
    <w:rsid w:val="00610749"/>
    <w:rsid w:val="00610799"/>
    <w:rsid w:val="006107F7"/>
    <w:rsid w:val="00610BBE"/>
    <w:rsid w:val="00610CB4"/>
    <w:rsid w:val="00610E2B"/>
    <w:rsid w:val="00610FB0"/>
    <w:rsid w:val="006110C9"/>
    <w:rsid w:val="00611176"/>
    <w:rsid w:val="006111F8"/>
    <w:rsid w:val="00611214"/>
    <w:rsid w:val="0061122E"/>
    <w:rsid w:val="00611524"/>
    <w:rsid w:val="006115AA"/>
    <w:rsid w:val="006115B2"/>
    <w:rsid w:val="006117B9"/>
    <w:rsid w:val="006117D7"/>
    <w:rsid w:val="00611878"/>
    <w:rsid w:val="0061190E"/>
    <w:rsid w:val="00611CF2"/>
    <w:rsid w:val="00611D17"/>
    <w:rsid w:val="00611D2B"/>
    <w:rsid w:val="00612053"/>
    <w:rsid w:val="0061208C"/>
    <w:rsid w:val="006120AD"/>
    <w:rsid w:val="006120C4"/>
    <w:rsid w:val="006120E5"/>
    <w:rsid w:val="00612264"/>
    <w:rsid w:val="00612432"/>
    <w:rsid w:val="00612468"/>
    <w:rsid w:val="00612583"/>
    <w:rsid w:val="00612687"/>
    <w:rsid w:val="006126DF"/>
    <w:rsid w:val="006127B6"/>
    <w:rsid w:val="006127F6"/>
    <w:rsid w:val="00612845"/>
    <w:rsid w:val="0061294C"/>
    <w:rsid w:val="006129A6"/>
    <w:rsid w:val="006129EA"/>
    <w:rsid w:val="00612A30"/>
    <w:rsid w:val="00612A31"/>
    <w:rsid w:val="00612C0B"/>
    <w:rsid w:val="00612D12"/>
    <w:rsid w:val="00612DEA"/>
    <w:rsid w:val="00612E59"/>
    <w:rsid w:val="00612F08"/>
    <w:rsid w:val="00612FB5"/>
    <w:rsid w:val="00613012"/>
    <w:rsid w:val="0061306E"/>
    <w:rsid w:val="006131A2"/>
    <w:rsid w:val="006132DC"/>
    <w:rsid w:val="00613407"/>
    <w:rsid w:val="006134BF"/>
    <w:rsid w:val="006135F7"/>
    <w:rsid w:val="006136D7"/>
    <w:rsid w:val="006136EE"/>
    <w:rsid w:val="00613775"/>
    <w:rsid w:val="006137E5"/>
    <w:rsid w:val="0061393C"/>
    <w:rsid w:val="0061395C"/>
    <w:rsid w:val="00613990"/>
    <w:rsid w:val="00613A72"/>
    <w:rsid w:val="00613A82"/>
    <w:rsid w:val="00613AC6"/>
    <w:rsid w:val="00613B2B"/>
    <w:rsid w:val="00613BE4"/>
    <w:rsid w:val="00613BFF"/>
    <w:rsid w:val="00613C4B"/>
    <w:rsid w:val="00613C58"/>
    <w:rsid w:val="00613CDE"/>
    <w:rsid w:val="00613D69"/>
    <w:rsid w:val="00613DC5"/>
    <w:rsid w:val="00613E62"/>
    <w:rsid w:val="00613EC5"/>
    <w:rsid w:val="006140AE"/>
    <w:rsid w:val="006143EE"/>
    <w:rsid w:val="00614415"/>
    <w:rsid w:val="00614453"/>
    <w:rsid w:val="006145A4"/>
    <w:rsid w:val="006145A7"/>
    <w:rsid w:val="006146E1"/>
    <w:rsid w:val="006147D8"/>
    <w:rsid w:val="006147FF"/>
    <w:rsid w:val="00614902"/>
    <w:rsid w:val="006149F7"/>
    <w:rsid w:val="00614A6E"/>
    <w:rsid w:val="00614AC8"/>
    <w:rsid w:val="00614BEE"/>
    <w:rsid w:val="00614D2C"/>
    <w:rsid w:val="00614D48"/>
    <w:rsid w:val="00614D61"/>
    <w:rsid w:val="00614E2D"/>
    <w:rsid w:val="00614F12"/>
    <w:rsid w:val="00614F15"/>
    <w:rsid w:val="00614F51"/>
    <w:rsid w:val="0061532E"/>
    <w:rsid w:val="006153BD"/>
    <w:rsid w:val="006153EC"/>
    <w:rsid w:val="006156BB"/>
    <w:rsid w:val="00615BA3"/>
    <w:rsid w:val="00615BB7"/>
    <w:rsid w:val="00615F75"/>
    <w:rsid w:val="00615FF6"/>
    <w:rsid w:val="0061612B"/>
    <w:rsid w:val="00616188"/>
    <w:rsid w:val="00616211"/>
    <w:rsid w:val="00616222"/>
    <w:rsid w:val="006162FD"/>
    <w:rsid w:val="00616446"/>
    <w:rsid w:val="00616589"/>
    <w:rsid w:val="0061668B"/>
    <w:rsid w:val="006167CA"/>
    <w:rsid w:val="0061680C"/>
    <w:rsid w:val="006168B1"/>
    <w:rsid w:val="006168C4"/>
    <w:rsid w:val="006169C6"/>
    <w:rsid w:val="006169DE"/>
    <w:rsid w:val="00616A94"/>
    <w:rsid w:val="00616AC9"/>
    <w:rsid w:val="00616B2B"/>
    <w:rsid w:val="00616B81"/>
    <w:rsid w:val="00616BEC"/>
    <w:rsid w:val="00616EB4"/>
    <w:rsid w:val="00616F4B"/>
    <w:rsid w:val="00616FB8"/>
    <w:rsid w:val="00617164"/>
    <w:rsid w:val="006171C2"/>
    <w:rsid w:val="0061728E"/>
    <w:rsid w:val="006172F3"/>
    <w:rsid w:val="00617341"/>
    <w:rsid w:val="00617357"/>
    <w:rsid w:val="00617395"/>
    <w:rsid w:val="006173A8"/>
    <w:rsid w:val="006173EA"/>
    <w:rsid w:val="00617568"/>
    <w:rsid w:val="006176DB"/>
    <w:rsid w:val="00617706"/>
    <w:rsid w:val="0061770A"/>
    <w:rsid w:val="0061785F"/>
    <w:rsid w:val="0061786B"/>
    <w:rsid w:val="00617967"/>
    <w:rsid w:val="00617A44"/>
    <w:rsid w:val="00617A70"/>
    <w:rsid w:val="00617A7C"/>
    <w:rsid w:val="00617A90"/>
    <w:rsid w:val="00617CC9"/>
    <w:rsid w:val="00617F15"/>
    <w:rsid w:val="00617F18"/>
    <w:rsid w:val="00617F84"/>
    <w:rsid w:val="0062022B"/>
    <w:rsid w:val="006203DC"/>
    <w:rsid w:val="00620595"/>
    <w:rsid w:val="0062059C"/>
    <w:rsid w:val="006205B4"/>
    <w:rsid w:val="0062089A"/>
    <w:rsid w:val="0062090E"/>
    <w:rsid w:val="00620A67"/>
    <w:rsid w:val="00620A77"/>
    <w:rsid w:val="00620A7A"/>
    <w:rsid w:val="00620CEC"/>
    <w:rsid w:val="00620D39"/>
    <w:rsid w:val="00620DFA"/>
    <w:rsid w:val="0062118A"/>
    <w:rsid w:val="00621277"/>
    <w:rsid w:val="006212AC"/>
    <w:rsid w:val="006214BB"/>
    <w:rsid w:val="0062154A"/>
    <w:rsid w:val="006215D1"/>
    <w:rsid w:val="0062169C"/>
    <w:rsid w:val="00621868"/>
    <w:rsid w:val="00621882"/>
    <w:rsid w:val="0062191E"/>
    <w:rsid w:val="00621925"/>
    <w:rsid w:val="0062196E"/>
    <w:rsid w:val="00621B0F"/>
    <w:rsid w:val="00621B4B"/>
    <w:rsid w:val="00621EDA"/>
    <w:rsid w:val="00621F2E"/>
    <w:rsid w:val="00621F9E"/>
    <w:rsid w:val="00621FC5"/>
    <w:rsid w:val="00621FD1"/>
    <w:rsid w:val="0062205D"/>
    <w:rsid w:val="00622113"/>
    <w:rsid w:val="00622202"/>
    <w:rsid w:val="0062221B"/>
    <w:rsid w:val="006222CD"/>
    <w:rsid w:val="00622410"/>
    <w:rsid w:val="006224EF"/>
    <w:rsid w:val="00622524"/>
    <w:rsid w:val="0062253B"/>
    <w:rsid w:val="00622602"/>
    <w:rsid w:val="00622644"/>
    <w:rsid w:val="0062264E"/>
    <w:rsid w:val="0062274B"/>
    <w:rsid w:val="006227C8"/>
    <w:rsid w:val="00622936"/>
    <w:rsid w:val="00622A09"/>
    <w:rsid w:val="00622B05"/>
    <w:rsid w:val="00622C77"/>
    <w:rsid w:val="00622EAD"/>
    <w:rsid w:val="00622EC3"/>
    <w:rsid w:val="00623244"/>
    <w:rsid w:val="0062340E"/>
    <w:rsid w:val="006234A8"/>
    <w:rsid w:val="0062355A"/>
    <w:rsid w:val="0062368C"/>
    <w:rsid w:val="00623828"/>
    <w:rsid w:val="0062387B"/>
    <w:rsid w:val="0062391E"/>
    <w:rsid w:val="00623B80"/>
    <w:rsid w:val="00623B8B"/>
    <w:rsid w:val="00623BFA"/>
    <w:rsid w:val="00623C8C"/>
    <w:rsid w:val="00623D42"/>
    <w:rsid w:val="00623DA0"/>
    <w:rsid w:val="00623DD0"/>
    <w:rsid w:val="00623E92"/>
    <w:rsid w:val="00623F81"/>
    <w:rsid w:val="00623FA1"/>
    <w:rsid w:val="0062413F"/>
    <w:rsid w:val="006241E1"/>
    <w:rsid w:val="0062422B"/>
    <w:rsid w:val="006242C7"/>
    <w:rsid w:val="00624328"/>
    <w:rsid w:val="0062433B"/>
    <w:rsid w:val="0062439F"/>
    <w:rsid w:val="00624401"/>
    <w:rsid w:val="006244FD"/>
    <w:rsid w:val="0062459B"/>
    <w:rsid w:val="0062468C"/>
    <w:rsid w:val="006247BB"/>
    <w:rsid w:val="006247BD"/>
    <w:rsid w:val="0062498A"/>
    <w:rsid w:val="00624B13"/>
    <w:rsid w:val="00624D06"/>
    <w:rsid w:val="00624D7B"/>
    <w:rsid w:val="00624EC7"/>
    <w:rsid w:val="00624ECA"/>
    <w:rsid w:val="006250D9"/>
    <w:rsid w:val="0062522D"/>
    <w:rsid w:val="006252D0"/>
    <w:rsid w:val="006252FB"/>
    <w:rsid w:val="006253E5"/>
    <w:rsid w:val="0062545F"/>
    <w:rsid w:val="00625463"/>
    <w:rsid w:val="006254BF"/>
    <w:rsid w:val="006254C3"/>
    <w:rsid w:val="006254CB"/>
    <w:rsid w:val="006255A2"/>
    <w:rsid w:val="00625602"/>
    <w:rsid w:val="00625621"/>
    <w:rsid w:val="0062575A"/>
    <w:rsid w:val="006257B4"/>
    <w:rsid w:val="00625840"/>
    <w:rsid w:val="00625852"/>
    <w:rsid w:val="006258AA"/>
    <w:rsid w:val="00625B57"/>
    <w:rsid w:val="00625C3A"/>
    <w:rsid w:val="00625D22"/>
    <w:rsid w:val="00625D97"/>
    <w:rsid w:val="00626027"/>
    <w:rsid w:val="00626070"/>
    <w:rsid w:val="00626327"/>
    <w:rsid w:val="006263F8"/>
    <w:rsid w:val="00626434"/>
    <w:rsid w:val="006265DE"/>
    <w:rsid w:val="006268FB"/>
    <w:rsid w:val="00626926"/>
    <w:rsid w:val="00626E3D"/>
    <w:rsid w:val="00626FDC"/>
    <w:rsid w:val="00627001"/>
    <w:rsid w:val="00627037"/>
    <w:rsid w:val="006270BB"/>
    <w:rsid w:val="006270F7"/>
    <w:rsid w:val="00627113"/>
    <w:rsid w:val="00627266"/>
    <w:rsid w:val="00627348"/>
    <w:rsid w:val="00627707"/>
    <w:rsid w:val="00627771"/>
    <w:rsid w:val="0062778B"/>
    <w:rsid w:val="00627795"/>
    <w:rsid w:val="006277E9"/>
    <w:rsid w:val="00627ABD"/>
    <w:rsid w:val="00627AC0"/>
    <w:rsid w:val="00627B6D"/>
    <w:rsid w:val="00627B94"/>
    <w:rsid w:val="00627C01"/>
    <w:rsid w:val="00627C9A"/>
    <w:rsid w:val="00627D52"/>
    <w:rsid w:val="00627FBC"/>
    <w:rsid w:val="00630044"/>
    <w:rsid w:val="00630114"/>
    <w:rsid w:val="00630119"/>
    <w:rsid w:val="006301DD"/>
    <w:rsid w:val="00630208"/>
    <w:rsid w:val="0063026C"/>
    <w:rsid w:val="0063029F"/>
    <w:rsid w:val="00630391"/>
    <w:rsid w:val="00630435"/>
    <w:rsid w:val="00630479"/>
    <w:rsid w:val="006304DE"/>
    <w:rsid w:val="006305C3"/>
    <w:rsid w:val="0063069C"/>
    <w:rsid w:val="006306AC"/>
    <w:rsid w:val="006306AD"/>
    <w:rsid w:val="00630AC6"/>
    <w:rsid w:val="00630AE4"/>
    <w:rsid w:val="00630C25"/>
    <w:rsid w:val="00630CC1"/>
    <w:rsid w:val="00630D5A"/>
    <w:rsid w:val="00630F14"/>
    <w:rsid w:val="0063113C"/>
    <w:rsid w:val="0063119B"/>
    <w:rsid w:val="006312AD"/>
    <w:rsid w:val="00631307"/>
    <w:rsid w:val="0063142C"/>
    <w:rsid w:val="0063152B"/>
    <w:rsid w:val="006316BF"/>
    <w:rsid w:val="006319C1"/>
    <w:rsid w:val="00631A50"/>
    <w:rsid w:val="00631BB7"/>
    <w:rsid w:val="00631BE2"/>
    <w:rsid w:val="00631CA2"/>
    <w:rsid w:val="00631D3F"/>
    <w:rsid w:val="00631DA3"/>
    <w:rsid w:val="00631F0F"/>
    <w:rsid w:val="00632017"/>
    <w:rsid w:val="006320AB"/>
    <w:rsid w:val="00632180"/>
    <w:rsid w:val="006321EA"/>
    <w:rsid w:val="0063232D"/>
    <w:rsid w:val="00632374"/>
    <w:rsid w:val="006323B6"/>
    <w:rsid w:val="00632427"/>
    <w:rsid w:val="006324F8"/>
    <w:rsid w:val="006324FB"/>
    <w:rsid w:val="0063255F"/>
    <w:rsid w:val="00632609"/>
    <w:rsid w:val="00632671"/>
    <w:rsid w:val="00632787"/>
    <w:rsid w:val="00632970"/>
    <w:rsid w:val="0063298E"/>
    <w:rsid w:val="006329D0"/>
    <w:rsid w:val="006329D4"/>
    <w:rsid w:val="00632AC4"/>
    <w:rsid w:val="00632D3E"/>
    <w:rsid w:val="00632DEA"/>
    <w:rsid w:val="00632E31"/>
    <w:rsid w:val="00632E3B"/>
    <w:rsid w:val="00632EC6"/>
    <w:rsid w:val="00632FAF"/>
    <w:rsid w:val="0063303C"/>
    <w:rsid w:val="00633049"/>
    <w:rsid w:val="0063305C"/>
    <w:rsid w:val="0063318C"/>
    <w:rsid w:val="006332B8"/>
    <w:rsid w:val="006333C8"/>
    <w:rsid w:val="006334D5"/>
    <w:rsid w:val="006336EE"/>
    <w:rsid w:val="00633775"/>
    <w:rsid w:val="00633812"/>
    <w:rsid w:val="006338B9"/>
    <w:rsid w:val="00633C74"/>
    <w:rsid w:val="00633DDE"/>
    <w:rsid w:val="00633F75"/>
    <w:rsid w:val="00633FE2"/>
    <w:rsid w:val="00634063"/>
    <w:rsid w:val="006341B8"/>
    <w:rsid w:val="006342BD"/>
    <w:rsid w:val="006343B8"/>
    <w:rsid w:val="006346FE"/>
    <w:rsid w:val="0063480F"/>
    <w:rsid w:val="006348A7"/>
    <w:rsid w:val="00634997"/>
    <w:rsid w:val="00634A8D"/>
    <w:rsid w:val="00634ACF"/>
    <w:rsid w:val="00634BA1"/>
    <w:rsid w:val="00634C75"/>
    <w:rsid w:val="00634D05"/>
    <w:rsid w:val="00634E69"/>
    <w:rsid w:val="00634E85"/>
    <w:rsid w:val="00634F82"/>
    <w:rsid w:val="00634FE0"/>
    <w:rsid w:val="00634FF0"/>
    <w:rsid w:val="0063510F"/>
    <w:rsid w:val="00635148"/>
    <w:rsid w:val="0063514A"/>
    <w:rsid w:val="0063523C"/>
    <w:rsid w:val="00635359"/>
    <w:rsid w:val="006355DC"/>
    <w:rsid w:val="00635637"/>
    <w:rsid w:val="006356DA"/>
    <w:rsid w:val="0063577B"/>
    <w:rsid w:val="00635821"/>
    <w:rsid w:val="006358F0"/>
    <w:rsid w:val="00635A0F"/>
    <w:rsid w:val="00635C30"/>
    <w:rsid w:val="00635D9E"/>
    <w:rsid w:val="00635DA7"/>
    <w:rsid w:val="00635EB3"/>
    <w:rsid w:val="00635FDF"/>
    <w:rsid w:val="006360AC"/>
    <w:rsid w:val="00636136"/>
    <w:rsid w:val="0063613F"/>
    <w:rsid w:val="00636141"/>
    <w:rsid w:val="0063623F"/>
    <w:rsid w:val="00636589"/>
    <w:rsid w:val="006367A9"/>
    <w:rsid w:val="006368ED"/>
    <w:rsid w:val="00636A3E"/>
    <w:rsid w:val="00636B04"/>
    <w:rsid w:val="00636BAF"/>
    <w:rsid w:val="00636C77"/>
    <w:rsid w:val="00636DB1"/>
    <w:rsid w:val="00636DDB"/>
    <w:rsid w:val="00636E2A"/>
    <w:rsid w:val="00636F81"/>
    <w:rsid w:val="00637060"/>
    <w:rsid w:val="0063713E"/>
    <w:rsid w:val="00637149"/>
    <w:rsid w:val="006373B2"/>
    <w:rsid w:val="006373BF"/>
    <w:rsid w:val="0063740D"/>
    <w:rsid w:val="0063747E"/>
    <w:rsid w:val="00637519"/>
    <w:rsid w:val="0063757E"/>
    <w:rsid w:val="00637587"/>
    <w:rsid w:val="006376A6"/>
    <w:rsid w:val="006377B0"/>
    <w:rsid w:val="006377EB"/>
    <w:rsid w:val="00637851"/>
    <w:rsid w:val="006378E1"/>
    <w:rsid w:val="00637B49"/>
    <w:rsid w:val="00637B89"/>
    <w:rsid w:val="00637C12"/>
    <w:rsid w:val="00637C42"/>
    <w:rsid w:val="00637DDA"/>
    <w:rsid w:val="00637F51"/>
    <w:rsid w:val="00637F96"/>
    <w:rsid w:val="00640000"/>
    <w:rsid w:val="006401C9"/>
    <w:rsid w:val="006402E1"/>
    <w:rsid w:val="006403D2"/>
    <w:rsid w:val="0064049D"/>
    <w:rsid w:val="00640ACF"/>
    <w:rsid w:val="00640B93"/>
    <w:rsid w:val="00640BA0"/>
    <w:rsid w:val="00640BFF"/>
    <w:rsid w:val="00640CBB"/>
    <w:rsid w:val="00640E5B"/>
    <w:rsid w:val="00640E70"/>
    <w:rsid w:val="00640F29"/>
    <w:rsid w:val="00641063"/>
    <w:rsid w:val="0064111E"/>
    <w:rsid w:val="006412A9"/>
    <w:rsid w:val="006413C1"/>
    <w:rsid w:val="00641470"/>
    <w:rsid w:val="0064156B"/>
    <w:rsid w:val="006417C1"/>
    <w:rsid w:val="006417CC"/>
    <w:rsid w:val="006417F2"/>
    <w:rsid w:val="00641882"/>
    <w:rsid w:val="0064189E"/>
    <w:rsid w:val="00641B41"/>
    <w:rsid w:val="00641CC6"/>
    <w:rsid w:val="00641D9C"/>
    <w:rsid w:val="00641E07"/>
    <w:rsid w:val="00641E41"/>
    <w:rsid w:val="006420DC"/>
    <w:rsid w:val="00642194"/>
    <w:rsid w:val="00642252"/>
    <w:rsid w:val="006422F2"/>
    <w:rsid w:val="00642305"/>
    <w:rsid w:val="006423DF"/>
    <w:rsid w:val="006424AB"/>
    <w:rsid w:val="0064253F"/>
    <w:rsid w:val="00642626"/>
    <w:rsid w:val="00642818"/>
    <w:rsid w:val="00642838"/>
    <w:rsid w:val="00642A61"/>
    <w:rsid w:val="00642ABB"/>
    <w:rsid w:val="00642BF5"/>
    <w:rsid w:val="00642C42"/>
    <w:rsid w:val="00642E70"/>
    <w:rsid w:val="00642E9D"/>
    <w:rsid w:val="006430F3"/>
    <w:rsid w:val="006434F6"/>
    <w:rsid w:val="006436BE"/>
    <w:rsid w:val="006437BD"/>
    <w:rsid w:val="0064394C"/>
    <w:rsid w:val="00643A59"/>
    <w:rsid w:val="00643D24"/>
    <w:rsid w:val="00643F8E"/>
    <w:rsid w:val="00643F8F"/>
    <w:rsid w:val="00644006"/>
    <w:rsid w:val="00644086"/>
    <w:rsid w:val="0064421A"/>
    <w:rsid w:val="00644260"/>
    <w:rsid w:val="00644284"/>
    <w:rsid w:val="00644398"/>
    <w:rsid w:val="006444DE"/>
    <w:rsid w:val="006447B8"/>
    <w:rsid w:val="006447E7"/>
    <w:rsid w:val="006448B8"/>
    <w:rsid w:val="00644BB6"/>
    <w:rsid w:val="00644BC7"/>
    <w:rsid w:val="00644F53"/>
    <w:rsid w:val="006450A1"/>
    <w:rsid w:val="006451F1"/>
    <w:rsid w:val="006453FE"/>
    <w:rsid w:val="00645527"/>
    <w:rsid w:val="00645551"/>
    <w:rsid w:val="00645564"/>
    <w:rsid w:val="00645B4A"/>
    <w:rsid w:val="00645D49"/>
    <w:rsid w:val="00645D6F"/>
    <w:rsid w:val="00645DB0"/>
    <w:rsid w:val="00645E2F"/>
    <w:rsid w:val="00645E33"/>
    <w:rsid w:val="00645E3C"/>
    <w:rsid w:val="00645EEA"/>
    <w:rsid w:val="00646041"/>
    <w:rsid w:val="00646078"/>
    <w:rsid w:val="006464DC"/>
    <w:rsid w:val="00646695"/>
    <w:rsid w:val="00646737"/>
    <w:rsid w:val="0064676C"/>
    <w:rsid w:val="006467BF"/>
    <w:rsid w:val="0064684A"/>
    <w:rsid w:val="00646921"/>
    <w:rsid w:val="00646AD5"/>
    <w:rsid w:val="00646D23"/>
    <w:rsid w:val="00646D78"/>
    <w:rsid w:val="00646DEE"/>
    <w:rsid w:val="00646F37"/>
    <w:rsid w:val="0064700B"/>
    <w:rsid w:val="00647016"/>
    <w:rsid w:val="00647035"/>
    <w:rsid w:val="00647042"/>
    <w:rsid w:val="00647061"/>
    <w:rsid w:val="006470E0"/>
    <w:rsid w:val="006470EB"/>
    <w:rsid w:val="006471B9"/>
    <w:rsid w:val="006471EF"/>
    <w:rsid w:val="0064723D"/>
    <w:rsid w:val="006472DB"/>
    <w:rsid w:val="006475B9"/>
    <w:rsid w:val="00647614"/>
    <w:rsid w:val="0064770C"/>
    <w:rsid w:val="00647764"/>
    <w:rsid w:val="00647842"/>
    <w:rsid w:val="00647867"/>
    <w:rsid w:val="00647893"/>
    <w:rsid w:val="00647A73"/>
    <w:rsid w:val="00647C2A"/>
    <w:rsid w:val="00647CB8"/>
    <w:rsid w:val="00647ED4"/>
    <w:rsid w:val="00647EEA"/>
    <w:rsid w:val="00647F86"/>
    <w:rsid w:val="00650225"/>
    <w:rsid w:val="006503CC"/>
    <w:rsid w:val="0065057B"/>
    <w:rsid w:val="0065067B"/>
    <w:rsid w:val="006507BB"/>
    <w:rsid w:val="006508D2"/>
    <w:rsid w:val="00650A7A"/>
    <w:rsid w:val="00650B92"/>
    <w:rsid w:val="00650C11"/>
    <w:rsid w:val="00650C80"/>
    <w:rsid w:val="00650D65"/>
    <w:rsid w:val="00650D9B"/>
    <w:rsid w:val="006510C8"/>
    <w:rsid w:val="0065125F"/>
    <w:rsid w:val="006513F1"/>
    <w:rsid w:val="006514F6"/>
    <w:rsid w:val="00651700"/>
    <w:rsid w:val="006517EC"/>
    <w:rsid w:val="00651885"/>
    <w:rsid w:val="006518A5"/>
    <w:rsid w:val="006518E7"/>
    <w:rsid w:val="006519EC"/>
    <w:rsid w:val="00651B1D"/>
    <w:rsid w:val="00651CB2"/>
    <w:rsid w:val="00651D68"/>
    <w:rsid w:val="00651E6F"/>
    <w:rsid w:val="00652049"/>
    <w:rsid w:val="006520C1"/>
    <w:rsid w:val="0065223D"/>
    <w:rsid w:val="0065224E"/>
    <w:rsid w:val="006522AF"/>
    <w:rsid w:val="00652309"/>
    <w:rsid w:val="0065230A"/>
    <w:rsid w:val="00652396"/>
    <w:rsid w:val="006523CE"/>
    <w:rsid w:val="006524B3"/>
    <w:rsid w:val="006524BB"/>
    <w:rsid w:val="006524E7"/>
    <w:rsid w:val="006526E3"/>
    <w:rsid w:val="00652721"/>
    <w:rsid w:val="0065283B"/>
    <w:rsid w:val="006528C4"/>
    <w:rsid w:val="006528CE"/>
    <w:rsid w:val="006529BF"/>
    <w:rsid w:val="00652A4C"/>
    <w:rsid w:val="00652C12"/>
    <w:rsid w:val="00652C30"/>
    <w:rsid w:val="00652E29"/>
    <w:rsid w:val="00652F0F"/>
    <w:rsid w:val="00652F29"/>
    <w:rsid w:val="00652F8F"/>
    <w:rsid w:val="00652FCF"/>
    <w:rsid w:val="00653096"/>
    <w:rsid w:val="0065314E"/>
    <w:rsid w:val="006532A9"/>
    <w:rsid w:val="00653477"/>
    <w:rsid w:val="006534C5"/>
    <w:rsid w:val="006535D4"/>
    <w:rsid w:val="0065370B"/>
    <w:rsid w:val="00653791"/>
    <w:rsid w:val="006538AA"/>
    <w:rsid w:val="006538D9"/>
    <w:rsid w:val="00653AB7"/>
    <w:rsid w:val="00653C84"/>
    <w:rsid w:val="00653E1D"/>
    <w:rsid w:val="00653E94"/>
    <w:rsid w:val="00653EBD"/>
    <w:rsid w:val="00653F46"/>
    <w:rsid w:val="00653F9F"/>
    <w:rsid w:val="0065418D"/>
    <w:rsid w:val="0065425C"/>
    <w:rsid w:val="006542B2"/>
    <w:rsid w:val="006543B2"/>
    <w:rsid w:val="00654531"/>
    <w:rsid w:val="00654858"/>
    <w:rsid w:val="00654889"/>
    <w:rsid w:val="006548E7"/>
    <w:rsid w:val="006549A6"/>
    <w:rsid w:val="006549F9"/>
    <w:rsid w:val="00654A5F"/>
    <w:rsid w:val="00654B62"/>
    <w:rsid w:val="00654B83"/>
    <w:rsid w:val="00654BF5"/>
    <w:rsid w:val="00654C7C"/>
    <w:rsid w:val="00654F5E"/>
    <w:rsid w:val="0065507F"/>
    <w:rsid w:val="00655201"/>
    <w:rsid w:val="0065536C"/>
    <w:rsid w:val="0065541B"/>
    <w:rsid w:val="00655428"/>
    <w:rsid w:val="00655430"/>
    <w:rsid w:val="006555ED"/>
    <w:rsid w:val="0065567F"/>
    <w:rsid w:val="006556F8"/>
    <w:rsid w:val="006557F4"/>
    <w:rsid w:val="006557FD"/>
    <w:rsid w:val="00655C7F"/>
    <w:rsid w:val="00655C86"/>
    <w:rsid w:val="00656259"/>
    <w:rsid w:val="0065628C"/>
    <w:rsid w:val="006563C2"/>
    <w:rsid w:val="00656503"/>
    <w:rsid w:val="006565B4"/>
    <w:rsid w:val="006565E2"/>
    <w:rsid w:val="006566D6"/>
    <w:rsid w:val="006568E0"/>
    <w:rsid w:val="00656B37"/>
    <w:rsid w:val="00656E39"/>
    <w:rsid w:val="00657091"/>
    <w:rsid w:val="006572DE"/>
    <w:rsid w:val="0065734D"/>
    <w:rsid w:val="00657488"/>
    <w:rsid w:val="00657641"/>
    <w:rsid w:val="0065776C"/>
    <w:rsid w:val="006578C9"/>
    <w:rsid w:val="00657A49"/>
    <w:rsid w:val="00657C0A"/>
    <w:rsid w:val="00657E94"/>
    <w:rsid w:val="00657EBB"/>
    <w:rsid w:val="00657F74"/>
    <w:rsid w:val="0066001B"/>
    <w:rsid w:val="006600B8"/>
    <w:rsid w:val="0066028A"/>
    <w:rsid w:val="006602AF"/>
    <w:rsid w:val="00660319"/>
    <w:rsid w:val="0066035A"/>
    <w:rsid w:val="00660413"/>
    <w:rsid w:val="006604DF"/>
    <w:rsid w:val="00660687"/>
    <w:rsid w:val="006606D1"/>
    <w:rsid w:val="00660826"/>
    <w:rsid w:val="00660849"/>
    <w:rsid w:val="0066093F"/>
    <w:rsid w:val="00660955"/>
    <w:rsid w:val="006609CC"/>
    <w:rsid w:val="006609F0"/>
    <w:rsid w:val="00660B32"/>
    <w:rsid w:val="00660CA8"/>
    <w:rsid w:val="00660CE5"/>
    <w:rsid w:val="00660D7B"/>
    <w:rsid w:val="00660E6E"/>
    <w:rsid w:val="00660E9A"/>
    <w:rsid w:val="00661048"/>
    <w:rsid w:val="0066150B"/>
    <w:rsid w:val="00661515"/>
    <w:rsid w:val="00661525"/>
    <w:rsid w:val="0066158E"/>
    <w:rsid w:val="006615E4"/>
    <w:rsid w:val="00661742"/>
    <w:rsid w:val="0066197C"/>
    <w:rsid w:val="006619C5"/>
    <w:rsid w:val="00661A01"/>
    <w:rsid w:val="00661AE2"/>
    <w:rsid w:val="00661C3F"/>
    <w:rsid w:val="00661D12"/>
    <w:rsid w:val="00661DB6"/>
    <w:rsid w:val="00661FA3"/>
    <w:rsid w:val="00662084"/>
    <w:rsid w:val="006620B2"/>
    <w:rsid w:val="006622EE"/>
    <w:rsid w:val="00662402"/>
    <w:rsid w:val="0066255F"/>
    <w:rsid w:val="00662569"/>
    <w:rsid w:val="006625C1"/>
    <w:rsid w:val="00662690"/>
    <w:rsid w:val="0066269D"/>
    <w:rsid w:val="006626D4"/>
    <w:rsid w:val="00662868"/>
    <w:rsid w:val="006628AE"/>
    <w:rsid w:val="006628C7"/>
    <w:rsid w:val="0066292F"/>
    <w:rsid w:val="006629CC"/>
    <w:rsid w:val="00662A04"/>
    <w:rsid w:val="00662ABF"/>
    <w:rsid w:val="00662AFA"/>
    <w:rsid w:val="00662C16"/>
    <w:rsid w:val="00662C75"/>
    <w:rsid w:val="00662C95"/>
    <w:rsid w:val="00662D56"/>
    <w:rsid w:val="00662EEF"/>
    <w:rsid w:val="00662F63"/>
    <w:rsid w:val="006632DB"/>
    <w:rsid w:val="006633A1"/>
    <w:rsid w:val="006634E9"/>
    <w:rsid w:val="006635F0"/>
    <w:rsid w:val="0066361F"/>
    <w:rsid w:val="00663692"/>
    <w:rsid w:val="00663879"/>
    <w:rsid w:val="00663C0C"/>
    <w:rsid w:val="00663C4F"/>
    <w:rsid w:val="00663D3B"/>
    <w:rsid w:val="00663E20"/>
    <w:rsid w:val="00663EC4"/>
    <w:rsid w:val="00663F8C"/>
    <w:rsid w:val="00663FB0"/>
    <w:rsid w:val="00664131"/>
    <w:rsid w:val="006641C3"/>
    <w:rsid w:val="0066423C"/>
    <w:rsid w:val="0066432D"/>
    <w:rsid w:val="0066442D"/>
    <w:rsid w:val="006644BB"/>
    <w:rsid w:val="00664569"/>
    <w:rsid w:val="00664870"/>
    <w:rsid w:val="0066487C"/>
    <w:rsid w:val="00664903"/>
    <w:rsid w:val="0066493B"/>
    <w:rsid w:val="006649DC"/>
    <w:rsid w:val="006649F3"/>
    <w:rsid w:val="00664C48"/>
    <w:rsid w:val="00664F50"/>
    <w:rsid w:val="00664FDF"/>
    <w:rsid w:val="0066507A"/>
    <w:rsid w:val="006650D6"/>
    <w:rsid w:val="0066513F"/>
    <w:rsid w:val="0066519C"/>
    <w:rsid w:val="00665297"/>
    <w:rsid w:val="006652F3"/>
    <w:rsid w:val="00665436"/>
    <w:rsid w:val="0066543F"/>
    <w:rsid w:val="00665484"/>
    <w:rsid w:val="0066561A"/>
    <w:rsid w:val="00665620"/>
    <w:rsid w:val="0066566E"/>
    <w:rsid w:val="00665786"/>
    <w:rsid w:val="006657DA"/>
    <w:rsid w:val="0066585F"/>
    <w:rsid w:val="0066593F"/>
    <w:rsid w:val="006659FD"/>
    <w:rsid w:val="00665A89"/>
    <w:rsid w:val="00665BD3"/>
    <w:rsid w:val="00665BFF"/>
    <w:rsid w:val="00665DF5"/>
    <w:rsid w:val="00665F53"/>
    <w:rsid w:val="0066606F"/>
    <w:rsid w:val="006660E3"/>
    <w:rsid w:val="00666100"/>
    <w:rsid w:val="0066635A"/>
    <w:rsid w:val="0066636C"/>
    <w:rsid w:val="006663C5"/>
    <w:rsid w:val="0066654C"/>
    <w:rsid w:val="006666BC"/>
    <w:rsid w:val="00666815"/>
    <w:rsid w:val="00666A80"/>
    <w:rsid w:val="00666B28"/>
    <w:rsid w:val="00666CCC"/>
    <w:rsid w:val="00666DD5"/>
    <w:rsid w:val="00666E68"/>
    <w:rsid w:val="00666EFD"/>
    <w:rsid w:val="00666F48"/>
    <w:rsid w:val="00666F56"/>
    <w:rsid w:val="00666F6E"/>
    <w:rsid w:val="00666F73"/>
    <w:rsid w:val="00666FAB"/>
    <w:rsid w:val="006670A0"/>
    <w:rsid w:val="006671F4"/>
    <w:rsid w:val="0066726A"/>
    <w:rsid w:val="0066732B"/>
    <w:rsid w:val="00667394"/>
    <w:rsid w:val="006673ED"/>
    <w:rsid w:val="006675A1"/>
    <w:rsid w:val="006675B3"/>
    <w:rsid w:val="006675D1"/>
    <w:rsid w:val="00667630"/>
    <w:rsid w:val="0066795E"/>
    <w:rsid w:val="00667B72"/>
    <w:rsid w:val="00667BBC"/>
    <w:rsid w:val="00667C25"/>
    <w:rsid w:val="00667C8F"/>
    <w:rsid w:val="00667FC6"/>
    <w:rsid w:val="0067007F"/>
    <w:rsid w:val="0067008D"/>
    <w:rsid w:val="00670300"/>
    <w:rsid w:val="00670420"/>
    <w:rsid w:val="00670489"/>
    <w:rsid w:val="006705A4"/>
    <w:rsid w:val="006705D2"/>
    <w:rsid w:val="00670615"/>
    <w:rsid w:val="00670678"/>
    <w:rsid w:val="006706D1"/>
    <w:rsid w:val="0067075B"/>
    <w:rsid w:val="00670809"/>
    <w:rsid w:val="00670844"/>
    <w:rsid w:val="0067091F"/>
    <w:rsid w:val="00670B07"/>
    <w:rsid w:val="00670B19"/>
    <w:rsid w:val="00670B89"/>
    <w:rsid w:val="00670B97"/>
    <w:rsid w:val="00670BB2"/>
    <w:rsid w:val="00670BE2"/>
    <w:rsid w:val="00670D1D"/>
    <w:rsid w:val="00670D41"/>
    <w:rsid w:val="00670E22"/>
    <w:rsid w:val="00670FD6"/>
    <w:rsid w:val="00671170"/>
    <w:rsid w:val="00671236"/>
    <w:rsid w:val="00671242"/>
    <w:rsid w:val="0067136A"/>
    <w:rsid w:val="00671500"/>
    <w:rsid w:val="00671603"/>
    <w:rsid w:val="006716CC"/>
    <w:rsid w:val="006716FB"/>
    <w:rsid w:val="006718E4"/>
    <w:rsid w:val="0067198B"/>
    <w:rsid w:val="00671A66"/>
    <w:rsid w:val="00671B16"/>
    <w:rsid w:val="00671B29"/>
    <w:rsid w:val="00671B99"/>
    <w:rsid w:val="00671BDA"/>
    <w:rsid w:val="00671D22"/>
    <w:rsid w:val="00671DC4"/>
    <w:rsid w:val="00671E7D"/>
    <w:rsid w:val="00671E99"/>
    <w:rsid w:val="00671EFC"/>
    <w:rsid w:val="00672096"/>
    <w:rsid w:val="00672218"/>
    <w:rsid w:val="006723D4"/>
    <w:rsid w:val="006723F9"/>
    <w:rsid w:val="00672612"/>
    <w:rsid w:val="0067281D"/>
    <w:rsid w:val="0067281E"/>
    <w:rsid w:val="0067285B"/>
    <w:rsid w:val="00672AAD"/>
    <w:rsid w:val="00672B52"/>
    <w:rsid w:val="00672C05"/>
    <w:rsid w:val="00672D7D"/>
    <w:rsid w:val="00672D9C"/>
    <w:rsid w:val="00672E2C"/>
    <w:rsid w:val="0067300A"/>
    <w:rsid w:val="0067309B"/>
    <w:rsid w:val="006731F7"/>
    <w:rsid w:val="00673256"/>
    <w:rsid w:val="0067335A"/>
    <w:rsid w:val="0067345E"/>
    <w:rsid w:val="00673507"/>
    <w:rsid w:val="006735CE"/>
    <w:rsid w:val="00673679"/>
    <w:rsid w:val="0067371A"/>
    <w:rsid w:val="006739BF"/>
    <w:rsid w:val="006739D4"/>
    <w:rsid w:val="00673D7F"/>
    <w:rsid w:val="00673E78"/>
    <w:rsid w:val="00673EB7"/>
    <w:rsid w:val="00673F5C"/>
    <w:rsid w:val="00674025"/>
    <w:rsid w:val="00674089"/>
    <w:rsid w:val="0067416F"/>
    <w:rsid w:val="00674180"/>
    <w:rsid w:val="0067421D"/>
    <w:rsid w:val="00674229"/>
    <w:rsid w:val="00674531"/>
    <w:rsid w:val="0067465D"/>
    <w:rsid w:val="006747EF"/>
    <w:rsid w:val="006747F8"/>
    <w:rsid w:val="00674821"/>
    <w:rsid w:val="006749F7"/>
    <w:rsid w:val="00674A04"/>
    <w:rsid w:val="00674D72"/>
    <w:rsid w:val="00674E82"/>
    <w:rsid w:val="00674EB5"/>
    <w:rsid w:val="00674EF4"/>
    <w:rsid w:val="00674F14"/>
    <w:rsid w:val="00674F65"/>
    <w:rsid w:val="00674F7B"/>
    <w:rsid w:val="00675059"/>
    <w:rsid w:val="00675122"/>
    <w:rsid w:val="00675149"/>
    <w:rsid w:val="00675181"/>
    <w:rsid w:val="0067531E"/>
    <w:rsid w:val="00675545"/>
    <w:rsid w:val="006755E3"/>
    <w:rsid w:val="00675759"/>
    <w:rsid w:val="00675799"/>
    <w:rsid w:val="0067579F"/>
    <w:rsid w:val="006758A9"/>
    <w:rsid w:val="006758E7"/>
    <w:rsid w:val="00675934"/>
    <w:rsid w:val="00675A90"/>
    <w:rsid w:val="00675BAC"/>
    <w:rsid w:val="00675BF7"/>
    <w:rsid w:val="00675DB0"/>
    <w:rsid w:val="00675DD5"/>
    <w:rsid w:val="00675DF1"/>
    <w:rsid w:val="00675FB6"/>
    <w:rsid w:val="00675FEA"/>
    <w:rsid w:val="00676024"/>
    <w:rsid w:val="0067605E"/>
    <w:rsid w:val="00676067"/>
    <w:rsid w:val="006760C5"/>
    <w:rsid w:val="0067610F"/>
    <w:rsid w:val="00676329"/>
    <w:rsid w:val="00676401"/>
    <w:rsid w:val="0067642E"/>
    <w:rsid w:val="00676432"/>
    <w:rsid w:val="006765E7"/>
    <w:rsid w:val="00676B75"/>
    <w:rsid w:val="00676BFE"/>
    <w:rsid w:val="00676E89"/>
    <w:rsid w:val="00676F56"/>
    <w:rsid w:val="00676FBE"/>
    <w:rsid w:val="00676FCD"/>
    <w:rsid w:val="00676FFE"/>
    <w:rsid w:val="0067709E"/>
    <w:rsid w:val="0067714D"/>
    <w:rsid w:val="0067717D"/>
    <w:rsid w:val="00677236"/>
    <w:rsid w:val="00677238"/>
    <w:rsid w:val="00677318"/>
    <w:rsid w:val="006773A0"/>
    <w:rsid w:val="00677551"/>
    <w:rsid w:val="00677555"/>
    <w:rsid w:val="0067765C"/>
    <w:rsid w:val="00677822"/>
    <w:rsid w:val="0067784B"/>
    <w:rsid w:val="006779D8"/>
    <w:rsid w:val="006779E5"/>
    <w:rsid w:val="00677D3A"/>
    <w:rsid w:val="00677F17"/>
    <w:rsid w:val="006802BB"/>
    <w:rsid w:val="00680300"/>
    <w:rsid w:val="00680329"/>
    <w:rsid w:val="00680365"/>
    <w:rsid w:val="006803F2"/>
    <w:rsid w:val="006806AB"/>
    <w:rsid w:val="0068086A"/>
    <w:rsid w:val="00680998"/>
    <w:rsid w:val="006809F6"/>
    <w:rsid w:val="00680A1E"/>
    <w:rsid w:val="00680AC9"/>
    <w:rsid w:val="00680BF8"/>
    <w:rsid w:val="00680C10"/>
    <w:rsid w:val="00680C18"/>
    <w:rsid w:val="00680C78"/>
    <w:rsid w:val="00680CAC"/>
    <w:rsid w:val="00680F1B"/>
    <w:rsid w:val="00681054"/>
    <w:rsid w:val="00681191"/>
    <w:rsid w:val="006811E9"/>
    <w:rsid w:val="00681298"/>
    <w:rsid w:val="006812EC"/>
    <w:rsid w:val="00681313"/>
    <w:rsid w:val="006813B4"/>
    <w:rsid w:val="0068155B"/>
    <w:rsid w:val="006815A6"/>
    <w:rsid w:val="00681679"/>
    <w:rsid w:val="00681731"/>
    <w:rsid w:val="00681785"/>
    <w:rsid w:val="0068179E"/>
    <w:rsid w:val="006817A1"/>
    <w:rsid w:val="006817CD"/>
    <w:rsid w:val="006817E5"/>
    <w:rsid w:val="00681805"/>
    <w:rsid w:val="00681888"/>
    <w:rsid w:val="00681977"/>
    <w:rsid w:val="00681B59"/>
    <w:rsid w:val="00681BF5"/>
    <w:rsid w:val="00681BF9"/>
    <w:rsid w:val="00681C34"/>
    <w:rsid w:val="00681C51"/>
    <w:rsid w:val="00681CBF"/>
    <w:rsid w:val="00682083"/>
    <w:rsid w:val="006822F7"/>
    <w:rsid w:val="0068246A"/>
    <w:rsid w:val="0068247B"/>
    <w:rsid w:val="006824FF"/>
    <w:rsid w:val="0068265E"/>
    <w:rsid w:val="006827D2"/>
    <w:rsid w:val="006829E8"/>
    <w:rsid w:val="006829F9"/>
    <w:rsid w:val="00682A5D"/>
    <w:rsid w:val="00682B93"/>
    <w:rsid w:val="00682D29"/>
    <w:rsid w:val="00682F36"/>
    <w:rsid w:val="00683003"/>
    <w:rsid w:val="0068301A"/>
    <w:rsid w:val="00683025"/>
    <w:rsid w:val="00683169"/>
    <w:rsid w:val="006831AF"/>
    <w:rsid w:val="00683241"/>
    <w:rsid w:val="006832B0"/>
    <w:rsid w:val="006834C6"/>
    <w:rsid w:val="00683597"/>
    <w:rsid w:val="0068364D"/>
    <w:rsid w:val="006836C3"/>
    <w:rsid w:val="00683707"/>
    <w:rsid w:val="00683780"/>
    <w:rsid w:val="0068382E"/>
    <w:rsid w:val="006839C0"/>
    <w:rsid w:val="00683B60"/>
    <w:rsid w:val="00683C33"/>
    <w:rsid w:val="00683E32"/>
    <w:rsid w:val="00683F77"/>
    <w:rsid w:val="00684009"/>
    <w:rsid w:val="0068429C"/>
    <w:rsid w:val="006842CA"/>
    <w:rsid w:val="00684341"/>
    <w:rsid w:val="0068434F"/>
    <w:rsid w:val="006843F0"/>
    <w:rsid w:val="00684643"/>
    <w:rsid w:val="00684670"/>
    <w:rsid w:val="0068471B"/>
    <w:rsid w:val="00684B35"/>
    <w:rsid w:val="00684B95"/>
    <w:rsid w:val="00684C20"/>
    <w:rsid w:val="00684C3A"/>
    <w:rsid w:val="00684CD1"/>
    <w:rsid w:val="00684CE2"/>
    <w:rsid w:val="00684CE4"/>
    <w:rsid w:val="00684DD9"/>
    <w:rsid w:val="00684F31"/>
    <w:rsid w:val="00684F87"/>
    <w:rsid w:val="00684FCA"/>
    <w:rsid w:val="0068509C"/>
    <w:rsid w:val="006850C5"/>
    <w:rsid w:val="006851EE"/>
    <w:rsid w:val="0068521A"/>
    <w:rsid w:val="00685448"/>
    <w:rsid w:val="00685489"/>
    <w:rsid w:val="006855E9"/>
    <w:rsid w:val="006856D0"/>
    <w:rsid w:val="006856E7"/>
    <w:rsid w:val="006856FC"/>
    <w:rsid w:val="00685754"/>
    <w:rsid w:val="006858DA"/>
    <w:rsid w:val="00685979"/>
    <w:rsid w:val="00685AE6"/>
    <w:rsid w:val="00685AF1"/>
    <w:rsid w:val="00685C4B"/>
    <w:rsid w:val="006861AE"/>
    <w:rsid w:val="00686253"/>
    <w:rsid w:val="006862B7"/>
    <w:rsid w:val="006862B9"/>
    <w:rsid w:val="006862E0"/>
    <w:rsid w:val="0068633F"/>
    <w:rsid w:val="0068638C"/>
    <w:rsid w:val="006864D3"/>
    <w:rsid w:val="0068650F"/>
    <w:rsid w:val="00686669"/>
    <w:rsid w:val="00686699"/>
    <w:rsid w:val="006867FF"/>
    <w:rsid w:val="0068690C"/>
    <w:rsid w:val="00686B21"/>
    <w:rsid w:val="00686BD6"/>
    <w:rsid w:val="00686DF6"/>
    <w:rsid w:val="00686EF6"/>
    <w:rsid w:val="00686F80"/>
    <w:rsid w:val="0068708E"/>
    <w:rsid w:val="006870E0"/>
    <w:rsid w:val="00687160"/>
    <w:rsid w:val="0068728B"/>
    <w:rsid w:val="00687310"/>
    <w:rsid w:val="00687370"/>
    <w:rsid w:val="0068741D"/>
    <w:rsid w:val="00687490"/>
    <w:rsid w:val="00687502"/>
    <w:rsid w:val="006877C1"/>
    <w:rsid w:val="006877C9"/>
    <w:rsid w:val="006879A4"/>
    <w:rsid w:val="00687C35"/>
    <w:rsid w:val="00687CB5"/>
    <w:rsid w:val="00687CF6"/>
    <w:rsid w:val="00687DA2"/>
    <w:rsid w:val="00687DFE"/>
    <w:rsid w:val="00687F04"/>
    <w:rsid w:val="00687F11"/>
    <w:rsid w:val="00687F24"/>
    <w:rsid w:val="006900E3"/>
    <w:rsid w:val="0069016C"/>
    <w:rsid w:val="006901AD"/>
    <w:rsid w:val="00690259"/>
    <w:rsid w:val="0069027B"/>
    <w:rsid w:val="006902AD"/>
    <w:rsid w:val="00690325"/>
    <w:rsid w:val="006903F5"/>
    <w:rsid w:val="006904B7"/>
    <w:rsid w:val="006905A0"/>
    <w:rsid w:val="00690612"/>
    <w:rsid w:val="00690620"/>
    <w:rsid w:val="0069066D"/>
    <w:rsid w:val="00690793"/>
    <w:rsid w:val="006907BA"/>
    <w:rsid w:val="00690831"/>
    <w:rsid w:val="00690B86"/>
    <w:rsid w:val="00690BD9"/>
    <w:rsid w:val="00690C61"/>
    <w:rsid w:val="00690C7E"/>
    <w:rsid w:val="00690E92"/>
    <w:rsid w:val="00690EC5"/>
    <w:rsid w:val="00690F16"/>
    <w:rsid w:val="00691089"/>
    <w:rsid w:val="0069110A"/>
    <w:rsid w:val="00691193"/>
    <w:rsid w:val="00691365"/>
    <w:rsid w:val="00691393"/>
    <w:rsid w:val="006914AA"/>
    <w:rsid w:val="00691552"/>
    <w:rsid w:val="006915A4"/>
    <w:rsid w:val="00691862"/>
    <w:rsid w:val="0069187C"/>
    <w:rsid w:val="00691B8A"/>
    <w:rsid w:val="00691BB4"/>
    <w:rsid w:val="00691BDC"/>
    <w:rsid w:val="00691C1D"/>
    <w:rsid w:val="00691CD0"/>
    <w:rsid w:val="00691D1B"/>
    <w:rsid w:val="00691DD8"/>
    <w:rsid w:val="00691E50"/>
    <w:rsid w:val="00691EBA"/>
    <w:rsid w:val="00691EC0"/>
    <w:rsid w:val="00692060"/>
    <w:rsid w:val="006921A2"/>
    <w:rsid w:val="006923E4"/>
    <w:rsid w:val="0069243B"/>
    <w:rsid w:val="00692498"/>
    <w:rsid w:val="0069274E"/>
    <w:rsid w:val="00692B65"/>
    <w:rsid w:val="00692CE7"/>
    <w:rsid w:val="00692D41"/>
    <w:rsid w:val="00692EF9"/>
    <w:rsid w:val="00692F7C"/>
    <w:rsid w:val="00692FCA"/>
    <w:rsid w:val="00692FEC"/>
    <w:rsid w:val="0069302D"/>
    <w:rsid w:val="0069304A"/>
    <w:rsid w:val="006931D0"/>
    <w:rsid w:val="0069322D"/>
    <w:rsid w:val="0069329D"/>
    <w:rsid w:val="00693311"/>
    <w:rsid w:val="00693464"/>
    <w:rsid w:val="0069347C"/>
    <w:rsid w:val="0069358A"/>
    <w:rsid w:val="00693683"/>
    <w:rsid w:val="0069373D"/>
    <w:rsid w:val="0069398B"/>
    <w:rsid w:val="006939E3"/>
    <w:rsid w:val="00693AAF"/>
    <w:rsid w:val="00693AF3"/>
    <w:rsid w:val="00693C3E"/>
    <w:rsid w:val="00693CAA"/>
    <w:rsid w:val="00693D58"/>
    <w:rsid w:val="00693E2C"/>
    <w:rsid w:val="00694050"/>
    <w:rsid w:val="006941BF"/>
    <w:rsid w:val="006943DD"/>
    <w:rsid w:val="00694407"/>
    <w:rsid w:val="00694460"/>
    <w:rsid w:val="006944A9"/>
    <w:rsid w:val="006945FF"/>
    <w:rsid w:val="006947D5"/>
    <w:rsid w:val="00694859"/>
    <w:rsid w:val="006948BB"/>
    <w:rsid w:val="006949BC"/>
    <w:rsid w:val="006949D5"/>
    <w:rsid w:val="00694AFB"/>
    <w:rsid w:val="00694C66"/>
    <w:rsid w:val="00694DCD"/>
    <w:rsid w:val="00694E2E"/>
    <w:rsid w:val="00694F31"/>
    <w:rsid w:val="00694F3D"/>
    <w:rsid w:val="00694FB8"/>
    <w:rsid w:val="00695031"/>
    <w:rsid w:val="00695183"/>
    <w:rsid w:val="0069540E"/>
    <w:rsid w:val="006954E7"/>
    <w:rsid w:val="006954EC"/>
    <w:rsid w:val="0069560C"/>
    <w:rsid w:val="00695688"/>
    <w:rsid w:val="006956B7"/>
    <w:rsid w:val="006956FC"/>
    <w:rsid w:val="006957BB"/>
    <w:rsid w:val="006957CF"/>
    <w:rsid w:val="006957FF"/>
    <w:rsid w:val="006958E4"/>
    <w:rsid w:val="00695A86"/>
    <w:rsid w:val="00695C07"/>
    <w:rsid w:val="00695C29"/>
    <w:rsid w:val="00695C47"/>
    <w:rsid w:val="00695CAF"/>
    <w:rsid w:val="00695E0B"/>
    <w:rsid w:val="00695F52"/>
    <w:rsid w:val="006960C8"/>
    <w:rsid w:val="0069618A"/>
    <w:rsid w:val="00696233"/>
    <w:rsid w:val="0069634F"/>
    <w:rsid w:val="00696653"/>
    <w:rsid w:val="00696807"/>
    <w:rsid w:val="006969D4"/>
    <w:rsid w:val="00696BCA"/>
    <w:rsid w:val="00696BE3"/>
    <w:rsid w:val="00696FF1"/>
    <w:rsid w:val="00697010"/>
    <w:rsid w:val="0069711B"/>
    <w:rsid w:val="00697508"/>
    <w:rsid w:val="00697587"/>
    <w:rsid w:val="006976E7"/>
    <w:rsid w:val="00697837"/>
    <w:rsid w:val="0069790B"/>
    <w:rsid w:val="00697A86"/>
    <w:rsid w:val="00697B14"/>
    <w:rsid w:val="00697C32"/>
    <w:rsid w:val="00697D70"/>
    <w:rsid w:val="00697DED"/>
    <w:rsid w:val="00697E5A"/>
    <w:rsid w:val="00697EA8"/>
    <w:rsid w:val="006A0046"/>
    <w:rsid w:val="006A005C"/>
    <w:rsid w:val="006A01EB"/>
    <w:rsid w:val="006A0305"/>
    <w:rsid w:val="006A042F"/>
    <w:rsid w:val="006A04B7"/>
    <w:rsid w:val="006A04CF"/>
    <w:rsid w:val="006A0558"/>
    <w:rsid w:val="006A05FE"/>
    <w:rsid w:val="006A0610"/>
    <w:rsid w:val="006A06B6"/>
    <w:rsid w:val="006A06E5"/>
    <w:rsid w:val="006A0702"/>
    <w:rsid w:val="006A07F5"/>
    <w:rsid w:val="006A0821"/>
    <w:rsid w:val="006A089D"/>
    <w:rsid w:val="006A0A5C"/>
    <w:rsid w:val="006A0AB4"/>
    <w:rsid w:val="006A0AC8"/>
    <w:rsid w:val="006A0B01"/>
    <w:rsid w:val="006A0B66"/>
    <w:rsid w:val="006A0DE0"/>
    <w:rsid w:val="006A0DF2"/>
    <w:rsid w:val="006A0E48"/>
    <w:rsid w:val="006A0F22"/>
    <w:rsid w:val="006A0FFC"/>
    <w:rsid w:val="006A1385"/>
    <w:rsid w:val="006A14B9"/>
    <w:rsid w:val="006A15E4"/>
    <w:rsid w:val="006A1624"/>
    <w:rsid w:val="006A165A"/>
    <w:rsid w:val="006A17A7"/>
    <w:rsid w:val="006A19FA"/>
    <w:rsid w:val="006A1AC4"/>
    <w:rsid w:val="006A1AE0"/>
    <w:rsid w:val="006A1B08"/>
    <w:rsid w:val="006A1B2F"/>
    <w:rsid w:val="006A1BFC"/>
    <w:rsid w:val="006A1D83"/>
    <w:rsid w:val="006A203B"/>
    <w:rsid w:val="006A203E"/>
    <w:rsid w:val="006A209A"/>
    <w:rsid w:val="006A228A"/>
    <w:rsid w:val="006A22BB"/>
    <w:rsid w:val="006A2339"/>
    <w:rsid w:val="006A24A1"/>
    <w:rsid w:val="006A2961"/>
    <w:rsid w:val="006A2ACF"/>
    <w:rsid w:val="006A2B06"/>
    <w:rsid w:val="006A2B65"/>
    <w:rsid w:val="006A2CE3"/>
    <w:rsid w:val="006A2D0D"/>
    <w:rsid w:val="006A2D89"/>
    <w:rsid w:val="006A2F4C"/>
    <w:rsid w:val="006A2F9A"/>
    <w:rsid w:val="006A2F9F"/>
    <w:rsid w:val="006A30FD"/>
    <w:rsid w:val="006A3133"/>
    <w:rsid w:val="006A337C"/>
    <w:rsid w:val="006A33A6"/>
    <w:rsid w:val="006A347C"/>
    <w:rsid w:val="006A34CE"/>
    <w:rsid w:val="006A36E0"/>
    <w:rsid w:val="006A376E"/>
    <w:rsid w:val="006A37C5"/>
    <w:rsid w:val="006A3956"/>
    <w:rsid w:val="006A39A6"/>
    <w:rsid w:val="006A39DD"/>
    <w:rsid w:val="006A3A7A"/>
    <w:rsid w:val="006A3B3E"/>
    <w:rsid w:val="006A3D0A"/>
    <w:rsid w:val="006A3DA5"/>
    <w:rsid w:val="006A3DDE"/>
    <w:rsid w:val="006A3E02"/>
    <w:rsid w:val="006A3EA3"/>
    <w:rsid w:val="006A4241"/>
    <w:rsid w:val="006A435B"/>
    <w:rsid w:val="006A458D"/>
    <w:rsid w:val="006A46A2"/>
    <w:rsid w:val="006A4813"/>
    <w:rsid w:val="006A4A44"/>
    <w:rsid w:val="006A4A4B"/>
    <w:rsid w:val="006A4ACE"/>
    <w:rsid w:val="006A4AFE"/>
    <w:rsid w:val="006A4B01"/>
    <w:rsid w:val="006A4BDA"/>
    <w:rsid w:val="006A4C5F"/>
    <w:rsid w:val="006A4CDA"/>
    <w:rsid w:val="006A4D4F"/>
    <w:rsid w:val="006A4DD4"/>
    <w:rsid w:val="006A4E4A"/>
    <w:rsid w:val="006A4F26"/>
    <w:rsid w:val="006A4F6E"/>
    <w:rsid w:val="006A4FAA"/>
    <w:rsid w:val="006A50D2"/>
    <w:rsid w:val="006A5125"/>
    <w:rsid w:val="006A51EA"/>
    <w:rsid w:val="006A53FE"/>
    <w:rsid w:val="006A547D"/>
    <w:rsid w:val="006A54BD"/>
    <w:rsid w:val="006A54CD"/>
    <w:rsid w:val="006A54F2"/>
    <w:rsid w:val="006A5507"/>
    <w:rsid w:val="006A5512"/>
    <w:rsid w:val="006A5589"/>
    <w:rsid w:val="006A5C6C"/>
    <w:rsid w:val="006A5D14"/>
    <w:rsid w:val="006A5D1E"/>
    <w:rsid w:val="006A5D29"/>
    <w:rsid w:val="006A5D3A"/>
    <w:rsid w:val="006A5EC9"/>
    <w:rsid w:val="006A5F03"/>
    <w:rsid w:val="006A5F6B"/>
    <w:rsid w:val="006A618C"/>
    <w:rsid w:val="006A61D5"/>
    <w:rsid w:val="006A66F3"/>
    <w:rsid w:val="006A678D"/>
    <w:rsid w:val="006A6908"/>
    <w:rsid w:val="006A69C5"/>
    <w:rsid w:val="006A6A44"/>
    <w:rsid w:val="006A6BFA"/>
    <w:rsid w:val="006A6CFA"/>
    <w:rsid w:val="006A6DAE"/>
    <w:rsid w:val="006A6F5E"/>
    <w:rsid w:val="006A7040"/>
    <w:rsid w:val="006A7089"/>
    <w:rsid w:val="006A70CC"/>
    <w:rsid w:val="006A70D7"/>
    <w:rsid w:val="006A70FD"/>
    <w:rsid w:val="006A729F"/>
    <w:rsid w:val="006A72B9"/>
    <w:rsid w:val="006A7432"/>
    <w:rsid w:val="006A7449"/>
    <w:rsid w:val="006A7477"/>
    <w:rsid w:val="006A753C"/>
    <w:rsid w:val="006A7650"/>
    <w:rsid w:val="006A774E"/>
    <w:rsid w:val="006A7751"/>
    <w:rsid w:val="006A7920"/>
    <w:rsid w:val="006A7977"/>
    <w:rsid w:val="006A79E7"/>
    <w:rsid w:val="006A7B6A"/>
    <w:rsid w:val="006A7BAA"/>
    <w:rsid w:val="006A7E26"/>
    <w:rsid w:val="006A7F3D"/>
    <w:rsid w:val="006B0095"/>
    <w:rsid w:val="006B01B7"/>
    <w:rsid w:val="006B0244"/>
    <w:rsid w:val="006B02C5"/>
    <w:rsid w:val="006B0338"/>
    <w:rsid w:val="006B0545"/>
    <w:rsid w:val="006B0631"/>
    <w:rsid w:val="006B08FA"/>
    <w:rsid w:val="006B0A66"/>
    <w:rsid w:val="006B0AD5"/>
    <w:rsid w:val="006B0C26"/>
    <w:rsid w:val="006B0C74"/>
    <w:rsid w:val="006B0E9A"/>
    <w:rsid w:val="006B0EE9"/>
    <w:rsid w:val="006B0F3B"/>
    <w:rsid w:val="006B1048"/>
    <w:rsid w:val="006B13DD"/>
    <w:rsid w:val="006B142D"/>
    <w:rsid w:val="006B1448"/>
    <w:rsid w:val="006B146D"/>
    <w:rsid w:val="006B15C5"/>
    <w:rsid w:val="006B17FC"/>
    <w:rsid w:val="006B185D"/>
    <w:rsid w:val="006B18FF"/>
    <w:rsid w:val="006B1942"/>
    <w:rsid w:val="006B1954"/>
    <w:rsid w:val="006B197D"/>
    <w:rsid w:val="006B19C9"/>
    <w:rsid w:val="006B1B5E"/>
    <w:rsid w:val="006B1BE8"/>
    <w:rsid w:val="006B1C77"/>
    <w:rsid w:val="006B1CC3"/>
    <w:rsid w:val="006B1D81"/>
    <w:rsid w:val="006B1F15"/>
    <w:rsid w:val="006B1F8F"/>
    <w:rsid w:val="006B2063"/>
    <w:rsid w:val="006B2133"/>
    <w:rsid w:val="006B2161"/>
    <w:rsid w:val="006B2169"/>
    <w:rsid w:val="006B2295"/>
    <w:rsid w:val="006B22C0"/>
    <w:rsid w:val="006B22ED"/>
    <w:rsid w:val="006B2531"/>
    <w:rsid w:val="006B25A1"/>
    <w:rsid w:val="006B2825"/>
    <w:rsid w:val="006B2A2E"/>
    <w:rsid w:val="006B2DDB"/>
    <w:rsid w:val="006B2E9D"/>
    <w:rsid w:val="006B3022"/>
    <w:rsid w:val="006B302B"/>
    <w:rsid w:val="006B30AA"/>
    <w:rsid w:val="006B318C"/>
    <w:rsid w:val="006B3266"/>
    <w:rsid w:val="006B34FA"/>
    <w:rsid w:val="006B36CD"/>
    <w:rsid w:val="006B376B"/>
    <w:rsid w:val="006B37ED"/>
    <w:rsid w:val="006B3830"/>
    <w:rsid w:val="006B38C6"/>
    <w:rsid w:val="006B3956"/>
    <w:rsid w:val="006B3BEA"/>
    <w:rsid w:val="006B3E11"/>
    <w:rsid w:val="006B3EAC"/>
    <w:rsid w:val="006B3EE7"/>
    <w:rsid w:val="006B4119"/>
    <w:rsid w:val="006B416B"/>
    <w:rsid w:val="006B4210"/>
    <w:rsid w:val="006B424B"/>
    <w:rsid w:val="006B438F"/>
    <w:rsid w:val="006B4392"/>
    <w:rsid w:val="006B45AE"/>
    <w:rsid w:val="006B493E"/>
    <w:rsid w:val="006B49D6"/>
    <w:rsid w:val="006B4A35"/>
    <w:rsid w:val="006B4A38"/>
    <w:rsid w:val="006B4D8D"/>
    <w:rsid w:val="006B50D3"/>
    <w:rsid w:val="006B5232"/>
    <w:rsid w:val="006B5236"/>
    <w:rsid w:val="006B5241"/>
    <w:rsid w:val="006B532B"/>
    <w:rsid w:val="006B53BA"/>
    <w:rsid w:val="006B54BB"/>
    <w:rsid w:val="006B560C"/>
    <w:rsid w:val="006B56DD"/>
    <w:rsid w:val="006B5B4B"/>
    <w:rsid w:val="006B5B86"/>
    <w:rsid w:val="006B5BB7"/>
    <w:rsid w:val="006B5D86"/>
    <w:rsid w:val="006B5DD6"/>
    <w:rsid w:val="006B5DD7"/>
    <w:rsid w:val="006B5E84"/>
    <w:rsid w:val="006B5E90"/>
    <w:rsid w:val="006B609F"/>
    <w:rsid w:val="006B60AF"/>
    <w:rsid w:val="006B649D"/>
    <w:rsid w:val="006B64FA"/>
    <w:rsid w:val="006B6639"/>
    <w:rsid w:val="006B6A32"/>
    <w:rsid w:val="006B6A7E"/>
    <w:rsid w:val="006B6A8F"/>
    <w:rsid w:val="006B6B01"/>
    <w:rsid w:val="006B6BA2"/>
    <w:rsid w:val="006B6BFF"/>
    <w:rsid w:val="006B6CF0"/>
    <w:rsid w:val="006B6E99"/>
    <w:rsid w:val="006B6EFB"/>
    <w:rsid w:val="006B711E"/>
    <w:rsid w:val="006B7133"/>
    <w:rsid w:val="006B713A"/>
    <w:rsid w:val="006B7142"/>
    <w:rsid w:val="006B7174"/>
    <w:rsid w:val="006B7191"/>
    <w:rsid w:val="006B72C8"/>
    <w:rsid w:val="006B7327"/>
    <w:rsid w:val="006B7355"/>
    <w:rsid w:val="006B73A8"/>
    <w:rsid w:val="006B7699"/>
    <w:rsid w:val="006B7847"/>
    <w:rsid w:val="006B78E6"/>
    <w:rsid w:val="006B7992"/>
    <w:rsid w:val="006B7A98"/>
    <w:rsid w:val="006B7D8D"/>
    <w:rsid w:val="006B7D93"/>
    <w:rsid w:val="006B7E23"/>
    <w:rsid w:val="006B7F7E"/>
    <w:rsid w:val="006B7F7F"/>
    <w:rsid w:val="006C00ED"/>
    <w:rsid w:val="006C0165"/>
    <w:rsid w:val="006C01FA"/>
    <w:rsid w:val="006C02A3"/>
    <w:rsid w:val="006C0613"/>
    <w:rsid w:val="006C066A"/>
    <w:rsid w:val="006C073A"/>
    <w:rsid w:val="006C07A4"/>
    <w:rsid w:val="006C0836"/>
    <w:rsid w:val="006C08CC"/>
    <w:rsid w:val="006C08F1"/>
    <w:rsid w:val="006C0917"/>
    <w:rsid w:val="006C0963"/>
    <w:rsid w:val="006C09CF"/>
    <w:rsid w:val="006C0BF9"/>
    <w:rsid w:val="006C0DEA"/>
    <w:rsid w:val="006C0E1C"/>
    <w:rsid w:val="006C0ECF"/>
    <w:rsid w:val="006C0F37"/>
    <w:rsid w:val="006C0F80"/>
    <w:rsid w:val="006C0FA2"/>
    <w:rsid w:val="006C0FD9"/>
    <w:rsid w:val="006C0FF1"/>
    <w:rsid w:val="006C108C"/>
    <w:rsid w:val="006C1149"/>
    <w:rsid w:val="006C126C"/>
    <w:rsid w:val="006C1289"/>
    <w:rsid w:val="006C1372"/>
    <w:rsid w:val="006C1548"/>
    <w:rsid w:val="006C159E"/>
    <w:rsid w:val="006C15F2"/>
    <w:rsid w:val="006C16F5"/>
    <w:rsid w:val="006C187F"/>
    <w:rsid w:val="006C1954"/>
    <w:rsid w:val="006C1B24"/>
    <w:rsid w:val="006C1BB6"/>
    <w:rsid w:val="006C1CE1"/>
    <w:rsid w:val="006C1E41"/>
    <w:rsid w:val="006C1E96"/>
    <w:rsid w:val="006C1F08"/>
    <w:rsid w:val="006C1FE4"/>
    <w:rsid w:val="006C21CF"/>
    <w:rsid w:val="006C2232"/>
    <w:rsid w:val="006C227E"/>
    <w:rsid w:val="006C22F2"/>
    <w:rsid w:val="006C2357"/>
    <w:rsid w:val="006C244A"/>
    <w:rsid w:val="006C25E1"/>
    <w:rsid w:val="006C2885"/>
    <w:rsid w:val="006C29DE"/>
    <w:rsid w:val="006C2A39"/>
    <w:rsid w:val="006C2C2D"/>
    <w:rsid w:val="006C2DEE"/>
    <w:rsid w:val="006C2E72"/>
    <w:rsid w:val="006C2FE3"/>
    <w:rsid w:val="006C3275"/>
    <w:rsid w:val="006C3425"/>
    <w:rsid w:val="006C355A"/>
    <w:rsid w:val="006C3634"/>
    <w:rsid w:val="006C37AD"/>
    <w:rsid w:val="006C38A9"/>
    <w:rsid w:val="006C391A"/>
    <w:rsid w:val="006C3954"/>
    <w:rsid w:val="006C3972"/>
    <w:rsid w:val="006C3ABB"/>
    <w:rsid w:val="006C3AEF"/>
    <w:rsid w:val="006C3BD6"/>
    <w:rsid w:val="006C3C58"/>
    <w:rsid w:val="006C3CA2"/>
    <w:rsid w:val="006C3D7A"/>
    <w:rsid w:val="006C3DBB"/>
    <w:rsid w:val="006C3F88"/>
    <w:rsid w:val="006C3FF9"/>
    <w:rsid w:val="006C405D"/>
    <w:rsid w:val="006C4205"/>
    <w:rsid w:val="006C42D0"/>
    <w:rsid w:val="006C44D7"/>
    <w:rsid w:val="006C4528"/>
    <w:rsid w:val="006C4644"/>
    <w:rsid w:val="006C46AB"/>
    <w:rsid w:val="006C4955"/>
    <w:rsid w:val="006C4ADF"/>
    <w:rsid w:val="006C4C9B"/>
    <w:rsid w:val="006C4CF1"/>
    <w:rsid w:val="006C4DDD"/>
    <w:rsid w:val="006C4F41"/>
    <w:rsid w:val="006C4FCC"/>
    <w:rsid w:val="006C4FCD"/>
    <w:rsid w:val="006C5230"/>
    <w:rsid w:val="006C5341"/>
    <w:rsid w:val="006C5450"/>
    <w:rsid w:val="006C548D"/>
    <w:rsid w:val="006C562B"/>
    <w:rsid w:val="006C5639"/>
    <w:rsid w:val="006C576A"/>
    <w:rsid w:val="006C57F2"/>
    <w:rsid w:val="006C5A80"/>
    <w:rsid w:val="006C5AC4"/>
    <w:rsid w:val="006C5AFC"/>
    <w:rsid w:val="006C5B1E"/>
    <w:rsid w:val="006C5D72"/>
    <w:rsid w:val="006C5DBF"/>
    <w:rsid w:val="006C6011"/>
    <w:rsid w:val="006C6030"/>
    <w:rsid w:val="006C6042"/>
    <w:rsid w:val="006C6204"/>
    <w:rsid w:val="006C63F5"/>
    <w:rsid w:val="006C650A"/>
    <w:rsid w:val="006C661C"/>
    <w:rsid w:val="006C66E5"/>
    <w:rsid w:val="006C6796"/>
    <w:rsid w:val="006C67A9"/>
    <w:rsid w:val="006C69EF"/>
    <w:rsid w:val="006C6A23"/>
    <w:rsid w:val="006C6A87"/>
    <w:rsid w:val="006C6ABF"/>
    <w:rsid w:val="006C6BDC"/>
    <w:rsid w:val="006C6C2C"/>
    <w:rsid w:val="006C6DA8"/>
    <w:rsid w:val="006C7042"/>
    <w:rsid w:val="006C707C"/>
    <w:rsid w:val="006C7102"/>
    <w:rsid w:val="006C714D"/>
    <w:rsid w:val="006C71DE"/>
    <w:rsid w:val="006C72B9"/>
    <w:rsid w:val="006C72D3"/>
    <w:rsid w:val="006C740F"/>
    <w:rsid w:val="006C7423"/>
    <w:rsid w:val="006C7503"/>
    <w:rsid w:val="006C7509"/>
    <w:rsid w:val="006C768E"/>
    <w:rsid w:val="006C7927"/>
    <w:rsid w:val="006C7968"/>
    <w:rsid w:val="006C7AEB"/>
    <w:rsid w:val="006C7B6F"/>
    <w:rsid w:val="006C7BBE"/>
    <w:rsid w:val="006C7C77"/>
    <w:rsid w:val="006C7D23"/>
    <w:rsid w:val="006C7DAC"/>
    <w:rsid w:val="006C7E65"/>
    <w:rsid w:val="006C7F5D"/>
    <w:rsid w:val="006D010D"/>
    <w:rsid w:val="006D02A1"/>
    <w:rsid w:val="006D0477"/>
    <w:rsid w:val="006D06DA"/>
    <w:rsid w:val="006D07B3"/>
    <w:rsid w:val="006D090E"/>
    <w:rsid w:val="006D0912"/>
    <w:rsid w:val="006D0A3B"/>
    <w:rsid w:val="006D0FC9"/>
    <w:rsid w:val="006D0FE3"/>
    <w:rsid w:val="006D101E"/>
    <w:rsid w:val="006D1097"/>
    <w:rsid w:val="006D11EE"/>
    <w:rsid w:val="006D121C"/>
    <w:rsid w:val="006D13E2"/>
    <w:rsid w:val="006D18A8"/>
    <w:rsid w:val="006D19DC"/>
    <w:rsid w:val="006D1A2D"/>
    <w:rsid w:val="006D1C31"/>
    <w:rsid w:val="006D1C6B"/>
    <w:rsid w:val="006D1CF5"/>
    <w:rsid w:val="006D1D2B"/>
    <w:rsid w:val="006D1D48"/>
    <w:rsid w:val="006D1F25"/>
    <w:rsid w:val="006D1F6B"/>
    <w:rsid w:val="006D2121"/>
    <w:rsid w:val="006D2161"/>
    <w:rsid w:val="006D221C"/>
    <w:rsid w:val="006D22A0"/>
    <w:rsid w:val="006D23BC"/>
    <w:rsid w:val="006D24DF"/>
    <w:rsid w:val="006D2579"/>
    <w:rsid w:val="006D261C"/>
    <w:rsid w:val="006D2755"/>
    <w:rsid w:val="006D2769"/>
    <w:rsid w:val="006D276F"/>
    <w:rsid w:val="006D2BE8"/>
    <w:rsid w:val="006D2C49"/>
    <w:rsid w:val="006D2CF6"/>
    <w:rsid w:val="006D2DE9"/>
    <w:rsid w:val="006D2F32"/>
    <w:rsid w:val="006D2F51"/>
    <w:rsid w:val="006D314B"/>
    <w:rsid w:val="006D3194"/>
    <w:rsid w:val="006D31E0"/>
    <w:rsid w:val="006D31FA"/>
    <w:rsid w:val="006D3205"/>
    <w:rsid w:val="006D3241"/>
    <w:rsid w:val="006D3443"/>
    <w:rsid w:val="006D345D"/>
    <w:rsid w:val="006D3461"/>
    <w:rsid w:val="006D34A9"/>
    <w:rsid w:val="006D36F9"/>
    <w:rsid w:val="006D3724"/>
    <w:rsid w:val="006D37DB"/>
    <w:rsid w:val="006D381A"/>
    <w:rsid w:val="006D3855"/>
    <w:rsid w:val="006D38AE"/>
    <w:rsid w:val="006D39B2"/>
    <w:rsid w:val="006D3A25"/>
    <w:rsid w:val="006D3A44"/>
    <w:rsid w:val="006D3C82"/>
    <w:rsid w:val="006D3C83"/>
    <w:rsid w:val="006D3CEE"/>
    <w:rsid w:val="006D3D20"/>
    <w:rsid w:val="006D3F18"/>
    <w:rsid w:val="006D3F25"/>
    <w:rsid w:val="006D3F35"/>
    <w:rsid w:val="006D3F83"/>
    <w:rsid w:val="006D3F9C"/>
    <w:rsid w:val="006D41CC"/>
    <w:rsid w:val="006D438F"/>
    <w:rsid w:val="006D439F"/>
    <w:rsid w:val="006D44AE"/>
    <w:rsid w:val="006D45A4"/>
    <w:rsid w:val="006D4633"/>
    <w:rsid w:val="006D46AC"/>
    <w:rsid w:val="006D46B8"/>
    <w:rsid w:val="006D4793"/>
    <w:rsid w:val="006D4AB3"/>
    <w:rsid w:val="006D4AE2"/>
    <w:rsid w:val="006D4B18"/>
    <w:rsid w:val="006D4CB5"/>
    <w:rsid w:val="006D4F05"/>
    <w:rsid w:val="006D4F95"/>
    <w:rsid w:val="006D4FAA"/>
    <w:rsid w:val="006D4FEC"/>
    <w:rsid w:val="006D533A"/>
    <w:rsid w:val="006D5548"/>
    <w:rsid w:val="006D5650"/>
    <w:rsid w:val="006D5718"/>
    <w:rsid w:val="006D5997"/>
    <w:rsid w:val="006D59F8"/>
    <w:rsid w:val="006D59FD"/>
    <w:rsid w:val="006D5AE1"/>
    <w:rsid w:val="006D5AE3"/>
    <w:rsid w:val="006D5B27"/>
    <w:rsid w:val="006D5B76"/>
    <w:rsid w:val="006D5C86"/>
    <w:rsid w:val="006D5CB2"/>
    <w:rsid w:val="006D5CC1"/>
    <w:rsid w:val="006D5CC8"/>
    <w:rsid w:val="006D5D15"/>
    <w:rsid w:val="006D5D40"/>
    <w:rsid w:val="006D5F49"/>
    <w:rsid w:val="006D5F6B"/>
    <w:rsid w:val="006D5F87"/>
    <w:rsid w:val="006D5FD5"/>
    <w:rsid w:val="006D6189"/>
    <w:rsid w:val="006D6230"/>
    <w:rsid w:val="006D6255"/>
    <w:rsid w:val="006D6611"/>
    <w:rsid w:val="006D6878"/>
    <w:rsid w:val="006D68A3"/>
    <w:rsid w:val="006D68EC"/>
    <w:rsid w:val="006D69C3"/>
    <w:rsid w:val="006D69E1"/>
    <w:rsid w:val="006D6AB8"/>
    <w:rsid w:val="006D6C25"/>
    <w:rsid w:val="006D6CC7"/>
    <w:rsid w:val="006D6DE6"/>
    <w:rsid w:val="006D6F44"/>
    <w:rsid w:val="006D6FA6"/>
    <w:rsid w:val="006D6FFD"/>
    <w:rsid w:val="006D7068"/>
    <w:rsid w:val="006D70AE"/>
    <w:rsid w:val="006D70C4"/>
    <w:rsid w:val="006D71DF"/>
    <w:rsid w:val="006D7279"/>
    <w:rsid w:val="006D7315"/>
    <w:rsid w:val="006D7626"/>
    <w:rsid w:val="006D77AA"/>
    <w:rsid w:val="006D78B1"/>
    <w:rsid w:val="006D7981"/>
    <w:rsid w:val="006D7B08"/>
    <w:rsid w:val="006D7B1D"/>
    <w:rsid w:val="006D7BD0"/>
    <w:rsid w:val="006D7C4D"/>
    <w:rsid w:val="006D7CFA"/>
    <w:rsid w:val="006D7E29"/>
    <w:rsid w:val="006E0058"/>
    <w:rsid w:val="006E0155"/>
    <w:rsid w:val="006E0217"/>
    <w:rsid w:val="006E0290"/>
    <w:rsid w:val="006E02A0"/>
    <w:rsid w:val="006E03A2"/>
    <w:rsid w:val="006E05D9"/>
    <w:rsid w:val="006E0B1F"/>
    <w:rsid w:val="006E0C79"/>
    <w:rsid w:val="006E0CB0"/>
    <w:rsid w:val="006E0D5B"/>
    <w:rsid w:val="006E0D81"/>
    <w:rsid w:val="006E0E09"/>
    <w:rsid w:val="006E0E91"/>
    <w:rsid w:val="006E1210"/>
    <w:rsid w:val="006E1296"/>
    <w:rsid w:val="006E154D"/>
    <w:rsid w:val="006E1744"/>
    <w:rsid w:val="006E18A8"/>
    <w:rsid w:val="006E18BC"/>
    <w:rsid w:val="006E1BA0"/>
    <w:rsid w:val="006E1BE6"/>
    <w:rsid w:val="006E1BF4"/>
    <w:rsid w:val="006E1D4A"/>
    <w:rsid w:val="006E1D6C"/>
    <w:rsid w:val="006E1D77"/>
    <w:rsid w:val="006E1E7E"/>
    <w:rsid w:val="006E1EDA"/>
    <w:rsid w:val="006E20D9"/>
    <w:rsid w:val="006E2122"/>
    <w:rsid w:val="006E221D"/>
    <w:rsid w:val="006E2269"/>
    <w:rsid w:val="006E227A"/>
    <w:rsid w:val="006E239A"/>
    <w:rsid w:val="006E2409"/>
    <w:rsid w:val="006E2703"/>
    <w:rsid w:val="006E28E3"/>
    <w:rsid w:val="006E292E"/>
    <w:rsid w:val="006E2D6D"/>
    <w:rsid w:val="006E2DB9"/>
    <w:rsid w:val="006E2E8D"/>
    <w:rsid w:val="006E2E98"/>
    <w:rsid w:val="006E2FDB"/>
    <w:rsid w:val="006E303C"/>
    <w:rsid w:val="006E30CF"/>
    <w:rsid w:val="006E3274"/>
    <w:rsid w:val="006E3313"/>
    <w:rsid w:val="006E3318"/>
    <w:rsid w:val="006E332A"/>
    <w:rsid w:val="006E3379"/>
    <w:rsid w:val="006E340C"/>
    <w:rsid w:val="006E35FD"/>
    <w:rsid w:val="006E3691"/>
    <w:rsid w:val="006E36A4"/>
    <w:rsid w:val="006E3721"/>
    <w:rsid w:val="006E3798"/>
    <w:rsid w:val="006E38EA"/>
    <w:rsid w:val="006E3976"/>
    <w:rsid w:val="006E3BB8"/>
    <w:rsid w:val="006E3E37"/>
    <w:rsid w:val="006E3E4A"/>
    <w:rsid w:val="006E3ECC"/>
    <w:rsid w:val="006E40F7"/>
    <w:rsid w:val="006E41B8"/>
    <w:rsid w:val="006E4246"/>
    <w:rsid w:val="006E451F"/>
    <w:rsid w:val="006E45DC"/>
    <w:rsid w:val="006E4600"/>
    <w:rsid w:val="006E4660"/>
    <w:rsid w:val="006E4685"/>
    <w:rsid w:val="006E46E0"/>
    <w:rsid w:val="006E47A6"/>
    <w:rsid w:val="006E4A22"/>
    <w:rsid w:val="006E4A9C"/>
    <w:rsid w:val="006E4C09"/>
    <w:rsid w:val="006E4D75"/>
    <w:rsid w:val="006E4DFC"/>
    <w:rsid w:val="006E4EE4"/>
    <w:rsid w:val="006E5051"/>
    <w:rsid w:val="006E505E"/>
    <w:rsid w:val="006E507E"/>
    <w:rsid w:val="006E5086"/>
    <w:rsid w:val="006E5194"/>
    <w:rsid w:val="006E52D1"/>
    <w:rsid w:val="006E52ED"/>
    <w:rsid w:val="006E53E0"/>
    <w:rsid w:val="006E5575"/>
    <w:rsid w:val="006E55CF"/>
    <w:rsid w:val="006E55EA"/>
    <w:rsid w:val="006E566F"/>
    <w:rsid w:val="006E5783"/>
    <w:rsid w:val="006E57A8"/>
    <w:rsid w:val="006E595D"/>
    <w:rsid w:val="006E5AD1"/>
    <w:rsid w:val="006E5B87"/>
    <w:rsid w:val="006E5B9F"/>
    <w:rsid w:val="006E5BFF"/>
    <w:rsid w:val="006E5E6F"/>
    <w:rsid w:val="006E5E9A"/>
    <w:rsid w:val="006E6439"/>
    <w:rsid w:val="006E6545"/>
    <w:rsid w:val="006E6558"/>
    <w:rsid w:val="006E66B8"/>
    <w:rsid w:val="006E677E"/>
    <w:rsid w:val="006E683F"/>
    <w:rsid w:val="006E6A05"/>
    <w:rsid w:val="006E6B87"/>
    <w:rsid w:val="006E6C79"/>
    <w:rsid w:val="006E6C7B"/>
    <w:rsid w:val="006E6DD9"/>
    <w:rsid w:val="006E6EDA"/>
    <w:rsid w:val="006E6EE7"/>
    <w:rsid w:val="006E6F3C"/>
    <w:rsid w:val="006E711D"/>
    <w:rsid w:val="006E7181"/>
    <w:rsid w:val="006E728A"/>
    <w:rsid w:val="006E7360"/>
    <w:rsid w:val="006E739E"/>
    <w:rsid w:val="006E73D9"/>
    <w:rsid w:val="006E7437"/>
    <w:rsid w:val="006E7504"/>
    <w:rsid w:val="006E7543"/>
    <w:rsid w:val="006E7568"/>
    <w:rsid w:val="006E757E"/>
    <w:rsid w:val="006E75FD"/>
    <w:rsid w:val="006E7734"/>
    <w:rsid w:val="006E7794"/>
    <w:rsid w:val="006E77EB"/>
    <w:rsid w:val="006E781C"/>
    <w:rsid w:val="006E7820"/>
    <w:rsid w:val="006E7855"/>
    <w:rsid w:val="006E78A7"/>
    <w:rsid w:val="006E78D8"/>
    <w:rsid w:val="006E796C"/>
    <w:rsid w:val="006E79F7"/>
    <w:rsid w:val="006E7AAC"/>
    <w:rsid w:val="006E7C4C"/>
    <w:rsid w:val="006E7C67"/>
    <w:rsid w:val="006F015B"/>
    <w:rsid w:val="006F016A"/>
    <w:rsid w:val="006F01D2"/>
    <w:rsid w:val="006F0361"/>
    <w:rsid w:val="006F05FD"/>
    <w:rsid w:val="006F0770"/>
    <w:rsid w:val="006F08B0"/>
    <w:rsid w:val="006F0A05"/>
    <w:rsid w:val="006F0A1B"/>
    <w:rsid w:val="006F0BB8"/>
    <w:rsid w:val="006F0D15"/>
    <w:rsid w:val="006F0D25"/>
    <w:rsid w:val="006F0D75"/>
    <w:rsid w:val="006F0DD1"/>
    <w:rsid w:val="006F0E66"/>
    <w:rsid w:val="006F0F89"/>
    <w:rsid w:val="006F0FE8"/>
    <w:rsid w:val="006F0FEB"/>
    <w:rsid w:val="006F10FA"/>
    <w:rsid w:val="006F1285"/>
    <w:rsid w:val="006F1447"/>
    <w:rsid w:val="006F1650"/>
    <w:rsid w:val="006F16B2"/>
    <w:rsid w:val="006F1749"/>
    <w:rsid w:val="006F1B31"/>
    <w:rsid w:val="006F1C24"/>
    <w:rsid w:val="006F1DED"/>
    <w:rsid w:val="006F1E7D"/>
    <w:rsid w:val="006F2032"/>
    <w:rsid w:val="006F207A"/>
    <w:rsid w:val="006F20F1"/>
    <w:rsid w:val="006F2105"/>
    <w:rsid w:val="006F21C6"/>
    <w:rsid w:val="006F21CA"/>
    <w:rsid w:val="006F228A"/>
    <w:rsid w:val="006F2302"/>
    <w:rsid w:val="006F240F"/>
    <w:rsid w:val="006F24D7"/>
    <w:rsid w:val="006F2565"/>
    <w:rsid w:val="006F25AE"/>
    <w:rsid w:val="006F265A"/>
    <w:rsid w:val="006F26A2"/>
    <w:rsid w:val="006F27C4"/>
    <w:rsid w:val="006F2871"/>
    <w:rsid w:val="006F28AE"/>
    <w:rsid w:val="006F28F7"/>
    <w:rsid w:val="006F2B11"/>
    <w:rsid w:val="006F2B47"/>
    <w:rsid w:val="006F2BBC"/>
    <w:rsid w:val="006F2BC5"/>
    <w:rsid w:val="006F2C3D"/>
    <w:rsid w:val="006F2C8C"/>
    <w:rsid w:val="006F2D66"/>
    <w:rsid w:val="006F32CD"/>
    <w:rsid w:val="006F3393"/>
    <w:rsid w:val="006F3578"/>
    <w:rsid w:val="006F35E1"/>
    <w:rsid w:val="006F3633"/>
    <w:rsid w:val="006F3725"/>
    <w:rsid w:val="006F3733"/>
    <w:rsid w:val="006F3824"/>
    <w:rsid w:val="006F3827"/>
    <w:rsid w:val="006F3955"/>
    <w:rsid w:val="006F3AEC"/>
    <w:rsid w:val="006F3B9F"/>
    <w:rsid w:val="006F3BCB"/>
    <w:rsid w:val="006F3CE7"/>
    <w:rsid w:val="006F3D20"/>
    <w:rsid w:val="006F3D7F"/>
    <w:rsid w:val="006F3E0E"/>
    <w:rsid w:val="006F3F32"/>
    <w:rsid w:val="006F3F79"/>
    <w:rsid w:val="006F3FC4"/>
    <w:rsid w:val="006F4146"/>
    <w:rsid w:val="006F41CC"/>
    <w:rsid w:val="006F444B"/>
    <w:rsid w:val="006F455E"/>
    <w:rsid w:val="006F457C"/>
    <w:rsid w:val="006F4666"/>
    <w:rsid w:val="006F4711"/>
    <w:rsid w:val="006F4734"/>
    <w:rsid w:val="006F4740"/>
    <w:rsid w:val="006F4759"/>
    <w:rsid w:val="006F4B05"/>
    <w:rsid w:val="006F4C61"/>
    <w:rsid w:val="006F4CF4"/>
    <w:rsid w:val="006F4DBB"/>
    <w:rsid w:val="006F4F56"/>
    <w:rsid w:val="006F4F63"/>
    <w:rsid w:val="006F5173"/>
    <w:rsid w:val="006F53DE"/>
    <w:rsid w:val="006F548E"/>
    <w:rsid w:val="006F5526"/>
    <w:rsid w:val="006F5721"/>
    <w:rsid w:val="006F5738"/>
    <w:rsid w:val="006F573F"/>
    <w:rsid w:val="006F57FC"/>
    <w:rsid w:val="006F5834"/>
    <w:rsid w:val="006F58D0"/>
    <w:rsid w:val="006F5A6C"/>
    <w:rsid w:val="006F5ABC"/>
    <w:rsid w:val="006F5B5D"/>
    <w:rsid w:val="006F5B8C"/>
    <w:rsid w:val="006F5B9D"/>
    <w:rsid w:val="006F5C33"/>
    <w:rsid w:val="006F5C47"/>
    <w:rsid w:val="006F5C79"/>
    <w:rsid w:val="006F5D3B"/>
    <w:rsid w:val="006F5E3A"/>
    <w:rsid w:val="006F5EDE"/>
    <w:rsid w:val="006F5F8B"/>
    <w:rsid w:val="006F5FA0"/>
    <w:rsid w:val="006F605B"/>
    <w:rsid w:val="006F61AF"/>
    <w:rsid w:val="006F628D"/>
    <w:rsid w:val="006F6295"/>
    <w:rsid w:val="006F6335"/>
    <w:rsid w:val="006F63E6"/>
    <w:rsid w:val="006F6504"/>
    <w:rsid w:val="006F67FF"/>
    <w:rsid w:val="006F6817"/>
    <w:rsid w:val="006F6927"/>
    <w:rsid w:val="006F69B1"/>
    <w:rsid w:val="006F69ED"/>
    <w:rsid w:val="006F6A57"/>
    <w:rsid w:val="006F6D26"/>
    <w:rsid w:val="006F6D4A"/>
    <w:rsid w:val="006F6D69"/>
    <w:rsid w:val="006F6E62"/>
    <w:rsid w:val="006F70E6"/>
    <w:rsid w:val="006F7328"/>
    <w:rsid w:val="006F73AF"/>
    <w:rsid w:val="006F73BE"/>
    <w:rsid w:val="006F74A6"/>
    <w:rsid w:val="006F7556"/>
    <w:rsid w:val="006F7D27"/>
    <w:rsid w:val="006F7EF1"/>
    <w:rsid w:val="006F7FCD"/>
    <w:rsid w:val="006F7FE6"/>
    <w:rsid w:val="00700088"/>
    <w:rsid w:val="00700119"/>
    <w:rsid w:val="0070019C"/>
    <w:rsid w:val="007001B8"/>
    <w:rsid w:val="00700209"/>
    <w:rsid w:val="0070044D"/>
    <w:rsid w:val="007004AF"/>
    <w:rsid w:val="0070054E"/>
    <w:rsid w:val="007005FA"/>
    <w:rsid w:val="0070063E"/>
    <w:rsid w:val="007006A7"/>
    <w:rsid w:val="00700910"/>
    <w:rsid w:val="00700921"/>
    <w:rsid w:val="00700960"/>
    <w:rsid w:val="007009D1"/>
    <w:rsid w:val="00700A4E"/>
    <w:rsid w:val="00700A9A"/>
    <w:rsid w:val="00700BAB"/>
    <w:rsid w:val="00700BB4"/>
    <w:rsid w:val="00700D0F"/>
    <w:rsid w:val="00700EC6"/>
    <w:rsid w:val="00700F00"/>
    <w:rsid w:val="00700FEA"/>
    <w:rsid w:val="00700FF7"/>
    <w:rsid w:val="00701046"/>
    <w:rsid w:val="00701157"/>
    <w:rsid w:val="00701195"/>
    <w:rsid w:val="00701301"/>
    <w:rsid w:val="00701381"/>
    <w:rsid w:val="0070178B"/>
    <w:rsid w:val="00701A37"/>
    <w:rsid w:val="00701AA9"/>
    <w:rsid w:val="00701BE2"/>
    <w:rsid w:val="00701E12"/>
    <w:rsid w:val="00701F44"/>
    <w:rsid w:val="00702021"/>
    <w:rsid w:val="0070202B"/>
    <w:rsid w:val="007020D0"/>
    <w:rsid w:val="0070241A"/>
    <w:rsid w:val="007024E8"/>
    <w:rsid w:val="007025B2"/>
    <w:rsid w:val="00702612"/>
    <w:rsid w:val="00702A2D"/>
    <w:rsid w:val="00702AC6"/>
    <w:rsid w:val="00702BAD"/>
    <w:rsid w:val="00702BEE"/>
    <w:rsid w:val="00702FB2"/>
    <w:rsid w:val="007030C1"/>
    <w:rsid w:val="007031B2"/>
    <w:rsid w:val="007031D7"/>
    <w:rsid w:val="0070320F"/>
    <w:rsid w:val="007032A9"/>
    <w:rsid w:val="00703554"/>
    <w:rsid w:val="0070370C"/>
    <w:rsid w:val="0070373E"/>
    <w:rsid w:val="00703774"/>
    <w:rsid w:val="00703776"/>
    <w:rsid w:val="007037CC"/>
    <w:rsid w:val="007038A3"/>
    <w:rsid w:val="00703932"/>
    <w:rsid w:val="00703A0E"/>
    <w:rsid w:val="00703E92"/>
    <w:rsid w:val="00703E9E"/>
    <w:rsid w:val="00703F08"/>
    <w:rsid w:val="00703FE3"/>
    <w:rsid w:val="00703FFB"/>
    <w:rsid w:val="0070400F"/>
    <w:rsid w:val="00704015"/>
    <w:rsid w:val="00704022"/>
    <w:rsid w:val="00704179"/>
    <w:rsid w:val="0070429A"/>
    <w:rsid w:val="007042C0"/>
    <w:rsid w:val="00704521"/>
    <w:rsid w:val="00704732"/>
    <w:rsid w:val="00704776"/>
    <w:rsid w:val="00704860"/>
    <w:rsid w:val="007048E7"/>
    <w:rsid w:val="007049AE"/>
    <w:rsid w:val="00704B45"/>
    <w:rsid w:val="00704B5D"/>
    <w:rsid w:val="00704B66"/>
    <w:rsid w:val="00704B78"/>
    <w:rsid w:val="00704DF0"/>
    <w:rsid w:val="00704E57"/>
    <w:rsid w:val="00704E91"/>
    <w:rsid w:val="00704EAF"/>
    <w:rsid w:val="00704F38"/>
    <w:rsid w:val="00704FE5"/>
    <w:rsid w:val="007052C0"/>
    <w:rsid w:val="0070537E"/>
    <w:rsid w:val="00705392"/>
    <w:rsid w:val="00705557"/>
    <w:rsid w:val="0070574F"/>
    <w:rsid w:val="007059B2"/>
    <w:rsid w:val="00705BF3"/>
    <w:rsid w:val="00705DDF"/>
    <w:rsid w:val="00705E47"/>
    <w:rsid w:val="00705E7C"/>
    <w:rsid w:val="007060B8"/>
    <w:rsid w:val="007060E8"/>
    <w:rsid w:val="00706156"/>
    <w:rsid w:val="00706191"/>
    <w:rsid w:val="00706328"/>
    <w:rsid w:val="00706362"/>
    <w:rsid w:val="00706366"/>
    <w:rsid w:val="0070641C"/>
    <w:rsid w:val="007064DF"/>
    <w:rsid w:val="0070663C"/>
    <w:rsid w:val="0070675A"/>
    <w:rsid w:val="00706939"/>
    <w:rsid w:val="00706A39"/>
    <w:rsid w:val="00706A68"/>
    <w:rsid w:val="00706A97"/>
    <w:rsid w:val="00706AAD"/>
    <w:rsid w:val="00706ADD"/>
    <w:rsid w:val="00706B21"/>
    <w:rsid w:val="00706D12"/>
    <w:rsid w:val="00706D73"/>
    <w:rsid w:val="00706EE2"/>
    <w:rsid w:val="00706F04"/>
    <w:rsid w:val="00706F46"/>
    <w:rsid w:val="007071DD"/>
    <w:rsid w:val="0070724B"/>
    <w:rsid w:val="0070742F"/>
    <w:rsid w:val="00707515"/>
    <w:rsid w:val="0070772B"/>
    <w:rsid w:val="007078DE"/>
    <w:rsid w:val="007079C8"/>
    <w:rsid w:val="00707C08"/>
    <w:rsid w:val="00707C61"/>
    <w:rsid w:val="00707E05"/>
    <w:rsid w:val="00707E79"/>
    <w:rsid w:val="00707E87"/>
    <w:rsid w:val="00710107"/>
    <w:rsid w:val="0071032D"/>
    <w:rsid w:val="0071037D"/>
    <w:rsid w:val="007104E0"/>
    <w:rsid w:val="00710520"/>
    <w:rsid w:val="007106DB"/>
    <w:rsid w:val="0071077C"/>
    <w:rsid w:val="00710854"/>
    <w:rsid w:val="00710992"/>
    <w:rsid w:val="0071099D"/>
    <w:rsid w:val="00710A81"/>
    <w:rsid w:val="00710ABF"/>
    <w:rsid w:val="00710D0E"/>
    <w:rsid w:val="00710E03"/>
    <w:rsid w:val="00710EFD"/>
    <w:rsid w:val="00711004"/>
    <w:rsid w:val="007111F2"/>
    <w:rsid w:val="00711302"/>
    <w:rsid w:val="00711336"/>
    <w:rsid w:val="007114A5"/>
    <w:rsid w:val="007114EC"/>
    <w:rsid w:val="007115C4"/>
    <w:rsid w:val="007116C0"/>
    <w:rsid w:val="007117B6"/>
    <w:rsid w:val="007117D4"/>
    <w:rsid w:val="0071185F"/>
    <w:rsid w:val="00711C18"/>
    <w:rsid w:val="00711C51"/>
    <w:rsid w:val="00711CAC"/>
    <w:rsid w:val="00711E62"/>
    <w:rsid w:val="00711FC5"/>
    <w:rsid w:val="00712089"/>
    <w:rsid w:val="00712096"/>
    <w:rsid w:val="007121B0"/>
    <w:rsid w:val="00712285"/>
    <w:rsid w:val="007122A6"/>
    <w:rsid w:val="007123CD"/>
    <w:rsid w:val="0071244C"/>
    <w:rsid w:val="007124D0"/>
    <w:rsid w:val="00712679"/>
    <w:rsid w:val="007126A9"/>
    <w:rsid w:val="0071280C"/>
    <w:rsid w:val="0071283C"/>
    <w:rsid w:val="00712A48"/>
    <w:rsid w:val="00712BBB"/>
    <w:rsid w:val="00712BEA"/>
    <w:rsid w:val="00712CC0"/>
    <w:rsid w:val="00712E11"/>
    <w:rsid w:val="00712EFB"/>
    <w:rsid w:val="00712FF6"/>
    <w:rsid w:val="00713006"/>
    <w:rsid w:val="0071309F"/>
    <w:rsid w:val="0071313E"/>
    <w:rsid w:val="007131DF"/>
    <w:rsid w:val="00713384"/>
    <w:rsid w:val="007133BC"/>
    <w:rsid w:val="00713560"/>
    <w:rsid w:val="0071359D"/>
    <w:rsid w:val="00713756"/>
    <w:rsid w:val="00713913"/>
    <w:rsid w:val="00713A8B"/>
    <w:rsid w:val="00713AAA"/>
    <w:rsid w:val="00713D02"/>
    <w:rsid w:val="00713D74"/>
    <w:rsid w:val="00713DFE"/>
    <w:rsid w:val="00713E95"/>
    <w:rsid w:val="007140AB"/>
    <w:rsid w:val="007140BA"/>
    <w:rsid w:val="00714437"/>
    <w:rsid w:val="00714734"/>
    <w:rsid w:val="0071491A"/>
    <w:rsid w:val="00714A5B"/>
    <w:rsid w:val="00714B6C"/>
    <w:rsid w:val="00714B90"/>
    <w:rsid w:val="00714C3E"/>
    <w:rsid w:val="00714C46"/>
    <w:rsid w:val="00714C55"/>
    <w:rsid w:val="00714C58"/>
    <w:rsid w:val="00714EFD"/>
    <w:rsid w:val="00715049"/>
    <w:rsid w:val="007150CB"/>
    <w:rsid w:val="007153CD"/>
    <w:rsid w:val="00715451"/>
    <w:rsid w:val="00715481"/>
    <w:rsid w:val="0071548C"/>
    <w:rsid w:val="00715493"/>
    <w:rsid w:val="00715617"/>
    <w:rsid w:val="00715679"/>
    <w:rsid w:val="00715965"/>
    <w:rsid w:val="00715AD9"/>
    <w:rsid w:val="00715B4D"/>
    <w:rsid w:val="00715D23"/>
    <w:rsid w:val="00715D6E"/>
    <w:rsid w:val="00715D84"/>
    <w:rsid w:val="00715DD5"/>
    <w:rsid w:val="00715F8C"/>
    <w:rsid w:val="00715FE5"/>
    <w:rsid w:val="00716010"/>
    <w:rsid w:val="007160CF"/>
    <w:rsid w:val="00716107"/>
    <w:rsid w:val="00716125"/>
    <w:rsid w:val="00716154"/>
    <w:rsid w:val="0071633A"/>
    <w:rsid w:val="00716371"/>
    <w:rsid w:val="007163ED"/>
    <w:rsid w:val="007164AA"/>
    <w:rsid w:val="0071652D"/>
    <w:rsid w:val="00716747"/>
    <w:rsid w:val="00716848"/>
    <w:rsid w:val="00716862"/>
    <w:rsid w:val="0071686B"/>
    <w:rsid w:val="007168DB"/>
    <w:rsid w:val="00716A1C"/>
    <w:rsid w:val="00716B24"/>
    <w:rsid w:val="00716B28"/>
    <w:rsid w:val="00716C4A"/>
    <w:rsid w:val="00716C76"/>
    <w:rsid w:val="00716CEC"/>
    <w:rsid w:val="00716D1D"/>
    <w:rsid w:val="00716D3D"/>
    <w:rsid w:val="00716E51"/>
    <w:rsid w:val="00716E71"/>
    <w:rsid w:val="00716E89"/>
    <w:rsid w:val="007170CE"/>
    <w:rsid w:val="0071717A"/>
    <w:rsid w:val="007171BD"/>
    <w:rsid w:val="00717233"/>
    <w:rsid w:val="00717254"/>
    <w:rsid w:val="007172C2"/>
    <w:rsid w:val="007174A8"/>
    <w:rsid w:val="007174BB"/>
    <w:rsid w:val="007174CA"/>
    <w:rsid w:val="00717641"/>
    <w:rsid w:val="00717790"/>
    <w:rsid w:val="0071781C"/>
    <w:rsid w:val="007178DE"/>
    <w:rsid w:val="00717934"/>
    <w:rsid w:val="00717979"/>
    <w:rsid w:val="007179F0"/>
    <w:rsid w:val="00717C9D"/>
    <w:rsid w:val="00717D62"/>
    <w:rsid w:val="00717DFC"/>
    <w:rsid w:val="00717EB2"/>
    <w:rsid w:val="00717F0B"/>
    <w:rsid w:val="00717FD3"/>
    <w:rsid w:val="007203B0"/>
    <w:rsid w:val="007203CB"/>
    <w:rsid w:val="0072040B"/>
    <w:rsid w:val="0072048A"/>
    <w:rsid w:val="007205D0"/>
    <w:rsid w:val="007206C1"/>
    <w:rsid w:val="007206E2"/>
    <w:rsid w:val="00720916"/>
    <w:rsid w:val="00720935"/>
    <w:rsid w:val="0072095B"/>
    <w:rsid w:val="0072096B"/>
    <w:rsid w:val="007209DC"/>
    <w:rsid w:val="00720C6A"/>
    <w:rsid w:val="00720C97"/>
    <w:rsid w:val="00720CAF"/>
    <w:rsid w:val="00720D0C"/>
    <w:rsid w:val="00720D41"/>
    <w:rsid w:val="00720EC9"/>
    <w:rsid w:val="00720F92"/>
    <w:rsid w:val="00721118"/>
    <w:rsid w:val="00721187"/>
    <w:rsid w:val="007211F7"/>
    <w:rsid w:val="00721282"/>
    <w:rsid w:val="007212B5"/>
    <w:rsid w:val="007212F4"/>
    <w:rsid w:val="00721318"/>
    <w:rsid w:val="0072133D"/>
    <w:rsid w:val="0072137D"/>
    <w:rsid w:val="007213AB"/>
    <w:rsid w:val="00721420"/>
    <w:rsid w:val="0072149E"/>
    <w:rsid w:val="0072154C"/>
    <w:rsid w:val="00721756"/>
    <w:rsid w:val="0072184A"/>
    <w:rsid w:val="007218A6"/>
    <w:rsid w:val="007218F5"/>
    <w:rsid w:val="007219FC"/>
    <w:rsid w:val="00721A2A"/>
    <w:rsid w:val="00721B68"/>
    <w:rsid w:val="00721E69"/>
    <w:rsid w:val="00721F74"/>
    <w:rsid w:val="00721F91"/>
    <w:rsid w:val="0072208F"/>
    <w:rsid w:val="0072215F"/>
    <w:rsid w:val="00722162"/>
    <w:rsid w:val="00722176"/>
    <w:rsid w:val="00722274"/>
    <w:rsid w:val="0072229D"/>
    <w:rsid w:val="00722311"/>
    <w:rsid w:val="00722627"/>
    <w:rsid w:val="007226A7"/>
    <w:rsid w:val="00722A91"/>
    <w:rsid w:val="00722AAF"/>
    <w:rsid w:val="00722B6F"/>
    <w:rsid w:val="00722BFE"/>
    <w:rsid w:val="00722CAD"/>
    <w:rsid w:val="00722D85"/>
    <w:rsid w:val="00722FAC"/>
    <w:rsid w:val="00723052"/>
    <w:rsid w:val="00723137"/>
    <w:rsid w:val="00723145"/>
    <w:rsid w:val="00723268"/>
    <w:rsid w:val="007233E7"/>
    <w:rsid w:val="00723534"/>
    <w:rsid w:val="00723933"/>
    <w:rsid w:val="00723981"/>
    <w:rsid w:val="0072398E"/>
    <w:rsid w:val="00723AA4"/>
    <w:rsid w:val="00723AC5"/>
    <w:rsid w:val="00723B34"/>
    <w:rsid w:val="00723BF4"/>
    <w:rsid w:val="00723D5F"/>
    <w:rsid w:val="00723DCB"/>
    <w:rsid w:val="00723DDF"/>
    <w:rsid w:val="00723EC4"/>
    <w:rsid w:val="00723FAA"/>
    <w:rsid w:val="00723FDC"/>
    <w:rsid w:val="0072403C"/>
    <w:rsid w:val="007240C5"/>
    <w:rsid w:val="007240F8"/>
    <w:rsid w:val="00724274"/>
    <w:rsid w:val="0072430A"/>
    <w:rsid w:val="0072435C"/>
    <w:rsid w:val="00724362"/>
    <w:rsid w:val="0072450F"/>
    <w:rsid w:val="00724524"/>
    <w:rsid w:val="00724578"/>
    <w:rsid w:val="00724723"/>
    <w:rsid w:val="00724896"/>
    <w:rsid w:val="00724942"/>
    <w:rsid w:val="00724993"/>
    <w:rsid w:val="00724A13"/>
    <w:rsid w:val="00724AA9"/>
    <w:rsid w:val="00724BFF"/>
    <w:rsid w:val="00724C03"/>
    <w:rsid w:val="00724F99"/>
    <w:rsid w:val="007251C6"/>
    <w:rsid w:val="007252C0"/>
    <w:rsid w:val="0072547A"/>
    <w:rsid w:val="0072547C"/>
    <w:rsid w:val="0072547D"/>
    <w:rsid w:val="0072548F"/>
    <w:rsid w:val="007255A1"/>
    <w:rsid w:val="0072560D"/>
    <w:rsid w:val="007256D6"/>
    <w:rsid w:val="00725756"/>
    <w:rsid w:val="007257F1"/>
    <w:rsid w:val="00725915"/>
    <w:rsid w:val="00725B8F"/>
    <w:rsid w:val="00725C2A"/>
    <w:rsid w:val="00725CD7"/>
    <w:rsid w:val="00725CF4"/>
    <w:rsid w:val="00725D85"/>
    <w:rsid w:val="00726007"/>
    <w:rsid w:val="00726027"/>
    <w:rsid w:val="00726028"/>
    <w:rsid w:val="007261E5"/>
    <w:rsid w:val="007263DC"/>
    <w:rsid w:val="007264C7"/>
    <w:rsid w:val="00726610"/>
    <w:rsid w:val="007268A3"/>
    <w:rsid w:val="00726A63"/>
    <w:rsid w:val="00726B06"/>
    <w:rsid w:val="00726BC3"/>
    <w:rsid w:val="00726C0B"/>
    <w:rsid w:val="00726C3A"/>
    <w:rsid w:val="00726ECA"/>
    <w:rsid w:val="00726FAA"/>
    <w:rsid w:val="0072729A"/>
    <w:rsid w:val="007272A9"/>
    <w:rsid w:val="00727307"/>
    <w:rsid w:val="007273C4"/>
    <w:rsid w:val="00727452"/>
    <w:rsid w:val="00727698"/>
    <w:rsid w:val="00727715"/>
    <w:rsid w:val="00727A04"/>
    <w:rsid w:val="00727A86"/>
    <w:rsid w:val="00727AFD"/>
    <w:rsid w:val="00727B8A"/>
    <w:rsid w:val="00727C14"/>
    <w:rsid w:val="00727CCA"/>
    <w:rsid w:val="00727DDA"/>
    <w:rsid w:val="00727F30"/>
    <w:rsid w:val="007301CE"/>
    <w:rsid w:val="00730285"/>
    <w:rsid w:val="0073033C"/>
    <w:rsid w:val="007303CA"/>
    <w:rsid w:val="0073043E"/>
    <w:rsid w:val="00730498"/>
    <w:rsid w:val="0073077E"/>
    <w:rsid w:val="007307FC"/>
    <w:rsid w:val="00730822"/>
    <w:rsid w:val="00730907"/>
    <w:rsid w:val="00730999"/>
    <w:rsid w:val="00730AC5"/>
    <w:rsid w:val="00730C5C"/>
    <w:rsid w:val="00730CA7"/>
    <w:rsid w:val="00730E6D"/>
    <w:rsid w:val="00730F5D"/>
    <w:rsid w:val="00731108"/>
    <w:rsid w:val="0073119B"/>
    <w:rsid w:val="00731286"/>
    <w:rsid w:val="00731377"/>
    <w:rsid w:val="007313FE"/>
    <w:rsid w:val="00731509"/>
    <w:rsid w:val="00731851"/>
    <w:rsid w:val="00731942"/>
    <w:rsid w:val="00731962"/>
    <w:rsid w:val="007319DD"/>
    <w:rsid w:val="007319DF"/>
    <w:rsid w:val="00731A31"/>
    <w:rsid w:val="00731A63"/>
    <w:rsid w:val="00731C74"/>
    <w:rsid w:val="00731C79"/>
    <w:rsid w:val="00731C8D"/>
    <w:rsid w:val="00731DD8"/>
    <w:rsid w:val="00731E12"/>
    <w:rsid w:val="00731E13"/>
    <w:rsid w:val="00731EE3"/>
    <w:rsid w:val="00731FF9"/>
    <w:rsid w:val="00732193"/>
    <w:rsid w:val="00732286"/>
    <w:rsid w:val="0073230C"/>
    <w:rsid w:val="007324FC"/>
    <w:rsid w:val="0073268C"/>
    <w:rsid w:val="007327B0"/>
    <w:rsid w:val="0073286C"/>
    <w:rsid w:val="00732AD0"/>
    <w:rsid w:val="00732BE2"/>
    <w:rsid w:val="00732C2E"/>
    <w:rsid w:val="00732C58"/>
    <w:rsid w:val="00732EA3"/>
    <w:rsid w:val="00732FAF"/>
    <w:rsid w:val="00733055"/>
    <w:rsid w:val="00733906"/>
    <w:rsid w:val="0073393E"/>
    <w:rsid w:val="00733A99"/>
    <w:rsid w:val="00733AF1"/>
    <w:rsid w:val="00733B0B"/>
    <w:rsid w:val="00733BAB"/>
    <w:rsid w:val="00733CA0"/>
    <w:rsid w:val="00733CB1"/>
    <w:rsid w:val="00733CDE"/>
    <w:rsid w:val="00733E49"/>
    <w:rsid w:val="00733EBD"/>
    <w:rsid w:val="007340EA"/>
    <w:rsid w:val="00734117"/>
    <w:rsid w:val="00734327"/>
    <w:rsid w:val="0073439A"/>
    <w:rsid w:val="007344BF"/>
    <w:rsid w:val="00734525"/>
    <w:rsid w:val="007347AD"/>
    <w:rsid w:val="007348D2"/>
    <w:rsid w:val="0073496D"/>
    <w:rsid w:val="007349D1"/>
    <w:rsid w:val="00734AB1"/>
    <w:rsid w:val="00734B38"/>
    <w:rsid w:val="00734B5C"/>
    <w:rsid w:val="00734C65"/>
    <w:rsid w:val="00734D99"/>
    <w:rsid w:val="00734DEE"/>
    <w:rsid w:val="00734E0C"/>
    <w:rsid w:val="00734EC2"/>
    <w:rsid w:val="00734F69"/>
    <w:rsid w:val="007350D5"/>
    <w:rsid w:val="0073528C"/>
    <w:rsid w:val="007352F8"/>
    <w:rsid w:val="00735325"/>
    <w:rsid w:val="00735534"/>
    <w:rsid w:val="0073565E"/>
    <w:rsid w:val="00735663"/>
    <w:rsid w:val="007359A4"/>
    <w:rsid w:val="00735A6A"/>
    <w:rsid w:val="00735A90"/>
    <w:rsid w:val="00735BD6"/>
    <w:rsid w:val="00735C4E"/>
    <w:rsid w:val="00735C5C"/>
    <w:rsid w:val="00735CC4"/>
    <w:rsid w:val="00735D40"/>
    <w:rsid w:val="00735ED2"/>
    <w:rsid w:val="0073601A"/>
    <w:rsid w:val="0073627F"/>
    <w:rsid w:val="007362A5"/>
    <w:rsid w:val="00736458"/>
    <w:rsid w:val="007365A5"/>
    <w:rsid w:val="00736665"/>
    <w:rsid w:val="0073686B"/>
    <w:rsid w:val="00736986"/>
    <w:rsid w:val="00736A46"/>
    <w:rsid w:val="00736BCF"/>
    <w:rsid w:val="00736EFB"/>
    <w:rsid w:val="00736F7A"/>
    <w:rsid w:val="00737235"/>
    <w:rsid w:val="00737240"/>
    <w:rsid w:val="00737295"/>
    <w:rsid w:val="007373D5"/>
    <w:rsid w:val="007373EE"/>
    <w:rsid w:val="007376E8"/>
    <w:rsid w:val="00737705"/>
    <w:rsid w:val="0073794A"/>
    <w:rsid w:val="00737BEC"/>
    <w:rsid w:val="00737C2B"/>
    <w:rsid w:val="00737E44"/>
    <w:rsid w:val="00737E8C"/>
    <w:rsid w:val="00737EE0"/>
    <w:rsid w:val="00737EF4"/>
    <w:rsid w:val="0074004F"/>
    <w:rsid w:val="007400A0"/>
    <w:rsid w:val="00740175"/>
    <w:rsid w:val="00740219"/>
    <w:rsid w:val="00740267"/>
    <w:rsid w:val="0074033B"/>
    <w:rsid w:val="0074034A"/>
    <w:rsid w:val="0074037E"/>
    <w:rsid w:val="00740465"/>
    <w:rsid w:val="0074059B"/>
    <w:rsid w:val="00740602"/>
    <w:rsid w:val="007406A9"/>
    <w:rsid w:val="007407E9"/>
    <w:rsid w:val="00740D34"/>
    <w:rsid w:val="00740E53"/>
    <w:rsid w:val="00741026"/>
    <w:rsid w:val="00741155"/>
    <w:rsid w:val="007413B6"/>
    <w:rsid w:val="00741419"/>
    <w:rsid w:val="00741437"/>
    <w:rsid w:val="0074143C"/>
    <w:rsid w:val="0074169A"/>
    <w:rsid w:val="00741811"/>
    <w:rsid w:val="0074189C"/>
    <w:rsid w:val="00741964"/>
    <w:rsid w:val="00741967"/>
    <w:rsid w:val="007419EC"/>
    <w:rsid w:val="007419F3"/>
    <w:rsid w:val="00741B19"/>
    <w:rsid w:val="00741B64"/>
    <w:rsid w:val="00741BFA"/>
    <w:rsid w:val="00741C15"/>
    <w:rsid w:val="00741D69"/>
    <w:rsid w:val="00741E60"/>
    <w:rsid w:val="00741F67"/>
    <w:rsid w:val="00741FDC"/>
    <w:rsid w:val="00742025"/>
    <w:rsid w:val="0074209E"/>
    <w:rsid w:val="00742202"/>
    <w:rsid w:val="007423DF"/>
    <w:rsid w:val="007425F8"/>
    <w:rsid w:val="0074284C"/>
    <w:rsid w:val="00742A48"/>
    <w:rsid w:val="00742B11"/>
    <w:rsid w:val="00742D7D"/>
    <w:rsid w:val="00742DDB"/>
    <w:rsid w:val="00742E40"/>
    <w:rsid w:val="00742F19"/>
    <w:rsid w:val="00742F40"/>
    <w:rsid w:val="00742F96"/>
    <w:rsid w:val="00743044"/>
    <w:rsid w:val="0074306C"/>
    <w:rsid w:val="00743260"/>
    <w:rsid w:val="0074329D"/>
    <w:rsid w:val="00743327"/>
    <w:rsid w:val="0074332B"/>
    <w:rsid w:val="007434EE"/>
    <w:rsid w:val="00743542"/>
    <w:rsid w:val="0074378D"/>
    <w:rsid w:val="00743C8E"/>
    <w:rsid w:val="00743CB3"/>
    <w:rsid w:val="00743CC1"/>
    <w:rsid w:val="00743D20"/>
    <w:rsid w:val="00743F8B"/>
    <w:rsid w:val="00744001"/>
    <w:rsid w:val="00744260"/>
    <w:rsid w:val="00744308"/>
    <w:rsid w:val="007444FE"/>
    <w:rsid w:val="007445C1"/>
    <w:rsid w:val="007448B1"/>
    <w:rsid w:val="00744A2C"/>
    <w:rsid w:val="00744B4E"/>
    <w:rsid w:val="00744B6A"/>
    <w:rsid w:val="00744C41"/>
    <w:rsid w:val="00744D83"/>
    <w:rsid w:val="00744D9B"/>
    <w:rsid w:val="00744DB4"/>
    <w:rsid w:val="00744EC2"/>
    <w:rsid w:val="00745123"/>
    <w:rsid w:val="0074513B"/>
    <w:rsid w:val="00745269"/>
    <w:rsid w:val="0074533B"/>
    <w:rsid w:val="007457E8"/>
    <w:rsid w:val="0074587F"/>
    <w:rsid w:val="00745957"/>
    <w:rsid w:val="00745A12"/>
    <w:rsid w:val="00745B34"/>
    <w:rsid w:val="00745B66"/>
    <w:rsid w:val="00745D51"/>
    <w:rsid w:val="00745E99"/>
    <w:rsid w:val="00745F4C"/>
    <w:rsid w:val="00745FC9"/>
    <w:rsid w:val="007460EC"/>
    <w:rsid w:val="0074636D"/>
    <w:rsid w:val="007463B7"/>
    <w:rsid w:val="0074648E"/>
    <w:rsid w:val="00746570"/>
    <w:rsid w:val="0074664A"/>
    <w:rsid w:val="007466D3"/>
    <w:rsid w:val="00746859"/>
    <w:rsid w:val="00746862"/>
    <w:rsid w:val="00746920"/>
    <w:rsid w:val="007469C2"/>
    <w:rsid w:val="00746C74"/>
    <w:rsid w:val="00746D25"/>
    <w:rsid w:val="00746E2E"/>
    <w:rsid w:val="00747148"/>
    <w:rsid w:val="00747221"/>
    <w:rsid w:val="0074733B"/>
    <w:rsid w:val="00747342"/>
    <w:rsid w:val="0074735F"/>
    <w:rsid w:val="007473C0"/>
    <w:rsid w:val="0074763C"/>
    <w:rsid w:val="00747663"/>
    <w:rsid w:val="00747692"/>
    <w:rsid w:val="007477E2"/>
    <w:rsid w:val="007478B8"/>
    <w:rsid w:val="00747962"/>
    <w:rsid w:val="007479D2"/>
    <w:rsid w:val="00747A55"/>
    <w:rsid w:val="00747A77"/>
    <w:rsid w:val="00747A7E"/>
    <w:rsid w:val="00747B0C"/>
    <w:rsid w:val="00747D0D"/>
    <w:rsid w:val="00747E8A"/>
    <w:rsid w:val="00747F34"/>
    <w:rsid w:val="0075000A"/>
    <w:rsid w:val="00750072"/>
    <w:rsid w:val="00750123"/>
    <w:rsid w:val="007504C1"/>
    <w:rsid w:val="00750614"/>
    <w:rsid w:val="007507D0"/>
    <w:rsid w:val="00750801"/>
    <w:rsid w:val="00750877"/>
    <w:rsid w:val="00750A78"/>
    <w:rsid w:val="00750AF0"/>
    <w:rsid w:val="00750B52"/>
    <w:rsid w:val="00750C84"/>
    <w:rsid w:val="00750C8E"/>
    <w:rsid w:val="00750CEE"/>
    <w:rsid w:val="00750DFA"/>
    <w:rsid w:val="00750F51"/>
    <w:rsid w:val="0075102B"/>
    <w:rsid w:val="00751091"/>
    <w:rsid w:val="007510B8"/>
    <w:rsid w:val="007513EA"/>
    <w:rsid w:val="007514AA"/>
    <w:rsid w:val="00751599"/>
    <w:rsid w:val="007515C9"/>
    <w:rsid w:val="0075179A"/>
    <w:rsid w:val="00751929"/>
    <w:rsid w:val="007519AC"/>
    <w:rsid w:val="00751A66"/>
    <w:rsid w:val="00751A9E"/>
    <w:rsid w:val="00751B4C"/>
    <w:rsid w:val="00751C32"/>
    <w:rsid w:val="00751D69"/>
    <w:rsid w:val="00751D6B"/>
    <w:rsid w:val="00751D88"/>
    <w:rsid w:val="00751EF5"/>
    <w:rsid w:val="00751F35"/>
    <w:rsid w:val="00751F6F"/>
    <w:rsid w:val="0075231F"/>
    <w:rsid w:val="00752399"/>
    <w:rsid w:val="00752570"/>
    <w:rsid w:val="007526DC"/>
    <w:rsid w:val="0075271B"/>
    <w:rsid w:val="00752785"/>
    <w:rsid w:val="007528BA"/>
    <w:rsid w:val="00752D6C"/>
    <w:rsid w:val="00752E31"/>
    <w:rsid w:val="00752F28"/>
    <w:rsid w:val="00752FC6"/>
    <w:rsid w:val="00753165"/>
    <w:rsid w:val="0075343A"/>
    <w:rsid w:val="00753485"/>
    <w:rsid w:val="0075373F"/>
    <w:rsid w:val="00753935"/>
    <w:rsid w:val="00753A20"/>
    <w:rsid w:val="00753B6F"/>
    <w:rsid w:val="00753D2D"/>
    <w:rsid w:val="00753EA4"/>
    <w:rsid w:val="00753F51"/>
    <w:rsid w:val="00754028"/>
    <w:rsid w:val="00754144"/>
    <w:rsid w:val="00754331"/>
    <w:rsid w:val="007543ED"/>
    <w:rsid w:val="0075458F"/>
    <w:rsid w:val="007546C3"/>
    <w:rsid w:val="007547F5"/>
    <w:rsid w:val="0075493A"/>
    <w:rsid w:val="00754BEC"/>
    <w:rsid w:val="00754C17"/>
    <w:rsid w:val="00754CFD"/>
    <w:rsid w:val="00754DC4"/>
    <w:rsid w:val="00754E35"/>
    <w:rsid w:val="00754E95"/>
    <w:rsid w:val="00754EE7"/>
    <w:rsid w:val="00754FFE"/>
    <w:rsid w:val="00755074"/>
    <w:rsid w:val="007550A7"/>
    <w:rsid w:val="007550C8"/>
    <w:rsid w:val="007550F3"/>
    <w:rsid w:val="00755267"/>
    <w:rsid w:val="00755290"/>
    <w:rsid w:val="007552D5"/>
    <w:rsid w:val="00755304"/>
    <w:rsid w:val="0075536B"/>
    <w:rsid w:val="007555A5"/>
    <w:rsid w:val="00755678"/>
    <w:rsid w:val="00755ABE"/>
    <w:rsid w:val="00755DBD"/>
    <w:rsid w:val="00755F04"/>
    <w:rsid w:val="00755FBA"/>
    <w:rsid w:val="0075608E"/>
    <w:rsid w:val="00756148"/>
    <w:rsid w:val="0075637A"/>
    <w:rsid w:val="00756385"/>
    <w:rsid w:val="007563A1"/>
    <w:rsid w:val="0075644C"/>
    <w:rsid w:val="00756489"/>
    <w:rsid w:val="007564E8"/>
    <w:rsid w:val="007565EA"/>
    <w:rsid w:val="007566D6"/>
    <w:rsid w:val="00756831"/>
    <w:rsid w:val="007568C0"/>
    <w:rsid w:val="007569B1"/>
    <w:rsid w:val="00756A3D"/>
    <w:rsid w:val="00756D0E"/>
    <w:rsid w:val="00756D0F"/>
    <w:rsid w:val="00756E48"/>
    <w:rsid w:val="00756E92"/>
    <w:rsid w:val="007572EF"/>
    <w:rsid w:val="0075732B"/>
    <w:rsid w:val="007573AD"/>
    <w:rsid w:val="0075744D"/>
    <w:rsid w:val="0075753D"/>
    <w:rsid w:val="007575E9"/>
    <w:rsid w:val="007577BF"/>
    <w:rsid w:val="007578F6"/>
    <w:rsid w:val="0075795D"/>
    <w:rsid w:val="0075797F"/>
    <w:rsid w:val="007579A0"/>
    <w:rsid w:val="00757A3B"/>
    <w:rsid w:val="00757B50"/>
    <w:rsid w:val="00757B90"/>
    <w:rsid w:val="00757C43"/>
    <w:rsid w:val="00757D0A"/>
    <w:rsid w:val="00757DA1"/>
    <w:rsid w:val="00757EBF"/>
    <w:rsid w:val="00757FB2"/>
    <w:rsid w:val="00757FEB"/>
    <w:rsid w:val="00760019"/>
    <w:rsid w:val="0076001F"/>
    <w:rsid w:val="00760346"/>
    <w:rsid w:val="007603F1"/>
    <w:rsid w:val="007604BC"/>
    <w:rsid w:val="0076050E"/>
    <w:rsid w:val="00760525"/>
    <w:rsid w:val="0076064B"/>
    <w:rsid w:val="007608B0"/>
    <w:rsid w:val="007609CE"/>
    <w:rsid w:val="007609D4"/>
    <w:rsid w:val="00760A23"/>
    <w:rsid w:val="00760B39"/>
    <w:rsid w:val="00760B86"/>
    <w:rsid w:val="00760C3B"/>
    <w:rsid w:val="00760C8D"/>
    <w:rsid w:val="00760D17"/>
    <w:rsid w:val="00760D5D"/>
    <w:rsid w:val="00760D74"/>
    <w:rsid w:val="00760D8C"/>
    <w:rsid w:val="00760F2E"/>
    <w:rsid w:val="00760F7A"/>
    <w:rsid w:val="00761363"/>
    <w:rsid w:val="007613BA"/>
    <w:rsid w:val="007613BE"/>
    <w:rsid w:val="0076141C"/>
    <w:rsid w:val="007616EC"/>
    <w:rsid w:val="007616EF"/>
    <w:rsid w:val="007616F8"/>
    <w:rsid w:val="00761715"/>
    <w:rsid w:val="00761748"/>
    <w:rsid w:val="007617F9"/>
    <w:rsid w:val="0076184A"/>
    <w:rsid w:val="00761862"/>
    <w:rsid w:val="00761971"/>
    <w:rsid w:val="00761C98"/>
    <w:rsid w:val="00761CA8"/>
    <w:rsid w:val="00761DCD"/>
    <w:rsid w:val="00761E0E"/>
    <w:rsid w:val="0076201C"/>
    <w:rsid w:val="00762032"/>
    <w:rsid w:val="00762157"/>
    <w:rsid w:val="007621A0"/>
    <w:rsid w:val="00762209"/>
    <w:rsid w:val="00762338"/>
    <w:rsid w:val="007623B5"/>
    <w:rsid w:val="00762505"/>
    <w:rsid w:val="00762544"/>
    <w:rsid w:val="00762662"/>
    <w:rsid w:val="0076274C"/>
    <w:rsid w:val="00762752"/>
    <w:rsid w:val="00762977"/>
    <w:rsid w:val="00762993"/>
    <w:rsid w:val="00762AF0"/>
    <w:rsid w:val="00762B9F"/>
    <w:rsid w:val="00762D0D"/>
    <w:rsid w:val="00762DB6"/>
    <w:rsid w:val="00762E0D"/>
    <w:rsid w:val="00762E32"/>
    <w:rsid w:val="00762E41"/>
    <w:rsid w:val="00762EDB"/>
    <w:rsid w:val="00762F37"/>
    <w:rsid w:val="00762F3B"/>
    <w:rsid w:val="00763108"/>
    <w:rsid w:val="00763273"/>
    <w:rsid w:val="007633FC"/>
    <w:rsid w:val="0076340B"/>
    <w:rsid w:val="007634F0"/>
    <w:rsid w:val="007636CC"/>
    <w:rsid w:val="00763739"/>
    <w:rsid w:val="0076375C"/>
    <w:rsid w:val="00763A48"/>
    <w:rsid w:val="00763AEB"/>
    <w:rsid w:val="00763B1B"/>
    <w:rsid w:val="00763B48"/>
    <w:rsid w:val="00763C06"/>
    <w:rsid w:val="00763C63"/>
    <w:rsid w:val="00763CDD"/>
    <w:rsid w:val="00763D07"/>
    <w:rsid w:val="00763E36"/>
    <w:rsid w:val="007640CD"/>
    <w:rsid w:val="007642AD"/>
    <w:rsid w:val="007644DE"/>
    <w:rsid w:val="00764659"/>
    <w:rsid w:val="00764C3A"/>
    <w:rsid w:val="00764C9F"/>
    <w:rsid w:val="00764D6C"/>
    <w:rsid w:val="00764E54"/>
    <w:rsid w:val="00764F8B"/>
    <w:rsid w:val="007651F1"/>
    <w:rsid w:val="00765233"/>
    <w:rsid w:val="00765258"/>
    <w:rsid w:val="0076525A"/>
    <w:rsid w:val="007653A7"/>
    <w:rsid w:val="0076540E"/>
    <w:rsid w:val="007654A2"/>
    <w:rsid w:val="007654BD"/>
    <w:rsid w:val="007654F1"/>
    <w:rsid w:val="007654F2"/>
    <w:rsid w:val="0076555E"/>
    <w:rsid w:val="007655DE"/>
    <w:rsid w:val="0076561D"/>
    <w:rsid w:val="00765698"/>
    <w:rsid w:val="007657A4"/>
    <w:rsid w:val="00765916"/>
    <w:rsid w:val="007659A8"/>
    <w:rsid w:val="00765C1C"/>
    <w:rsid w:val="00765C3E"/>
    <w:rsid w:val="00765CA8"/>
    <w:rsid w:val="00765D9C"/>
    <w:rsid w:val="00765DDE"/>
    <w:rsid w:val="00765EBC"/>
    <w:rsid w:val="00765F79"/>
    <w:rsid w:val="007661C1"/>
    <w:rsid w:val="00766206"/>
    <w:rsid w:val="0076637B"/>
    <w:rsid w:val="007664B6"/>
    <w:rsid w:val="007666E5"/>
    <w:rsid w:val="0076670A"/>
    <w:rsid w:val="00766793"/>
    <w:rsid w:val="007669C5"/>
    <w:rsid w:val="007669E3"/>
    <w:rsid w:val="00766AC3"/>
    <w:rsid w:val="00766AC4"/>
    <w:rsid w:val="00766B20"/>
    <w:rsid w:val="00766C03"/>
    <w:rsid w:val="00766C87"/>
    <w:rsid w:val="00766D14"/>
    <w:rsid w:val="00766D47"/>
    <w:rsid w:val="00766DB8"/>
    <w:rsid w:val="00766DD8"/>
    <w:rsid w:val="00766DF7"/>
    <w:rsid w:val="00766E5A"/>
    <w:rsid w:val="00766F6F"/>
    <w:rsid w:val="0076707A"/>
    <w:rsid w:val="007670CB"/>
    <w:rsid w:val="007671B0"/>
    <w:rsid w:val="0076721A"/>
    <w:rsid w:val="007672D1"/>
    <w:rsid w:val="0076740E"/>
    <w:rsid w:val="007674E3"/>
    <w:rsid w:val="0076758A"/>
    <w:rsid w:val="007675BB"/>
    <w:rsid w:val="007675C2"/>
    <w:rsid w:val="007675C3"/>
    <w:rsid w:val="007676EE"/>
    <w:rsid w:val="00767802"/>
    <w:rsid w:val="007678A8"/>
    <w:rsid w:val="00767B3A"/>
    <w:rsid w:val="00767DC5"/>
    <w:rsid w:val="00767E16"/>
    <w:rsid w:val="00767EAE"/>
    <w:rsid w:val="007700F4"/>
    <w:rsid w:val="007701E1"/>
    <w:rsid w:val="0077026A"/>
    <w:rsid w:val="00770321"/>
    <w:rsid w:val="00770383"/>
    <w:rsid w:val="007704E1"/>
    <w:rsid w:val="00770568"/>
    <w:rsid w:val="007705A7"/>
    <w:rsid w:val="007705B3"/>
    <w:rsid w:val="007705C7"/>
    <w:rsid w:val="00770747"/>
    <w:rsid w:val="007707FC"/>
    <w:rsid w:val="00770A08"/>
    <w:rsid w:val="00770CBC"/>
    <w:rsid w:val="00770D0D"/>
    <w:rsid w:val="00770F7B"/>
    <w:rsid w:val="00771195"/>
    <w:rsid w:val="007711E3"/>
    <w:rsid w:val="00771288"/>
    <w:rsid w:val="007712C0"/>
    <w:rsid w:val="007713D5"/>
    <w:rsid w:val="0077143B"/>
    <w:rsid w:val="0077152B"/>
    <w:rsid w:val="00771588"/>
    <w:rsid w:val="00771638"/>
    <w:rsid w:val="00771695"/>
    <w:rsid w:val="007716E7"/>
    <w:rsid w:val="00771725"/>
    <w:rsid w:val="00771737"/>
    <w:rsid w:val="0077198A"/>
    <w:rsid w:val="0077198D"/>
    <w:rsid w:val="007719CD"/>
    <w:rsid w:val="007719EA"/>
    <w:rsid w:val="00771A14"/>
    <w:rsid w:val="00771B7D"/>
    <w:rsid w:val="00771CA2"/>
    <w:rsid w:val="00771CE4"/>
    <w:rsid w:val="00771EC0"/>
    <w:rsid w:val="00771EE9"/>
    <w:rsid w:val="00771FB8"/>
    <w:rsid w:val="00771FD1"/>
    <w:rsid w:val="007720F6"/>
    <w:rsid w:val="0077210B"/>
    <w:rsid w:val="007721DA"/>
    <w:rsid w:val="00772299"/>
    <w:rsid w:val="007722BA"/>
    <w:rsid w:val="007722EF"/>
    <w:rsid w:val="00772302"/>
    <w:rsid w:val="00772312"/>
    <w:rsid w:val="0077231C"/>
    <w:rsid w:val="0077238C"/>
    <w:rsid w:val="007723A7"/>
    <w:rsid w:val="007723D0"/>
    <w:rsid w:val="00772417"/>
    <w:rsid w:val="0077248D"/>
    <w:rsid w:val="007725B6"/>
    <w:rsid w:val="0077274C"/>
    <w:rsid w:val="007729CB"/>
    <w:rsid w:val="00772AEF"/>
    <w:rsid w:val="00772CB0"/>
    <w:rsid w:val="00772E53"/>
    <w:rsid w:val="00772E65"/>
    <w:rsid w:val="00772F20"/>
    <w:rsid w:val="00773152"/>
    <w:rsid w:val="007731A8"/>
    <w:rsid w:val="007732FA"/>
    <w:rsid w:val="0077331B"/>
    <w:rsid w:val="00773396"/>
    <w:rsid w:val="007733C3"/>
    <w:rsid w:val="0077341F"/>
    <w:rsid w:val="007735A4"/>
    <w:rsid w:val="00773603"/>
    <w:rsid w:val="007738BB"/>
    <w:rsid w:val="007738FA"/>
    <w:rsid w:val="0077391E"/>
    <w:rsid w:val="00773A8B"/>
    <w:rsid w:val="00773B91"/>
    <w:rsid w:val="00773BB1"/>
    <w:rsid w:val="00773CB3"/>
    <w:rsid w:val="00773D08"/>
    <w:rsid w:val="00773E09"/>
    <w:rsid w:val="00774016"/>
    <w:rsid w:val="00774022"/>
    <w:rsid w:val="007740CC"/>
    <w:rsid w:val="00774146"/>
    <w:rsid w:val="007741BF"/>
    <w:rsid w:val="0077427A"/>
    <w:rsid w:val="00774418"/>
    <w:rsid w:val="007746A4"/>
    <w:rsid w:val="007746AC"/>
    <w:rsid w:val="0077472C"/>
    <w:rsid w:val="0077477E"/>
    <w:rsid w:val="007747C0"/>
    <w:rsid w:val="00774879"/>
    <w:rsid w:val="00774950"/>
    <w:rsid w:val="00774998"/>
    <w:rsid w:val="00774A33"/>
    <w:rsid w:val="00774A81"/>
    <w:rsid w:val="00774AC8"/>
    <w:rsid w:val="00774B2A"/>
    <w:rsid w:val="00774B34"/>
    <w:rsid w:val="00774C07"/>
    <w:rsid w:val="00774C18"/>
    <w:rsid w:val="00774CF3"/>
    <w:rsid w:val="00774CFB"/>
    <w:rsid w:val="00774DB7"/>
    <w:rsid w:val="00774DC7"/>
    <w:rsid w:val="00774E7F"/>
    <w:rsid w:val="007750DA"/>
    <w:rsid w:val="00775161"/>
    <w:rsid w:val="00775163"/>
    <w:rsid w:val="0077517F"/>
    <w:rsid w:val="00775189"/>
    <w:rsid w:val="007752DB"/>
    <w:rsid w:val="007752F5"/>
    <w:rsid w:val="00775305"/>
    <w:rsid w:val="0077530F"/>
    <w:rsid w:val="007754B5"/>
    <w:rsid w:val="00775637"/>
    <w:rsid w:val="00775990"/>
    <w:rsid w:val="007759B3"/>
    <w:rsid w:val="00775A4D"/>
    <w:rsid w:val="00775A61"/>
    <w:rsid w:val="00775A7D"/>
    <w:rsid w:val="00775B3F"/>
    <w:rsid w:val="00775B65"/>
    <w:rsid w:val="00775BFF"/>
    <w:rsid w:val="00775D3C"/>
    <w:rsid w:val="00775EA6"/>
    <w:rsid w:val="00775EEE"/>
    <w:rsid w:val="00775FDC"/>
    <w:rsid w:val="0077617B"/>
    <w:rsid w:val="0077633F"/>
    <w:rsid w:val="0077649C"/>
    <w:rsid w:val="00776655"/>
    <w:rsid w:val="00776701"/>
    <w:rsid w:val="00776789"/>
    <w:rsid w:val="007767D6"/>
    <w:rsid w:val="0077692F"/>
    <w:rsid w:val="00776B51"/>
    <w:rsid w:val="00776BEF"/>
    <w:rsid w:val="00776CCA"/>
    <w:rsid w:val="00776DB3"/>
    <w:rsid w:val="00777067"/>
    <w:rsid w:val="007771A3"/>
    <w:rsid w:val="007773E0"/>
    <w:rsid w:val="007773E7"/>
    <w:rsid w:val="0077752E"/>
    <w:rsid w:val="00777599"/>
    <w:rsid w:val="007775DB"/>
    <w:rsid w:val="0077793F"/>
    <w:rsid w:val="00777A2A"/>
    <w:rsid w:val="00777A52"/>
    <w:rsid w:val="00777AB7"/>
    <w:rsid w:val="00777B1F"/>
    <w:rsid w:val="00777C85"/>
    <w:rsid w:val="00777CB7"/>
    <w:rsid w:val="00777CEE"/>
    <w:rsid w:val="00777D5A"/>
    <w:rsid w:val="00777E9A"/>
    <w:rsid w:val="00777EF7"/>
    <w:rsid w:val="00777FC5"/>
    <w:rsid w:val="007800A5"/>
    <w:rsid w:val="007800CA"/>
    <w:rsid w:val="00780221"/>
    <w:rsid w:val="0078026C"/>
    <w:rsid w:val="0078029B"/>
    <w:rsid w:val="007803D0"/>
    <w:rsid w:val="007804AA"/>
    <w:rsid w:val="007806C0"/>
    <w:rsid w:val="007806DC"/>
    <w:rsid w:val="00780745"/>
    <w:rsid w:val="00780862"/>
    <w:rsid w:val="00780A7D"/>
    <w:rsid w:val="00780B19"/>
    <w:rsid w:val="00780C5D"/>
    <w:rsid w:val="00780DBB"/>
    <w:rsid w:val="007810A2"/>
    <w:rsid w:val="007810ED"/>
    <w:rsid w:val="007811A5"/>
    <w:rsid w:val="0078132F"/>
    <w:rsid w:val="00781342"/>
    <w:rsid w:val="00781624"/>
    <w:rsid w:val="00781647"/>
    <w:rsid w:val="0078181A"/>
    <w:rsid w:val="00781916"/>
    <w:rsid w:val="007819DF"/>
    <w:rsid w:val="00781A03"/>
    <w:rsid w:val="00781A4C"/>
    <w:rsid w:val="00781DB8"/>
    <w:rsid w:val="00781E58"/>
    <w:rsid w:val="00781ECA"/>
    <w:rsid w:val="00781F5F"/>
    <w:rsid w:val="00781F86"/>
    <w:rsid w:val="007821AE"/>
    <w:rsid w:val="0078269C"/>
    <w:rsid w:val="0078269D"/>
    <w:rsid w:val="0078269F"/>
    <w:rsid w:val="007827BF"/>
    <w:rsid w:val="00782846"/>
    <w:rsid w:val="007829B1"/>
    <w:rsid w:val="007829E2"/>
    <w:rsid w:val="00782A4D"/>
    <w:rsid w:val="00782BFD"/>
    <w:rsid w:val="00782C55"/>
    <w:rsid w:val="00782D1E"/>
    <w:rsid w:val="00782E3D"/>
    <w:rsid w:val="00782E78"/>
    <w:rsid w:val="007830B1"/>
    <w:rsid w:val="007830B8"/>
    <w:rsid w:val="00783189"/>
    <w:rsid w:val="007831AC"/>
    <w:rsid w:val="007832EF"/>
    <w:rsid w:val="0078358C"/>
    <w:rsid w:val="0078360D"/>
    <w:rsid w:val="00783659"/>
    <w:rsid w:val="007836BF"/>
    <w:rsid w:val="0078375C"/>
    <w:rsid w:val="00783841"/>
    <w:rsid w:val="00783B0F"/>
    <w:rsid w:val="00783B3F"/>
    <w:rsid w:val="00783BC3"/>
    <w:rsid w:val="00783C65"/>
    <w:rsid w:val="00783CD6"/>
    <w:rsid w:val="00783EC5"/>
    <w:rsid w:val="00783FEA"/>
    <w:rsid w:val="007840A0"/>
    <w:rsid w:val="007840C7"/>
    <w:rsid w:val="007840CB"/>
    <w:rsid w:val="00784186"/>
    <w:rsid w:val="00784256"/>
    <w:rsid w:val="007842A8"/>
    <w:rsid w:val="00784351"/>
    <w:rsid w:val="00784456"/>
    <w:rsid w:val="00784466"/>
    <w:rsid w:val="007845BC"/>
    <w:rsid w:val="007846FB"/>
    <w:rsid w:val="00784B76"/>
    <w:rsid w:val="00784CB7"/>
    <w:rsid w:val="00784CD2"/>
    <w:rsid w:val="00784DB8"/>
    <w:rsid w:val="00784E2D"/>
    <w:rsid w:val="00784E95"/>
    <w:rsid w:val="00784E9D"/>
    <w:rsid w:val="00785058"/>
    <w:rsid w:val="007850B1"/>
    <w:rsid w:val="00785139"/>
    <w:rsid w:val="00785328"/>
    <w:rsid w:val="007853E3"/>
    <w:rsid w:val="00785542"/>
    <w:rsid w:val="00785629"/>
    <w:rsid w:val="0078567F"/>
    <w:rsid w:val="00785A95"/>
    <w:rsid w:val="00785B4F"/>
    <w:rsid w:val="00785CC5"/>
    <w:rsid w:val="00785DAD"/>
    <w:rsid w:val="00785DCC"/>
    <w:rsid w:val="00785DDF"/>
    <w:rsid w:val="00785E94"/>
    <w:rsid w:val="00785FF3"/>
    <w:rsid w:val="0078609A"/>
    <w:rsid w:val="00786152"/>
    <w:rsid w:val="007861CA"/>
    <w:rsid w:val="00786296"/>
    <w:rsid w:val="007862ED"/>
    <w:rsid w:val="0078630B"/>
    <w:rsid w:val="007863B1"/>
    <w:rsid w:val="007863C1"/>
    <w:rsid w:val="00786496"/>
    <w:rsid w:val="0078663D"/>
    <w:rsid w:val="007868A3"/>
    <w:rsid w:val="00786A28"/>
    <w:rsid w:val="00786A59"/>
    <w:rsid w:val="00786B6A"/>
    <w:rsid w:val="00786B85"/>
    <w:rsid w:val="00786DAF"/>
    <w:rsid w:val="00786FB1"/>
    <w:rsid w:val="00786FF4"/>
    <w:rsid w:val="0078700F"/>
    <w:rsid w:val="00787177"/>
    <w:rsid w:val="00787307"/>
    <w:rsid w:val="00787388"/>
    <w:rsid w:val="007873E0"/>
    <w:rsid w:val="00787593"/>
    <w:rsid w:val="0078760A"/>
    <w:rsid w:val="00787622"/>
    <w:rsid w:val="00787671"/>
    <w:rsid w:val="0078775C"/>
    <w:rsid w:val="007877B5"/>
    <w:rsid w:val="00787C64"/>
    <w:rsid w:val="00787E3E"/>
    <w:rsid w:val="00790099"/>
    <w:rsid w:val="00790113"/>
    <w:rsid w:val="00790160"/>
    <w:rsid w:val="0079016A"/>
    <w:rsid w:val="0079027F"/>
    <w:rsid w:val="00790529"/>
    <w:rsid w:val="0079055C"/>
    <w:rsid w:val="007905FD"/>
    <w:rsid w:val="007906AF"/>
    <w:rsid w:val="007908C6"/>
    <w:rsid w:val="007909AE"/>
    <w:rsid w:val="007909E7"/>
    <w:rsid w:val="00790A52"/>
    <w:rsid w:val="00790B84"/>
    <w:rsid w:val="00790BEC"/>
    <w:rsid w:val="00790C0C"/>
    <w:rsid w:val="00790D3D"/>
    <w:rsid w:val="00790D89"/>
    <w:rsid w:val="00790DC2"/>
    <w:rsid w:val="00790F3E"/>
    <w:rsid w:val="00790F9F"/>
    <w:rsid w:val="0079124E"/>
    <w:rsid w:val="007912A3"/>
    <w:rsid w:val="007913B1"/>
    <w:rsid w:val="007913D0"/>
    <w:rsid w:val="007914F0"/>
    <w:rsid w:val="0079150E"/>
    <w:rsid w:val="00791543"/>
    <w:rsid w:val="0079160A"/>
    <w:rsid w:val="00791646"/>
    <w:rsid w:val="007916C6"/>
    <w:rsid w:val="007916E3"/>
    <w:rsid w:val="0079187A"/>
    <w:rsid w:val="00791928"/>
    <w:rsid w:val="00791A06"/>
    <w:rsid w:val="00791A1A"/>
    <w:rsid w:val="00791A57"/>
    <w:rsid w:val="00791A90"/>
    <w:rsid w:val="00791AC9"/>
    <w:rsid w:val="00791B62"/>
    <w:rsid w:val="00791C4D"/>
    <w:rsid w:val="00791D9D"/>
    <w:rsid w:val="00791DF1"/>
    <w:rsid w:val="00791DF4"/>
    <w:rsid w:val="0079220F"/>
    <w:rsid w:val="0079229E"/>
    <w:rsid w:val="00792529"/>
    <w:rsid w:val="00792609"/>
    <w:rsid w:val="00792634"/>
    <w:rsid w:val="00792737"/>
    <w:rsid w:val="007928B4"/>
    <w:rsid w:val="00792A04"/>
    <w:rsid w:val="00792BF2"/>
    <w:rsid w:val="00792BF8"/>
    <w:rsid w:val="00792C5F"/>
    <w:rsid w:val="00792C7C"/>
    <w:rsid w:val="00792D81"/>
    <w:rsid w:val="00793188"/>
    <w:rsid w:val="00793307"/>
    <w:rsid w:val="00793339"/>
    <w:rsid w:val="00793447"/>
    <w:rsid w:val="0079345F"/>
    <w:rsid w:val="00793461"/>
    <w:rsid w:val="007934D9"/>
    <w:rsid w:val="007935C1"/>
    <w:rsid w:val="00793824"/>
    <w:rsid w:val="007938E9"/>
    <w:rsid w:val="00793941"/>
    <w:rsid w:val="007939E4"/>
    <w:rsid w:val="00793AFC"/>
    <w:rsid w:val="00793B5D"/>
    <w:rsid w:val="00793B71"/>
    <w:rsid w:val="00793D5A"/>
    <w:rsid w:val="00793D6A"/>
    <w:rsid w:val="00793F29"/>
    <w:rsid w:val="00793F79"/>
    <w:rsid w:val="00794040"/>
    <w:rsid w:val="00794066"/>
    <w:rsid w:val="00794156"/>
    <w:rsid w:val="007941A4"/>
    <w:rsid w:val="0079432F"/>
    <w:rsid w:val="00794374"/>
    <w:rsid w:val="007943D6"/>
    <w:rsid w:val="00794421"/>
    <w:rsid w:val="007945CF"/>
    <w:rsid w:val="007945FC"/>
    <w:rsid w:val="00794659"/>
    <w:rsid w:val="007946B8"/>
    <w:rsid w:val="00794752"/>
    <w:rsid w:val="00794765"/>
    <w:rsid w:val="007947D2"/>
    <w:rsid w:val="007948B2"/>
    <w:rsid w:val="00794919"/>
    <w:rsid w:val="00794B03"/>
    <w:rsid w:val="00794B93"/>
    <w:rsid w:val="00794BCD"/>
    <w:rsid w:val="00794C00"/>
    <w:rsid w:val="007950BB"/>
    <w:rsid w:val="0079524C"/>
    <w:rsid w:val="00795381"/>
    <w:rsid w:val="0079538A"/>
    <w:rsid w:val="0079540E"/>
    <w:rsid w:val="00795441"/>
    <w:rsid w:val="007954AA"/>
    <w:rsid w:val="007956A4"/>
    <w:rsid w:val="007958C2"/>
    <w:rsid w:val="00795A1B"/>
    <w:rsid w:val="00795A5C"/>
    <w:rsid w:val="00795A77"/>
    <w:rsid w:val="00795B0F"/>
    <w:rsid w:val="00795C95"/>
    <w:rsid w:val="00795DCC"/>
    <w:rsid w:val="00795E4B"/>
    <w:rsid w:val="00796153"/>
    <w:rsid w:val="00796423"/>
    <w:rsid w:val="0079645A"/>
    <w:rsid w:val="0079654B"/>
    <w:rsid w:val="007965C2"/>
    <w:rsid w:val="007966E4"/>
    <w:rsid w:val="00796840"/>
    <w:rsid w:val="007968CD"/>
    <w:rsid w:val="00796956"/>
    <w:rsid w:val="00796959"/>
    <w:rsid w:val="00796A5D"/>
    <w:rsid w:val="00796C0C"/>
    <w:rsid w:val="00796CC4"/>
    <w:rsid w:val="00796DFD"/>
    <w:rsid w:val="00796E06"/>
    <w:rsid w:val="00796E57"/>
    <w:rsid w:val="00796FA8"/>
    <w:rsid w:val="00796FE7"/>
    <w:rsid w:val="0079715C"/>
    <w:rsid w:val="0079719B"/>
    <w:rsid w:val="00797227"/>
    <w:rsid w:val="00797474"/>
    <w:rsid w:val="007974CD"/>
    <w:rsid w:val="00797538"/>
    <w:rsid w:val="00797542"/>
    <w:rsid w:val="00797575"/>
    <w:rsid w:val="0079760D"/>
    <w:rsid w:val="007976FB"/>
    <w:rsid w:val="0079780C"/>
    <w:rsid w:val="00797891"/>
    <w:rsid w:val="007978DE"/>
    <w:rsid w:val="00797912"/>
    <w:rsid w:val="00797C11"/>
    <w:rsid w:val="007A0073"/>
    <w:rsid w:val="007A0075"/>
    <w:rsid w:val="007A0248"/>
    <w:rsid w:val="007A02E8"/>
    <w:rsid w:val="007A03A8"/>
    <w:rsid w:val="007A03DB"/>
    <w:rsid w:val="007A05A2"/>
    <w:rsid w:val="007A0662"/>
    <w:rsid w:val="007A0670"/>
    <w:rsid w:val="007A06CF"/>
    <w:rsid w:val="007A0837"/>
    <w:rsid w:val="007A0918"/>
    <w:rsid w:val="007A0935"/>
    <w:rsid w:val="007A0999"/>
    <w:rsid w:val="007A0A0F"/>
    <w:rsid w:val="007A0A69"/>
    <w:rsid w:val="007A0AF1"/>
    <w:rsid w:val="007A0B15"/>
    <w:rsid w:val="007A0B25"/>
    <w:rsid w:val="007A0B5B"/>
    <w:rsid w:val="007A0B64"/>
    <w:rsid w:val="007A0C38"/>
    <w:rsid w:val="007A0C64"/>
    <w:rsid w:val="007A0C9D"/>
    <w:rsid w:val="007A0E00"/>
    <w:rsid w:val="007A0EC1"/>
    <w:rsid w:val="007A0F57"/>
    <w:rsid w:val="007A104F"/>
    <w:rsid w:val="007A11B6"/>
    <w:rsid w:val="007A1299"/>
    <w:rsid w:val="007A12DF"/>
    <w:rsid w:val="007A137B"/>
    <w:rsid w:val="007A13B4"/>
    <w:rsid w:val="007A15C1"/>
    <w:rsid w:val="007A16B6"/>
    <w:rsid w:val="007A17CE"/>
    <w:rsid w:val="007A1802"/>
    <w:rsid w:val="007A187E"/>
    <w:rsid w:val="007A194E"/>
    <w:rsid w:val="007A1C5A"/>
    <w:rsid w:val="007A1F03"/>
    <w:rsid w:val="007A1F0C"/>
    <w:rsid w:val="007A21A9"/>
    <w:rsid w:val="007A21B3"/>
    <w:rsid w:val="007A228A"/>
    <w:rsid w:val="007A228E"/>
    <w:rsid w:val="007A22CD"/>
    <w:rsid w:val="007A2302"/>
    <w:rsid w:val="007A2458"/>
    <w:rsid w:val="007A246A"/>
    <w:rsid w:val="007A25C3"/>
    <w:rsid w:val="007A283A"/>
    <w:rsid w:val="007A291B"/>
    <w:rsid w:val="007A29A6"/>
    <w:rsid w:val="007A2A73"/>
    <w:rsid w:val="007A2B9B"/>
    <w:rsid w:val="007A2E86"/>
    <w:rsid w:val="007A2EFC"/>
    <w:rsid w:val="007A3109"/>
    <w:rsid w:val="007A31B7"/>
    <w:rsid w:val="007A3443"/>
    <w:rsid w:val="007A358E"/>
    <w:rsid w:val="007A37EC"/>
    <w:rsid w:val="007A3895"/>
    <w:rsid w:val="007A3935"/>
    <w:rsid w:val="007A397B"/>
    <w:rsid w:val="007A3B47"/>
    <w:rsid w:val="007A3EB0"/>
    <w:rsid w:val="007A3FFA"/>
    <w:rsid w:val="007A4100"/>
    <w:rsid w:val="007A41E6"/>
    <w:rsid w:val="007A4275"/>
    <w:rsid w:val="007A42ED"/>
    <w:rsid w:val="007A42FA"/>
    <w:rsid w:val="007A456D"/>
    <w:rsid w:val="007A457E"/>
    <w:rsid w:val="007A4596"/>
    <w:rsid w:val="007A45D2"/>
    <w:rsid w:val="007A46F1"/>
    <w:rsid w:val="007A475C"/>
    <w:rsid w:val="007A47C8"/>
    <w:rsid w:val="007A4922"/>
    <w:rsid w:val="007A4B97"/>
    <w:rsid w:val="007A4C5B"/>
    <w:rsid w:val="007A4CAA"/>
    <w:rsid w:val="007A4CDC"/>
    <w:rsid w:val="007A4D39"/>
    <w:rsid w:val="007A4DBA"/>
    <w:rsid w:val="007A4E04"/>
    <w:rsid w:val="007A4FA7"/>
    <w:rsid w:val="007A4FF7"/>
    <w:rsid w:val="007A501B"/>
    <w:rsid w:val="007A5172"/>
    <w:rsid w:val="007A5292"/>
    <w:rsid w:val="007A557A"/>
    <w:rsid w:val="007A564B"/>
    <w:rsid w:val="007A568D"/>
    <w:rsid w:val="007A56B1"/>
    <w:rsid w:val="007A5949"/>
    <w:rsid w:val="007A5B0C"/>
    <w:rsid w:val="007A5B52"/>
    <w:rsid w:val="007A5B5F"/>
    <w:rsid w:val="007A5C7A"/>
    <w:rsid w:val="007A5D46"/>
    <w:rsid w:val="007A5D79"/>
    <w:rsid w:val="007A5E3C"/>
    <w:rsid w:val="007A5EA0"/>
    <w:rsid w:val="007A5F27"/>
    <w:rsid w:val="007A62CD"/>
    <w:rsid w:val="007A6318"/>
    <w:rsid w:val="007A639A"/>
    <w:rsid w:val="007A6508"/>
    <w:rsid w:val="007A6784"/>
    <w:rsid w:val="007A692A"/>
    <w:rsid w:val="007A694C"/>
    <w:rsid w:val="007A696A"/>
    <w:rsid w:val="007A6A1D"/>
    <w:rsid w:val="007A6FAD"/>
    <w:rsid w:val="007A70A5"/>
    <w:rsid w:val="007A72DA"/>
    <w:rsid w:val="007A7341"/>
    <w:rsid w:val="007A741B"/>
    <w:rsid w:val="007A7536"/>
    <w:rsid w:val="007A7544"/>
    <w:rsid w:val="007A7571"/>
    <w:rsid w:val="007A7D1F"/>
    <w:rsid w:val="007A7D53"/>
    <w:rsid w:val="007A7EF0"/>
    <w:rsid w:val="007A7F12"/>
    <w:rsid w:val="007B004B"/>
    <w:rsid w:val="007B00F6"/>
    <w:rsid w:val="007B0145"/>
    <w:rsid w:val="007B027F"/>
    <w:rsid w:val="007B02B5"/>
    <w:rsid w:val="007B02FF"/>
    <w:rsid w:val="007B0410"/>
    <w:rsid w:val="007B049C"/>
    <w:rsid w:val="007B06FE"/>
    <w:rsid w:val="007B0829"/>
    <w:rsid w:val="007B0840"/>
    <w:rsid w:val="007B0841"/>
    <w:rsid w:val="007B0956"/>
    <w:rsid w:val="007B0AC1"/>
    <w:rsid w:val="007B0ACC"/>
    <w:rsid w:val="007B0AD4"/>
    <w:rsid w:val="007B0B2F"/>
    <w:rsid w:val="007B0B31"/>
    <w:rsid w:val="007B0C60"/>
    <w:rsid w:val="007B0D80"/>
    <w:rsid w:val="007B1078"/>
    <w:rsid w:val="007B10B0"/>
    <w:rsid w:val="007B1203"/>
    <w:rsid w:val="007B1204"/>
    <w:rsid w:val="007B1208"/>
    <w:rsid w:val="007B121D"/>
    <w:rsid w:val="007B13C3"/>
    <w:rsid w:val="007B14C1"/>
    <w:rsid w:val="007B158E"/>
    <w:rsid w:val="007B1624"/>
    <w:rsid w:val="007B17D0"/>
    <w:rsid w:val="007B1878"/>
    <w:rsid w:val="007B1898"/>
    <w:rsid w:val="007B1965"/>
    <w:rsid w:val="007B19E8"/>
    <w:rsid w:val="007B1A9F"/>
    <w:rsid w:val="007B1AF0"/>
    <w:rsid w:val="007B1B05"/>
    <w:rsid w:val="007B1C32"/>
    <w:rsid w:val="007B1D15"/>
    <w:rsid w:val="007B1F4A"/>
    <w:rsid w:val="007B2028"/>
    <w:rsid w:val="007B22FA"/>
    <w:rsid w:val="007B2308"/>
    <w:rsid w:val="007B2415"/>
    <w:rsid w:val="007B2424"/>
    <w:rsid w:val="007B2557"/>
    <w:rsid w:val="007B2586"/>
    <w:rsid w:val="007B25A6"/>
    <w:rsid w:val="007B26AD"/>
    <w:rsid w:val="007B274C"/>
    <w:rsid w:val="007B283E"/>
    <w:rsid w:val="007B293E"/>
    <w:rsid w:val="007B2ABE"/>
    <w:rsid w:val="007B2BD8"/>
    <w:rsid w:val="007B2E9E"/>
    <w:rsid w:val="007B3020"/>
    <w:rsid w:val="007B30D2"/>
    <w:rsid w:val="007B3173"/>
    <w:rsid w:val="007B32B3"/>
    <w:rsid w:val="007B3309"/>
    <w:rsid w:val="007B34DD"/>
    <w:rsid w:val="007B37FF"/>
    <w:rsid w:val="007B3830"/>
    <w:rsid w:val="007B397A"/>
    <w:rsid w:val="007B39F2"/>
    <w:rsid w:val="007B3A63"/>
    <w:rsid w:val="007B3AFD"/>
    <w:rsid w:val="007B3D64"/>
    <w:rsid w:val="007B3DC6"/>
    <w:rsid w:val="007B3FA2"/>
    <w:rsid w:val="007B4000"/>
    <w:rsid w:val="007B40B8"/>
    <w:rsid w:val="007B40BA"/>
    <w:rsid w:val="007B4105"/>
    <w:rsid w:val="007B4215"/>
    <w:rsid w:val="007B4271"/>
    <w:rsid w:val="007B4302"/>
    <w:rsid w:val="007B43EB"/>
    <w:rsid w:val="007B45CE"/>
    <w:rsid w:val="007B484F"/>
    <w:rsid w:val="007B489D"/>
    <w:rsid w:val="007B4B0F"/>
    <w:rsid w:val="007B4C6B"/>
    <w:rsid w:val="007B4DE7"/>
    <w:rsid w:val="007B4E79"/>
    <w:rsid w:val="007B4F08"/>
    <w:rsid w:val="007B4F2E"/>
    <w:rsid w:val="007B50A8"/>
    <w:rsid w:val="007B513F"/>
    <w:rsid w:val="007B5169"/>
    <w:rsid w:val="007B526F"/>
    <w:rsid w:val="007B531C"/>
    <w:rsid w:val="007B535C"/>
    <w:rsid w:val="007B5419"/>
    <w:rsid w:val="007B54DE"/>
    <w:rsid w:val="007B54E5"/>
    <w:rsid w:val="007B565A"/>
    <w:rsid w:val="007B5BD5"/>
    <w:rsid w:val="007B5D8A"/>
    <w:rsid w:val="007B5F1D"/>
    <w:rsid w:val="007B5FDE"/>
    <w:rsid w:val="007B6075"/>
    <w:rsid w:val="007B627D"/>
    <w:rsid w:val="007B632A"/>
    <w:rsid w:val="007B6470"/>
    <w:rsid w:val="007B6531"/>
    <w:rsid w:val="007B6538"/>
    <w:rsid w:val="007B6546"/>
    <w:rsid w:val="007B6596"/>
    <w:rsid w:val="007B662D"/>
    <w:rsid w:val="007B6753"/>
    <w:rsid w:val="007B6832"/>
    <w:rsid w:val="007B68F2"/>
    <w:rsid w:val="007B68FD"/>
    <w:rsid w:val="007B6A55"/>
    <w:rsid w:val="007B6E01"/>
    <w:rsid w:val="007B7247"/>
    <w:rsid w:val="007B7638"/>
    <w:rsid w:val="007B7841"/>
    <w:rsid w:val="007B7A7D"/>
    <w:rsid w:val="007B7A80"/>
    <w:rsid w:val="007B7BAD"/>
    <w:rsid w:val="007B7C3D"/>
    <w:rsid w:val="007B7D58"/>
    <w:rsid w:val="007B7DFF"/>
    <w:rsid w:val="007B7E07"/>
    <w:rsid w:val="007B7E84"/>
    <w:rsid w:val="007B7F80"/>
    <w:rsid w:val="007B7FD8"/>
    <w:rsid w:val="007C005E"/>
    <w:rsid w:val="007C0191"/>
    <w:rsid w:val="007C0267"/>
    <w:rsid w:val="007C03E3"/>
    <w:rsid w:val="007C0401"/>
    <w:rsid w:val="007C0454"/>
    <w:rsid w:val="007C0657"/>
    <w:rsid w:val="007C06AF"/>
    <w:rsid w:val="007C08BC"/>
    <w:rsid w:val="007C09F8"/>
    <w:rsid w:val="007C0B06"/>
    <w:rsid w:val="007C0D6D"/>
    <w:rsid w:val="007C0F54"/>
    <w:rsid w:val="007C0FAF"/>
    <w:rsid w:val="007C1079"/>
    <w:rsid w:val="007C10B0"/>
    <w:rsid w:val="007C10C0"/>
    <w:rsid w:val="007C1207"/>
    <w:rsid w:val="007C14C5"/>
    <w:rsid w:val="007C15DD"/>
    <w:rsid w:val="007C1767"/>
    <w:rsid w:val="007C178D"/>
    <w:rsid w:val="007C1907"/>
    <w:rsid w:val="007C193A"/>
    <w:rsid w:val="007C19F1"/>
    <w:rsid w:val="007C1A15"/>
    <w:rsid w:val="007C1A3B"/>
    <w:rsid w:val="007C1C38"/>
    <w:rsid w:val="007C1CAE"/>
    <w:rsid w:val="007C1CE9"/>
    <w:rsid w:val="007C1D71"/>
    <w:rsid w:val="007C1E04"/>
    <w:rsid w:val="007C1F95"/>
    <w:rsid w:val="007C202F"/>
    <w:rsid w:val="007C2043"/>
    <w:rsid w:val="007C224C"/>
    <w:rsid w:val="007C2307"/>
    <w:rsid w:val="007C23DF"/>
    <w:rsid w:val="007C24E7"/>
    <w:rsid w:val="007C26F2"/>
    <w:rsid w:val="007C286A"/>
    <w:rsid w:val="007C28EF"/>
    <w:rsid w:val="007C2901"/>
    <w:rsid w:val="007C2CE6"/>
    <w:rsid w:val="007C2D68"/>
    <w:rsid w:val="007C2D80"/>
    <w:rsid w:val="007C2E77"/>
    <w:rsid w:val="007C2FD4"/>
    <w:rsid w:val="007C3086"/>
    <w:rsid w:val="007C3105"/>
    <w:rsid w:val="007C3274"/>
    <w:rsid w:val="007C32A7"/>
    <w:rsid w:val="007C3340"/>
    <w:rsid w:val="007C33BD"/>
    <w:rsid w:val="007C3411"/>
    <w:rsid w:val="007C34F7"/>
    <w:rsid w:val="007C3525"/>
    <w:rsid w:val="007C354E"/>
    <w:rsid w:val="007C3588"/>
    <w:rsid w:val="007C362F"/>
    <w:rsid w:val="007C366D"/>
    <w:rsid w:val="007C36A7"/>
    <w:rsid w:val="007C3703"/>
    <w:rsid w:val="007C3804"/>
    <w:rsid w:val="007C382D"/>
    <w:rsid w:val="007C3919"/>
    <w:rsid w:val="007C3A15"/>
    <w:rsid w:val="007C3AD0"/>
    <w:rsid w:val="007C3B0C"/>
    <w:rsid w:val="007C3B52"/>
    <w:rsid w:val="007C3E7B"/>
    <w:rsid w:val="007C4176"/>
    <w:rsid w:val="007C4212"/>
    <w:rsid w:val="007C4213"/>
    <w:rsid w:val="007C435F"/>
    <w:rsid w:val="007C4595"/>
    <w:rsid w:val="007C45C6"/>
    <w:rsid w:val="007C4736"/>
    <w:rsid w:val="007C475F"/>
    <w:rsid w:val="007C47BA"/>
    <w:rsid w:val="007C47F2"/>
    <w:rsid w:val="007C4A69"/>
    <w:rsid w:val="007C4CE3"/>
    <w:rsid w:val="007C4D9E"/>
    <w:rsid w:val="007C5051"/>
    <w:rsid w:val="007C5088"/>
    <w:rsid w:val="007C50A0"/>
    <w:rsid w:val="007C50D0"/>
    <w:rsid w:val="007C51B2"/>
    <w:rsid w:val="007C5394"/>
    <w:rsid w:val="007C53F4"/>
    <w:rsid w:val="007C545C"/>
    <w:rsid w:val="007C5471"/>
    <w:rsid w:val="007C55F2"/>
    <w:rsid w:val="007C55F6"/>
    <w:rsid w:val="007C5880"/>
    <w:rsid w:val="007C5891"/>
    <w:rsid w:val="007C5B34"/>
    <w:rsid w:val="007C5BA7"/>
    <w:rsid w:val="007C5C06"/>
    <w:rsid w:val="007C5C68"/>
    <w:rsid w:val="007C5CFA"/>
    <w:rsid w:val="007C5DDA"/>
    <w:rsid w:val="007C5F95"/>
    <w:rsid w:val="007C615F"/>
    <w:rsid w:val="007C6300"/>
    <w:rsid w:val="007C63F7"/>
    <w:rsid w:val="007C6570"/>
    <w:rsid w:val="007C658A"/>
    <w:rsid w:val="007C669E"/>
    <w:rsid w:val="007C66C6"/>
    <w:rsid w:val="007C66CE"/>
    <w:rsid w:val="007C6808"/>
    <w:rsid w:val="007C68C1"/>
    <w:rsid w:val="007C68D4"/>
    <w:rsid w:val="007C6911"/>
    <w:rsid w:val="007C6A53"/>
    <w:rsid w:val="007C6C80"/>
    <w:rsid w:val="007C6E2B"/>
    <w:rsid w:val="007C6E65"/>
    <w:rsid w:val="007C70B2"/>
    <w:rsid w:val="007C71DA"/>
    <w:rsid w:val="007C7278"/>
    <w:rsid w:val="007C729E"/>
    <w:rsid w:val="007C7389"/>
    <w:rsid w:val="007C7394"/>
    <w:rsid w:val="007C7533"/>
    <w:rsid w:val="007C764D"/>
    <w:rsid w:val="007C76AB"/>
    <w:rsid w:val="007C77DB"/>
    <w:rsid w:val="007C7803"/>
    <w:rsid w:val="007C7946"/>
    <w:rsid w:val="007C7A9E"/>
    <w:rsid w:val="007C7B8E"/>
    <w:rsid w:val="007C7BE4"/>
    <w:rsid w:val="007C7BE5"/>
    <w:rsid w:val="007C7E69"/>
    <w:rsid w:val="007C7FA9"/>
    <w:rsid w:val="007C7FDE"/>
    <w:rsid w:val="007D013E"/>
    <w:rsid w:val="007D03A0"/>
    <w:rsid w:val="007D03A8"/>
    <w:rsid w:val="007D061B"/>
    <w:rsid w:val="007D06BA"/>
    <w:rsid w:val="007D08BA"/>
    <w:rsid w:val="007D098B"/>
    <w:rsid w:val="007D09D8"/>
    <w:rsid w:val="007D0A71"/>
    <w:rsid w:val="007D0AAC"/>
    <w:rsid w:val="007D0BF9"/>
    <w:rsid w:val="007D0DD9"/>
    <w:rsid w:val="007D0E4A"/>
    <w:rsid w:val="007D0E80"/>
    <w:rsid w:val="007D0E97"/>
    <w:rsid w:val="007D0FFA"/>
    <w:rsid w:val="007D10E0"/>
    <w:rsid w:val="007D1234"/>
    <w:rsid w:val="007D125E"/>
    <w:rsid w:val="007D134C"/>
    <w:rsid w:val="007D14E3"/>
    <w:rsid w:val="007D16DF"/>
    <w:rsid w:val="007D1776"/>
    <w:rsid w:val="007D185C"/>
    <w:rsid w:val="007D19C7"/>
    <w:rsid w:val="007D19EB"/>
    <w:rsid w:val="007D1AA7"/>
    <w:rsid w:val="007D1AD6"/>
    <w:rsid w:val="007D1BB9"/>
    <w:rsid w:val="007D1BC3"/>
    <w:rsid w:val="007D1CBB"/>
    <w:rsid w:val="007D1E22"/>
    <w:rsid w:val="007D1E4B"/>
    <w:rsid w:val="007D1EA2"/>
    <w:rsid w:val="007D2037"/>
    <w:rsid w:val="007D2187"/>
    <w:rsid w:val="007D21BF"/>
    <w:rsid w:val="007D2555"/>
    <w:rsid w:val="007D25A0"/>
    <w:rsid w:val="007D27CB"/>
    <w:rsid w:val="007D27D6"/>
    <w:rsid w:val="007D2835"/>
    <w:rsid w:val="007D2897"/>
    <w:rsid w:val="007D2C61"/>
    <w:rsid w:val="007D2CED"/>
    <w:rsid w:val="007D2DAA"/>
    <w:rsid w:val="007D2E91"/>
    <w:rsid w:val="007D2EF6"/>
    <w:rsid w:val="007D2FBA"/>
    <w:rsid w:val="007D3033"/>
    <w:rsid w:val="007D30C1"/>
    <w:rsid w:val="007D3115"/>
    <w:rsid w:val="007D3256"/>
    <w:rsid w:val="007D3838"/>
    <w:rsid w:val="007D3B85"/>
    <w:rsid w:val="007D3C78"/>
    <w:rsid w:val="007D3D50"/>
    <w:rsid w:val="007D3D6E"/>
    <w:rsid w:val="007D3D80"/>
    <w:rsid w:val="007D3DA7"/>
    <w:rsid w:val="007D3E05"/>
    <w:rsid w:val="007D3EED"/>
    <w:rsid w:val="007D40CF"/>
    <w:rsid w:val="007D40EB"/>
    <w:rsid w:val="007D42D5"/>
    <w:rsid w:val="007D43F2"/>
    <w:rsid w:val="007D44F9"/>
    <w:rsid w:val="007D462E"/>
    <w:rsid w:val="007D4728"/>
    <w:rsid w:val="007D479A"/>
    <w:rsid w:val="007D4837"/>
    <w:rsid w:val="007D4900"/>
    <w:rsid w:val="007D492C"/>
    <w:rsid w:val="007D4BB3"/>
    <w:rsid w:val="007D4CAA"/>
    <w:rsid w:val="007D4E39"/>
    <w:rsid w:val="007D4FA1"/>
    <w:rsid w:val="007D5207"/>
    <w:rsid w:val="007D551B"/>
    <w:rsid w:val="007D55C8"/>
    <w:rsid w:val="007D55CB"/>
    <w:rsid w:val="007D5778"/>
    <w:rsid w:val="007D5781"/>
    <w:rsid w:val="007D57E0"/>
    <w:rsid w:val="007D57EE"/>
    <w:rsid w:val="007D5C30"/>
    <w:rsid w:val="007D5C61"/>
    <w:rsid w:val="007D5E30"/>
    <w:rsid w:val="007D5E36"/>
    <w:rsid w:val="007D6110"/>
    <w:rsid w:val="007D6151"/>
    <w:rsid w:val="007D637D"/>
    <w:rsid w:val="007D64F8"/>
    <w:rsid w:val="007D6526"/>
    <w:rsid w:val="007D6628"/>
    <w:rsid w:val="007D6691"/>
    <w:rsid w:val="007D6717"/>
    <w:rsid w:val="007D6781"/>
    <w:rsid w:val="007D6816"/>
    <w:rsid w:val="007D6823"/>
    <w:rsid w:val="007D6827"/>
    <w:rsid w:val="007D682F"/>
    <w:rsid w:val="007D6895"/>
    <w:rsid w:val="007D6906"/>
    <w:rsid w:val="007D6A07"/>
    <w:rsid w:val="007D6A26"/>
    <w:rsid w:val="007D6A60"/>
    <w:rsid w:val="007D6AA3"/>
    <w:rsid w:val="007D6AB2"/>
    <w:rsid w:val="007D6B21"/>
    <w:rsid w:val="007D6B8A"/>
    <w:rsid w:val="007D6BC4"/>
    <w:rsid w:val="007D6BC8"/>
    <w:rsid w:val="007D6C5C"/>
    <w:rsid w:val="007D6C95"/>
    <w:rsid w:val="007D6D24"/>
    <w:rsid w:val="007D6DDF"/>
    <w:rsid w:val="007D6ED5"/>
    <w:rsid w:val="007D6F9A"/>
    <w:rsid w:val="007D6FEE"/>
    <w:rsid w:val="007D707D"/>
    <w:rsid w:val="007D7092"/>
    <w:rsid w:val="007D7292"/>
    <w:rsid w:val="007D72AE"/>
    <w:rsid w:val="007D7363"/>
    <w:rsid w:val="007D749B"/>
    <w:rsid w:val="007D74A8"/>
    <w:rsid w:val="007D75B9"/>
    <w:rsid w:val="007D75C2"/>
    <w:rsid w:val="007D779D"/>
    <w:rsid w:val="007D78D5"/>
    <w:rsid w:val="007D7949"/>
    <w:rsid w:val="007D7969"/>
    <w:rsid w:val="007D79A0"/>
    <w:rsid w:val="007D79F8"/>
    <w:rsid w:val="007D79FF"/>
    <w:rsid w:val="007D7B07"/>
    <w:rsid w:val="007D7D0E"/>
    <w:rsid w:val="007D7E6D"/>
    <w:rsid w:val="007D7F13"/>
    <w:rsid w:val="007E000B"/>
    <w:rsid w:val="007E0071"/>
    <w:rsid w:val="007E01E1"/>
    <w:rsid w:val="007E01ED"/>
    <w:rsid w:val="007E03BB"/>
    <w:rsid w:val="007E0407"/>
    <w:rsid w:val="007E044D"/>
    <w:rsid w:val="007E0703"/>
    <w:rsid w:val="007E07AD"/>
    <w:rsid w:val="007E080A"/>
    <w:rsid w:val="007E080F"/>
    <w:rsid w:val="007E0811"/>
    <w:rsid w:val="007E0B38"/>
    <w:rsid w:val="007E0C1D"/>
    <w:rsid w:val="007E0CB9"/>
    <w:rsid w:val="007E0DA3"/>
    <w:rsid w:val="007E1104"/>
    <w:rsid w:val="007E11E7"/>
    <w:rsid w:val="007E1256"/>
    <w:rsid w:val="007E1698"/>
    <w:rsid w:val="007E16C6"/>
    <w:rsid w:val="007E16D2"/>
    <w:rsid w:val="007E1704"/>
    <w:rsid w:val="007E179F"/>
    <w:rsid w:val="007E1800"/>
    <w:rsid w:val="007E1A5E"/>
    <w:rsid w:val="007E1B0B"/>
    <w:rsid w:val="007E1BC2"/>
    <w:rsid w:val="007E1BE1"/>
    <w:rsid w:val="007E1C7E"/>
    <w:rsid w:val="007E1CC0"/>
    <w:rsid w:val="007E1D08"/>
    <w:rsid w:val="007E1E72"/>
    <w:rsid w:val="007E1F5E"/>
    <w:rsid w:val="007E215E"/>
    <w:rsid w:val="007E217C"/>
    <w:rsid w:val="007E2276"/>
    <w:rsid w:val="007E259E"/>
    <w:rsid w:val="007E25AA"/>
    <w:rsid w:val="007E25D9"/>
    <w:rsid w:val="007E25FE"/>
    <w:rsid w:val="007E27C3"/>
    <w:rsid w:val="007E280A"/>
    <w:rsid w:val="007E2B38"/>
    <w:rsid w:val="007E2BF3"/>
    <w:rsid w:val="007E2C59"/>
    <w:rsid w:val="007E2D39"/>
    <w:rsid w:val="007E2DBE"/>
    <w:rsid w:val="007E2EFE"/>
    <w:rsid w:val="007E2F12"/>
    <w:rsid w:val="007E2FA8"/>
    <w:rsid w:val="007E31DB"/>
    <w:rsid w:val="007E3274"/>
    <w:rsid w:val="007E3409"/>
    <w:rsid w:val="007E34A7"/>
    <w:rsid w:val="007E37E1"/>
    <w:rsid w:val="007E3862"/>
    <w:rsid w:val="007E3982"/>
    <w:rsid w:val="007E3A13"/>
    <w:rsid w:val="007E3A1D"/>
    <w:rsid w:val="007E3AA3"/>
    <w:rsid w:val="007E3FB0"/>
    <w:rsid w:val="007E4021"/>
    <w:rsid w:val="007E4102"/>
    <w:rsid w:val="007E444D"/>
    <w:rsid w:val="007E4556"/>
    <w:rsid w:val="007E490C"/>
    <w:rsid w:val="007E4AB9"/>
    <w:rsid w:val="007E4B02"/>
    <w:rsid w:val="007E4B8D"/>
    <w:rsid w:val="007E4BB2"/>
    <w:rsid w:val="007E4BF9"/>
    <w:rsid w:val="007E4D66"/>
    <w:rsid w:val="007E4E44"/>
    <w:rsid w:val="007E4ED9"/>
    <w:rsid w:val="007E4EF0"/>
    <w:rsid w:val="007E5084"/>
    <w:rsid w:val="007E50BF"/>
    <w:rsid w:val="007E5269"/>
    <w:rsid w:val="007E54C0"/>
    <w:rsid w:val="007E5550"/>
    <w:rsid w:val="007E5556"/>
    <w:rsid w:val="007E55DF"/>
    <w:rsid w:val="007E5620"/>
    <w:rsid w:val="007E58F8"/>
    <w:rsid w:val="007E598E"/>
    <w:rsid w:val="007E5A78"/>
    <w:rsid w:val="007E5A83"/>
    <w:rsid w:val="007E5C53"/>
    <w:rsid w:val="007E5D5B"/>
    <w:rsid w:val="007E5DCB"/>
    <w:rsid w:val="007E5EE0"/>
    <w:rsid w:val="007E5EE8"/>
    <w:rsid w:val="007E5F9D"/>
    <w:rsid w:val="007E5FDE"/>
    <w:rsid w:val="007E6083"/>
    <w:rsid w:val="007E60DC"/>
    <w:rsid w:val="007E61F6"/>
    <w:rsid w:val="007E6200"/>
    <w:rsid w:val="007E620F"/>
    <w:rsid w:val="007E6452"/>
    <w:rsid w:val="007E6473"/>
    <w:rsid w:val="007E65AE"/>
    <w:rsid w:val="007E65E7"/>
    <w:rsid w:val="007E65EC"/>
    <w:rsid w:val="007E660F"/>
    <w:rsid w:val="007E6652"/>
    <w:rsid w:val="007E6792"/>
    <w:rsid w:val="007E6850"/>
    <w:rsid w:val="007E6AB8"/>
    <w:rsid w:val="007E6B1B"/>
    <w:rsid w:val="007E6BB9"/>
    <w:rsid w:val="007E6CEF"/>
    <w:rsid w:val="007E6D2B"/>
    <w:rsid w:val="007E6D55"/>
    <w:rsid w:val="007E6D6D"/>
    <w:rsid w:val="007E6F5C"/>
    <w:rsid w:val="007E7055"/>
    <w:rsid w:val="007E70A9"/>
    <w:rsid w:val="007E720B"/>
    <w:rsid w:val="007E72F1"/>
    <w:rsid w:val="007E7303"/>
    <w:rsid w:val="007E7452"/>
    <w:rsid w:val="007E74E6"/>
    <w:rsid w:val="007E753F"/>
    <w:rsid w:val="007E756B"/>
    <w:rsid w:val="007E768D"/>
    <w:rsid w:val="007E779B"/>
    <w:rsid w:val="007E7858"/>
    <w:rsid w:val="007E797F"/>
    <w:rsid w:val="007E7B06"/>
    <w:rsid w:val="007E7B18"/>
    <w:rsid w:val="007E7B8C"/>
    <w:rsid w:val="007E7CBA"/>
    <w:rsid w:val="007E7FD6"/>
    <w:rsid w:val="007F00FD"/>
    <w:rsid w:val="007F0141"/>
    <w:rsid w:val="007F0320"/>
    <w:rsid w:val="007F043E"/>
    <w:rsid w:val="007F0483"/>
    <w:rsid w:val="007F04A6"/>
    <w:rsid w:val="007F054B"/>
    <w:rsid w:val="007F0554"/>
    <w:rsid w:val="007F07A0"/>
    <w:rsid w:val="007F0865"/>
    <w:rsid w:val="007F08CE"/>
    <w:rsid w:val="007F08D2"/>
    <w:rsid w:val="007F09BF"/>
    <w:rsid w:val="007F0BA3"/>
    <w:rsid w:val="007F0BED"/>
    <w:rsid w:val="007F0CAC"/>
    <w:rsid w:val="007F0DF4"/>
    <w:rsid w:val="007F11F2"/>
    <w:rsid w:val="007F11FB"/>
    <w:rsid w:val="007F1316"/>
    <w:rsid w:val="007F13B8"/>
    <w:rsid w:val="007F1728"/>
    <w:rsid w:val="007F1B36"/>
    <w:rsid w:val="007F1B3B"/>
    <w:rsid w:val="007F1BE5"/>
    <w:rsid w:val="007F1E81"/>
    <w:rsid w:val="007F1F3F"/>
    <w:rsid w:val="007F209C"/>
    <w:rsid w:val="007F20EB"/>
    <w:rsid w:val="007F2139"/>
    <w:rsid w:val="007F2189"/>
    <w:rsid w:val="007F228F"/>
    <w:rsid w:val="007F23C7"/>
    <w:rsid w:val="007F23DF"/>
    <w:rsid w:val="007F240D"/>
    <w:rsid w:val="007F247F"/>
    <w:rsid w:val="007F2491"/>
    <w:rsid w:val="007F2616"/>
    <w:rsid w:val="007F2681"/>
    <w:rsid w:val="007F276D"/>
    <w:rsid w:val="007F277B"/>
    <w:rsid w:val="007F2852"/>
    <w:rsid w:val="007F2929"/>
    <w:rsid w:val="007F297F"/>
    <w:rsid w:val="007F2985"/>
    <w:rsid w:val="007F2A85"/>
    <w:rsid w:val="007F2BBE"/>
    <w:rsid w:val="007F2D86"/>
    <w:rsid w:val="007F2DF8"/>
    <w:rsid w:val="007F2E1D"/>
    <w:rsid w:val="007F2EBA"/>
    <w:rsid w:val="007F2F0F"/>
    <w:rsid w:val="007F30B2"/>
    <w:rsid w:val="007F30D4"/>
    <w:rsid w:val="007F31F0"/>
    <w:rsid w:val="007F3462"/>
    <w:rsid w:val="007F3551"/>
    <w:rsid w:val="007F3635"/>
    <w:rsid w:val="007F3681"/>
    <w:rsid w:val="007F37D2"/>
    <w:rsid w:val="007F3854"/>
    <w:rsid w:val="007F3878"/>
    <w:rsid w:val="007F388F"/>
    <w:rsid w:val="007F3A6C"/>
    <w:rsid w:val="007F3B48"/>
    <w:rsid w:val="007F3C70"/>
    <w:rsid w:val="007F3C7A"/>
    <w:rsid w:val="007F3D80"/>
    <w:rsid w:val="007F3DF9"/>
    <w:rsid w:val="007F3E43"/>
    <w:rsid w:val="007F3E83"/>
    <w:rsid w:val="007F4180"/>
    <w:rsid w:val="007F420E"/>
    <w:rsid w:val="007F423E"/>
    <w:rsid w:val="007F427B"/>
    <w:rsid w:val="007F45C4"/>
    <w:rsid w:val="007F45C5"/>
    <w:rsid w:val="007F45D1"/>
    <w:rsid w:val="007F460C"/>
    <w:rsid w:val="007F4704"/>
    <w:rsid w:val="007F4840"/>
    <w:rsid w:val="007F4A9C"/>
    <w:rsid w:val="007F4C2C"/>
    <w:rsid w:val="007F4C89"/>
    <w:rsid w:val="007F4CFF"/>
    <w:rsid w:val="007F4D93"/>
    <w:rsid w:val="007F4E94"/>
    <w:rsid w:val="007F4E9C"/>
    <w:rsid w:val="007F4F5A"/>
    <w:rsid w:val="007F4FEC"/>
    <w:rsid w:val="007F50C4"/>
    <w:rsid w:val="007F511C"/>
    <w:rsid w:val="007F51F2"/>
    <w:rsid w:val="007F5348"/>
    <w:rsid w:val="007F5366"/>
    <w:rsid w:val="007F5435"/>
    <w:rsid w:val="007F54C0"/>
    <w:rsid w:val="007F5506"/>
    <w:rsid w:val="007F566A"/>
    <w:rsid w:val="007F57B1"/>
    <w:rsid w:val="007F59ED"/>
    <w:rsid w:val="007F5AD8"/>
    <w:rsid w:val="007F5BEE"/>
    <w:rsid w:val="007F5C47"/>
    <w:rsid w:val="007F5D24"/>
    <w:rsid w:val="007F5D54"/>
    <w:rsid w:val="007F5E10"/>
    <w:rsid w:val="007F5EF0"/>
    <w:rsid w:val="007F5FAA"/>
    <w:rsid w:val="007F5FD2"/>
    <w:rsid w:val="007F63D8"/>
    <w:rsid w:val="007F6536"/>
    <w:rsid w:val="007F6607"/>
    <w:rsid w:val="007F660A"/>
    <w:rsid w:val="007F6946"/>
    <w:rsid w:val="007F697B"/>
    <w:rsid w:val="007F69E1"/>
    <w:rsid w:val="007F6BB4"/>
    <w:rsid w:val="007F6BFA"/>
    <w:rsid w:val="007F6CCB"/>
    <w:rsid w:val="007F6DC7"/>
    <w:rsid w:val="007F70D8"/>
    <w:rsid w:val="007F70E9"/>
    <w:rsid w:val="007F716F"/>
    <w:rsid w:val="007F7243"/>
    <w:rsid w:val="007F7303"/>
    <w:rsid w:val="007F741D"/>
    <w:rsid w:val="007F752D"/>
    <w:rsid w:val="007F7627"/>
    <w:rsid w:val="007F7648"/>
    <w:rsid w:val="007F7885"/>
    <w:rsid w:val="007F79BE"/>
    <w:rsid w:val="007F7C3E"/>
    <w:rsid w:val="007F7CA2"/>
    <w:rsid w:val="007F7DD2"/>
    <w:rsid w:val="007F7DDE"/>
    <w:rsid w:val="007F7F71"/>
    <w:rsid w:val="007F7FB3"/>
    <w:rsid w:val="00800083"/>
    <w:rsid w:val="00800296"/>
    <w:rsid w:val="008002CC"/>
    <w:rsid w:val="008003F7"/>
    <w:rsid w:val="008004F5"/>
    <w:rsid w:val="0080050F"/>
    <w:rsid w:val="00800569"/>
    <w:rsid w:val="00800581"/>
    <w:rsid w:val="00800615"/>
    <w:rsid w:val="00800617"/>
    <w:rsid w:val="0080063D"/>
    <w:rsid w:val="00800649"/>
    <w:rsid w:val="00800693"/>
    <w:rsid w:val="00800817"/>
    <w:rsid w:val="00800857"/>
    <w:rsid w:val="00800905"/>
    <w:rsid w:val="00800912"/>
    <w:rsid w:val="00800A20"/>
    <w:rsid w:val="00800A98"/>
    <w:rsid w:val="00800C15"/>
    <w:rsid w:val="00800C85"/>
    <w:rsid w:val="00800EF7"/>
    <w:rsid w:val="00800FA8"/>
    <w:rsid w:val="00801206"/>
    <w:rsid w:val="008014F0"/>
    <w:rsid w:val="0080166B"/>
    <w:rsid w:val="008016D1"/>
    <w:rsid w:val="008016D4"/>
    <w:rsid w:val="00801858"/>
    <w:rsid w:val="0080195F"/>
    <w:rsid w:val="00801A02"/>
    <w:rsid w:val="00801B0D"/>
    <w:rsid w:val="00801C92"/>
    <w:rsid w:val="00801DB7"/>
    <w:rsid w:val="00801FD3"/>
    <w:rsid w:val="00801FFE"/>
    <w:rsid w:val="0080209A"/>
    <w:rsid w:val="008020F8"/>
    <w:rsid w:val="0080223D"/>
    <w:rsid w:val="008022DC"/>
    <w:rsid w:val="00802546"/>
    <w:rsid w:val="00802692"/>
    <w:rsid w:val="00802744"/>
    <w:rsid w:val="008029DB"/>
    <w:rsid w:val="00802AC4"/>
    <w:rsid w:val="00802B2C"/>
    <w:rsid w:val="00802BD6"/>
    <w:rsid w:val="00802BDD"/>
    <w:rsid w:val="00802CFA"/>
    <w:rsid w:val="00802D34"/>
    <w:rsid w:val="00802DAD"/>
    <w:rsid w:val="00802F02"/>
    <w:rsid w:val="00802FF1"/>
    <w:rsid w:val="008031DA"/>
    <w:rsid w:val="00803230"/>
    <w:rsid w:val="00803239"/>
    <w:rsid w:val="00803258"/>
    <w:rsid w:val="008032A7"/>
    <w:rsid w:val="008033C9"/>
    <w:rsid w:val="00803683"/>
    <w:rsid w:val="0080369A"/>
    <w:rsid w:val="0080380D"/>
    <w:rsid w:val="008038F0"/>
    <w:rsid w:val="0080391C"/>
    <w:rsid w:val="00803975"/>
    <w:rsid w:val="008039DB"/>
    <w:rsid w:val="00803A29"/>
    <w:rsid w:val="00803A3A"/>
    <w:rsid w:val="00803AB5"/>
    <w:rsid w:val="00803B2B"/>
    <w:rsid w:val="00803B32"/>
    <w:rsid w:val="00803BA1"/>
    <w:rsid w:val="00803BCD"/>
    <w:rsid w:val="00803CC4"/>
    <w:rsid w:val="00803DF5"/>
    <w:rsid w:val="00803EF1"/>
    <w:rsid w:val="00804012"/>
    <w:rsid w:val="00804101"/>
    <w:rsid w:val="008041FA"/>
    <w:rsid w:val="00804258"/>
    <w:rsid w:val="008042D6"/>
    <w:rsid w:val="008042D8"/>
    <w:rsid w:val="0080432E"/>
    <w:rsid w:val="00804343"/>
    <w:rsid w:val="00804394"/>
    <w:rsid w:val="0080451D"/>
    <w:rsid w:val="00804644"/>
    <w:rsid w:val="008046B0"/>
    <w:rsid w:val="008047EB"/>
    <w:rsid w:val="008049BC"/>
    <w:rsid w:val="00804B5E"/>
    <w:rsid w:val="00804D1C"/>
    <w:rsid w:val="00804DA1"/>
    <w:rsid w:val="00804DC1"/>
    <w:rsid w:val="00804DFB"/>
    <w:rsid w:val="00804E7A"/>
    <w:rsid w:val="00805025"/>
    <w:rsid w:val="008051EA"/>
    <w:rsid w:val="0080552D"/>
    <w:rsid w:val="00805573"/>
    <w:rsid w:val="008059C0"/>
    <w:rsid w:val="00805A4D"/>
    <w:rsid w:val="00805AB7"/>
    <w:rsid w:val="00805B49"/>
    <w:rsid w:val="00805BBA"/>
    <w:rsid w:val="00805D33"/>
    <w:rsid w:val="00805D37"/>
    <w:rsid w:val="00805D6E"/>
    <w:rsid w:val="00805DAB"/>
    <w:rsid w:val="00805DB2"/>
    <w:rsid w:val="00805DC4"/>
    <w:rsid w:val="00805F5E"/>
    <w:rsid w:val="0080626C"/>
    <w:rsid w:val="0080639A"/>
    <w:rsid w:val="008063E8"/>
    <w:rsid w:val="00806442"/>
    <w:rsid w:val="008065D1"/>
    <w:rsid w:val="008065EA"/>
    <w:rsid w:val="00806701"/>
    <w:rsid w:val="0080673A"/>
    <w:rsid w:val="00806746"/>
    <w:rsid w:val="008067C4"/>
    <w:rsid w:val="008067EE"/>
    <w:rsid w:val="00806828"/>
    <w:rsid w:val="00806862"/>
    <w:rsid w:val="008068A2"/>
    <w:rsid w:val="00806940"/>
    <w:rsid w:val="00806A24"/>
    <w:rsid w:val="00806A3C"/>
    <w:rsid w:val="00806B7B"/>
    <w:rsid w:val="00806E6B"/>
    <w:rsid w:val="00806EEC"/>
    <w:rsid w:val="0080705B"/>
    <w:rsid w:val="008070AB"/>
    <w:rsid w:val="0080725D"/>
    <w:rsid w:val="008072E1"/>
    <w:rsid w:val="008073C1"/>
    <w:rsid w:val="008075BD"/>
    <w:rsid w:val="008075C5"/>
    <w:rsid w:val="008075F7"/>
    <w:rsid w:val="00807839"/>
    <w:rsid w:val="008078BB"/>
    <w:rsid w:val="008079EB"/>
    <w:rsid w:val="00807A5B"/>
    <w:rsid w:val="00807ACC"/>
    <w:rsid w:val="00807AFA"/>
    <w:rsid w:val="00807B30"/>
    <w:rsid w:val="00807FAE"/>
    <w:rsid w:val="008101AC"/>
    <w:rsid w:val="008101AE"/>
    <w:rsid w:val="00810246"/>
    <w:rsid w:val="0081027A"/>
    <w:rsid w:val="008102F2"/>
    <w:rsid w:val="0081036A"/>
    <w:rsid w:val="00810423"/>
    <w:rsid w:val="00810441"/>
    <w:rsid w:val="00810494"/>
    <w:rsid w:val="0081062B"/>
    <w:rsid w:val="008106EB"/>
    <w:rsid w:val="0081074E"/>
    <w:rsid w:val="008107CB"/>
    <w:rsid w:val="008107F7"/>
    <w:rsid w:val="00810A6C"/>
    <w:rsid w:val="00810A89"/>
    <w:rsid w:val="00810B27"/>
    <w:rsid w:val="00810B5D"/>
    <w:rsid w:val="00810C5D"/>
    <w:rsid w:val="00810D97"/>
    <w:rsid w:val="00810D9C"/>
    <w:rsid w:val="00810E8B"/>
    <w:rsid w:val="00810F2A"/>
    <w:rsid w:val="00810F9A"/>
    <w:rsid w:val="00811041"/>
    <w:rsid w:val="00811137"/>
    <w:rsid w:val="00811160"/>
    <w:rsid w:val="00811768"/>
    <w:rsid w:val="008117AC"/>
    <w:rsid w:val="008117E3"/>
    <w:rsid w:val="0081181B"/>
    <w:rsid w:val="00811A12"/>
    <w:rsid w:val="00811BD0"/>
    <w:rsid w:val="00811CE8"/>
    <w:rsid w:val="00811FD5"/>
    <w:rsid w:val="008122AD"/>
    <w:rsid w:val="008123D4"/>
    <w:rsid w:val="0081262E"/>
    <w:rsid w:val="008126D6"/>
    <w:rsid w:val="00812A02"/>
    <w:rsid w:val="00812B14"/>
    <w:rsid w:val="00812BA6"/>
    <w:rsid w:val="00812C16"/>
    <w:rsid w:val="00812C99"/>
    <w:rsid w:val="00812D12"/>
    <w:rsid w:val="00812DCE"/>
    <w:rsid w:val="00812DE5"/>
    <w:rsid w:val="00812E08"/>
    <w:rsid w:val="00812E92"/>
    <w:rsid w:val="00812EFB"/>
    <w:rsid w:val="00812F2B"/>
    <w:rsid w:val="0081305D"/>
    <w:rsid w:val="008130A7"/>
    <w:rsid w:val="008130C7"/>
    <w:rsid w:val="008131C8"/>
    <w:rsid w:val="008132C0"/>
    <w:rsid w:val="00813517"/>
    <w:rsid w:val="0081386E"/>
    <w:rsid w:val="00813918"/>
    <w:rsid w:val="008139F2"/>
    <w:rsid w:val="00813A9E"/>
    <w:rsid w:val="00813AC9"/>
    <w:rsid w:val="00813ACA"/>
    <w:rsid w:val="00813BAE"/>
    <w:rsid w:val="00813BE7"/>
    <w:rsid w:val="00813D0B"/>
    <w:rsid w:val="00813D24"/>
    <w:rsid w:val="00813DC8"/>
    <w:rsid w:val="008142B0"/>
    <w:rsid w:val="00814452"/>
    <w:rsid w:val="008144B5"/>
    <w:rsid w:val="008145AC"/>
    <w:rsid w:val="008145F1"/>
    <w:rsid w:val="00814663"/>
    <w:rsid w:val="008148CE"/>
    <w:rsid w:val="0081493D"/>
    <w:rsid w:val="0081498F"/>
    <w:rsid w:val="00814A0D"/>
    <w:rsid w:val="00814A3B"/>
    <w:rsid w:val="00814ECF"/>
    <w:rsid w:val="00814EFF"/>
    <w:rsid w:val="00814F44"/>
    <w:rsid w:val="00814F48"/>
    <w:rsid w:val="00814FDF"/>
    <w:rsid w:val="0081512E"/>
    <w:rsid w:val="008151E1"/>
    <w:rsid w:val="008153A9"/>
    <w:rsid w:val="008153C7"/>
    <w:rsid w:val="0081550C"/>
    <w:rsid w:val="0081554E"/>
    <w:rsid w:val="008155A9"/>
    <w:rsid w:val="00815663"/>
    <w:rsid w:val="008157C2"/>
    <w:rsid w:val="008157DA"/>
    <w:rsid w:val="008157E6"/>
    <w:rsid w:val="0081599C"/>
    <w:rsid w:val="008159FD"/>
    <w:rsid w:val="00815A0E"/>
    <w:rsid w:val="00815C15"/>
    <w:rsid w:val="00815CCF"/>
    <w:rsid w:val="00815D05"/>
    <w:rsid w:val="00815DE2"/>
    <w:rsid w:val="00815E2A"/>
    <w:rsid w:val="00815EF3"/>
    <w:rsid w:val="00815FAB"/>
    <w:rsid w:val="00816064"/>
    <w:rsid w:val="0081614D"/>
    <w:rsid w:val="0081616C"/>
    <w:rsid w:val="008162CB"/>
    <w:rsid w:val="0081638B"/>
    <w:rsid w:val="00816626"/>
    <w:rsid w:val="0081666A"/>
    <w:rsid w:val="0081670E"/>
    <w:rsid w:val="00816728"/>
    <w:rsid w:val="0081687D"/>
    <w:rsid w:val="008168BA"/>
    <w:rsid w:val="00816B6B"/>
    <w:rsid w:val="00816C46"/>
    <w:rsid w:val="00816CFF"/>
    <w:rsid w:val="00816DFA"/>
    <w:rsid w:val="00816F43"/>
    <w:rsid w:val="00816F87"/>
    <w:rsid w:val="00816FD8"/>
    <w:rsid w:val="00817033"/>
    <w:rsid w:val="0081707E"/>
    <w:rsid w:val="008170D7"/>
    <w:rsid w:val="00817250"/>
    <w:rsid w:val="00817634"/>
    <w:rsid w:val="008176B4"/>
    <w:rsid w:val="008176D6"/>
    <w:rsid w:val="00817796"/>
    <w:rsid w:val="0081789A"/>
    <w:rsid w:val="008178CF"/>
    <w:rsid w:val="00817C6F"/>
    <w:rsid w:val="00817C73"/>
    <w:rsid w:val="00817DAF"/>
    <w:rsid w:val="00817E9D"/>
    <w:rsid w:val="00817EE1"/>
    <w:rsid w:val="00817F8C"/>
    <w:rsid w:val="00820038"/>
    <w:rsid w:val="00820182"/>
    <w:rsid w:val="00820274"/>
    <w:rsid w:val="008202B7"/>
    <w:rsid w:val="00820396"/>
    <w:rsid w:val="008205DA"/>
    <w:rsid w:val="008206E4"/>
    <w:rsid w:val="0082076E"/>
    <w:rsid w:val="00820808"/>
    <w:rsid w:val="00820825"/>
    <w:rsid w:val="00820858"/>
    <w:rsid w:val="008208E2"/>
    <w:rsid w:val="00820CA2"/>
    <w:rsid w:val="00820E44"/>
    <w:rsid w:val="00820F30"/>
    <w:rsid w:val="00820F31"/>
    <w:rsid w:val="008211EC"/>
    <w:rsid w:val="008213C0"/>
    <w:rsid w:val="008213DD"/>
    <w:rsid w:val="0082146C"/>
    <w:rsid w:val="00821540"/>
    <w:rsid w:val="00821602"/>
    <w:rsid w:val="008217B8"/>
    <w:rsid w:val="0082185C"/>
    <w:rsid w:val="00821DA8"/>
    <w:rsid w:val="00821DEE"/>
    <w:rsid w:val="00821E08"/>
    <w:rsid w:val="00821F44"/>
    <w:rsid w:val="00821F8F"/>
    <w:rsid w:val="00821FC5"/>
    <w:rsid w:val="00822030"/>
    <w:rsid w:val="00822194"/>
    <w:rsid w:val="008221D6"/>
    <w:rsid w:val="00822243"/>
    <w:rsid w:val="008222E1"/>
    <w:rsid w:val="008223DF"/>
    <w:rsid w:val="0082245E"/>
    <w:rsid w:val="008225CE"/>
    <w:rsid w:val="00822988"/>
    <w:rsid w:val="008229E5"/>
    <w:rsid w:val="00822BFE"/>
    <w:rsid w:val="00822CDC"/>
    <w:rsid w:val="00822F5D"/>
    <w:rsid w:val="0082307C"/>
    <w:rsid w:val="0082313F"/>
    <w:rsid w:val="008231C3"/>
    <w:rsid w:val="008231CA"/>
    <w:rsid w:val="00823206"/>
    <w:rsid w:val="00823217"/>
    <w:rsid w:val="0082338B"/>
    <w:rsid w:val="008234C3"/>
    <w:rsid w:val="00823562"/>
    <w:rsid w:val="008235CA"/>
    <w:rsid w:val="00823636"/>
    <w:rsid w:val="00823739"/>
    <w:rsid w:val="00823760"/>
    <w:rsid w:val="00823851"/>
    <w:rsid w:val="0082385B"/>
    <w:rsid w:val="00823885"/>
    <w:rsid w:val="008238C1"/>
    <w:rsid w:val="0082394F"/>
    <w:rsid w:val="00823A26"/>
    <w:rsid w:val="00823A34"/>
    <w:rsid w:val="00823C0D"/>
    <w:rsid w:val="00823D40"/>
    <w:rsid w:val="00823D9C"/>
    <w:rsid w:val="00823E0B"/>
    <w:rsid w:val="00823FBF"/>
    <w:rsid w:val="008241E0"/>
    <w:rsid w:val="008241F0"/>
    <w:rsid w:val="008241FE"/>
    <w:rsid w:val="0082426A"/>
    <w:rsid w:val="008242A4"/>
    <w:rsid w:val="00824398"/>
    <w:rsid w:val="0082451C"/>
    <w:rsid w:val="0082465D"/>
    <w:rsid w:val="00824720"/>
    <w:rsid w:val="008247F9"/>
    <w:rsid w:val="00824865"/>
    <w:rsid w:val="00824875"/>
    <w:rsid w:val="008249AF"/>
    <w:rsid w:val="008249B5"/>
    <w:rsid w:val="00824BC3"/>
    <w:rsid w:val="00824CDB"/>
    <w:rsid w:val="00824DF1"/>
    <w:rsid w:val="00824FA6"/>
    <w:rsid w:val="00824FD8"/>
    <w:rsid w:val="008250A8"/>
    <w:rsid w:val="00825430"/>
    <w:rsid w:val="00825623"/>
    <w:rsid w:val="00825653"/>
    <w:rsid w:val="00825755"/>
    <w:rsid w:val="0082585E"/>
    <w:rsid w:val="00825991"/>
    <w:rsid w:val="00825BF4"/>
    <w:rsid w:val="00825C91"/>
    <w:rsid w:val="00825EA2"/>
    <w:rsid w:val="00825F6D"/>
    <w:rsid w:val="00825F80"/>
    <w:rsid w:val="00826141"/>
    <w:rsid w:val="00826174"/>
    <w:rsid w:val="008261AC"/>
    <w:rsid w:val="00826290"/>
    <w:rsid w:val="0082633D"/>
    <w:rsid w:val="00826425"/>
    <w:rsid w:val="0082642F"/>
    <w:rsid w:val="0082659C"/>
    <w:rsid w:val="00826603"/>
    <w:rsid w:val="008266DE"/>
    <w:rsid w:val="008267A8"/>
    <w:rsid w:val="00826ABA"/>
    <w:rsid w:val="00826C71"/>
    <w:rsid w:val="00826D67"/>
    <w:rsid w:val="00826DDE"/>
    <w:rsid w:val="00826E1A"/>
    <w:rsid w:val="00826E27"/>
    <w:rsid w:val="00826F5A"/>
    <w:rsid w:val="00826FD8"/>
    <w:rsid w:val="00827085"/>
    <w:rsid w:val="0082718A"/>
    <w:rsid w:val="008273E7"/>
    <w:rsid w:val="00827517"/>
    <w:rsid w:val="00827645"/>
    <w:rsid w:val="00827719"/>
    <w:rsid w:val="00827820"/>
    <w:rsid w:val="00827A9C"/>
    <w:rsid w:val="00827B30"/>
    <w:rsid w:val="00827C2E"/>
    <w:rsid w:val="00827D53"/>
    <w:rsid w:val="00827E36"/>
    <w:rsid w:val="00827F49"/>
    <w:rsid w:val="00827F4D"/>
    <w:rsid w:val="00827FC9"/>
    <w:rsid w:val="00827FDC"/>
    <w:rsid w:val="0083001D"/>
    <w:rsid w:val="008301CA"/>
    <w:rsid w:val="0083026B"/>
    <w:rsid w:val="008302F3"/>
    <w:rsid w:val="0083035A"/>
    <w:rsid w:val="0083044B"/>
    <w:rsid w:val="008304BD"/>
    <w:rsid w:val="008305A9"/>
    <w:rsid w:val="008305E5"/>
    <w:rsid w:val="008306EA"/>
    <w:rsid w:val="00830787"/>
    <w:rsid w:val="008308F2"/>
    <w:rsid w:val="00830AE1"/>
    <w:rsid w:val="00830B3C"/>
    <w:rsid w:val="00830B41"/>
    <w:rsid w:val="00830B72"/>
    <w:rsid w:val="00830D38"/>
    <w:rsid w:val="00830E5F"/>
    <w:rsid w:val="00830FAE"/>
    <w:rsid w:val="0083128A"/>
    <w:rsid w:val="008312F6"/>
    <w:rsid w:val="008313D7"/>
    <w:rsid w:val="008314BB"/>
    <w:rsid w:val="008315C5"/>
    <w:rsid w:val="008316B5"/>
    <w:rsid w:val="008317EF"/>
    <w:rsid w:val="00831818"/>
    <w:rsid w:val="008318C6"/>
    <w:rsid w:val="008318CD"/>
    <w:rsid w:val="00831BD0"/>
    <w:rsid w:val="00831BDE"/>
    <w:rsid w:val="00831BF1"/>
    <w:rsid w:val="00831CF2"/>
    <w:rsid w:val="00831D6E"/>
    <w:rsid w:val="00831D7A"/>
    <w:rsid w:val="00831ED8"/>
    <w:rsid w:val="00831F2A"/>
    <w:rsid w:val="00832059"/>
    <w:rsid w:val="00832105"/>
    <w:rsid w:val="00832307"/>
    <w:rsid w:val="008323DE"/>
    <w:rsid w:val="00832474"/>
    <w:rsid w:val="00832556"/>
    <w:rsid w:val="00832795"/>
    <w:rsid w:val="008328F5"/>
    <w:rsid w:val="008329DA"/>
    <w:rsid w:val="00832AF4"/>
    <w:rsid w:val="00832B12"/>
    <w:rsid w:val="00832CF6"/>
    <w:rsid w:val="00832D38"/>
    <w:rsid w:val="00832D60"/>
    <w:rsid w:val="00832DFD"/>
    <w:rsid w:val="00832EC5"/>
    <w:rsid w:val="00832EE3"/>
    <w:rsid w:val="008330F5"/>
    <w:rsid w:val="0083318C"/>
    <w:rsid w:val="008331D2"/>
    <w:rsid w:val="008331FE"/>
    <w:rsid w:val="00833271"/>
    <w:rsid w:val="00833289"/>
    <w:rsid w:val="008333CF"/>
    <w:rsid w:val="008333E9"/>
    <w:rsid w:val="00833700"/>
    <w:rsid w:val="0083385A"/>
    <w:rsid w:val="008338C7"/>
    <w:rsid w:val="00833964"/>
    <w:rsid w:val="008339C6"/>
    <w:rsid w:val="00833A63"/>
    <w:rsid w:val="00833B92"/>
    <w:rsid w:val="00833CB0"/>
    <w:rsid w:val="00833DED"/>
    <w:rsid w:val="00833E4A"/>
    <w:rsid w:val="0083404F"/>
    <w:rsid w:val="008341EE"/>
    <w:rsid w:val="008342AA"/>
    <w:rsid w:val="0083438E"/>
    <w:rsid w:val="008343FB"/>
    <w:rsid w:val="0083477C"/>
    <w:rsid w:val="00834894"/>
    <w:rsid w:val="00834904"/>
    <w:rsid w:val="00834974"/>
    <w:rsid w:val="00834978"/>
    <w:rsid w:val="008349FC"/>
    <w:rsid w:val="00834A60"/>
    <w:rsid w:val="00834C25"/>
    <w:rsid w:val="00834CBC"/>
    <w:rsid w:val="00834CC4"/>
    <w:rsid w:val="00834CF6"/>
    <w:rsid w:val="00834D1E"/>
    <w:rsid w:val="00834D82"/>
    <w:rsid w:val="00834DA6"/>
    <w:rsid w:val="00834E54"/>
    <w:rsid w:val="00834F03"/>
    <w:rsid w:val="0083507B"/>
    <w:rsid w:val="0083509E"/>
    <w:rsid w:val="008350FC"/>
    <w:rsid w:val="00835185"/>
    <w:rsid w:val="00835305"/>
    <w:rsid w:val="0083548C"/>
    <w:rsid w:val="0083551E"/>
    <w:rsid w:val="00835608"/>
    <w:rsid w:val="0083579C"/>
    <w:rsid w:val="00835A2A"/>
    <w:rsid w:val="00835AF3"/>
    <w:rsid w:val="00835F5F"/>
    <w:rsid w:val="00835F90"/>
    <w:rsid w:val="00835F96"/>
    <w:rsid w:val="00836002"/>
    <w:rsid w:val="00836026"/>
    <w:rsid w:val="00836058"/>
    <w:rsid w:val="008361DF"/>
    <w:rsid w:val="008362D2"/>
    <w:rsid w:val="0083632D"/>
    <w:rsid w:val="00836434"/>
    <w:rsid w:val="008365EF"/>
    <w:rsid w:val="008368A5"/>
    <w:rsid w:val="00836AF3"/>
    <w:rsid w:val="00836B56"/>
    <w:rsid w:val="00836D0F"/>
    <w:rsid w:val="00836D3C"/>
    <w:rsid w:val="00836D4C"/>
    <w:rsid w:val="00836D70"/>
    <w:rsid w:val="00836FF6"/>
    <w:rsid w:val="00836FFA"/>
    <w:rsid w:val="00837214"/>
    <w:rsid w:val="008372DC"/>
    <w:rsid w:val="008373C5"/>
    <w:rsid w:val="0083742C"/>
    <w:rsid w:val="00837490"/>
    <w:rsid w:val="008374CF"/>
    <w:rsid w:val="00837506"/>
    <w:rsid w:val="00837536"/>
    <w:rsid w:val="008375CB"/>
    <w:rsid w:val="00837768"/>
    <w:rsid w:val="008377E9"/>
    <w:rsid w:val="00837948"/>
    <w:rsid w:val="008379A5"/>
    <w:rsid w:val="00837AC8"/>
    <w:rsid w:val="00837AD0"/>
    <w:rsid w:val="00837B21"/>
    <w:rsid w:val="00837B9C"/>
    <w:rsid w:val="00837C58"/>
    <w:rsid w:val="00837C94"/>
    <w:rsid w:val="00837F13"/>
    <w:rsid w:val="00840139"/>
    <w:rsid w:val="0084019A"/>
    <w:rsid w:val="008401B7"/>
    <w:rsid w:val="00840206"/>
    <w:rsid w:val="00840290"/>
    <w:rsid w:val="008402CE"/>
    <w:rsid w:val="0084041B"/>
    <w:rsid w:val="00840573"/>
    <w:rsid w:val="00840721"/>
    <w:rsid w:val="00840925"/>
    <w:rsid w:val="008409C0"/>
    <w:rsid w:val="00840A98"/>
    <w:rsid w:val="00840AB3"/>
    <w:rsid w:val="00840C16"/>
    <w:rsid w:val="00840EE4"/>
    <w:rsid w:val="00841045"/>
    <w:rsid w:val="0084121A"/>
    <w:rsid w:val="008412FA"/>
    <w:rsid w:val="008413B1"/>
    <w:rsid w:val="0084154C"/>
    <w:rsid w:val="008415BE"/>
    <w:rsid w:val="008415FD"/>
    <w:rsid w:val="00841698"/>
    <w:rsid w:val="008418DF"/>
    <w:rsid w:val="00841A7E"/>
    <w:rsid w:val="00841B65"/>
    <w:rsid w:val="00841C3F"/>
    <w:rsid w:val="00841CBD"/>
    <w:rsid w:val="00841CE5"/>
    <w:rsid w:val="00841D62"/>
    <w:rsid w:val="00841D93"/>
    <w:rsid w:val="00841DF8"/>
    <w:rsid w:val="00841E51"/>
    <w:rsid w:val="00841F30"/>
    <w:rsid w:val="00842093"/>
    <w:rsid w:val="00842196"/>
    <w:rsid w:val="0084223B"/>
    <w:rsid w:val="0084235E"/>
    <w:rsid w:val="0084287B"/>
    <w:rsid w:val="00842895"/>
    <w:rsid w:val="00842B6D"/>
    <w:rsid w:val="00842B8C"/>
    <w:rsid w:val="00842CD1"/>
    <w:rsid w:val="00842D11"/>
    <w:rsid w:val="00842D47"/>
    <w:rsid w:val="00842D59"/>
    <w:rsid w:val="00842F00"/>
    <w:rsid w:val="00843068"/>
    <w:rsid w:val="00843075"/>
    <w:rsid w:val="008430B7"/>
    <w:rsid w:val="008430F8"/>
    <w:rsid w:val="00843149"/>
    <w:rsid w:val="00843240"/>
    <w:rsid w:val="008432F6"/>
    <w:rsid w:val="008434D9"/>
    <w:rsid w:val="0084356D"/>
    <w:rsid w:val="008435D3"/>
    <w:rsid w:val="0084373C"/>
    <w:rsid w:val="0084375F"/>
    <w:rsid w:val="008438B4"/>
    <w:rsid w:val="008438EF"/>
    <w:rsid w:val="008439E2"/>
    <w:rsid w:val="00843A2B"/>
    <w:rsid w:val="00843BB6"/>
    <w:rsid w:val="00843CE1"/>
    <w:rsid w:val="00843E85"/>
    <w:rsid w:val="00843F4A"/>
    <w:rsid w:val="00843FD3"/>
    <w:rsid w:val="008440CA"/>
    <w:rsid w:val="00844115"/>
    <w:rsid w:val="00844146"/>
    <w:rsid w:val="0084429F"/>
    <w:rsid w:val="008442EA"/>
    <w:rsid w:val="00844395"/>
    <w:rsid w:val="008443D9"/>
    <w:rsid w:val="0084458A"/>
    <w:rsid w:val="008445EB"/>
    <w:rsid w:val="008446E6"/>
    <w:rsid w:val="0084474A"/>
    <w:rsid w:val="0084477A"/>
    <w:rsid w:val="008448AD"/>
    <w:rsid w:val="00844A4E"/>
    <w:rsid w:val="00844CA2"/>
    <w:rsid w:val="00844D22"/>
    <w:rsid w:val="00844EB0"/>
    <w:rsid w:val="00844EE8"/>
    <w:rsid w:val="00844FAC"/>
    <w:rsid w:val="00844FF8"/>
    <w:rsid w:val="00845160"/>
    <w:rsid w:val="008451D8"/>
    <w:rsid w:val="0084547D"/>
    <w:rsid w:val="008454A2"/>
    <w:rsid w:val="008454DE"/>
    <w:rsid w:val="008456BF"/>
    <w:rsid w:val="0084575A"/>
    <w:rsid w:val="00845AC6"/>
    <w:rsid w:val="00845B57"/>
    <w:rsid w:val="00845BD3"/>
    <w:rsid w:val="00845E4E"/>
    <w:rsid w:val="00845F66"/>
    <w:rsid w:val="00845F96"/>
    <w:rsid w:val="0084600B"/>
    <w:rsid w:val="0084619D"/>
    <w:rsid w:val="008461D2"/>
    <w:rsid w:val="00846268"/>
    <w:rsid w:val="0084633F"/>
    <w:rsid w:val="00846348"/>
    <w:rsid w:val="008463C3"/>
    <w:rsid w:val="0084642C"/>
    <w:rsid w:val="00846661"/>
    <w:rsid w:val="008466CB"/>
    <w:rsid w:val="00846752"/>
    <w:rsid w:val="00846879"/>
    <w:rsid w:val="008469D8"/>
    <w:rsid w:val="00846A14"/>
    <w:rsid w:val="00846AAF"/>
    <w:rsid w:val="00846ACD"/>
    <w:rsid w:val="00846CFF"/>
    <w:rsid w:val="00846D01"/>
    <w:rsid w:val="00846FAE"/>
    <w:rsid w:val="00847019"/>
    <w:rsid w:val="008470FA"/>
    <w:rsid w:val="00847174"/>
    <w:rsid w:val="0084721C"/>
    <w:rsid w:val="00847241"/>
    <w:rsid w:val="008473C0"/>
    <w:rsid w:val="008473D3"/>
    <w:rsid w:val="00847471"/>
    <w:rsid w:val="008474D0"/>
    <w:rsid w:val="00847512"/>
    <w:rsid w:val="0084754D"/>
    <w:rsid w:val="00847638"/>
    <w:rsid w:val="0084765B"/>
    <w:rsid w:val="0084789B"/>
    <w:rsid w:val="00847AFA"/>
    <w:rsid w:val="00847BA2"/>
    <w:rsid w:val="00847BF8"/>
    <w:rsid w:val="00847C56"/>
    <w:rsid w:val="00847D86"/>
    <w:rsid w:val="00847D95"/>
    <w:rsid w:val="00847DE7"/>
    <w:rsid w:val="00847FAB"/>
    <w:rsid w:val="00847FE4"/>
    <w:rsid w:val="0085009E"/>
    <w:rsid w:val="008500AC"/>
    <w:rsid w:val="00850116"/>
    <w:rsid w:val="00850179"/>
    <w:rsid w:val="008502E3"/>
    <w:rsid w:val="00850348"/>
    <w:rsid w:val="00850391"/>
    <w:rsid w:val="0085059E"/>
    <w:rsid w:val="008507AD"/>
    <w:rsid w:val="00850838"/>
    <w:rsid w:val="00850B8B"/>
    <w:rsid w:val="00850C53"/>
    <w:rsid w:val="00850C70"/>
    <w:rsid w:val="00850D8B"/>
    <w:rsid w:val="00850E1E"/>
    <w:rsid w:val="00850FBC"/>
    <w:rsid w:val="008510FA"/>
    <w:rsid w:val="0085124B"/>
    <w:rsid w:val="0085130E"/>
    <w:rsid w:val="00851312"/>
    <w:rsid w:val="00851372"/>
    <w:rsid w:val="00851851"/>
    <w:rsid w:val="00851875"/>
    <w:rsid w:val="008518D3"/>
    <w:rsid w:val="00851A4F"/>
    <w:rsid w:val="00851C7E"/>
    <w:rsid w:val="00851CDA"/>
    <w:rsid w:val="00851D7A"/>
    <w:rsid w:val="00851ED5"/>
    <w:rsid w:val="00851F92"/>
    <w:rsid w:val="008520C1"/>
    <w:rsid w:val="0085212C"/>
    <w:rsid w:val="00852232"/>
    <w:rsid w:val="008523CB"/>
    <w:rsid w:val="008523F0"/>
    <w:rsid w:val="008524C9"/>
    <w:rsid w:val="008525DE"/>
    <w:rsid w:val="00852660"/>
    <w:rsid w:val="0085266C"/>
    <w:rsid w:val="00852683"/>
    <w:rsid w:val="0085271A"/>
    <w:rsid w:val="008527E3"/>
    <w:rsid w:val="00852836"/>
    <w:rsid w:val="00852850"/>
    <w:rsid w:val="00852A93"/>
    <w:rsid w:val="00852A99"/>
    <w:rsid w:val="00852AC8"/>
    <w:rsid w:val="00852B01"/>
    <w:rsid w:val="00852B0A"/>
    <w:rsid w:val="00852B19"/>
    <w:rsid w:val="00852C17"/>
    <w:rsid w:val="00852CC2"/>
    <w:rsid w:val="00852E2D"/>
    <w:rsid w:val="0085320C"/>
    <w:rsid w:val="00853337"/>
    <w:rsid w:val="00853531"/>
    <w:rsid w:val="00853629"/>
    <w:rsid w:val="008536FA"/>
    <w:rsid w:val="00853882"/>
    <w:rsid w:val="00853943"/>
    <w:rsid w:val="008539CE"/>
    <w:rsid w:val="00853A89"/>
    <w:rsid w:val="00853AC3"/>
    <w:rsid w:val="00853B6D"/>
    <w:rsid w:val="00853BDD"/>
    <w:rsid w:val="00853CC5"/>
    <w:rsid w:val="00853D35"/>
    <w:rsid w:val="00853D38"/>
    <w:rsid w:val="00853E27"/>
    <w:rsid w:val="00853F8E"/>
    <w:rsid w:val="00854059"/>
    <w:rsid w:val="00854080"/>
    <w:rsid w:val="008540FF"/>
    <w:rsid w:val="008542AA"/>
    <w:rsid w:val="00854388"/>
    <w:rsid w:val="00854598"/>
    <w:rsid w:val="00854607"/>
    <w:rsid w:val="008546AE"/>
    <w:rsid w:val="008546FF"/>
    <w:rsid w:val="00854C7C"/>
    <w:rsid w:val="00854D42"/>
    <w:rsid w:val="00854DEB"/>
    <w:rsid w:val="00854FC8"/>
    <w:rsid w:val="008550B3"/>
    <w:rsid w:val="0085517B"/>
    <w:rsid w:val="00855233"/>
    <w:rsid w:val="00855269"/>
    <w:rsid w:val="008552DE"/>
    <w:rsid w:val="00855362"/>
    <w:rsid w:val="00855434"/>
    <w:rsid w:val="00855487"/>
    <w:rsid w:val="00855499"/>
    <w:rsid w:val="00855556"/>
    <w:rsid w:val="00855657"/>
    <w:rsid w:val="008556F1"/>
    <w:rsid w:val="0085585C"/>
    <w:rsid w:val="00855AD4"/>
    <w:rsid w:val="00855B3A"/>
    <w:rsid w:val="00855BF9"/>
    <w:rsid w:val="00855C20"/>
    <w:rsid w:val="00856005"/>
    <w:rsid w:val="008561D6"/>
    <w:rsid w:val="00856544"/>
    <w:rsid w:val="008566EC"/>
    <w:rsid w:val="00856740"/>
    <w:rsid w:val="0085677C"/>
    <w:rsid w:val="008567EE"/>
    <w:rsid w:val="00856CC3"/>
    <w:rsid w:val="00856D4F"/>
    <w:rsid w:val="00857061"/>
    <w:rsid w:val="00857444"/>
    <w:rsid w:val="008574CD"/>
    <w:rsid w:val="008577CA"/>
    <w:rsid w:val="0085794D"/>
    <w:rsid w:val="00857A9B"/>
    <w:rsid w:val="00857CB2"/>
    <w:rsid w:val="00857E42"/>
    <w:rsid w:val="00857FDD"/>
    <w:rsid w:val="008600CB"/>
    <w:rsid w:val="0086013C"/>
    <w:rsid w:val="00860176"/>
    <w:rsid w:val="00860294"/>
    <w:rsid w:val="00860311"/>
    <w:rsid w:val="00860367"/>
    <w:rsid w:val="008606B1"/>
    <w:rsid w:val="008606BD"/>
    <w:rsid w:val="0086085C"/>
    <w:rsid w:val="00860A28"/>
    <w:rsid w:val="00860A77"/>
    <w:rsid w:val="00860A89"/>
    <w:rsid w:val="00860B2D"/>
    <w:rsid w:val="00860C4F"/>
    <w:rsid w:val="00860DF8"/>
    <w:rsid w:val="00860E09"/>
    <w:rsid w:val="00860E51"/>
    <w:rsid w:val="00860EEE"/>
    <w:rsid w:val="00860F12"/>
    <w:rsid w:val="00860FCF"/>
    <w:rsid w:val="008610B8"/>
    <w:rsid w:val="00861109"/>
    <w:rsid w:val="00861215"/>
    <w:rsid w:val="0086126F"/>
    <w:rsid w:val="008613BF"/>
    <w:rsid w:val="008614C9"/>
    <w:rsid w:val="008615E8"/>
    <w:rsid w:val="00861661"/>
    <w:rsid w:val="0086173E"/>
    <w:rsid w:val="00861830"/>
    <w:rsid w:val="0086183D"/>
    <w:rsid w:val="008618A8"/>
    <w:rsid w:val="00861C79"/>
    <w:rsid w:val="00861C97"/>
    <w:rsid w:val="00861CAD"/>
    <w:rsid w:val="00861D17"/>
    <w:rsid w:val="00861D1C"/>
    <w:rsid w:val="00861D31"/>
    <w:rsid w:val="00861D3D"/>
    <w:rsid w:val="00861D3E"/>
    <w:rsid w:val="00861E56"/>
    <w:rsid w:val="00861E95"/>
    <w:rsid w:val="00861F1A"/>
    <w:rsid w:val="00861FDE"/>
    <w:rsid w:val="00861FEA"/>
    <w:rsid w:val="0086204C"/>
    <w:rsid w:val="00862083"/>
    <w:rsid w:val="00862180"/>
    <w:rsid w:val="008622E2"/>
    <w:rsid w:val="00862302"/>
    <w:rsid w:val="00862381"/>
    <w:rsid w:val="00862382"/>
    <w:rsid w:val="0086257F"/>
    <w:rsid w:val="008625EA"/>
    <w:rsid w:val="008626E3"/>
    <w:rsid w:val="00862786"/>
    <w:rsid w:val="008628C3"/>
    <w:rsid w:val="008628E3"/>
    <w:rsid w:val="00862A6F"/>
    <w:rsid w:val="00862B10"/>
    <w:rsid w:val="00862BE6"/>
    <w:rsid w:val="00862C08"/>
    <w:rsid w:val="00862C74"/>
    <w:rsid w:val="00862C7B"/>
    <w:rsid w:val="00862D2F"/>
    <w:rsid w:val="00862D86"/>
    <w:rsid w:val="00862DC8"/>
    <w:rsid w:val="00862DE4"/>
    <w:rsid w:val="00862DE6"/>
    <w:rsid w:val="00862E21"/>
    <w:rsid w:val="00862E9C"/>
    <w:rsid w:val="00862F7E"/>
    <w:rsid w:val="008630F4"/>
    <w:rsid w:val="008631EB"/>
    <w:rsid w:val="00863262"/>
    <w:rsid w:val="00863707"/>
    <w:rsid w:val="008637C9"/>
    <w:rsid w:val="008637EE"/>
    <w:rsid w:val="0086388A"/>
    <w:rsid w:val="008638D8"/>
    <w:rsid w:val="00863901"/>
    <w:rsid w:val="0086391C"/>
    <w:rsid w:val="008639B8"/>
    <w:rsid w:val="00863AA2"/>
    <w:rsid w:val="00863B11"/>
    <w:rsid w:val="00863BAB"/>
    <w:rsid w:val="00863BCF"/>
    <w:rsid w:val="00863E68"/>
    <w:rsid w:val="00863FBA"/>
    <w:rsid w:val="008640B5"/>
    <w:rsid w:val="008641FA"/>
    <w:rsid w:val="0086425C"/>
    <w:rsid w:val="0086449D"/>
    <w:rsid w:val="00864508"/>
    <w:rsid w:val="00864682"/>
    <w:rsid w:val="00864785"/>
    <w:rsid w:val="00864786"/>
    <w:rsid w:val="008647FE"/>
    <w:rsid w:val="008649DD"/>
    <w:rsid w:val="00864D71"/>
    <w:rsid w:val="00864DA6"/>
    <w:rsid w:val="00864E6D"/>
    <w:rsid w:val="00864F40"/>
    <w:rsid w:val="00864F60"/>
    <w:rsid w:val="008654B0"/>
    <w:rsid w:val="008655F6"/>
    <w:rsid w:val="008656BE"/>
    <w:rsid w:val="008657E0"/>
    <w:rsid w:val="008658B7"/>
    <w:rsid w:val="008659A0"/>
    <w:rsid w:val="008659FE"/>
    <w:rsid w:val="00865A5B"/>
    <w:rsid w:val="00865C45"/>
    <w:rsid w:val="00865C59"/>
    <w:rsid w:val="00865CDB"/>
    <w:rsid w:val="00865F98"/>
    <w:rsid w:val="008660AA"/>
    <w:rsid w:val="00866187"/>
    <w:rsid w:val="00866362"/>
    <w:rsid w:val="0086641C"/>
    <w:rsid w:val="008664CD"/>
    <w:rsid w:val="0086651C"/>
    <w:rsid w:val="0086652A"/>
    <w:rsid w:val="00866531"/>
    <w:rsid w:val="008665F8"/>
    <w:rsid w:val="008668E2"/>
    <w:rsid w:val="008669BC"/>
    <w:rsid w:val="008669FF"/>
    <w:rsid w:val="00866A69"/>
    <w:rsid w:val="00866B07"/>
    <w:rsid w:val="00866B3B"/>
    <w:rsid w:val="00866B68"/>
    <w:rsid w:val="00866BC9"/>
    <w:rsid w:val="00866C8B"/>
    <w:rsid w:val="0086707A"/>
    <w:rsid w:val="008670B4"/>
    <w:rsid w:val="008670CF"/>
    <w:rsid w:val="00867663"/>
    <w:rsid w:val="008677DE"/>
    <w:rsid w:val="00867A80"/>
    <w:rsid w:val="00867AB1"/>
    <w:rsid w:val="00867B0C"/>
    <w:rsid w:val="00867C73"/>
    <w:rsid w:val="00867CEE"/>
    <w:rsid w:val="00867E13"/>
    <w:rsid w:val="00867E82"/>
    <w:rsid w:val="00867EB0"/>
    <w:rsid w:val="00867F02"/>
    <w:rsid w:val="00867F45"/>
    <w:rsid w:val="00870196"/>
    <w:rsid w:val="0087032E"/>
    <w:rsid w:val="0087033C"/>
    <w:rsid w:val="00870399"/>
    <w:rsid w:val="008703DC"/>
    <w:rsid w:val="0087055D"/>
    <w:rsid w:val="00870631"/>
    <w:rsid w:val="00870691"/>
    <w:rsid w:val="00870862"/>
    <w:rsid w:val="008708AB"/>
    <w:rsid w:val="00870A8E"/>
    <w:rsid w:val="00870B1C"/>
    <w:rsid w:val="00870C85"/>
    <w:rsid w:val="00870E2F"/>
    <w:rsid w:val="00871112"/>
    <w:rsid w:val="0087112B"/>
    <w:rsid w:val="008712B2"/>
    <w:rsid w:val="00871399"/>
    <w:rsid w:val="008713BF"/>
    <w:rsid w:val="008713C8"/>
    <w:rsid w:val="008713EC"/>
    <w:rsid w:val="0087147D"/>
    <w:rsid w:val="00871496"/>
    <w:rsid w:val="00871514"/>
    <w:rsid w:val="00871592"/>
    <w:rsid w:val="008715E6"/>
    <w:rsid w:val="008716B0"/>
    <w:rsid w:val="00871759"/>
    <w:rsid w:val="008719E1"/>
    <w:rsid w:val="00871A19"/>
    <w:rsid w:val="00871B6F"/>
    <w:rsid w:val="00871EFC"/>
    <w:rsid w:val="00871FC1"/>
    <w:rsid w:val="008720EB"/>
    <w:rsid w:val="008721B7"/>
    <w:rsid w:val="00872201"/>
    <w:rsid w:val="00872400"/>
    <w:rsid w:val="00872572"/>
    <w:rsid w:val="0087277A"/>
    <w:rsid w:val="008727D4"/>
    <w:rsid w:val="008727E7"/>
    <w:rsid w:val="008727FF"/>
    <w:rsid w:val="00872806"/>
    <w:rsid w:val="0087289F"/>
    <w:rsid w:val="00872965"/>
    <w:rsid w:val="008729D4"/>
    <w:rsid w:val="00872ABC"/>
    <w:rsid w:val="00872B24"/>
    <w:rsid w:val="00872B6C"/>
    <w:rsid w:val="00872CD6"/>
    <w:rsid w:val="00872DAC"/>
    <w:rsid w:val="00872DF6"/>
    <w:rsid w:val="00872E17"/>
    <w:rsid w:val="00872E3E"/>
    <w:rsid w:val="00872E47"/>
    <w:rsid w:val="00872F05"/>
    <w:rsid w:val="00872FC1"/>
    <w:rsid w:val="00873071"/>
    <w:rsid w:val="00873074"/>
    <w:rsid w:val="008730A9"/>
    <w:rsid w:val="008731E6"/>
    <w:rsid w:val="00873432"/>
    <w:rsid w:val="00873445"/>
    <w:rsid w:val="008734B4"/>
    <w:rsid w:val="008735A9"/>
    <w:rsid w:val="0087360A"/>
    <w:rsid w:val="00873614"/>
    <w:rsid w:val="0087365C"/>
    <w:rsid w:val="0087383C"/>
    <w:rsid w:val="008739B9"/>
    <w:rsid w:val="00873B89"/>
    <w:rsid w:val="00873E3F"/>
    <w:rsid w:val="00873EDD"/>
    <w:rsid w:val="00873F72"/>
    <w:rsid w:val="00873FAB"/>
    <w:rsid w:val="008742AA"/>
    <w:rsid w:val="00874302"/>
    <w:rsid w:val="0087446A"/>
    <w:rsid w:val="008747BB"/>
    <w:rsid w:val="00874A06"/>
    <w:rsid w:val="00874A23"/>
    <w:rsid w:val="00874B4C"/>
    <w:rsid w:val="00874C6B"/>
    <w:rsid w:val="00874C8E"/>
    <w:rsid w:val="00874DEA"/>
    <w:rsid w:val="00874EF0"/>
    <w:rsid w:val="00874F7D"/>
    <w:rsid w:val="0087506C"/>
    <w:rsid w:val="00875192"/>
    <w:rsid w:val="0087523E"/>
    <w:rsid w:val="00875403"/>
    <w:rsid w:val="00875468"/>
    <w:rsid w:val="008754B4"/>
    <w:rsid w:val="008755E9"/>
    <w:rsid w:val="00875718"/>
    <w:rsid w:val="00875862"/>
    <w:rsid w:val="008758C2"/>
    <w:rsid w:val="00875CDA"/>
    <w:rsid w:val="00875E81"/>
    <w:rsid w:val="00875EDE"/>
    <w:rsid w:val="0087602B"/>
    <w:rsid w:val="0087603D"/>
    <w:rsid w:val="00876180"/>
    <w:rsid w:val="00876184"/>
    <w:rsid w:val="008761CC"/>
    <w:rsid w:val="00876212"/>
    <w:rsid w:val="0087625A"/>
    <w:rsid w:val="0087627C"/>
    <w:rsid w:val="0087634A"/>
    <w:rsid w:val="008763F3"/>
    <w:rsid w:val="00876407"/>
    <w:rsid w:val="0087643F"/>
    <w:rsid w:val="00876470"/>
    <w:rsid w:val="008764C5"/>
    <w:rsid w:val="008765EF"/>
    <w:rsid w:val="008767DA"/>
    <w:rsid w:val="00876897"/>
    <w:rsid w:val="008769BC"/>
    <w:rsid w:val="00876AE6"/>
    <w:rsid w:val="00876B8A"/>
    <w:rsid w:val="00876C74"/>
    <w:rsid w:val="00876DA1"/>
    <w:rsid w:val="00876E01"/>
    <w:rsid w:val="00876F8C"/>
    <w:rsid w:val="008770D5"/>
    <w:rsid w:val="00877215"/>
    <w:rsid w:val="0087740F"/>
    <w:rsid w:val="008775FE"/>
    <w:rsid w:val="0087778D"/>
    <w:rsid w:val="0087780B"/>
    <w:rsid w:val="00877916"/>
    <w:rsid w:val="00877A5E"/>
    <w:rsid w:val="00877AA8"/>
    <w:rsid w:val="00877B55"/>
    <w:rsid w:val="00877B85"/>
    <w:rsid w:val="00877CCD"/>
    <w:rsid w:val="00877DC5"/>
    <w:rsid w:val="00877E97"/>
    <w:rsid w:val="00880038"/>
    <w:rsid w:val="0088006F"/>
    <w:rsid w:val="00880100"/>
    <w:rsid w:val="0088030D"/>
    <w:rsid w:val="00880417"/>
    <w:rsid w:val="00880525"/>
    <w:rsid w:val="00880576"/>
    <w:rsid w:val="0088068D"/>
    <w:rsid w:val="00880763"/>
    <w:rsid w:val="0088081D"/>
    <w:rsid w:val="00880A06"/>
    <w:rsid w:val="00880A15"/>
    <w:rsid w:val="00880A16"/>
    <w:rsid w:val="00880A27"/>
    <w:rsid w:val="00880A54"/>
    <w:rsid w:val="00880A61"/>
    <w:rsid w:val="00880B4E"/>
    <w:rsid w:val="00880B5B"/>
    <w:rsid w:val="00880C91"/>
    <w:rsid w:val="00880CCD"/>
    <w:rsid w:val="00880DA0"/>
    <w:rsid w:val="0088108E"/>
    <w:rsid w:val="008811B6"/>
    <w:rsid w:val="008812AD"/>
    <w:rsid w:val="0088134B"/>
    <w:rsid w:val="00881401"/>
    <w:rsid w:val="00881583"/>
    <w:rsid w:val="008817B1"/>
    <w:rsid w:val="00881A68"/>
    <w:rsid w:val="00881B0A"/>
    <w:rsid w:val="00881D65"/>
    <w:rsid w:val="00881DB1"/>
    <w:rsid w:val="00881E90"/>
    <w:rsid w:val="00881F47"/>
    <w:rsid w:val="00882080"/>
    <w:rsid w:val="008820AC"/>
    <w:rsid w:val="008821EB"/>
    <w:rsid w:val="0088229E"/>
    <w:rsid w:val="0088237F"/>
    <w:rsid w:val="008823A3"/>
    <w:rsid w:val="00882430"/>
    <w:rsid w:val="008824C2"/>
    <w:rsid w:val="008824D1"/>
    <w:rsid w:val="00882529"/>
    <w:rsid w:val="0088273B"/>
    <w:rsid w:val="008828B9"/>
    <w:rsid w:val="008829AD"/>
    <w:rsid w:val="008829B8"/>
    <w:rsid w:val="00882B1A"/>
    <w:rsid w:val="00882B4B"/>
    <w:rsid w:val="00882BFE"/>
    <w:rsid w:val="00882D06"/>
    <w:rsid w:val="00882D49"/>
    <w:rsid w:val="0088301D"/>
    <w:rsid w:val="00883079"/>
    <w:rsid w:val="0088313E"/>
    <w:rsid w:val="008831D0"/>
    <w:rsid w:val="00883382"/>
    <w:rsid w:val="00883407"/>
    <w:rsid w:val="00883578"/>
    <w:rsid w:val="0088365A"/>
    <w:rsid w:val="00883697"/>
    <w:rsid w:val="00883939"/>
    <w:rsid w:val="008839C7"/>
    <w:rsid w:val="00883BD9"/>
    <w:rsid w:val="00883E6E"/>
    <w:rsid w:val="00883EB4"/>
    <w:rsid w:val="008841C2"/>
    <w:rsid w:val="00884382"/>
    <w:rsid w:val="00884395"/>
    <w:rsid w:val="0088441A"/>
    <w:rsid w:val="00884551"/>
    <w:rsid w:val="00884609"/>
    <w:rsid w:val="00884794"/>
    <w:rsid w:val="008847F5"/>
    <w:rsid w:val="008848D7"/>
    <w:rsid w:val="008849D7"/>
    <w:rsid w:val="00884A9D"/>
    <w:rsid w:val="00884BDF"/>
    <w:rsid w:val="00884BE4"/>
    <w:rsid w:val="00884C24"/>
    <w:rsid w:val="00884C61"/>
    <w:rsid w:val="00884E12"/>
    <w:rsid w:val="00884EBB"/>
    <w:rsid w:val="00884FDD"/>
    <w:rsid w:val="008850A6"/>
    <w:rsid w:val="008850EA"/>
    <w:rsid w:val="0088543D"/>
    <w:rsid w:val="00885470"/>
    <w:rsid w:val="008854EA"/>
    <w:rsid w:val="0088563B"/>
    <w:rsid w:val="00885789"/>
    <w:rsid w:val="008857B6"/>
    <w:rsid w:val="00885857"/>
    <w:rsid w:val="008858FC"/>
    <w:rsid w:val="008859B6"/>
    <w:rsid w:val="008859F8"/>
    <w:rsid w:val="00885A4E"/>
    <w:rsid w:val="00885A7C"/>
    <w:rsid w:val="00885C35"/>
    <w:rsid w:val="00885C98"/>
    <w:rsid w:val="00885D2D"/>
    <w:rsid w:val="00885E0C"/>
    <w:rsid w:val="00885EF4"/>
    <w:rsid w:val="00885F58"/>
    <w:rsid w:val="008860C1"/>
    <w:rsid w:val="00886210"/>
    <w:rsid w:val="00886231"/>
    <w:rsid w:val="008866D0"/>
    <w:rsid w:val="008867A0"/>
    <w:rsid w:val="008867B4"/>
    <w:rsid w:val="00886B3B"/>
    <w:rsid w:val="00886BC5"/>
    <w:rsid w:val="00886BCD"/>
    <w:rsid w:val="00886E97"/>
    <w:rsid w:val="00886EBD"/>
    <w:rsid w:val="008871BD"/>
    <w:rsid w:val="00887411"/>
    <w:rsid w:val="00887521"/>
    <w:rsid w:val="0088759C"/>
    <w:rsid w:val="008876EB"/>
    <w:rsid w:val="0088778B"/>
    <w:rsid w:val="00887A2E"/>
    <w:rsid w:val="00887A41"/>
    <w:rsid w:val="00887A58"/>
    <w:rsid w:val="00887AB7"/>
    <w:rsid w:val="00887B01"/>
    <w:rsid w:val="00887B87"/>
    <w:rsid w:val="00887BAA"/>
    <w:rsid w:val="00887CA6"/>
    <w:rsid w:val="00887D12"/>
    <w:rsid w:val="00887EB1"/>
    <w:rsid w:val="00887F6D"/>
    <w:rsid w:val="0089040E"/>
    <w:rsid w:val="0089044E"/>
    <w:rsid w:val="008904BC"/>
    <w:rsid w:val="00890771"/>
    <w:rsid w:val="0089093E"/>
    <w:rsid w:val="00890A7E"/>
    <w:rsid w:val="00890B53"/>
    <w:rsid w:val="00890CB4"/>
    <w:rsid w:val="00890D95"/>
    <w:rsid w:val="00890DA7"/>
    <w:rsid w:val="00890E2B"/>
    <w:rsid w:val="0089103E"/>
    <w:rsid w:val="008913E5"/>
    <w:rsid w:val="00891599"/>
    <w:rsid w:val="00891701"/>
    <w:rsid w:val="00891764"/>
    <w:rsid w:val="008917AB"/>
    <w:rsid w:val="0089189C"/>
    <w:rsid w:val="008918D9"/>
    <w:rsid w:val="00891980"/>
    <w:rsid w:val="00891997"/>
    <w:rsid w:val="00891A39"/>
    <w:rsid w:val="00891A89"/>
    <w:rsid w:val="00891D9E"/>
    <w:rsid w:val="00891DE2"/>
    <w:rsid w:val="00891F8F"/>
    <w:rsid w:val="00891FD6"/>
    <w:rsid w:val="00892000"/>
    <w:rsid w:val="008920D3"/>
    <w:rsid w:val="0089214A"/>
    <w:rsid w:val="00892155"/>
    <w:rsid w:val="008921C3"/>
    <w:rsid w:val="00892258"/>
    <w:rsid w:val="0089227C"/>
    <w:rsid w:val="008922D7"/>
    <w:rsid w:val="00892310"/>
    <w:rsid w:val="008924AF"/>
    <w:rsid w:val="0089260D"/>
    <w:rsid w:val="0089271C"/>
    <w:rsid w:val="00892746"/>
    <w:rsid w:val="0089283B"/>
    <w:rsid w:val="008928D2"/>
    <w:rsid w:val="00892991"/>
    <w:rsid w:val="008929E1"/>
    <w:rsid w:val="00892BB3"/>
    <w:rsid w:val="00892CAD"/>
    <w:rsid w:val="00892CC9"/>
    <w:rsid w:val="00892FEE"/>
    <w:rsid w:val="008930E3"/>
    <w:rsid w:val="0089318D"/>
    <w:rsid w:val="00893234"/>
    <w:rsid w:val="0089331D"/>
    <w:rsid w:val="008933FC"/>
    <w:rsid w:val="00893440"/>
    <w:rsid w:val="00893592"/>
    <w:rsid w:val="0089368D"/>
    <w:rsid w:val="00893748"/>
    <w:rsid w:val="00893801"/>
    <w:rsid w:val="00893837"/>
    <w:rsid w:val="008938CC"/>
    <w:rsid w:val="00893962"/>
    <w:rsid w:val="00893A29"/>
    <w:rsid w:val="00893A6D"/>
    <w:rsid w:val="00893B47"/>
    <w:rsid w:val="00893B60"/>
    <w:rsid w:val="00893B8A"/>
    <w:rsid w:val="00893C59"/>
    <w:rsid w:val="00893D21"/>
    <w:rsid w:val="00893E01"/>
    <w:rsid w:val="00893E4E"/>
    <w:rsid w:val="00893E68"/>
    <w:rsid w:val="00893E6F"/>
    <w:rsid w:val="00893F69"/>
    <w:rsid w:val="0089405C"/>
    <w:rsid w:val="00894099"/>
    <w:rsid w:val="0089434D"/>
    <w:rsid w:val="00894584"/>
    <w:rsid w:val="008945A8"/>
    <w:rsid w:val="0089485D"/>
    <w:rsid w:val="00894885"/>
    <w:rsid w:val="00894989"/>
    <w:rsid w:val="008949A2"/>
    <w:rsid w:val="00894A7F"/>
    <w:rsid w:val="00894AD4"/>
    <w:rsid w:val="00894B14"/>
    <w:rsid w:val="00894B31"/>
    <w:rsid w:val="00894C4C"/>
    <w:rsid w:val="00894D73"/>
    <w:rsid w:val="00894E84"/>
    <w:rsid w:val="00894F41"/>
    <w:rsid w:val="00894F95"/>
    <w:rsid w:val="0089517F"/>
    <w:rsid w:val="008951B0"/>
    <w:rsid w:val="0089523B"/>
    <w:rsid w:val="0089527E"/>
    <w:rsid w:val="00895688"/>
    <w:rsid w:val="008956F0"/>
    <w:rsid w:val="00895A2B"/>
    <w:rsid w:val="00895A2F"/>
    <w:rsid w:val="00895C37"/>
    <w:rsid w:val="00895C57"/>
    <w:rsid w:val="00895C8C"/>
    <w:rsid w:val="00895D17"/>
    <w:rsid w:val="00895FB4"/>
    <w:rsid w:val="00895FF4"/>
    <w:rsid w:val="0089611C"/>
    <w:rsid w:val="00896299"/>
    <w:rsid w:val="008964C9"/>
    <w:rsid w:val="008965B9"/>
    <w:rsid w:val="00896907"/>
    <w:rsid w:val="00896A21"/>
    <w:rsid w:val="00896AE4"/>
    <w:rsid w:val="00896B2B"/>
    <w:rsid w:val="00896B72"/>
    <w:rsid w:val="00896E33"/>
    <w:rsid w:val="00896E5B"/>
    <w:rsid w:val="00896EF6"/>
    <w:rsid w:val="00896F8B"/>
    <w:rsid w:val="00897108"/>
    <w:rsid w:val="0089728B"/>
    <w:rsid w:val="00897372"/>
    <w:rsid w:val="008974D9"/>
    <w:rsid w:val="008974FA"/>
    <w:rsid w:val="008976CF"/>
    <w:rsid w:val="008976F6"/>
    <w:rsid w:val="0089770E"/>
    <w:rsid w:val="00897832"/>
    <w:rsid w:val="00897919"/>
    <w:rsid w:val="00897A63"/>
    <w:rsid w:val="00897DB2"/>
    <w:rsid w:val="00897EBF"/>
    <w:rsid w:val="00897F3F"/>
    <w:rsid w:val="00897F42"/>
    <w:rsid w:val="008A0036"/>
    <w:rsid w:val="008A0110"/>
    <w:rsid w:val="008A0170"/>
    <w:rsid w:val="008A0194"/>
    <w:rsid w:val="008A01BA"/>
    <w:rsid w:val="008A038D"/>
    <w:rsid w:val="008A03BB"/>
    <w:rsid w:val="008A0422"/>
    <w:rsid w:val="008A04E7"/>
    <w:rsid w:val="008A0651"/>
    <w:rsid w:val="008A0677"/>
    <w:rsid w:val="008A073D"/>
    <w:rsid w:val="008A0B4B"/>
    <w:rsid w:val="008A0B51"/>
    <w:rsid w:val="008A0DEC"/>
    <w:rsid w:val="008A0E08"/>
    <w:rsid w:val="008A0E14"/>
    <w:rsid w:val="008A0EBA"/>
    <w:rsid w:val="008A0EC0"/>
    <w:rsid w:val="008A0F4A"/>
    <w:rsid w:val="008A0F6F"/>
    <w:rsid w:val="008A10F9"/>
    <w:rsid w:val="008A1136"/>
    <w:rsid w:val="008A115D"/>
    <w:rsid w:val="008A1331"/>
    <w:rsid w:val="008A13B4"/>
    <w:rsid w:val="008A13C0"/>
    <w:rsid w:val="008A13CC"/>
    <w:rsid w:val="008A140B"/>
    <w:rsid w:val="008A1486"/>
    <w:rsid w:val="008A14B0"/>
    <w:rsid w:val="008A155D"/>
    <w:rsid w:val="008A1604"/>
    <w:rsid w:val="008A1614"/>
    <w:rsid w:val="008A168F"/>
    <w:rsid w:val="008A1727"/>
    <w:rsid w:val="008A17E7"/>
    <w:rsid w:val="008A1849"/>
    <w:rsid w:val="008A1A07"/>
    <w:rsid w:val="008A1A4C"/>
    <w:rsid w:val="008A1BED"/>
    <w:rsid w:val="008A1E84"/>
    <w:rsid w:val="008A1F80"/>
    <w:rsid w:val="008A230F"/>
    <w:rsid w:val="008A24AB"/>
    <w:rsid w:val="008A24EC"/>
    <w:rsid w:val="008A25FE"/>
    <w:rsid w:val="008A268D"/>
    <w:rsid w:val="008A288B"/>
    <w:rsid w:val="008A29A7"/>
    <w:rsid w:val="008A2A46"/>
    <w:rsid w:val="008A2ABA"/>
    <w:rsid w:val="008A2BAE"/>
    <w:rsid w:val="008A2CC3"/>
    <w:rsid w:val="008A2D96"/>
    <w:rsid w:val="008A2E16"/>
    <w:rsid w:val="008A2FC9"/>
    <w:rsid w:val="008A3170"/>
    <w:rsid w:val="008A31D0"/>
    <w:rsid w:val="008A31E2"/>
    <w:rsid w:val="008A33AA"/>
    <w:rsid w:val="008A33F8"/>
    <w:rsid w:val="008A340E"/>
    <w:rsid w:val="008A3442"/>
    <w:rsid w:val="008A34D7"/>
    <w:rsid w:val="008A3588"/>
    <w:rsid w:val="008A3594"/>
    <w:rsid w:val="008A3687"/>
    <w:rsid w:val="008A3796"/>
    <w:rsid w:val="008A3840"/>
    <w:rsid w:val="008A38EF"/>
    <w:rsid w:val="008A39C4"/>
    <w:rsid w:val="008A3A97"/>
    <w:rsid w:val="008A3C18"/>
    <w:rsid w:val="008A3C28"/>
    <w:rsid w:val="008A3C2C"/>
    <w:rsid w:val="008A3C71"/>
    <w:rsid w:val="008A3C80"/>
    <w:rsid w:val="008A3CF9"/>
    <w:rsid w:val="008A3D11"/>
    <w:rsid w:val="008A3F93"/>
    <w:rsid w:val="008A414F"/>
    <w:rsid w:val="008A43AD"/>
    <w:rsid w:val="008A44A1"/>
    <w:rsid w:val="008A44F7"/>
    <w:rsid w:val="008A4640"/>
    <w:rsid w:val="008A4792"/>
    <w:rsid w:val="008A47C6"/>
    <w:rsid w:val="008A4872"/>
    <w:rsid w:val="008A4A98"/>
    <w:rsid w:val="008A4AD3"/>
    <w:rsid w:val="008A4C9F"/>
    <w:rsid w:val="008A4DFD"/>
    <w:rsid w:val="008A4FA6"/>
    <w:rsid w:val="008A502B"/>
    <w:rsid w:val="008A50F2"/>
    <w:rsid w:val="008A512C"/>
    <w:rsid w:val="008A519B"/>
    <w:rsid w:val="008A51CF"/>
    <w:rsid w:val="008A5217"/>
    <w:rsid w:val="008A527B"/>
    <w:rsid w:val="008A52A4"/>
    <w:rsid w:val="008A52B9"/>
    <w:rsid w:val="008A5414"/>
    <w:rsid w:val="008A55A6"/>
    <w:rsid w:val="008A55C3"/>
    <w:rsid w:val="008A5667"/>
    <w:rsid w:val="008A5945"/>
    <w:rsid w:val="008A5A3B"/>
    <w:rsid w:val="008A5E12"/>
    <w:rsid w:val="008A5FBE"/>
    <w:rsid w:val="008A5FE6"/>
    <w:rsid w:val="008A6166"/>
    <w:rsid w:val="008A644D"/>
    <w:rsid w:val="008A64BB"/>
    <w:rsid w:val="008A64D7"/>
    <w:rsid w:val="008A66FD"/>
    <w:rsid w:val="008A68ED"/>
    <w:rsid w:val="008A6A55"/>
    <w:rsid w:val="008A6A64"/>
    <w:rsid w:val="008A6AEE"/>
    <w:rsid w:val="008A6B2C"/>
    <w:rsid w:val="008A6B6E"/>
    <w:rsid w:val="008A6BBE"/>
    <w:rsid w:val="008A6BF5"/>
    <w:rsid w:val="008A6C92"/>
    <w:rsid w:val="008A6D72"/>
    <w:rsid w:val="008A6DAC"/>
    <w:rsid w:val="008A6F6A"/>
    <w:rsid w:val="008A6F7A"/>
    <w:rsid w:val="008A70BC"/>
    <w:rsid w:val="008A720D"/>
    <w:rsid w:val="008A72F8"/>
    <w:rsid w:val="008A73A7"/>
    <w:rsid w:val="008A756E"/>
    <w:rsid w:val="008A75B1"/>
    <w:rsid w:val="008A7826"/>
    <w:rsid w:val="008A7987"/>
    <w:rsid w:val="008A79FE"/>
    <w:rsid w:val="008A7C52"/>
    <w:rsid w:val="008A7C75"/>
    <w:rsid w:val="008A7CC5"/>
    <w:rsid w:val="008A7D19"/>
    <w:rsid w:val="008B01F3"/>
    <w:rsid w:val="008B038D"/>
    <w:rsid w:val="008B03AC"/>
    <w:rsid w:val="008B03C2"/>
    <w:rsid w:val="008B03CA"/>
    <w:rsid w:val="008B03F7"/>
    <w:rsid w:val="008B0517"/>
    <w:rsid w:val="008B0601"/>
    <w:rsid w:val="008B0822"/>
    <w:rsid w:val="008B092A"/>
    <w:rsid w:val="008B09F9"/>
    <w:rsid w:val="008B0B1F"/>
    <w:rsid w:val="008B0B56"/>
    <w:rsid w:val="008B0C22"/>
    <w:rsid w:val="008B0D85"/>
    <w:rsid w:val="008B0E73"/>
    <w:rsid w:val="008B0EAA"/>
    <w:rsid w:val="008B0EB7"/>
    <w:rsid w:val="008B0ED0"/>
    <w:rsid w:val="008B0F99"/>
    <w:rsid w:val="008B106D"/>
    <w:rsid w:val="008B10DA"/>
    <w:rsid w:val="008B1179"/>
    <w:rsid w:val="008B119C"/>
    <w:rsid w:val="008B1342"/>
    <w:rsid w:val="008B1446"/>
    <w:rsid w:val="008B1559"/>
    <w:rsid w:val="008B15A3"/>
    <w:rsid w:val="008B162B"/>
    <w:rsid w:val="008B1643"/>
    <w:rsid w:val="008B17D1"/>
    <w:rsid w:val="008B1851"/>
    <w:rsid w:val="008B1899"/>
    <w:rsid w:val="008B18CC"/>
    <w:rsid w:val="008B19E7"/>
    <w:rsid w:val="008B19F5"/>
    <w:rsid w:val="008B1BDB"/>
    <w:rsid w:val="008B1C91"/>
    <w:rsid w:val="008B1CEC"/>
    <w:rsid w:val="008B1D3E"/>
    <w:rsid w:val="008B1D72"/>
    <w:rsid w:val="008B1FB8"/>
    <w:rsid w:val="008B2012"/>
    <w:rsid w:val="008B2072"/>
    <w:rsid w:val="008B20D9"/>
    <w:rsid w:val="008B2174"/>
    <w:rsid w:val="008B22E4"/>
    <w:rsid w:val="008B2415"/>
    <w:rsid w:val="008B2550"/>
    <w:rsid w:val="008B2823"/>
    <w:rsid w:val="008B28EE"/>
    <w:rsid w:val="008B2989"/>
    <w:rsid w:val="008B2994"/>
    <w:rsid w:val="008B29BA"/>
    <w:rsid w:val="008B2A57"/>
    <w:rsid w:val="008B2A93"/>
    <w:rsid w:val="008B2BB9"/>
    <w:rsid w:val="008B2C2F"/>
    <w:rsid w:val="008B2CFD"/>
    <w:rsid w:val="008B303F"/>
    <w:rsid w:val="008B3359"/>
    <w:rsid w:val="008B336B"/>
    <w:rsid w:val="008B33D9"/>
    <w:rsid w:val="008B34A0"/>
    <w:rsid w:val="008B34EC"/>
    <w:rsid w:val="008B34F9"/>
    <w:rsid w:val="008B3519"/>
    <w:rsid w:val="008B358B"/>
    <w:rsid w:val="008B3639"/>
    <w:rsid w:val="008B3684"/>
    <w:rsid w:val="008B379C"/>
    <w:rsid w:val="008B37CE"/>
    <w:rsid w:val="008B386D"/>
    <w:rsid w:val="008B3896"/>
    <w:rsid w:val="008B3B3F"/>
    <w:rsid w:val="008B3D01"/>
    <w:rsid w:val="008B3E27"/>
    <w:rsid w:val="008B3E36"/>
    <w:rsid w:val="008B3F64"/>
    <w:rsid w:val="008B3FF2"/>
    <w:rsid w:val="008B4197"/>
    <w:rsid w:val="008B42F6"/>
    <w:rsid w:val="008B4399"/>
    <w:rsid w:val="008B4404"/>
    <w:rsid w:val="008B450F"/>
    <w:rsid w:val="008B4532"/>
    <w:rsid w:val="008B455B"/>
    <w:rsid w:val="008B4581"/>
    <w:rsid w:val="008B4633"/>
    <w:rsid w:val="008B47A6"/>
    <w:rsid w:val="008B4874"/>
    <w:rsid w:val="008B4909"/>
    <w:rsid w:val="008B4970"/>
    <w:rsid w:val="008B4AA6"/>
    <w:rsid w:val="008B4ABC"/>
    <w:rsid w:val="008B4D0D"/>
    <w:rsid w:val="008B4D84"/>
    <w:rsid w:val="008B4E4D"/>
    <w:rsid w:val="008B4EA9"/>
    <w:rsid w:val="008B5040"/>
    <w:rsid w:val="008B5079"/>
    <w:rsid w:val="008B50B9"/>
    <w:rsid w:val="008B50EB"/>
    <w:rsid w:val="008B533E"/>
    <w:rsid w:val="008B5343"/>
    <w:rsid w:val="008B5410"/>
    <w:rsid w:val="008B546E"/>
    <w:rsid w:val="008B5567"/>
    <w:rsid w:val="008B5654"/>
    <w:rsid w:val="008B5A1A"/>
    <w:rsid w:val="008B5A48"/>
    <w:rsid w:val="008B5AEA"/>
    <w:rsid w:val="008B5BD7"/>
    <w:rsid w:val="008B5C1A"/>
    <w:rsid w:val="008B5D4F"/>
    <w:rsid w:val="008B5FD7"/>
    <w:rsid w:val="008B60DD"/>
    <w:rsid w:val="008B6206"/>
    <w:rsid w:val="008B620B"/>
    <w:rsid w:val="008B6248"/>
    <w:rsid w:val="008B6275"/>
    <w:rsid w:val="008B62FC"/>
    <w:rsid w:val="008B65AB"/>
    <w:rsid w:val="008B6618"/>
    <w:rsid w:val="008B6761"/>
    <w:rsid w:val="008B678C"/>
    <w:rsid w:val="008B687B"/>
    <w:rsid w:val="008B6958"/>
    <w:rsid w:val="008B69F8"/>
    <w:rsid w:val="008B6B59"/>
    <w:rsid w:val="008B6B5D"/>
    <w:rsid w:val="008B6BA7"/>
    <w:rsid w:val="008B6BBE"/>
    <w:rsid w:val="008B6CB8"/>
    <w:rsid w:val="008B6DAC"/>
    <w:rsid w:val="008B6DC8"/>
    <w:rsid w:val="008B6F5D"/>
    <w:rsid w:val="008B6F64"/>
    <w:rsid w:val="008B70AE"/>
    <w:rsid w:val="008B720B"/>
    <w:rsid w:val="008B721E"/>
    <w:rsid w:val="008B7279"/>
    <w:rsid w:val="008B7336"/>
    <w:rsid w:val="008B7487"/>
    <w:rsid w:val="008B770D"/>
    <w:rsid w:val="008B770F"/>
    <w:rsid w:val="008B781B"/>
    <w:rsid w:val="008B79A8"/>
    <w:rsid w:val="008B7A08"/>
    <w:rsid w:val="008B7A86"/>
    <w:rsid w:val="008B7E37"/>
    <w:rsid w:val="008B7ECE"/>
    <w:rsid w:val="008C00D0"/>
    <w:rsid w:val="008C00E9"/>
    <w:rsid w:val="008C01D9"/>
    <w:rsid w:val="008C01E8"/>
    <w:rsid w:val="008C0229"/>
    <w:rsid w:val="008C0242"/>
    <w:rsid w:val="008C02D4"/>
    <w:rsid w:val="008C0359"/>
    <w:rsid w:val="008C04AF"/>
    <w:rsid w:val="008C05A0"/>
    <w:rsid w:val="008C06CE"/>
    <w:rsid w:val="008C0820"/>
    <w:rsid w:val="008C0856"/>
    <w:rsid w:val="008C08B5"/>
    <w:rsid w:val="008C08DC"/>
    <w:rsid w:val="008C09B1"/>
    <w:rsid w:val="008C0A9F"/>
    <w:rsid w:val="008C0C78"/>
    <w:rsid w:val="008C0D98"/>
    <w:rsid w:val="008C0E6E"/>
    <w:rsid w:val="008C0F27"/>
    <w:rsid w:val="008C0F9B"/>
    <w:rsid w:val="008C107E"/>
    <w:rsid w:val="008C1309"/>
    <w:rsid w:val="008C131A"/>
    <w:rsid w:val="008C13FB"/>
    <w:rsid w:val="008C159E"/>
    <w:rsid w:val="008C15EF"/>
    <w:rsid w:val="008C1626"/>
    <w:rsid w:val="008C16EC"/>
    <w:rsid w:val="008C1866"/>
    <w:rsid w:val="008C188F"/>
    <w:rsid w:val="008C18AA"/>
    <w:rsid w:val="008C1A97"/>
    <w:rsid w:val="008C1C8F"/>
    <w:rsid w:val="008C1CAD"/>
    <w:rsid w:val="008C1D6A"/>
    <w:rsid w:val="008C1DD0"/>
    <w:rsid w:val="008C1E60"/>
    <w:rsid w:val="008C1FB8"/>
    <w:rsid w:val="008C2182"/>
    <w:rsid w:val="008C21AA"/>
    <w:rsid w:val="008C2285"/>
    <w:rsid w:val="008C242E"/>
    <w:rsid w:val="008C25BC"/>
    <w:rsid w:val="008C25D0"/>
    <w:rsid w:val="008C25FD"/>
    <w:rsid w:val="008C26AE"/>
    <w:rsid w:val="008C26CD"/>
    <w:rsid w:val="008C28EA"/>
    <w:rsid w:val="008C29CA"/>
    <w:rsid w:val="008C2A43"/>
    <w:rsid w:val="008C2A5A"/>
    <w:rsid w:val="008C2A7B"/>
    <w:rsid w:val="008C2B46"/>
    <w:rsid w:val="008C2C04"/>
    <w:rsid w:val="008C2C58"/>
    <w:rsid w:val="008C2C8A"/>
    <w:rsid w:val="008C2C9C"/>
    <w:rsid w:val="008C2F3B"/>
    <w:rsid w:val="008C325D"/>
    <w:rsid w:val="008C33EA"/>
    <w:rsid w:val="008C33F8"/>
    <w:rsid w:val="008C33FB"/>
    <w:rsid w:val="008C3513"/>
    <w:rsid w:val="008C35D3"/>
    <w:rsid w:val="008C3629"/>
    <w:rsid w:val="008C3744"/>
    <w:rsid w:val="008C37CD"/>
    <w:rsid w:val="008C382D"/>
    <w:rsid w:val="008C3B2E"/>
    <w:rsid w:val="008C3D35"/>
    <w:rsid w:val="008C3E79"/>
    <w:rsid w:val="008C3ED2"/>
    <w:rsid w:val="008C3ED5"/>
    <w:rsid w:val="008C410B"/>
    <w:rsid w:val="008C43F0"/>
    <w:rsid w:val="008C4457"/>
    <w:rsid w:val="008C4623"/>
    <w:rsid w:val="008C47AB"/>
    <w:rsid w:val="008C4881"/>
    <w:rsid w:val="008C4941"/>
    <w:rsid w:val="008C494A"/>
    <w:rsid w:val="008C497C"/>
    <w:rsid w:val="008C4ADA"/>
    <w:rsid w:val="008C4BCA"/>
    <w:rsid w:val="008C4CE2"/>
    <w:rsid w:val="008C4E84"/>
    <w:rsid w:val="008C4F0D"/>
    <w:rsid w:val="008C4FB0"/>
    <w:rsid w:val="008C5003"/>
    <w:rsid w:val="008C5335"/>
    <w:rsid w:val="008C5349"/>
    <w:rsid w:val="008C547A"/>
    <w:rsid w:val="008C54C9"/>
    <w:rsid w:val="008C55AD"/>
    <w:rsid w:val="008C55F8"/>
    <w:rsid w:val="008C569A"/>
    <w:rsid w:val="008C59AD"/>
    <w:rsid w:val="008C5A10"/>
    <w:rsid w:val="008C5A4B"/>
    <w:rsid w:val="008C5A50"/>
    <w:rsid w:val="008C5FDE"/>
    <w:rsid w:val="008C65AC"/>
    <w:rsid w:val="008C6696"/>
    <w:rsid w:val="008C66DE"/>
    <w:rsid w:val="008C6836"/>
    <w:rsid w:val="008C68B5"/>
    <w:rsid w:val="008C69E9"/>
    <w:rsid w:val="008C6A91"/>
    <w:rsid w:val="008C6B30"/>
    <w:rsid w:val="008C6BEA"/>
    <w:rsid w:val="008C6DA5"/>
    <w:rsid w:val="008C6E5A"/>
    <w:rsid w:val="008C70F7"/>
    <w:rsid w:val="008C71FD"/>
    <w:rsid w:val="008C7441"/>
    <w:rsid w:val="008C7448"/>
    <w:rsid w:val="008C7570"/>
    <w:rsid w:val="008C77E6"/>
    <w:rsid w:val="008C7890"/>
    <w:rsid w:val="008C7915"/>
    <w:rsid w:val="008C796D"/>
    <w:rsid w:val="008C7AAB"/>
    <w:rsid w:val="008C7B9C"/>
    <w:rsid w:val="008C7BBF"/>
    <w:rsid w:val="008C7C03"/>
    <w:rsid w:val="008C7D25"/>
    <w:rsid w:val="008C7ED3"/>
    <w:rsid w:val="008C7F25"/>
    <w:rsid w:val="008C7FCB"/>
    <w:rsid w:val="008D000E"/>
    <w:rsid w:val="008D00BC"/>
    <w:rsid w:val="008D012F"/>
    <w:rsid w:val="008D01B5"/>
    <w:rsid w:val="008D0311"/>
    <w:rsid w:val="008D0366"/>
    <w:rsid w:val="008D04AE"/>
    <w:rsid w:val="008D07E1"/>
    <w:rsid w:val="008D07F0"/>
    <w:rsid w:val="008D0868"/>
    <w:rsid w:val="008D09E1"/>
    <w:rsid w:val="008D0B6E"/>
    <w:rsid w:val="008D0BF3"/>
    <w:rsid w:val="008D0CA2"/>
    <w:rsid w:val="008D0CB4"/>
    <w:rsid w:val="008D0D07"/>
    <w:rsid w:val="008D0D49"/>
    <w:rsid w:val="008D0D5C"/>
    <w:rsid w:val="008D0D74"/>
    <w:rsid w:val="008D0DBA"/>
    <w:rsid w:val="008D0DFD"/>
    <w:rsid w:val="008D0E3D"/>
    <w:rsid w:val="008D0F1C"/>
    <w:rsid w:val="008D0F94"/>
    <w:rsid w:val="008D0FDF"/>
    <w:rsid w:val="008D107C"/>
    <w:rsid w:val="008D10E8"/>
    <w:rsid w:val="008D11EA"/>
    <w:rsid w:val="008D1222"/>
    <w:rsid w:val="008D1407"/>
    <w:rsid w:val="008D14F5"/>
    <w:rsid w:val="008D1521"/>
    <w:rsid w:val="008D1525"/>
    <w:rsid w:val="008D1571"/>
    <w:rsid w:val="008D17A5"/>
    <w:rsid w:val="008D17F9"/>
    <w:rsid w:val="008D18C5"/>
    <w:rsid w:val="008D1B41"/>
    <w:rsid w:val="008D1B50"/>
    <w:rsid w:val="008D2061"/>
    <w:rsid w:val="008D2207"/>
    <w:rsid w:val="008D2262"/>
    <w:rsid w:val="008D22AB"/>
    <w:rsid w:val="008D2702"/>
    <w:rsid w:val="008D273F"/>
    <w:rsid w:val="008D29EC"/>
    <w:rsid w:val="008D2A5E"/>
    <w:rsid w:val="008D2AD2"/>
    <w:rsid w:val="008D2B29"/>
    <w:rsid w:val="008D2BB6"/>
    <w:rsid w:val="008D2D1F"/>
    <w:rsid w:val="008D2D3C"/>
    <w:rsid w:val="008D2D3D"/>
    <w:rsid w:val="008D2DD0"/>
    <w:rsid w:val="008D2DD1"/>
    <w:rsid w:val="008D2E64"/>
    <w:rsid w:val="008D2EDC"/>
    <w:rsid w:val="008D2F6B"/>
    <w:rsid w:val="008D2F97"/>
    <w:rsid w:val="008D2FF7"/>
    <w:rsid w:val="008D3119"/>
    <w:rsid w:val="008D3339"/>
    <w:rsid w:val="008D353D"/>
    <w:rsid w:val="008D3544"/>
    <w:rsid w:val="008D3623"/>
    <w:rsid w:val="008D3633"/>
    <w:rsid w:val="008D369A"/>
    <w:rsid w:val="008D3846"/>
    <w:rsid w:val="008D3881"/>
    <w:rsid w:val="008D3A0C"/>
    <w:rsid w:val="008D3A0F"/>
    <w:rsid w:val="008D3C21"/>
    <w:rsid w:val="008D3CAD"/>
    <w:rsid w:val="008D3CC9"/>
    <w:rsid w:val="008D3DB3"/>
    <w:rsid w:val="008D3DF9"/>
    <w:rsid w:val="008D3E0C"/>
    <w:rsid w:val="008D3E16"/>
    <w:rsid w:val="008D3E9C"/>
    <w:rsid w:val="008D3F10"/>
    <w:rsid w:val="008D403A"/>
    <w:rsid w:val="008D40E9"/>
    <w:rsid w:val="008D40FD"/>
    <w:rsid w:val="008D43DB"/>
    <w:rsid w:val="008D4694"/>
    <w:rsid w:val="008D4A54"/>
    <w:rsid w:val="008D4D0C"/>
    <w:rsid w:val="008D4D25"/>
    <w:rsid w:val="008D4D2B"/>
    <w:rsid w:val="008D4EAE"/>
    <w:rsid w:val="008D4EFB"/>
    <w:rsid w:val="008D4FB4"/>
    <w:rsid w:val="008D512B"/>
    <w:rsid w:val="008D5140"/>
    <w:rsid w:val="008D53B7"/>
    <w:rsid w:val="008D53CE"/>
    <w:rsid w:val="008D568C"/>
    <w:rsid w:val="008D5774"/>
    <w:rsid w:val="008D58AF"/>
    <w:rsid w:val="008D59CD"/>
    <w:rsid w:val="008D5AFF"/>
    <w:rsid w:val="008D5B7B"/>
    <w:rsid w:val="008D5DD4"/>
    <w:rsid w:val="008D5E83"/>
    <w:rsid w:val="008D5EC2"/>
    <w:rsid w:val="008D5F44"/>
    <w:rsid w:val="008D5FF8"/>
    <w:rsid w:val="008D60ED"/>
    <w:rsid w:val="008D60F7"/>
    <w:rsid w:val="008D6124"/>
    <w:rsid w:val="008D6132"/>
    <w:rsid w:val="008D6177"/>
    <w:rsid w:val="008D632B"/>
    <w:rsid w:val="008D6371"/>
    <w:rsid w:val="008D640D"/>
    <w:rsid w:val="008D6540"/>
    <w:rsid w:val="008D65EE"/>
    <w:rsid w:val="008D667C"/>
    <w:rsid w:val="008D6724"/>
    <w:rsid w:val="008D6861"/>
    <w:rsid w:val="008D6872"/>
    <w:rsid w:val="008D68AA"/>
    <w:rsid w:val="008D69D2"/>
    <w:rsid w:val="008D6C1D"/>
    <w:rsid w:val="008D6CD1"/>
    <w:rsid w:val="008D6D33"/>
    <w:rsid w:val="008D6E01"/>
    <w:rsid w:val="008D6E61"/>
    <w:rsid w:val="008D6E70"/>
    <w:rsid w:val="008D6ED4"/>
    <w:rsid w:val="008D6F44"/>
    <w:rsid w:val="008D7107"/>
    <w:rsid w:val="008D7184"/>
    <w:rsid w:val="008D738A"/>
    <w:rsid w:val="008D74F2"/>
    <w:rsid w:val="008D798D"/>
    <w:rsid w:val="008D79EF"/>
    <w:rsid w:val="008D7A0F"/>
    <w:rsid w:val="008D7A3B"/>
    <w:rsid w:val="008D7A44"/>
    <w:rsid w:val="008D7B94"/>
    <w:rsid w:val="008D7BF5"/>
    <w:rsid w:val="008D7C4B"/>
    <w:rsid w:val="008D7C6A"/>
    <w:rsid w:val="008D7D0E"/>
    <w:rsid w:val="008D7DB9"/>
    <w:rsid w:val="008D7EF5"/>
    <w:rsid w:val="008D7F1D"/>
    <w:rsid w:val="008D7F79"/>
    <w:rsid w:val="008E006C"/>
    <w:rsid w:val="008E03A5"/>
    <w:rsid w:val="008E0491"/>
    <w:rsid w:val="008E04BF"/>
    <w:rsid w:val="008E0587"/>
    <w:rsid w:val="008E05AA"/>
    <w:rsid w:val="008E09A9"/>
    <w:rsid w:val="008E0BD5"/>
    <w:rsid w:val="008E0C55"/>
    <w:rsid w:val="008E0CDF"/>
    <w:rsid w:val="008E0EBC"/>
    <w:rsid w:val="008E0F85"/>
    <w:rsid w:val="008E11F7"/>
    <w:rsid w:val="008E1211"/>
    <w:rsid w:val="008E1299"/>
    <w:rsid w:val="008E13B1"/>
    <w:rsid w:val="008E1493"/>
    <w:rsid w:val="008E14D2"/>
    <w:rsid w:val="008E1591"/>
    <w:rsid w:val="008E16B4"/>
    <w:rsid w:val="008E18DD"/>
    <w:rsid w:val="008E19CD"/>
    <w:rsid w:val="008E1A24"/>
    <w:rsid w:val="008E1A30"/>
    <w:rsid w:val="008E1D9F"/>
    <w:rsid w:val="008E1E0C"/>
    <w:rsid w:val="008E1E97"/>
    <w:rsid w:val="008E1FDA"/>
    <w:rsid w:val="008E20DE"/>
    <w:rsid w:val="008E21F7"/>
    <w:rsid w:val="008E2359"/>
    <w:rsid w:val="008E2399"/>
    <w:rsid w:val="008E2419"/>
    <w:rsid w:val="008E249B"/>
    <w:rsid w:val="008E24AE"/>
    <w:rsid w:val="008E257C"/>
    <w:rsid w:val="008E2647"/>
    <w:rsid w:val="008E2966"/>
    <w:rsid w:val="008E2A10"/>
    <w:rsid w:val="008E2A4A"/>
    <w:rsid w:val="008E2AA5"/>
    <w:rsid w:val="008E2BC1"/>
    <w:rsid w:val="008E2BE5"/>
    <w:rsid w:val="008E2D0D"/>
    <w:rsid w:val="008E2D32"/>
    <w:rsid w:val="008E2DA0"/>
    <w:rsid w:val="008E2DD0"/>
    <w:rsid w:val="008E2DD6"/>
    <w:rsid w:val="008E2E0C"/>
    <w:rsid w:val="008E2FAD"/>
    <w:rsid w:val="008E30E3"/>
    <w:rsid w:val="008E3195"/>
    <w:rsid w:val="008E31C5"/>
    <w:rsid w:val="008E32FE"/>
    <w:rsid w:val="008E3377"/>
    <w:rsid w:val="008E3580"/>
    <w:rsid w:val="008E374B"/>
    <w:rsid w:val="008E3806"/>
    <w:rsid w:val="008E3C05"/>
    <w:rsid w:val="008E3C4D"/>
    <w:rsid w:val="008E3C54"/>
    <w:rsid w:val="008E3D8C"/>
    <w:rsid w:val="008E3E00"/>
    <w:rsid w:val="008E3E82"/>
    <w:rsid w:val="008E401E"/>
    <w:rsid w:val="008E40C4"/>
    <w:rsid w:val="008E413D"/>
    <w:rsid w:val="008E4211"/>
    <w:rsid w:val="008E43D0"/>
    <w:rsid w:val="008E483A"/>
    <w:rsid w:val="008E48FF"/>
    <w:rsid w:val="008E492D"/>
    <w:rsid w:val="008E49E2"/>
    <w:rsid w:val="008E4A57"/>
    <w:rsid w:val="008E4C0F"/>
    <w:rsid w:val="008E4C6D"/>
    <w:rsid w:val="008E4D0D"/>
    <w:rsid w:val="008E4D57"/>
    <w:rsid w:val="008E4DC5"/>
    <w:rsid w:val="008E4E3E"/>
    <w:rsid w:val="008E4F45"/>
    <w:rsid w:val="008E5198"/>
    <w:rsid w:val="008E5431"/>
    <w:rsid w:val="008E56CF"/>
    <w:rsid w:val="008E57EA"/>
    <w:rsid w:val="008E5820"/>
    <w:rsid w:val="008E59E8"/>
    <w:rsid w:val="008E59F3"/>
    <w:rsid w:val="008E5A1D"/>
    <w:rsid w:val="008E5B5B"/>
    <w:rsid w:val="008E5B8F"/>
    <w:rsid w:val="008E5EFB"/>
    <w:rsid w:val="008E5FBE"/>
    <w:rsid w:val="008E5FCB"/>
    <w:rsid w:val="008E5FE3"/>
    <w:rsid w:val="008E60DA"/>
    <w:rsid w:val="008E61DA"/>
    <w:rsid w:val="008E634D"/>
    <w:rsid w:val="008E6389"/>
    <w:rsid w:val="008E64C4"/>
    <w:rsid w:val="008E6653"/>
    <w:rsid w:val="008E66AC"/>
    <w:rsid w:val="008E66BE"/>
    <w:rsid w:val="008E66C0"/>
    <w:rsid w:val="008E673F"/>
    <w:rsid w:val="008E6758"/>
    <w:rsid w:val="008E67C0"/>
    <w:rsid w:val="008E67D2"/>
    <w:rsid w:val="008E680A"/>
    <w:rsid w:val="008E6814"/>
    <w:rsid w:val="008E69FC"/>
    <w:rsid w:val="008E6A22"/>
    <w:rsid w:val="008E6B3F"/>
    <w:rsid w:val="008E6C0A"/>
    <w:rsid w:val="008E6C8E"/>
    <w:rsid w:val="008E6CA9"/>
    <w:rsid w:val="008E6CD0"/>
    <w:rsid w:val="008E6D84"/>
    <w:rsid w:val="008E6D9E"/>
    <w:rsid w:val="008E6F00"/>
    <w:rsid w:val="008E6F09"/>
    <w:rsid w:val="008E6F0C"/>
    <w:rsid w:val="008E710D"/>
    <w:rsid w:val="008E7265"/>
    <w:rsid w:val="008E7275"/>
    <w:rsid w:val="008E7435"/>
    <w:rsid w:val="008E75ED"/>
    <w:rsid w:val="008E76B9"/>
    <w:rsid w:val="008E76BD"/>
    <w:rsid w:val="008E78A5"/>
    <w:rsid w:val="008E7B6F"/>
    <w:rsid w:val="008E7B7A"/>
    <w:rsid w:val="008E7FA2"/>
    <w:rsid w:val="008F01A0"/>
    <w:rsid w:val="008F01D7"/>
    <w:rsid w:val="008F065C"/>
    <w:rsid w:val="008F07EA"/>
    <w:rsid w:val="008F07EB"/>
    <w:rsid w:val="008F0863"/>
    <w:rsid w:val="008F0872"/>
    <w:rsid w:val="008F088B"/>
    <w:rsid w:val="008F0969"/>
    <w:rsid w:val="008F09F0"/>
    <w:rsid w:val="008F0A1E"/>
    <w:rsid w:val="008F0A69"/>
    <w:rsid w:val="008F0B51"/>
    <w:rsid w:val="008F0B9E"/>
    <w:rsid w:val="008F0C7B"/>
    <w:rsid w:val="008F0D7B"/>
    <w:rsid w:val="008F0DAD"/>
    <w:rsid w:val="008F1141"/>
    <w:rsid w:val="008F13A2"/>
    <w:rsid w:val="008F14B1"/>
    <w:rsid w:val="008F1583"/>
    <w:rsid w:val="008F160D"/>
    <w:rsid w:val="008F16FA"/>
    <w:rsid w:val="008F194E"/>
    <w:rsid w:val="008F1964"/>
    <w:rsid w:val="008F19E7"/>
    <w:rsid w:val="008F1A0E"/>
    <w:rsid w:val="008F1AF2"/>
    <w:rsid w:val="008F1B8D"/>
    <w:rsid w:val="008F1BFC"/>
    <w:rsid w:val="008F1C28"/>
    <w:rsid w:val="008F2080"/>
    <w:rsid w:val="008F21DB"/>
    <w:rsid w:val="008F227F"/>
    <w:rsid w:val="008F2305"/>
    <w:rsid w:val="008F230A"/>
    <w:rsid w:val="008F23C9"/>
    <w:rsid w:val="008F256B"/>
    <w:rsid w:val="008F26C4"/>
    <w:rsid w:val="008F2732"/>
    <w:rsid w:val="008F27B9"/>
    <w:rsid w:val="008F2882"/>
    <w:rsid w:val="008F2948"/>
    <w:rsid w:val="008F29E3"/>
    <w:rsid w:val="008F2ABF"/>
    <w:rsid w:val="008F2B97"/>
    <w:rsid w:val="008F2D40"/>
    <w:rsid w:val="008F2DE2"/>
    <w:rsid w:val="008F2ED8"/>
    <w:rsid w:val="008F3181"/>
    <w:rsid w:val="008F31EA"/>
    <w:rsid w:val="008F3299"/>
    <w:rsid w:val="008F32EE"/>
    <w:rsid w:val="008F32FE"/>
    <w:rsid w:val="008F33F0"/>
    <w:rsid w:val="008F3495"/>
    <w:rsid w:val="008F34CC"/>
    <w:rsid w:val="008F36B8"/>
    <w:rsid w:val="008F3932"/>
    <w:rsid w:val="008F3B7D"/>
    <w:rsid w:val="008F3BE4"/>
    <w:rsid w:val="008F3C42"/>
    <w:rsid w:val="008F3DBF"/>
    <w:rsid w:val="008F3EE4"/>
    <w:rsid w:val="008F3F2B"/>
    <w:rsid w:val="008F3F70"/>
    <w:rsid w:val="008F3FB6"/>
    <w:rsid w:val="008F3FE5"/>
    <w:rsid w:val="008F428D"/>
    <w:rsid w:val="008F42BC"/>
    <w:rsid w:val="008F433F"/>
    <w:rsid w:val="008F438A"/>
    <w:rsid w:val="008F440D"/>
    <w:rsid w:val="008F4435"/>
    <w:rsid w:val="008F44DB"/>
    <w:rsid w:val="008F45A1"/>
    <w:rsid w:val="008F45CF"/>
    <w:rsid w:val="008F48AA"/>
    <w:rsid w:val="008F48D8"/>
    <w:rsid w:val="008F4906"/>
    <w:rsid w:val="008F49B5"/>
    <w:rsid w:val="008F4A10"/>
    <w:rsid w:val="008F4A63"/>
    <w:rsid w:val="008F4AE9"/>
    <w:rsid w:val="008F4C2F"/>
    <w:rsid w:val="008F4DD9"/>
    <w:rsid w:val="008F4E1E"/>
    <w:rsid w:val="008F4F37"/>
    <w:rsid w:val="008F4FDF"/>
    <w:rsid w:val="008F5256"/>
    <w:rsid w:val="008F535C"/>
    <w:rsid w:val="008F5405"/>
    <w:rsid w:val="008F55F5"/>
    <w:rsid w:val="008F5629"/>
    <w:rsid w:val="008F59D3"/>
    <w:rsid w:val="008F5A4F"/>
    <w:rsid w:val="008F5ACE"/>
    <w:rsid w:val="008F5B18"/>
    <w:rsid w:val="008F5BD4"/>
    <w:rsid w:val="008F5CBE"/>
    <w:rsid w:val="008F5DA9"/>
    <w:rsid w:val="008F5DC5"/>
    <w:rsid w:val="008F5DEA"/>
    <w:rsid w:val="008F5FE2"/>
    <w:rsid w:val="008F614E"/>
    <w:rsid w:val="008F640E"/>
    <w:rsid w:val="008F6477"/>
    <w:rsid w:val="008F6760"/>
    <w:rsid w:val="008F69BC"/>
    <w:rsid w:val="008F69D3"/>
    <w:rsid w:val="008F6ACA"/>
    <w:rsid w:val="008F6BE2"/>
    <w:rsid w:val="008F6CA0"/>
    <w:rsid w:val="008F7042"/>
    <w:rsid w:val="008F7142"/>
    <w:rsid w:val="008F747E"/>
    <w:rsid w:val="008F74D8"/>
    <w:rsid w:val="008F7580"/>
    <w:rsid w:val="008F7591"/>
    <w:rsid w:val="008F75EB"/>
    <w:rsid w:val="008F75FC"/>
    <w:rsid w:val="008F7797"/>
    <w:rsid w:val="008F77A1"/>
    <w:rsid w:val="008F7815"/>
    <w:rsid w:val="008F7862"/>
    <w:rsid w:val="008F786C"/>
    <w:rsid w:val="008F7914"/>
    <w:rsid w:val="008F79C6"/>
    <w:rsid w:val="008F7A65"/>
    <w:rsid w:val="008F7C7B"/>
    <w:rsid w:val="008F7D5B"/>
    <w:rsid w:val="008F7DA7"/>
    <w:rsid w:val="008F7FDC"/>
    <w:rsid w:val="00900063"/>
    <w:rsid w:val="0090019F"/>
    <w:rsid w:val="009001BD"/>
    <w:rsid w:val="0090031A"/>
    <w:rsid w:val="009003B8"/>
    <w:rsid w:val="009004D8"/>
    <w:rsid w:val="00900517"/>
    <w:rsid w:val="009006B2"/>
    <w:rsid w:val="0090076F"/>
    <w:rsid w:val="00900777"/>
    <w:rsid w:val="009007AF"/>
    <w:rsid w:val="009007E3"/>
    <w:rsid w:val="00900920"/>
    <w:rsid w:val="00900C4C"/>
    <w:rsid w:val="00900DB6"/>
    <w:rsid w:val="00900DE2"/>
    <w:rsid w:val="00900ECB"/>
    <w:rsid w:val="00900FAB"/>
    <w:rsid w:val="00901030"/>
    <w:rsid w:val="0090143F"/>
    <w:rsid w:val="009014A5"/>
    <w:rsid w:val="00901590"/>
    <w:rsid w:val="00901611"/>
    <w:rsid w:val="009016CC"/>
    <w:rsid w:val="009016F0"/>
    <w:rsid w:val="009016F7"/>
    <w:rsid w:val="00901A0E"/>
    <w:rsid w:val="00901ACF"/>
    <w:rsid w:val="00901C4B"/>
    <w:rsid w:val="00901C81"/>
    <w:rsid w:val="00901E54"/>
    <w:rsid w:val="00901ED0"/>
    <w:rsid w:val="00901F51"/>
    <w:rsid w:val="00901FB9"/>
    <w:rsid w:val="00902004"/>
    <w:rsid w:val="009020A5"/>
    <w:rsid w:val="00902242"/>
    <w:rsid w:val="0090229C"/>
    <w:rsid w:val="00902410"/>
    <w:rsid w:val="00902422"/>
    <w:rsid w:val="00902682"/>
    <w:rsid w:val="00902686"/>
    <w:rsid w:val="009026F0"/>
    <w:rsid w:val="00902731"/>
    <w:rsid w:val="00902927"/>
    <w:rsid w:val="0090295E"/>
    <w:rsid w:val="00902BD4"/>
    <w:rsid w:val="00902BE0"/>
    <w:rsid w:val="00902CB1"/>
    <w:rsid w:val="00902E81"/>
    <w:rsid w:val="00902F98"/>
    <w:rsid w:val="009030B8"/>
    <w:rsid w:val="00903115"/>
    <w:rsid w:val="0090344F"/>
    <w:rsid w:val="009036B4"/>
    <w:rsid w:val="00903757"/>
    <w:rsid w:val="009037B5"/>
    <w:rsid w:val="009037D1"/>
    <w:rsid w:val="009038B9"/>
    <w:rsid w:val="0090390D"/>
    <w:rsid w:val="009039AB"/>
    <w:rsid w:val="00903FC3"/>
    <w:rsid w:val="00903FDD"/>
    <w:rsid w:val="0090405A"/>
    <w:rsid w:val="009040D1"/>
    <w:rsid w:val="009040E9"/>
    <w:rsid w:val="009041BC"/>
    <w:rsid w:val="0090429F"/>
    <w:rsid w:val="009042CE"/>
    <w:rsid w:val="00904304"/>
    <w:rsid w:val="00904369"/>
    <w:rsid w:val="009043AC"/>
    <w:rsid w:val="009043DC"/>
    <w:rsid w:val="0090444E"/>
    <w:rsid w:val="0090446D"/>
    <w:rsid w:val="009044AF"/>
    <w:rsid w:val="009044ED"/>
    <w:rsid w:val="009046EC"/>
    <w:rsid w:val="0090481A"/>
    <w:rsid w:val="00904C0E"/>
    <w:rsid w:val="00904CC1"/>
    <w:rsid w:val="00904D88"/>
    <w:rsid w:val="00904E0F"/>
    <w:rsid w:val="00904EDD"/>
    <w:rsid w:val="009050DC"/>
    <w:rsid w:val="00905199"/>
    <w:rsid w:val="0090521B"/>
    <w:rsid w:val="009052B1"/>
    <w:rsid w:val="009053D6"/>
    <w:rsid w:val="00905408"/>
    <w:rsid w:val="00905679"/>
    <w:rsid w:val="0090581A"/>
    <w:rsid w:val="00905925"/>
    <w:rsid w:val="0090598A"/>
    <w:rsid w:val="00905B7D"/>
    <w:rsid w:val="00905B83"/>
    <w:rsid w:val="00905BD1"/>
    <w:rsid w:val="00905D73"/>
    <w:rsid w:val="00905E9C"/>
    <w:rsid w:val="00906027"/>
    <w:rsid w:val="00906050"/>
    <w:rsid w:val="00906054"/>
    <w:rsid w:val="0090622D"/>
    <w:rsid w:val="00906308"/>
    <w:rsid w:val="00906358"/>
    <w:rsid w:val="0090638A"/>
    <w:rsid w:val="009064FA"/>
    <w:rsid w:val="0090653B"/>
    <w:rsid w:val="00906643"/>
    <w:rsid w:val="0090670B"/>
    <w:rsid w:val="009067FD"/>
    <w:rsid w:val="00906866"/>
    <w:rsid w:val="009068A2"/>
    <w:rsid w:val="0090690D"/>
    <w:rsid w:val="009069AE"/>
    <w:rsid w:val="00906A0B"/>
    <w:rsid w:val="00906CA6"/>
    <w:rsid w:val="00906E6A"/>
    <w:rsid w:val="00906F68"/>
    <w:rsid w:val="00906FD8"/>
    <w:rsid w:val="00907029"/>
    <w:rsid w:val="0090706B"/>
    <w:rsid w:val="00907117"/>
    <w:rsid w:val="00907355"/>
    <w:rsid w:val="009075F8"/>
    <w:rsid w:val="009075FF"/>
    <w:rsid w:val="009077E7"/>
    <w:rsid w:val="00907841"/>
    <w:rsid w:val="0090789C"/>
    <w:rsid w:val="009078B1"/>
    <w:rsid w:val="009078C3"/>
    <w:rsid w:val="00907B4F"/>
    <w:rsid w:val="00907BB4"/>
    <w:rsid w:val="00907C39"/>
    <w:rsid w:val="00907D96"/>
    <w:rsid w:val="00907DFD"/>
    <w:rsid w:val="00907E5F"/>
    <w:rsid w:val="00907ECF"/>
    <w:rsid w:val="00907EE4"/>
    <w:rsid w:val="0091002F"/>
    <w:rsid w:val="009100CD"/>
    <w:rsid w:val="00910147"/>
    <w:rsid w:val="0091023B"/>
    <w:rsid w:val="00910490"/>
    <w:rsid w:val="00910539"/>
    <w:rsid w:val="00910757"/>
    <w:rsid w:val="009109A0"/>
    <w:rsid w:val="009109B8"/>
    <w:rsid w:val="00910A0B"/>
    <w:rsid w:val="00910B17"/>
    <w:rsid w:val="00910B3B"/>
    <w:rsid w:val="00910B43"/>
    <w:rsid w:val="00910DFC"/>
    <w:rsid w:val="0091107A"/>
    <w:rsid w:val="00911289"/>
    <w:rsid w:val="009112A5"/>
    <w:rsid w:val="009112BD"/>
    <w:rsid w:val="00911330"/>
    <w:rsid w:val="00911439"/>
    <w:rsid w:val="009114B6"/>
    <w:rsid w:val="0091150F"/>
    <w:rsid w:val="009118AC"/>
    <w:rsid w:val="00911A71"/>
    <w:rsid w:val="00911B3F"/>
    <w:rsid w:val="00911C0B"/>
    <w:rsid w:val="00911D7D"/>
    <w:rsid w:val="00911E97"/>
    <w:rsid w:val="00911ED9"/>
    <w:rsid w:val="00911EDD"/>
    <w:rsid w:val="00911F00"/>
    <w:rsid w:val="009120F1"/>
    <w:rsid w:val="0091213A"/>
    <w:rsid w:val="0091216C"/>
    <w:rsid w:val="00912218"/>
    <w:rsid w:val="00912272"/>
    <w:rsid w:val="009122A5"/>
    <w:rsid w:val="009123A8"/>
    <w:rsid w:val="00912481"/>
    <w:rsid w:val="009126BF"/>
    <w:rsid w:val="00912783"/>
    <w:rsid w:val="0091284B"/>
    <w:rsid w:val="009128DE"/>
    <w:rsid w:val="00912934"/>
    <w:rsid w:val="00912ACE"/>
    <w:rsid w:val="00912BDF"/>
    <w:rsid w:val="00912E1A"/>
    <w:rsid w:val="00912E3D"/>
    <w:rsid w:val="00912F20"/>
    <w:rsid w:val="00912F82"/>
    <w:rsid w:val="00913657"/>
    <w:rsid w:val="0091371B"/>
    <w:rsid w:val="0091387B"/>
    <w:rsid w:val="00913892"/>
    <w:rsid w:val="009138AB"/>
    <w:rsid w:val="00913960"/>
    <w:rsid w:val="009139A3"/>
    <w:rsid w:val="00913A4E"/>
    <w:rsid w:val="00913C35"/>
    <w:rsid w:val="00913F57"/>
    <w:rsid w:val="00913F90"/>
    <w:rsid w:val="00913FDC"/>
    <w:rsid w:val="00914024"/>
    <w:rsid w:val="0091417F"/>
    <w:rsid w:val="00914205"/>
    <w:rsid w:val="009142DF"/>
    <w:rsid w:val="0091430E"/>
    <w:rsid w:val="0091441B"/>
    <w:rsid w:val="00914467"/>
    <w:rsid w:val="00914579"/>
    <w:rsid w:val="009146C0"/>
    <w:rsid w:val="009147E2"/>
    <w:rsid w:val="009148A5"/>
    <w:rsid w:val="00914A2B"/>
    <w:rsid w:val="00914ADD"/>
    <w:rsid w:val="00914AED"/>
    <w:rsid w:val="00914D15"/>
    <w:rsid w:val="00914D91"/>
    <w:rsid w:val="00914D9C"/>
    <w:rsid w:val="00914DDA"/>
    <w:rsid w:val="00914FCC"/>
    <w:rsid w:val="00915159"/>
    <w:rsid w:val="0091519D"/>
    <w:rsid w:val="00915380"/>
    <w:rsid w:val="0091548E"/>
    <w:rsid w:val="009154AB"/>
    <w:rsid w:val="009154C5"/>
    <w:rsid w:val="00915774"/>
    <w:rsid w:val="009157C0"/>
    <w:rsid w:val="009158EE"/>
    <w:rsid w:val="0091596D"/>
    <w:rsid w:val="0091597E"/>
    <w:rsid w:val="00915B52"/>
    <w:rsid w:val="00915C38"/>
    <w:rsid w:val="00915E77"/>
    <w:rsid w:val="00915F0A"/>
    <w:rsid w:val="0091609E"/>
    <w:rsid w:val="009160B4"/>
    <w:rsid w:val="0091611D"/>
    <w:rsid w:val="009162D2"/>
    <w:rsid w:val="009163EC"/>
    <w:rsid w:val="009165E0"/>
    <w:rsid w:val="00916634"/>
    <w:rsid w:val="00916725"/>
    <w:rsid w:val="00916774"/>
    <w:rsid w:val="00916932"/>
    <w:rsid w:val="009169AE"/>
    <w:rsid w:val="00916DBE"/>
    <w:rsid w:val="00916E59"/>
    <w:rsid w:val="00916E6B"/>
    <w:rsid w:val="00916EBD"/>
    <w:rsid w:val="00916F05"/>
    <w:rsid w:val="0091717E"/>
    <w:rsid w:val="00917219"/>
    <w:rsid w:val="00917220"/>
    <w:rsid w:val="0091723F"/>
    <w:rsid w:val="009172E9"/>
    <w:rsid w:val="00917310"/>
    <w:rsid w:val="0091736F"/>
    <w:rsid w:val="0091756B"/>
    <w:rsid w:val="00917609"/>
    <w:rsid w:val="00917677"/>
    <w:rsid w:val="00917678"/>
    <w:rsid w:val="0091783D"/>
    <w:rsid w:val="00917847"/>
    <w:rsid w:val="00917A36"/>
    <w:rsid w:val="00917A91"/>
    <w:rsid w:val="00917A93"/>
    <w:rsid w:val="00917B3F"/>
    <w:rsid w:val="00917BBF"/>
    <w:rsid w:val="00917C62"/>
    <w:rsid w:val="00917D7D"/>
    <w:rsid w:val="00917E70"/>
    <w:rsid w:val="00917EFF"/>
    <w:rsid w:val="009200D0"/>
    <w:rsid w:val="009200D2"/>
    <w:rsid w:val="00920107"/>
    <w:rsid w:val="0092014E"/>
    <w:rsid w:val="009201E5"/>
    <w:rsid w:val="0092047D"/>
    <w:rsid w:val="009206A0"/>
    <w:rsid w:val="00920B09"/>
    <w:rsid w:val="00920C25"/>
    <w:rsid w:val="00920CEC"/>
    <w:rsid w:val="00920D17"/>
    <w:rsid w:val="00921055"/>
    <w:rsid w:val="0092117E"/>
    <w:rsid w:val="009211C1"/>
    <w:rsid w:val="009212E2"/>
    <w:rsid w:val="00921451"/>
    <w:rsid w:val="00921463"/>
    <w:rsid w:val="00921557"/>
    <w:rsid w:val="009215A4"/>
    <w:rsid w:val="009216C5"/>
    <w:rsid w:val="009217CB"/>
    <w:rsid w:val="00921845"/>
    <w:rsid w:val="00921855"/>
    <w:rsid w:val="00921972"/>
    <w:rsid w:val="00921B68"/>
    <w:rsid w:val="00921E2C"/>
    <w:rsid w:val="00921E3C"/>
    <w:rsid w:val="00921F0C"/>
    <w:rsid w:val="00921F1C"/>
    <w:rsid w:val="00921FCF"/>
    <w:rsid w:val="00922011"/>
    <w:rsid w:val="009220A2"/>
    <w:rsid w:val="0092210D"/>
    <w:rsid w:val="009221A8"/>
    <w:rsid w:val="0092237B"/>
    <w:rsid w:val="00922437"/>
    <w:rsid w:val="0092244C"/>
    <w:rsid w:val="00922586"/>
    <w:rsid w:val="009225EE"/>
    <w:rsid w:val="009226DA"/>
    <w:rsid w:val="0092283C"/>
    <w:rsid w:val="009228E3"/>
    <w:rsid w:val="00922ACF"/>
    <w:rsid w:val="00922BC9"/>
    <w:rsid w:val="00922CAF"/>
    <w:rsid w:val="00922D44"/>
    <w:rsid w:val="00922DCE"/>
    <w:rsid w:val="00922DEF"/>
    <w:rsid w:val="00922DFA"/>
    <w:rsid w:val="00922DFB"/>
    <w:rsid w:val="00922E58"/>
    <w:rsid w:val="00922F1E"/>
    <w:rsid w:val="00922F79"/>
    <w:rsid w:val="00922FA2"/>
    <w:rsid w:val="00922FAB"/>
    <w:rsid w:val="0092316A"/>
    <w:rsid w:val="009231C1"/>
    <w:rsid w:val="009233B0"/>
    <w:rsid w:val="009234EA"/>
    <w:rsid w:val="00923778"/>
    <w:rsid w:val="0092388D"/>
    <w:rsid w:val="00923A79"/>
    <w:rsid w:val="00923AF8"/>
    <w:rsid w:val="00923DD3"/>
    <w:rsid w:val="00923E2D"/>
    <w:rsid w:val="00923FDA"/>
    <w:rsid w:val="00924218"/>
    <w:rsid w:val="009244BB"/>
    <w:rsid w:val="0092455E"/>
    <w:rsid w:val="00924675"/>
    <w:rsid w:val="0092479D"/>
    <w:rsid w:val="009247D2"/>
    <w:rsid w:val="0092485D"/>
    <w:rsid w:val="009249C2"/>
    <w:rsid w:val="00924A20"/>
    <w:rsid w:val="00924A50"/>
    <w:rsid w:val="00924A76"/>
    <w:rsid w:val="00924BAE"/>
    <w:rsid w:val="00924C39"/>
    <w:rsid w:val="00924DE8"/>
    <w:rsid w:val="00924F6D"/>
    <w:rsid w:val="00925107"/>
    <w:rsid w:val="009251D4"/>
    <w:rsid w:val="0092524D"/>
    <w:rsid w:val="009252A6"/>
    <w:rsid w:val="009257A0"/>
    <w:rsid w:val="00925A5A"/>
    <w:rsid w:val="0092601E"/>
    <w:rsid w:val="0092614D"/>
    <w:rsid w:val="0092625E"/>
    <w:rsid w:val="00926485"/>
    <w:rsid w:val="0092651C"/>
    <w:rsid w:val="0092654B"/>
    <w:rsid w:val="009266E1"/>
    <w:rsid w:val="0092670D"/>
    <w:rsid w:val="0092674A"/>
    <w:rsid w:val="009267BA"/>
    <w:rsid w:val="009268FB"/>
    <w:rsid w:val="00926927"/>
    <w:rsid w:val="0092693B"/>
    <w:rsid w:val="00926958"/>
    <w:rsid w:val="009269B6"/>
    <w:rsid w:val="009269D5"/>
    <w:rsid w:val="009269E8"/>
    <w:rsid w:val="009269F4"/>
    <w:rsid w:val="00926B1D"/>
    <w:rsid w:val="00926B40"/>
    <w:rsid w:val="00926B4E"/>
    <w:rsid w:val="00926BC8"/>
    <w:rsid w:val="00926CD1"/>
    <w:rsid w:val="00926D1C"/>
    <w:rsid w:val="00926EA4"/>
    <w:rsid w:val="00926F46"/>
    <w:rsid w:val="00926F49"/>
    <w:rsid w:val="00926FC5"/>
    <w:rsid w:val="00927175"/>
    <w:rsid w:val="0092718F"/>
    <w:rsid w:val="009271BA"/>
    <w:rsid w:val="0092722D"/>
    <w:rsid w:val="00927397"/>
    <w:rsid w:val="009273C4"/>
    <w:rsid w:val="0092741B"/>
    <w:rsid w:val="0092744D"/>
    <w:rsid w:val="009274A0"/>
    <w:rsid w:val="009274EF"/>
    <w:rsid w:val="00927544"/>
    <w:rsid w:val="00927864"/>
    <w:rsid w:val="00927A73"/>
    <w:rsid w:val="00927B41"/>
    <w:rsid w:val="00927C71"/>
    <w:rsid w:val="00927E2F"/>
    <w:rsid w:val="00927F36"/>
    <w:rsid w:val="009300FD"/>
    <w:rsid w:val="00930122"/>
    <w:rsid w:val="0093013B"/>
    <w:rsid w:val="0093015E"/>
    <w:rsid w:val="0093027C"/>
    <w:rsid w:val="0093033C"/>
    <w:rsid w:val="0093035E"/>
    <w:rsid w:val="00930905"/>
    <w:rsid w:val="00930999"/>
    <w:rsid w:val="009309D1"/>
    <w:rsid w:val="00930A03"/>
    <w:rsid w:val="00930A0A"/>
    <w:rsid w:val="00930B04"/>
    <w:rsid w:val="00930BDF"/>
    <w:rsid w:val="00930C10"/>
    <w:rsid w:val="00930D9E"/>
    <w:rsid w:val="00930DD2"/>
    <w:rsid w:val="00930DE3"/>
    <w:rsid w:val="00930E15"/>
    <w:rsid w:val="00930E41"/>
    <w:rsid w:val="00930F8F"/>
    <w:rsid w:val="00931079"/>
    <w:rsid w:val="0093116F"/>
    <w:rsid w:val="0093139D"/>
    <w:rsid w:val="00931448"/>
    <w:rsid w:val="009314C5"/>
    <w:rsid w:val="009316A3"/>
    <w:rsid w:val="009317D3"/>
    <w:rsid w:val="00931A06"/>
    <w:rsid w:val="00931A60"/>
    <w:rsid w:val="00931B27"/>
    <w:rsid w:val="00931BA0"/>
    <w:rsid w:val="00931BF6"/>
    <w:rsid w:val="00931C85"/>
    <w:rsid w:val="00931CA2"/>
    <w:rsid w:val="00931D1D"/>
    <w:rsid w:val="00932092"/>
    <w:rsid w:val="009320AA"/>
    <w:rsid w:val="00932132"/>
    <w:rsid w:val="0093213C"/>
    <w:rsid w:val="009322F1"/>
    <w:rsid w:val="0093264E"/>
    <w:rsid w:val="009326DF"/>
    <w:rsid w:val="009327B4"/>
    <w:rsid w:val="00932816"/>
    <w:rsid w:val="00932961"/>
    <w:rsid w:val="009329FE"/>
    <w:rsid w:val="00932AEC"/>
    <w:rsid w:val="00932B41"/>
    <w:rsid w:val="00932DDC"/>
    <w:rsid w:val="00932ED6"/>
    <w:rsid w:val="00932FDA"/>
    <w:rsid w:val="00933068"/>
    <w:rsid w:val="00933478"/>
    <w:rsid w:val="00933531"/>
    <w:rsid w:val="0093371A"/>
    <w:rsid w:val="00933780"/>
    <w:rsid w:val="009338DE"/>
    <w:rsid w:val="009339FB"/>
    <w:rsid w:val="00933A73"/>
    <w:rsid w:val="00933B96"/>
    <w:rsid w:val="00933C36"/>
    <w:rsid w:val="00933CDB"/>
    <w:rsid w:val="00933D0C"/>
    <w:rsid w:val="00933D94"/>
    <w:rsid w:val="00933EC8"/>
    <w:rsid w:val="00933F3A"/>
    <w:rsid w:val="00933F55"/>
    <w:rsid w:val="00933F74"/>
    <w:rsid w:val="00934012"/>
    <w:rsid w:val="0093407B"/>
    <w:rsid w:val="009341CA"/>
    <w:rsid w:val="0093428B"/>
    <w:rsid w:val="009342F8"/>
    <w:rsid w:val="009345BA"/>
    <w:rsid w:val="0093480C"/>
    <w:rsid w:val="009349B9"/>
    <w:rsid w:val="00934B57"/>
    <w:rsid w:val="00934B90"/>
    <w:rsid w:val="00934BA1"/>
    <w:rsid w:val="00934BF3"/>
    <w:rsid w:val="00934BFB"/>
    <w:rsid w:val="00934C66"/>
    <w:rsid w:val="00934C89"/>
    <w:rsid w:val="00934CF4"/>
    <w:rsid w:val="00934D39"/>
    <w:rsid w:val="00934F8D"/>
    <w:rsid w:val="00934FA7"/>
    <w:rsid w:val="0093501D"/>
    <w:rsid w:val="009350C4"/>
    <w:rsid w:val="0093520B"/>
    <w:rsid w:val="00935272"/>
    <w:rsid w:val="009352CF"/>
    <w:rsid w:val="009353B6"/>
    <w:rsid w:val="00935469"/>
    <w:rsid w:val="00935700"/>
    <w:rsid w:val="009357E7"/>
    <w:rsid w:val="00935810"/>
    <w:rsid w:val="0093593B"/>
    <w:rsid w:val="0093593E"/>
    <w:rsid w:val="00935ABC"/>
    <w:rsid w:val="00935B48"/>
    <w:rsid w:val="00935BA2"/>
    <w:rsid w:val="00935BBF"/>
    <w:rsid w:val="00935E56"/>
    <w:rsid w:val="00935EA9"/>
    <w:rsid w:val="00935EC6"/>
    <w:rsid w:val="00935F16"/>
    <w:rsid w:val="00935F7C"/>
    <w:rsid w:val="00936025"/>
    <w:rsid w:val="0093606E"/>
    <w:rsid w:val="0093645C"/>
    <w:rsid w:val="0093656E"/>
    <w:rsid w:val="0093661B"/>
    <w:rsid w:val="00936671"/>
    <w:rsid w:val="009366F2"/>
    <w:rsid w:val="00936701"/>
    <w:rsid w:val="009368A2"/>
    <w:rsid w:val="009369E3"/>
    <w:rsid w:val="00936A0D"/>
    <w:rsid w:val="00936AAD"/>
    <w:rsid w:val="00936AF8"/>
    <w:rsid w:val="00936B41"/>
    <w:rsid w:val="00936BA6"/>
    <w:rsid w:val="00936BAD"/>
    <w:rsid w:val="00936C02"/>
    <w:rsid w:val="00936C8E"/>
    <w:rsid w:val="00936D98"/>
    <w:rsid w:val="00936DB4"/>
    <w:rsid w:val="00936E36"/>
    <w:rsid w:val="00936F1D"/>
    <w:rsid w:val="00936F47"/>
    <w:rsid w:val="00937529"/>
    <w:rsid w:val="00937542"/>
    <w:rsid w:val="00937569"/>
    <w:rsid w:val="009376F6"/>
    <w:rsid w:val="00937760"/>
    <w:rsid w:val="0093793F"/>
    <w:rsid w:val="0093794C"/>
    <w:rsid w:val="00937A34"/>
    <w:rsid w:val="00937A9C"/>
    <w:rsid w:val="00937B77"/>
    <w:rsid w:val="00937BF2"/>
    <w:rsid w:val="00937C1D"/>
    <w:rsid w:val="00937CA3"/>
    <w:rsid w:val="00937E79"/>
    <w:rsid w:val="00937E84"/>
    <w:rsid w:val="00937F38"/>
    <w:rsid w:val="00940069"/>
    <w:rsid w:val="00940072"/>
    <w:rsid w:val="00940184"/>
    <w:rsid w:val="00940199"/>
    <w:rsid w:val="009401A2"/>
    <w:rsid w:val="009402B2"/>
    <w:rsid w:val="0094033F"/>
    <w:rsid w:val="00940539"/>
    <w:rsid w:val="0094053C"/>
    <w:rsid w:val="00940948"/>
    <w:rsid w:val="009409F2"/>
    <w:rsid w:val="00940ADD"/>
    <w:rsid w:val="00940C01"/>
    <w:rsid w:val="00940CC4"/>
    <w:rsid w:val="00940CE1"/>
    <w:rsid w:val="0094110E"/>
    <w:rsid w:val="0094115F"/>
    <w:rsid w:val="009411F2"/>
    <w:rsid w:val="009412E7"/>
    <w:rsid w:val="00941305"/>
    <w:rsid w:val="00941370"/>
    <w:rsid w:val="00941403"/>
    <w:rsid w:val="0094165A"/>
    <w:rsid w:val="0094172C"/>
    <w:rsid w:val="0094199B"/>
    <w:rsid w:val="0094199E"/>
    <w:rsid w:val="00941AAD"/>
    <w:rsid w:val="00941BAB"/>
    <w:rsid w:val="00941C11"/>
    <w:rsid w:val="00941CFE"/>
    <w:rsid w:val="00941F0B"/>
    <w:rsid w:val="00941F93"/>
    <w:rsid w:val="00941FCC"/>
    <w:rsid w:val="00942022"/>
    <w:rsid w:val="00942095"/>
    <w:rsid w:val="009421DF"/>
    <w:rsid w:val="00942262"/>
    <w:rsid w:val="00942296"/>
    <w:rsid w:val="0094238B"/>
    <w:rsid w:val="00942666"/>
    <w:rsid w:val="009429A8"/>
    <w:rsid w:val="00942BB4"/>
    <w:rsid w:val="00942D13"/>
    <w:rsid w:val="00942EDA"/>
    <w:rsid w:val="00942F46"/>
    <w:rsid w:val="00942F53"/>
    <w:rsid w:val="00943001"/>
    <w:rsid w:val="009433A9"/>
    <w:rsid w:val="009433E7"/>
    <w:rsid w:val="009434FC"/>
    <w:rsid w:val="0094361D"/>
    <w:rsid w:val="0094365C"/>
    <w:rsid w:val="009436AB"/>
    <w:rsid w:val="0094372B"/>
    <w:rsid w:val="0094387B"/>
    <w:rsid w:val="0094399A"/>
    <w:rsid w:val="009439D4"/>
    <w:rsid w:val="00943B40"/>
    <w:rsid w:val="00943B7F"/>
    <w:rsid w:val="00943CB6"/>
    <w:rsid w:val="00943D13"/>
    <w:rsid w:val="00943D15"/>
    <w:rsid w:val="00943D61"/>
    <w:rsid w:val="00943D8A"/>
    <w:rsid w:val="00943EAD"/>
    <w:rsid w:val="00943F62"/>
    <w:rsid w:val="00943FD4"/>
    <w:rsid w:val="00943FF5"/>
    <w:rsid w:val="009441BD"/>
    <w:rsid w:val="00944272"/>
    <w:rsid w:val="009444D8"/>
    <w:rsid w:val="0094456F"/>
    <w:rsid w:val="00944599"/>
    <w:rsid w:val="009445A5"/>
    <w:rsid w:val="009449C2"/>
    <w:rsid w:val="00944A29"/>
    <w:rsid w:val="00944AD9"/>
    <w:rsid w:val="00944B8A"/>
    <w:rsid w:val="00944C14"/>
    <w:rsid w:val="00944CA3"/>
    <w:rsid w:val="00944CCE"/>
    <w:rsid w:val="00944D17"/>
    <w:rsid w:val="00944DF9"/>
    <w:rsid w:val="00944FBC"/>
    <w:rsid w:val="0094502A"/>
    <w:rsid w:val="00945056"/>
    <w:rsid w:val="009450AE"/>
    <w:rsid w:val="009450F8"/>
    <w:rsid w:val="0094528E"/>
    <w:rsid w:val="00945379"/>
    <w:rsid w:val="00945398"/>
    <w:rsid w:val="00945427"/>
    <w:rsid w:val="0094548D"/>
    <w:rsid w:val="009456F9"/>
    <w:rsid w:val="0094571C"/>
    <w:rsid w:val="009457FF"/>
    <w:rsid w:val="00945969"/>
    <w:rsid w:val="00945A0A"/>
    <w:rsid w:val="00945A36"/>
    <w:rsid w:val="00945B2F"/>
    <w:rsid w:val="00945C6F"/>
    <w:rsid w:val="00945E79"/>
    <w:rsid w:val="0094605D"/>
    <w:rsid w:val="009460E8"/>
    <w:rsid w:val="009460EA"/>
    <w:rsid w:val="0094618B"/>
    <w:rsid w:val="009461EA"/>
    <w:rsid w:val="0094621D"/>
    <w:rsid w:val="00946259"/>
    <w:rsid w:val="009462F8"/>
    <w:rsid w:val="00946617"/>
    <w:rsid w:val="00946725"/>
    <w:rsid w:val="0094687D"/>
    <w:rsid w:val="0094698F"/>
    <w:rsid w:val="00946A41"/>
    <w:rsid w:val="00946ABA"/>
    <w:rsid w:val="00946ACE"/>
    <w:rsid w:val="00946B71"/>
    <w:rsid w:val="00946E3F"/>
    <w:rsid w:val="00946EF8"/>
    <w:rsid w:val="00946F10"/>
    <w:rsid w:val="00947294"/>
    <w:rsid w:val="0094730B"/>
    <w:rsid w:val="009473FC"/>
    <w:rsid w:val="009474A8"/>
    <w:rsid w:val="009474AA"/>
    <w:rsid w:val="00947501"/>
    <w:rsid w:val="00947565"/>
    <w:rsid w:val="009477AA"/>
    <w:rsid w:val="0094781B"/>
    <w:rsid w:val="009478FF"/>
    <w:rsid w:val="00947ADE"/>
    <w:rsid w:val="00947AE6"/>
    <w:rsid w:val="00947B40"/>
    <w:rsid w:val="00947BC7"/>
    <w:rsid w:val="00947CE8"/>
    <w:rsid w:val="00947D29"/>
    <w:rsid w:val="00947E08"/>
    <w:rsid w:val="0095025B"/>
    <w:rsid w:val="00950308"/>
    <w:rsid w:val="009503BC"/>
    <w:rsid w:val="009503D9"/>
    <w:rsid w:val="00950917"/>
    <w:rsid w:val="0095092E"/>
    <w:rsid w:val="00950A1E"/>
    <w:rsid w:val="00950A79"/>
    <w:rsid w:val="00950B57"/>
    <w:rsid w:val="00950C4C"/>
    <w:rsid w:val="00950CE4"/>
    <w:rsid w:val="00950D44"/>
    <w:rsid w:val="00950E13"/>
    <w:rsid w:val="00950E3A"/>
    <w:rsid w:val="00950F9F"/>
    <w:rsid w:val="0095120C"/>
    <w:rsid w:val="0095120E"/>
    <w:rsid w:val="00951248"/>
    <w:rsid w:val="00951277"/>
    <w:rsid w:val="00951359"/>
    <w:rsid w:val="00951478"/>
    <w:rsid w:val="009514E6"/>
    <w:rsid w:val="0095154B"/>
    <w:rsid w:val="00951565"/>
    <w:rsid w:val="00951687"/>
    <w:rsid w:val="0095184C"/>
    <w:rsid w:val="00951C83"/>
    <w:rsid w:val="00951D48"/>
    <w:rsid w:val="00951DCE"/>
    <w:rsid w:val="00951EED"/>
    <w:rsid w:val="009520F3"/>
    <w:rsid w:val="00952166"/>
    <w:rsid w:val="00952261"/>
    <w:rsid w:val="0095236A"/>
    <w:rsid w:val="00952383"/>
    <w:rsid w:val="0095242D"/>
    <w:rsid w:val="00952454"/>
    <w:rsid w:val="0095253F"/>
    <w:rsid w:val="00952617"/>
    <w:rsid w:val="0095264D"/>
    <w:rsid w:val="009526C6"/>
    <w:rsid w:val="009526C8"/>
    <w:rsid w:val="00952A3F"/>
    <w:rsid w:val="00952B6E"/>
    <w:rsid w:val="00952B75"/>
    <w:rsid w:val="00952C0A"/>
    <w:rsid w:val="00952DC2"/>
    <w:rsid w:val="00952DDD"/>
    <w:rsid w:val="00952EB8"/>
    <w:rsid w:val="00953010"/>
    <w:rsid w:val="0095318E"/>
    <w:rsid w:val="00953211"/>
    <w:rsid w:val="00953240"/>
    <w:rsid w:val="00953347"/>
    <w:rsid w:val="009533A4"/>
    <w:rsid w:val="009534D0"/>
    <w:rsid w:val="009534E2"/>
    <w:rsid w:val="009535DF"/>
    <w:rsid w:val="00953675"/>
    <w:rsid w:val="009536A9"/>
    <w:rsid w:val="0095371B"/>
    <w:rsid w:val="00953ABC"/>
    <w:rsid w:val="00953AC8"/>
    <w:rsid w:val="00953B27"/>
    <w:rsid w:val="00953C55"/>
    <w:rsid w:val="00953C68"/>
    <w:rsid w:val="00953E94"/>
    <w:rsid w:val="00953F28"/>
    <w:rsid w:val="00953FDF"/>
    <w:rsid w:val="00954032"/>
    <w:rsid w:val="00954074"/>
    <w:rsid w:val="0095418F"/>
    <w:rsid w:val="009541F4"/>
    <w:rsid w:val="00954225"/>
    <w:rsid w:val="0095426B"/>
    <w:rsid w:val="009542B5"/>
    <w:rsid w:val="0095438C"/>
    <w:rsid w:val="009543CA"/>
    <w:rsid w:val="0095459F"/>
    <w:rsid w:val="009545D3"/>
    <w:rsid w:val="00954765"/>
    <w:rsid w:val="00954852"/>
    <w:rsid w:val="0095489A"/>
    <w:rsid w:val="00954A92"/>
    <w:rsid w:val="00954B1D"/>
    <w:rsid w:val="00954BC1"/>
    <w:rsid w:val="00954BDF"/>
    <w:rsid w:val="00954BF3"/>
    <w:rsid w:val="00954C2C"/>
    <w:rsid w:val="00954E00"/>
    <w:rsid w:val="00954E94"/>
    <w:rsid w:val="00954ED5"/>
    <w:rsid w:val="009550A3"/>
    <w:rsid w:val="00955100"/>
    <w:rsid w:val="009551F4"/>
    <w:rsid w:val="00955226"/>
    <w:rsid w:val="00955243"/>
    <w:rsid w:val="0095524A"/>
    <w:rsid w:val="0095529D"/>
    <w:rsid w:val="00955321"/>
    <w:rsid w:val="009553F7"/>
    <w:rsid w:val="009554E8"/>
    <w:rsid w:val="00955515"/>
    <w:rsid w:val="00955609"/>
    <w:rsid w:val="0095565D"/>
    <w:rsid w:val="0095566E"/>
    <w:rsid w:val="00955842"/>
    <w:rsid w:val="00955927"/>
    <w:rsid w:val="00955AEE"/>
    <w:rsid w:val="00955BAA"/>
    <w:rsid w:val="00955C20"/>
    <w:rsid w:val="00955D57"/>
    <w:rsid w:val="00955E37"/>
    <w:rsid w:val="00955E5F"/>
    <w:rsid w:val="00955FAD"/>
    <w:rsid w:val="00956107"/>
    <w:rsid w:val="00956141"/>
    <w:rsid w:val="0095617C"/>
    <w:rsid w:val="009562A7"/>
    <w:rsid w:val="009562E4"/>
    <w:rsid w:val="00956307"/>
    <w:rsid w:val="00956370"/>
    <w:rsid w:val="009563E2"/>
    <w:rsid w:val="0095656F"/>
    <w:rsid w:val="009566E9"/>
    <w:rsid w:val="0095677D"/>
    <w:rsid w:val="0095694F"/>
    <w:rsid w:val="00956A23"/>
    <w:rsid w:val="00956BF6"/>
    <w:rsid w:val="00956C2C"/>
    <w:rsid w:val="00956DD7"/>
    <w:rsid w:val="00956DF9"/>
    <w:rsid w:val="00956E46"/>
    <w:rsid w:val="00956F3B"/>
    <w:rsid w:val="00956F61"/>
    <w:rsid w:val="009573B3"/>
    <w:rsid w:val="009573F9"/>
    <w:rsid w:val="00957597"/>
    <w:rsid w:val="0095763E"/>
    <w:rsid w:val="00957671"/>
    <w:rsid w:val="009576CD"/>
    <w:rsid w:val="0095776C"/>
    <w:rsid w:val="00957AC5"/>
    <w:rsid w:val="00957BAB"/>
    <w:rsid w:val="00957BED"/>
    <w:rsid w:val="00957DE4"/>
    <w:rsid w:val="00957F3F"/>
    <w:rsid w:val="0096012C"/>
    <w:rsid w:val="009601F4"/>
    <w:rsid w:val="00960434"/>
    <w:rsid w:val="0096051D"/>
    <w:rsid w:val="009605C4"/>
    <w:rsid w:val="00960607"/>
    <w:rsid w:val="00960822"/>
    <w:rsid w:val="009608CE"/>
    <w:rsid w:val="00960974"/>
    <w:rsid w:val="00960C83"/>
    <w:rsid w:val="00960CC4"/>
    <w:rsid w:val="00960D3F"/>
    <w:rsid w:val="00960DA8"/>
    <w:rsid w:val="00960DCF"/>
    <w:rsid w:val="00961143"/>
    <w:rsid w:val="0096134C"/>
    <w:rsid w:val="00961493"/>
    <w:rsid w:val="009614DC"/>
    <w:rsid w:val="0096162E"/>
    <w:rsid w:val="0096178B"/>
    <w:rsid w:val="009617A6"/>
    <w:rsid w:val="00961A25"/>
    <w:rsid w:val="00961B8D"/>
    <w:rsid w:val="00961C05"/>
    <w:rsid w:val="00961CB0"/>
    <w:rsid w:val="00961D2E"/>
    <w:rsid w:val="00961D41"/>
    <w:rsid w:val="00961D68"/>
    <w:rsid w:val="00961DBF"/>
    <w:rsid w:val="00961EA5"/>
    <w:rsid w:val="00961EC4"/>
    <w:rsid w:val="0096233F"/>
    <w:rsid w:val="00962351"/>
    <w:rsid w:val="00962509"/>
    <w:rsid w:val="00962537"/>
    <w:rsid w:val="009625DD"/>
    <w:rsid w:val="00962865"/>
    <w:rsid w:val="00962922"/>
    <w:rsid w:val="009629BD"/>
    <w:rsid w:val="009629D0"/>
    <w:rsid w:val="00962B2E"/>
    <w:rsid w:val="00962BAE"/>
    <w:rsid w:val="00962E80"/>
    <w:rsid w:val="00962EB5"/>
    <w:rsid w:val="00962EFF"/>
    <w:rsid w:val="00963037"/>
    <w:rsid w:val="00963076"/>
    <w:rsid w:val="00963081"/>
    <w:rsid w:val="00963304"/>
    <w:rsid w:val="00963391"/>
    <w:rsid w:val="0096353B"/>
    <w:rsid w:val="009636F4"/>
    <w:rsid w:val="00963971"/>
    <w:rsid w:val="00963B6B"/>
    <w:rsid w:val="00963BC5"/>
    <w:rsid w:val="00963BD5"/>
    <w:rsid w:val="00963C18"/>
    <w:rsid w:val="00963EB9"/>
    <w:rsid w:val="00963F83"/>
    <w:rsid w:val="00964143"/>
    <w:rsid w:val="00964177"/>
    <w:rsid w:val="009641A2"/>
    <w:rsid w:val="0096427A"/>
    <w:rsid w:val="0096428C"/>
    <w:rsid w:val="009643A3"/>
    <w:rsid w:val="0096443B"/>
    <w:rsid w:val="009644C6"/>
    <w:rsid w:val="009644FF"/>
    <w:rsid w:val="0096462D"/>
    <w:rsid w:val="0096469B"/>
    <w:rsid w:val="00964884"/>
    <w:rsid w:val="00964957"/>
    <w:rsid w:val="009649AA"/>
    <w:rsid w:val="00964B2B"/>
    <w:rsid w:val="00964C4C"/>
    <w:rsid w:val="00964F1C"/>
    <w:rsid w:val="009652E2"/>
    <w:rsid w:val="00965337"/>
    <w:rsid w:val="009653C2"/>
    <w:rsid w:val="00965440"/>
    <w:rsid w:val="00965528"/>
    <w:rsid w:val="009656E7"/>
    <w:rsid w:val="0096585A"/>
    <w:rsid w:val="00965896"/>
    <w:rsid w:val="0096589C"/>
    <w:rsid w:val="00965919"/>
    <w:rsid w:val="009659A8"/>
    <w:rsid w:val="00965A9A"/>
    <w:rsid w:val="00965AAC"/>
    <w:rsid w:val="00965E9B"/>
    <w:rsid w:val="00965F34"/>
    <w:rsid w:val="0096603D"/>
    <w:rsid w:val="0096612B"/>
    <w:rsid w:val="00966294"/>
    <w:rsid w:val="00966348"/>
    <w:rsid w:val="00966403"/>
    <w:rsid w:val="009665EF"/>
    <w:rsid w:val="00966613"/>
    <w:rsid w:val="0096687C"/>
    <w:rsid w:val="0096695F"/>
    <w:rsid w:val="00966AB9"/>
    <w:rsid w:val="00966AE5"/>
    <w:rsid w:val="00966B1B"/>
    <w:rsid w:val="00966DB4"/>
    <w:rsid w:val="00966E00"/>
    <w:rsid w:val="00966E0B"/>
    <w:rsid w:val="00966F0F"/>
    <w:rsid w:val="00967173"/>
    <w:rsid w:val="00967181"/>
    <w:rsid w:val="009672B8"/>
    <w:rsid w:val="009673BE"/>
    <w:rsid w:val="00967402"/>
    <w:rsid w:val="0096746E"/>
    <w:rsid w:val="009674A4"/>
    <w:rsid w:val="009676A6"/>
    <w:rsid w:val="009676C3"/>
    <w:rsid w:val="00967719"/>
    <w:rsid w:val="009678E4"/>
    <w:rsid w:val="00967968"/>
    <w:rsid w:val="0096797C"/>
    <w:rsid w:val="009679CC"/>
    <w:rsid w:val="00967A1C"/>
    <w:rsid w:val="00967E33"/>
    <w:rsid w:val="00967F1B"/>
    <w:rsid w:val="00967FE1"/>
    <w:rsid w:val="00970078"/>
    <w:rsid w:val="009700D9"/>
    <w:rsid w:val="0097021B"/>
    <w:rsid w:val="00970266"/>
    <w:rsid w:val="00970562"/>
    <w:rsid w:val="00970577"/>
    <w:rsid w:val="00970627"/>
    <w:rsid w:val="009706F6"/>
    <w:rsid w:val="00970A30"/>
    <w:rsid w:val="00970AD1"/>
    <w:rsid w:val="00970B21"/>
    <w:rsid w:val="00970B2D"/>
    <w:rsid w:val="00970CF6"/>
    <w:rsid w:val="00970D66"/>
    <w:rsid w:val="00970EED"/>
    <w:rsid w:val="009710B3"/>
    <w:rsid w:val="00971129"/>
    <w:rsid w:val="00971179"/>
    <w:rsid w:val="009711D9"/>
    <w:rsid w:val="009712BA"/>
    <w:rsid w:val="009712EE"/>
    <w:rsid w:val="009712FB"/>
    <w:rsid w:val="0097139C"/>
    <w:rsid w:val="00971465"/>
    <w:rsid w:val="009714D0"/>
    <w:rsid w:val="0097165B"/>
    <w:rsid w:val="00971712"/>
    <w:rsid w:val="0097184F"/>
    <w:rsid w:val="00971AA7"/>
    <w:rsid w:val="00971AE7"/>
    <w:rsid w:val="00971BAE"/>
    <w:rsid w:val="00971C6D"/>
    <w:rsid w:val="00971D30"/>
    <w:rsid w:val="00971D5C"/>
    <w:rsid w:val="00971EC9"/>
    <w:rsid w:val="00971F5F"/>
    <w:rsid w:val="00971F8E"/>
    <w:rsid w:val="00972117"/>
    <w:rsid w:val="0097246D"/>
    <w:rsid w:val="0097250E"/>
    <w:rsid w:val="009725DA"/>
    <w:rsid w:val="0097262B"/>
    <w:rsid w:val="00972673"/>
    <w:rsid w:val="009726B2"/>
    <w:rsid w:val="00972930"/>
    <w:rsid w:val="00972A3A"/>
    <w:rsid w:val="00972A94"/>
    <w:rsid w:val="00972AE0"/>
    <w:rsid w:val="00972AE8"/>
    <w:rsid w:val="00972B41"/>
    <w:rsid w:val="00972B70"/>
    <w:rsid w:val="00972BE9"/>
    <w:rsid w:val="00972BF2"/>
    <w:rsid w:val="00972C39"/>
    <w:rsid w:val="00972CEE"/>
    <w:rsid w:val="00972D7C"/>
    <w:rsid w:val="00972D99"/>
    <w:rsid w:val="00972E85"/>
    <w:rsid w:val="00972F78"/>
    <w:rsid w:val="00972FD3"/>
    <w:rsid w:val="009730C7"/>
    <w:rsid w:val="009731A3"/>
    <w:rsid w:val="00973280"/>
    <w:rsid w:val="009732B8"/>
    <w:rsid w:val="00973377"/>
    <w:rsid w:val="009733BA"/>
    <w:rsid w:val="0097342C"/>
    <w:rsid w:val="00973492"/>
    <w:rsid w:val="00973496"/>
    <w:rsid w:val="009735AD"/>
    <w:rsid w:val="009736D1"/>
    <w:rsid w:val="0097370F"/>
    <w:rsid w:val="0097374E"/>
    <w:rsid w:val="00973796"/>
    <w:rsid w:val="00973997"/>
    <w:rsid w:val="00973B51"/>
    <w:rsid w:val="00973C0D"/>
    <w:rsid w:val="00973DAF"/>
    <w:rsid w:val="00973DDA"/>
    <w:rsid w:val="0097407C"/>
    <w:rsid w:val="0097410E"/>
    <w:rsid w:val="009742DC"/>
    <w:rsid w:val="00974563"/>
    <w:rsid w:val="00974597"/>
    <w:rsid w:val="009745B5"/>
    <w:rsid w:val="009745D2"/>
    <w:rsid w:val="009745F0"/>
    <w:rsid w:val="00974706"/>
    <w:rsid w:val="00974790"/>
    <w:rsid w:val="00974811"/>
    <w:rsid w:val="009748DF"/>
    <w:rsid w:val="009748F5"/>
    <w:rsid w:val="00974AB5"/>
    <w:rsid w:val="00974ACA"/>
    <w:rsid w:val="00974B99"/>
    <w:rsid w:val="00974BDD"/>
    <w:rsid w:val="00974BE5"/>
    <w:rsid w:val="00974D30"/>
    <w:rsid w:val="00974F97"/>
    <w:rsid w:val="00974FCB"/>
    <w:rsid w:val="00975081"/>
    <w:rsid w:val="00975082"/>
    <w:rsid w:val="009750AC"/>
    <w:rsid w:val="0097525E"/>
    <w:rsid w:val="009752E7"/>
    <w:rsid w:val="009753D6"/>
    <w:rsid w:val="00975438"/>
    <w:rsid w:val="0097559D"/>
    <w:rsid w:val="00975710"/>
    <w:rsid w:val="009758E2"/>
    <w:rsid w:val="009759E0"/>
    <w:rsid w:val="00975B4B"/>
    <w:rsid w:val="00975BF8"/>
    <w:rsid w:val="00975C42"/>
    <w:rsid w:val="00975DA4"/>
    <w:rsid w:val="00975E42"/>
    <w:rsid w:val="00975E6A"/>
    <w:rsid w:val="00975EB5"/>
    <w:rsid w:val="00975FC4"/>
    <w:rsid w:val="00976189"/>
    <w:rsid w:val="0097629A"/>
    <w:rsid w:val="00976314"/>
    <w:rsid w:val="00976669"/>
    <w:rsid w:val="0097678E"/>
    <w:rsid w:val="00976843"/>
    <w:rsid w:val="009768AC"/>
    <w:rsid w:val="009769EE"/>
    <w:rsid w:val="00976A2D"/>
    <w:rsid w:val="00976D57"/>
    <w:rsid w:val="00976D77"/>
    <w:rsid w:val="00976D78"/>
    <w:rsid w:val="00976EE1"/>
    <w:rsid w:val="00976F3F"/>
    <w:rsid w:val="00977323"/>
    <w:rsid w:val="009773D4"/>
    <w:rsid w:val="0097744E"/>
    <w:rsid w:val="00977578"/>
    <w:rsid w:val="009775D2"/>
    <w:rsid w:val="0097763F"/>
    <w:rsid w:val="009778F7"/>
    <w:rsid w:val="009779B0"/>
    <w:rsid w:val="00977A8C"/>
    <w:rsid w:val="00977AD7"/>
    <w:rsid w:val="00977D36"/>
    <w:rsid w:val="00977D55"/>
    <w:rsid w:val="00977E66"/>
    <w:rsid w:val="00977EAE"/>
    <w:rsid w:val="00977F1C"/>
    <w:rsid w:val="00977F71"/>
    <w:rsid w:val="00980041"/>
    <w:rsid w:val="00980094"/>
    <w:rsid w:val="00980118"/>
    <w:rsid w:val="0098014E"/>
    <w:rsid w:val="009802B5"/>
    <w:rsid w:val="009803A6"/>
    <w:rsid w:val="00980616"/>
    <w:rsid w:val="00980637"/>
    <w:rsid w:val="00980642"/>
    <w:rsid w:val="009806B0"/>
    <w:rsid w:val="009806B6"/>
    <w:rsid w:val="00980751"/>
    <w:rsid w:val="009807C9"/>
    <w:rsid w:val="00980900"/>
    <w:rsid w:val="0098099B"/>
    <w:rsid w:val="00980C47"/>
    <w:rsid w:val="00980C6C"/>
    <w:rsid w:val="00980CAE"/>
    <w:rsid w:val="00980DA0"/>
    <w:rsid w:val="00980EE5"/>
    <w:rsid w:val="00980FD4"/>
    <w:rsid w:val="00981024"/>
    <w:rsid w:val="00981140"/>
    <w:rsid w:val="009817CB"/>
    <w:rsid w:val="00981855"/>
    <w:rsid w:val="009818AD"/>
    <w:rsid w:val="00981923"/>
    <w:rsid w:val="00981930"/>
    <w:rsid w:val="00981961"/>
    <w:rsid w:val="00981B19"/>
    <w:rsid w:val="00981BE4"/>
    <w:rsid w:val="00981E82"/>
    <w:rsid w:val="00981EF7"/>
    <w:rsid w:val="00982067"/>
    <w:rsid w:val="009821E2"/>
    <w:rsid w:val="0098240E"/>
    <w:rsid w:val="00982561"/>
    <w:rsid w:val="009826BC"/>
    <w:rsid w:val="00982803"/>
    <w:rsid w:val="00982B8A"/>
    <w:rsid w:val="00982D70"/>
    <w:rsid w:val="00982DAE"/>
    <w:rsid w:val="00982E12"/>
    <w:rsid w:val="00982F8B"/>
    <w:rsid w:val="00982FA2"/>
    <w:rsid w:val="00983215"/>
    <w:rsid w:val="00983324"/>
    <w:rsid w:val="00983366"/>
    <w:rsid w:val="009833E5"/>
    <w:rsid w:val="00983419"/>
    <w:rsid w:val="0098352E"/>
    <w:rsid w:val="0098381D"/>
    <w:rsid w:val="00983856"/>
    <w:rsid w:val="0098396D"/>
    <w:rsid w:val="0098399F"/>
    <w:rsid w:val="00983DE1"/>
    <w:rsid w:val="00983DF5"/>
    <w:rsid w:val="009841CB"/>
    <w:rsid w:val="00984261"/>
    <w:rsid w:val="00984265"/>
    <w:rsid w:val="009842A2"/>
    <w:rsid w:val="009842AA"/>
    <w:rsid w:val="009842EA"/>
    <w:rsid w:val="0098432C"/>
    <w:rsid w:val="00984339"/>
    <w:rsid w:val="00984403"/>
    <w:rsid w:val="00984414"/>
    <w:rsid w:val="00984459"/>
    <w:rsid w:val="009845CD"/>
    <w:rsid w:val="009847FB"/>
    <w:rsid w:val="009849FF"/>
    <w:rsid w:val="00984C58"/>
    <w:rsid w:val="00984E08"/>
    <w:rsid w:val="00984E8D"/>
    <w:rsid w:val="00984E95"/>
    <w:rsid w:val="00984EF9"/>
    <w:rsid w:val="00985064"/>
    <w:rsid w:val="009850F0"/>
    <w:rsid w:val="009851CD"/>
    <w:rsid w:val="009851DF"/>
    <w:rsid w:val="0098524C"/>
    <w:rsid w:val="009853B5"/>
    <w:rsid w:val="0098541A"/>
    <w:rsid w:val="0098549D"/>
    <w:rsid w:val="009854C1"/>
    <w:rsid w:val="00985521"/>
    <w:rsid w:val="009855CD"/>
    <w:rsid w:val="0098560E"/>
    <w:rsid w:val="00985710"/>
    <w:rsid w:val="009858E3"/>
    <w:rsid w:val="0098591B"/>
    <w:rsid w:val="00985948"/>
    <w:rsid w:val="00985A0A"/>
    <w:rsid w:val="00985A9D"/>
    <w:rsid w:val="00985B39"/>
    <w:rsid w:val="00985B3A"/>
    <w:rsid w:val="00985BCD"/>
    <w:rsid w:val="00985C1C"/>
    <w:rsid w:val="00985D8C"/>
    <w:rsid w:val="00985DBF"/>
    <w:rsid w:val="00985ECF"/>
    <w:rsid w:val="00985EE1"/>
    <w:rsid w:val="00986008"/>
    <w:rsid w:val="0098604E"/>
    <w:rsid w:val="0098613A"/>
    <w:rsid w:val="009861BA"/>
    <w:rsid w:val="0098628B"/>
    <w:rsid w:val="0098628C"/>
    <w:rsid w:val="00986367"/>
    <w:rsid w:val="00986529"/>
    <w:rsid w:val="00986575"/>
    <w:rsid w:val="00986591"/>
    <w:rsid w:val="009865E9"/>
    <w:rsid w:val="00986693"/>
    <w:rsid w:val="00986775"/>
    <w:rsid w:val="0098678F"/>
    <w:rsid w:val="009867EC"/>
    <w:rsid w:val="00986850"/>
    <w:rsid w:val="00986892"/>
    <w:rsid w:val="00986A69"/>
    <w:rsid w:val="00986C26"/>
    <w:rsid w:val="00986D1B"/>
    <w:rsid w:val="00986DBD"/>
    <w:rsid w:val="00986DF2"/>
    <w:rsid w:val="00986E10"/>
    <w:rsid w:val="00986E94"/>
    <w:rsid w:val="00986F80"/>
    <w:rsid w:val="00987015"/>
    <w:rsid w:val="00987017"/>
    <w:rsid w:val="0098710F"/>
    <w:rsid w:val="0098727C"/>
    <w:rsid w:val="0098747A"/>
    <w:rsid w:val="0098754A"/>
    <w:rsid w:val="009875BC"/>
    <w:rsid w:val="00987724"/>
    <w:rsid w:val="00987797"/>
    <w:rsid w:val="009877EC"/>
    <w:rsid w:val="00987CFF"/>
    <w:rsid w:val="00987D05"/>
    <w:rsid w:val="00987D97"/>
    <w:rsid w:val="00987E40"/>
    <w:rsid w:val="00990079"/>
    <w:rsid w:val="0099015B"/>
    <w:rsid w:val="00990253"/>
    <w:rsid w:val="0099028F"/>
    <w:rsid w:val="00990376"/>
    <w:rsid w:val="00990447"/>
    <w:rsid w:val="009904C9"/>
    <w:rsid w:val="00990604"/>
    <w:rsid w:val="0099069C"/>
    <w:rsid w:val="00990803"/>
    <w:rsid w:val="00990850"/>
    <w:rsid w:val="0099091A"/>
    <w:rsid w:val="00990ADE"/>
    <w:rsid w:val="00990B0E"/>
    <w:rsid w:val="00990ECB"/>
    <w:rsid w:val="00990F8A"/>
    <w:rsid w:val="00990F93"/>
    <w:rsid w:val="00991064"/>
    <w:rsid w:val="009911A4"/>
    <w:rsid w:val="00991288"/>
    <w:rsid w:val="00991289"/>
    <w:rsid w:val="009913C7"/>
    <w:rsid w:val="009913F8"/>
    <w:rsid w:val="0099143E"/>
    <w:rsid w:val="0099154E"/>
    <w:rsid w:val="00991695"/>
    <w:rsid w:val="009916B3"/>
    <w:rsid w:val="0099176E"/>
    <w:rsid w:val="009917AF"/>
    <w:rsid w:val="009918ED"/>
    <w:rsid w:val="00991A39"/>
    <w:rsid w:val="00991A42"/>
    <w:rsid w:val="00991CED"/>
    <w:rsid w:val="00991D35"/>
    <w:rsid w:val="00991D53"/>
    <w:rsid w:val="0099203E"/>
    <w:rsid w:val="0099207F"/>
    <w:rsid w:val="009921D7"/>
    <w:rsid w:val="00992353"/>
    <w:rsid w:val="00992423"/>
    <w:rsid w:val="009924BA"/>
    <w:rsid w:val="00992510"/>
    <w:rsid w:val="00992604"/>
    <w:rsid w:val="00992714"/>
    <w:rsid w:val="0099299D"/>
    <w:rsid w:val="00992A1B"/>
    <w:rsid w:val="00992C6F"/>
    <w:rsid w:val="00992D7B"/>
    <w:rsid w:val="00992F44"/>
    <w:rsid w:val="00993183"/>
    <w:rsid w:val="009932D5"/>
    <w:rsid w:val="0099343A"/>
    <w:rsid w:val="009935DC"/>
    <w:rsid w:val="009936A6"/>
    <w:rsid w:val="009936B8"/>
    <w:rsid w:val="0099370E"/>
    <w:rsid w:val="009937B7"/>
    <w:rsid w:val="0099394A"/>
    <w:rsid w:val="00993BB7"/>
    <w:rsid w:val="00993E52"/>
    <w:rsid w:val="00993ED7"/>
    <w:rsid w:val="00993F0C"/>
    <w:rsid w:val="0099406C"/>
    <w:rsid w:val="0099413A"/>
    <w:rsid w:val="0099414D"/>
    <w:rsid w:val="009941A2"/>
    <w:rsid w:val="009941C6"/>
    <w:rsid w:val="00994224"/>
    <w:rsid w:val="009942B2"/>
    <w:rsid w:val="009944A1"/>
    <w:rsid w:val="009944EB"/>
    <w:rsid w:val="00994623"/>
    <w:rsid w:val="00994737"/>
    <w:rsid w:val="009948F3"/>
    <w:rsid w:val="00994956"/>
    <w:rsid w:val="009949B3"/>
    <w:rsid w:val="00994A4E"/>
    <w:rsid w:val="00994AA5"/>
    <w:rsid w:val="00994AD7"/>
    <w:rsid w:val="00994B06"/>
    <w:rsid w:val="00994DBC"/>
    <w:rsid w:val="00994EF2"/>
    <w:rsid w:val="00994EF5"/>
    <w:rsid w:val="00995110"/>
    <w:rsid w:val="0099544B"/>
    <w:rsid w:val="00995484"/>
    <w:rsid w:val="009955BD"/>
    <w:rsid w:val="0099570B"/>
    <w:rsid w:val="00995763"/>
    <w:rsid w:val="0099578F"/>
    <w:rsid w:val="00995806"/>
    <w:rsid w:val="009959A6"/>
    <w:rsid w:val="00995B53"/>
    <w:rsid w:val="00995BD6"/>
    <w:rsid w:val="00995E1E"/>
    <w:rsid w:val="00995E23"/>
    <w:rsid w:val="00995FEF"/>
    <w:rsid w:val="0099603A"/>
    <w:rsid w:val="00996078"/>
    <w:rsid w:val="00996106"/>
    <w:rsid w:val="00996232"/>
    <w:rsid w:val="0099627C"/>
    <w:rsid w:val="00996434"/>
    <w:rsid w:val="0099660A"/>
    <w:rsid w:val="00996668"/>
    <w:rsid w:val="00996781"/>
    <w:rsid w:val="0099691A"/>
    <w:rsid w:val="00996929"/>
    <w:rsid w:val="009969B0"/>
    <w:rsid w:val="00996ADC"/>
    <w:rsid w:val="00996BD6"/>
    <w:rsid w:val="00996CC4"/>
    <w:rsid w:val="00996DAB"/>
    <w:rsid w:val="00996FEB"/>
    <w:rsid w:val="00997153"/>
    <w:rsid w:val="009973B9"/>
    <w:rsid w:val="00997587"/>
    <w:rsid w:val="0099759A"/>
    <w:rsid w:val="009975E4"/>
    <w:rsid w:val="009977AF"/>
    <w:rsid w:val="00997984"/>
    <w:rsid w:val="00997C71"/>
    <w:rsid w:val="00997CE1"/>
    <w:rsid w:val="00997CF0"/>
    <w:rsid w:val="00997CFB"/>
    <w:rsid w:val="00997CFC"/>
    <w:rsid w:val="00997EEE"/>
    <w:rsid w:val="00997F2E"/>
    <w:rsid w:val="00997FBC"/>
    <w:rsid w:val="009A00F4"/>
    <w:rsid w:val="009A01C8"/>
    <w:rsid w:val="009A02CA"/>
    <w:rsid w:val="009A03AB"/>
    <w:rsid w:val="009A03E9"/>
    <w:rsid w:val="009A0462"/>
    <w:rsid w:val="009A0517"/>
    <w:rsid w:val="009A0560"/>
    <w:rsid w:val="009A0648"/>
    <w:rsid w:val="009A073C"/>
    <w:rsid w:val="009A074D"/>
    <w:rsid w:val="009A0824"/>
    <w:rsid w:val="009A0950"/>
    <w:rsid w:val="009A0999"/>
    <w:rsid w:val="009A0B0F"/>
    <w:rsid w:val="009A0B83"/>
    <w:rsid w:val="009A0CAB"/>
    <w:rsid w:val="009A0D5F"/>
    <w:rsid w:val="009A0D7D"/>
    <w:rsid w:val="009A0D92"/>
    <w:rsid w:val="009A0DBB"/>
    <w:rsid w:val="009A0E74"/>
    <w:rsid w:val="009A0F12"/>
    <w:rsid w:val="009A0F23"/>
    <w:rsid w:val="009A1033"/>
    <w:rsid w:val="009A1042"/>
    <w:rsid w:val="009A1110"/>
    <w:rsid w:val="009A1111"/>
    <w:rsid w:val="009A1304"/>
    <w:rsid w:val="009A1345"/>
    <w:rsid w:val="009A1416"/>
    <w:rsid w:val="009A1536"/>
    <w:rsid w:val="009A15B7"/>
    <w:rsid w:val="009A15C2"/>
    <w:rsid w:val="009A15CD"/>
    <w:rsid w:val="009A15FE"/>
    <w:rsid w:val="009A1665"/>
    <w:rsid w:val="009A17BB"/>
    <w:rsid w:val="009A18A7"/>
    <w:rsid w:val="009A18F8"/>
    <w:rsid w:val="009A1A3C"/>
    <w:rsid w:val="009A1AC0"/>
    <w:rsid w:val="009A1F11"/>
    <w:rsid w:val="009A203A"/>
    <w:rsid w:val="009A23C7"/>
    <w:rsid w:val="009A2430"/>
    <w:rsid w:val="009A24CB"/>
    <w:rsid w:val="009A24E9"/>
    <w:rsid w:val="009A25CE"/>
    <w:rsid w:val="009A25D9"/>
    <w:rsid w:val="009A27A5"/>
    <w:rsid w:val="009A27B4"/>
    <w:rsid w:val="009A29C2"/>
    <w:rsid w:val="009A2D3E"/>
    <w:rsid w:val="009A3019"/>
    <w:rsid w:val="009A301B"/>
    <w:rsid w:val="009A30B4"/>
    <w:rsid w:val="009A31BE"/>
    <w:rsid w:val="009A323C"/>
    <w:rsid w:val="009A3254"/>
    <w:rsid w:val="009A3459"/>
    <w:rsid w:val="009A3499"/>
    <w:rsid w:val="009A3897"/>
    <w:rsid w:val="009A38CD"/>
    <w:rsid w:val="009A38FD"/>
    <w:rsid w:val="009A390B"/>
    <w:rsid w:val="009A393E"/>
    <w:rsid w:val="009A3955"/>
    <w:rsid w:val="009A3A72"/>
    <w:rsid w:val="009A3BCF"/>
    <w:rsid w:val="009A3C08"/>
    <w:rsid w:val="009A3C56"/>
    <w:rsid w:val="009A3D16"/>
    <w:rsid w:val="009A3D5D"/>
    <w:rsid w:val="009A3D62"/>
    <w:rsid w:val="009A3DF0"/>
    <w:rsid w:val="009A3E18"/>
    <w:rsid w:val="009A3E93"/>
    <w:rsid w:val="009A3F0D"/>
    <w:rsid w:val="009A3F18"/>
    <w:rsid w:val="009A40F8"/>
    <w:rsid w:val="009A4176"/>
    <w:rsid w:val="009A41C6"/>
    <w:rsid w:val="009A41E9"/>
    <w:rsid w:val="009A42A4"/>
    <w:rsid w:val="009A4597"/>
    <w:rsid w:val="009A46BD"/>
    <w:rsid w:val="009A4767"/>
    <w:rsid w:val="009A49C5"/>
    <w:rsid w:val="009A4A34"/>
    <w:rsid w:val="009A4C6A"/>
    <w:rsid w:val="009A4D1E"/>
    <w:rsid w:val="009A4E2C"/>
    <w:rsid w:val="009A4E81"/>
    <w:rsid w:val="009A4FE7"/>
    <w:rsid w:val="009A501C"/>
    <w:rsid w:val="009A50F1"/>
    <w:rsid w:val="009A516C"/>
    <w:rsid w:val="009A5770"/>
    <w:rsid w:val="009A5A02"/>
    <w:rsid w:val="009A5A31"/>
    <w:rsid w:val="009A5B7A"/>
    <w:rsid w:val="009A5BD4"/>
    <w:rsid w:val="009A5C24"/>
    <w:rsid w:val="009A5E88"/>
    <w:rsid w:val="009A5F05"/>
    <w:rsid w:val="009A5FC0"/>
    <w:rsid w:val="009A5FC4"/>
    <w:rsid w:val="009A6021"/>
    <w:rsid w:val="009A6097"/>
    <w:rsid w:val="009A62B3"/>
    <w:rsid w:val="009A6362"/>
    <w:rsid w:val="009A6392"/>
    <w:rsid w:val="009A6468"/>
    <w:rsid w:val="009A667D"/>
    <w:rsid w:val="009A677E"/>
    <w:rsid w:val="009A67A5"/>
    <w:rsid w:val="009A6895"/>
    <w:rsid w:val="009A6B6A"/>
    <w:rsid w:val="009A6C9F"/>
    <w:rsid w:val="009A6D0D"/>
    <w:rsid w:val="009A6D19"/>
    <w:rsid w:val="009A6F11"/>
    <w:rsid w:val="009A7018"/>
    <w:rsid w:val="009A70BD"/>
    <w:rsid w:val="009A710F"/>
    <w:rsid w:val="009A71BE"/>
    <w:rsid w:val="009A73B6"/>
    <w:rsid w:val="009A741B"/>
    <w:rsid w:val="009A7515"/>
    <w:rsid w:val="009A763E"/>
    <w:rsid w:val="009A774D"/>
    <w:rsid w:val="009A7802"/>
    <w:rsid w:val="009A7943"/>
    <w:rsid w:val="009A7B91"/>
    <w:rsid w:val="009A7BC0"/>
    <w:rsid w:val="009A7BE5"/>
    <w:rsid w:val="009A7CAB"/>
    <w:rsid w:val="009A7D2C"/>
    <w:rsid w:val="009A7D56"/>
    <w:rsid w:val="009A7D67"/>
    <w:rsid w:val="009A7D79"/>
    <w:rsid w:val="009A7F6D"/>
    <w:rsid w:val="009A7F94"/>
    <w:rsid w:val="009A7F9E"/>
    <w:rsid w:val="009B021A"/>
    <w:rsid w:val="009B0259"/>
    <w:rsid w:val="009B043E"/>
    <w:rsid w:val="009B045C"/>
    <w:rsid w:val="009B05A8"/>
    <w:rsid w:val="009B05BA"/>
    <w:rsid w:val="009B05C5"/>
    <w:rsid w:val="009B0602"/>
    <w:rsid w:val="009B06B2"/>
    <w:rsid w:val="009B07E8"/>
    <w:rsid w:val="009B0897"/>
    <w:rsid w:val="009B094F"/>
    <w:rsid w:val="009B0955"/>
    <w:rsid w:val="009B0A80"/>
    <w:rsid w:val="009B0BB2"/>
    <w:rsid w:val="009B0D27"/>
    <w:rsid w:val="009B0DC1"/>
    <w:rsid w:val="009B0DFA"/>
    <w:rsid w:val="009B0E9C"/>
    <w:rsid w:val="009B0F75"/>
    <w:rsid w:val="009B0FA4"/>
    <w:rsid w:val="009B1006"/>
    <w:rsid w:val="009B1078"/>
    <w:rsid w:val="009B1112"/>
    <w:rsid w:val="009B112C"/>
    <w:rsid w:val="009B126F"/>
    <w:rsid w:val="009B12EE"/>
    <w:rsid w:val="009B137D"/>
    <w:rsid w:val="009B13B0"/>
    <w:rsid w:val="009B13C8"/>
    <w:rsid w:val="009B141F"/>
    <w:rsid w:val="009B14B9"/>
    <w:rsid w:val="009B163C"/>
    <w:rsid w:val="009B16D7"/>
    <w:rsid w:val="009B16EE"/>
    <w:rsid w:val="009B172C"/>
    <w:rsid w:val="009B1774"/>
    <w:rsid w:val="009B1938"/>
    <w:rsid w:val="009B19B4"/>
    <w:rsid w:val="009B19D3"/>
    <w:rsid w:val="009B1A59"/>
    <w:rsid w:val="009B1C38"/>
    <w:rsid w:val="009B1D1F"/>
    <w:rsid w:val="009B1DE2"/>
    <w:rsid w:val="009B1E3C"/>
    <w:rsid w:val="009B1E7A"/>
    <w:rsid w:val="009B1E92"/>
    <w:rsid w:val="009B1F68"/>
    <w:rsid w:val="009B1FFC"/>
    <w:rsid w:val="009B2157"/>
    <w:rsid w:val="009B2223"/>
    <w:rsid w:val="009B22DD"/>
    <w:rsid w:val="009B2377"/>
    <w:rsid w:val="009B2646"/>
    <w:rsid w:val="009B26BF"/>
    <w:rsid w:val="009B2767"/>
    <w:rsid w:val="009B27F5"/>
    <w:rsid w:val="009B27FB"/>
    <w:rsid w:val="009B2879"/>
    <w:rsid w:val="009B2A02"/>
    <w:rsid w:val="009B2A14"/>
    <w:rsid w:val="009B2A16"/>
    <w:rsid w:val="009B2A43"/>
    <w:rsid w:val="009B2AEF"/>
    <w:rsid w:val="009B2B50"/>
    <w:rsid w:val="009B2D5E"/>
    <w:rsid w:val="009B2E45"/>
    <w:rsid w:val="009B3118"/>
    <w:rsid w:val="009B3209"/>
    <w:rsid w:val="009B3243"/>
    <w:rsid w:val="009B344F"/>
    <w:rsid w:val="009B3524"/>
    <w:rsid w:val="009B3595"/>
    <w:rsid w:val="009B36E6"/>
    <w:rsid w:val="009B376C"/>
    <w:rsid w:val="009B39AA"/>
    <w:rsid w:val="009B3A5A"/>
    <w:rsid w:val="009B3B67"/>
    <w:rsid w:val="009B3C0D"/>
    <w:rsid w:val="009B3D29"/>
    <w:rsid w:val="009B3EE2"/>
    <w:rsid w:val="009B4299"/>
    <w:rsid w:val="009B434B"/>
    <w:rsid w:val="009B437F"/>
    <w:rsid w:val="009B455F"/>
    <w:rsid w:val="009B4662"/>
    <w:rsid w:val="009B46C0"/>
    <w:rsid w:val="009B472D"/>
    <w:rsid w:val="009B47EF"/>
    <w:rsid w:val="009B48F5"/>
    <w:rsid w:val="009B4928"/>
    <w:rsid w:val="009B4951"/>
    <w:rsid w:val="009B4F16"/>
    <w:rsid w:val="009B5097"/>
    <w:rsid w:val="009B5162"/>
    <w:rsid w:val="009B529E"/>
    <w:rsid w:val="009B53A1"/>
    <w:rsid w:val="009B53AC"/>
    <w:rsid w:val="009B53CC"/>
    <w:rsid w:val="009B54EA"/>
    <w:rsid w:val="009B5536"/>
    <w:rsid w:val="009B5542"/>
    <w:rsid w:val="009B5637"/>
    <w:rsid w:val="009B56F0"/>
    <w:rsid w:val="009B5A39"/>
    <w:rsid w:val="009B5ED7"/>
    <w:rsid w:val="009B5F2C"/>
    <w:rsid w:val="009B5F84"/>
    <w:rsid w:val="009B5FF0"/>
    <w:rsid w:val="009B60E8"/>
    <w:rsid w:val="009B619C"/>
    <w:rsid w:val="009B6355"/>
    <w:rsid w:val="009B65F5"/>
    <w:rsid w:val="009B6711"/>
    <w:rsid w:val="009B6818"/>
    <w:rsid w:val="009B6826"/>
    <w:rsid w:val="009B6838"/>
    <w:rsid w:val="009B68A9"/>
    <w:rsid w:val="009B68AF"/>
    <w:rsid w:val="009B6A8C"/>
    <w:rsid w:val="009B6CE5"/>
    <w:rsid w:val="009B6D56"/>
    <w:rsid w:val="009B6E16"/>
    <w:rsid w:val="009B6F57"/>
    <w:rsid w:val="009B6F5E"/>
    <w:rsid w:val="009B6F8D"/>
    <w:rsid w:val="009B70A8"/>
    <w:rsid w:val="009B71C4"/>
    <w:rsid w:val="009B73E5"/>
    <w:rsid w:val="009B751F"/>
    <w:rsid w:val="009B761E"/>
    <w:rsid w:val="009B7651"/>
    <w:rsid w:val="009B7674"/>
    <w:rsid w:val="009B7819"/>
    <w:rsid w:val="009B7889"/>
    <w:rsid w:val="009B792B"/>
    <w:rsid w:val="009B7961"/>
    <w:rsid w:val="009B7991"/>
    <w:rsid w:val="009B7A36"/>
    <w:rsid w:val="009B7A44"/>
    <w:rsid w:val="009B7A82"/>
    <w:rsid w:val="009B7D88"/>
    <w:rsid w:val="009B7E0B"/>
    <w:rsid w:val="009B7E38"/>
    <w:rsid w:val="009B7E90"/>
    <w:rsid w:val="009B7EA0"/>
    <w:rsid w:val="009B7EC2"/>
    <w:rsid w:val="009B7EDC"/>
    <w:rsid w:val="009C0081"/>
    <w:rsid w:val="009C036D"/>
    <w:rsid w:val="009C03A8"/>
    <w:rsid w:val="009C056E"/>
    <w:rsid w:val="009C08DB"/>
    <w:rsid w:val="009C095A"/>
    <w:rsid w:val="009C0A2F"/>
    <w:rsid w:val="009C0BC2"/>
    <w:rsid w:val="009C0BCB"/>
    <w:rsid w:val="009C0D39"/>
    <w:rsid w:val="009C0D7A"/>
    <w:rsid w:val="009C0DD0"/>
    <w:rsid w:val="009C0DD6"/>
    <w:rsid w:val="009C0E7E"/>
    <w:rsid w:val="009C0EBF"/>
    <w:rsid w:val="009C0F84"/>
    <w:rsid w:val="009C1037"/>
    <w:rsid w:val="009C10DF"/>
    <w:rsid w:val="009C10E1"/>
    <w:rsid w:val="009C11FD"/>
    <w:rsid w:val="009C12EC"/>
    <w:rsid w:val="009C12F4"/>
    <w:rsid w:val="009C1332"/>
    <w:rsid w:val="009C1472"/>
    <w:rsid w:val="009C152B"/>
    <w:rsid w:val="009C1594"/>
    <w:rsid w:val="009C1640"/>
    <w:rsid w:val="009C1702"/>
    <w:rsid w:val="009C172A"/>
    <w:rsid w:val="009C176D"/>
    <w:rsid w:val="009C1788"/>
    <w:rsid w:val="009C17A8"/>
    <w:rsid w:val="009C1A7C"/>
    <w:rsid w:val="009C1D0E"/>
    <w:rsid w:val="009C1D16"/>
    <w:rsid w:val="009C1DD6"/>
    <w:rsid w:val="009C1EF5"/>
    <w:rsid w:val="009C1EF6"/>
    <w:rsid w:val="009C204E"/>
    <w:rsid w:val="009C2079"/>
    <w:rsid w:val="009C20B5"/>
    <w:rsid w:val="009C222E"/>
    <w:rsid w:val="009C237C"/>
    <w:rsid w:val="009C2439"/>
    <w:rsid w:val="009C246F"/>
    <w:rsid w:val="009C2496"/>
    <w:rsid w:val="009C251B"/>
    <w:rsid w:val="009C2559"/>
    <w:rsid w:val="009C260C"/>
    <w:rsid w:val="009C271B"/>
    <w:rsid w:val="009C2826"/>
    <w:rsid w:val="009C29C6"/>
    <w:rsid w:val="009C2AC1"/>
    <w:rsid w:val="009C2C56"/>
    <w:rsid w:val="009C2CA0"/>
    <w:rsid w:val="009C2EC2"/>
    <w:rsid w:val="009C2F0A"/>
    <w:rsid w:val="009C3158"/>
    <w:rsid w:val="009C3502"/>
    <w:rsid w:val="009C3735"/>
    <w:rsid w:val="009C37CC"/>
    <w:rsid w:val="009C39B9"/>
    <w:rsid w:val="009C39C6"/>
    <w:rsid w:val="009C3C30"/>
    <w:rsid w:val="009C3C84"/>
    <w:rsid w:val="009C3D1F"/>
    <w:rsid w:val="009C3D3E"/>
    <w:rsid w:val="009C3FEF"/>
    <w:rsid w:val="009C4108"/>
    <w:rsid w:val="009C4318"/>
    <w:rsid w:val="009C446E"/>
    <w:rsid w:val="009C44E5"/>
    <w:rsid w:val="009C44F8"/>
    <w:rsid w:val="009C4558"/>
    <w:rsid w:val="009C45F6"/>
    <w:rsid w:val="009C473D"/>
    <w:rsid w:val="009C4756"/>
    <w:rsid w:val="009C49E7"/>
    <w:rsid w:val="009C4A1B"/>
    <w:rsid w:val="009C4A67"/>
    <w:rsid w:val="009C4B7B"/>
    <w:rsid w:val="009C4BDF"/>
    <w:rsid w:val="009C4BE4"/>
    <w:rsid w:val="009C4BF0"/>
    <w:rsid w:val="009C4BFC"/>
    <w:rsid w:val="009C4E3C"/>
    <w:rsid w:val="009C50B3"/>
    <w:rsid w:val="009C51FE"/>
    <w:rsid w:val="009C521F"/>
    <w:rsid w:val="009C525B"/>
    <w:rsid w:val="009C52C9"/>
    <w:rsid w:val="009C533B"/>
    <w:rsid w:val="009C5518"/>
    <w:rsid w:val="009C55A3"/>
    <w:rsid w:val="009C56E5"/>
    <w:rsid w:val="009C574F"/>
    <w:rsid w:val="009C5844"/>
    <w:rsid w:val="009C58E2"/>
    <w:rsid w:val="009C5B61"/>
    <w:rsid w:val="009C5B99"/>
    <w:rsid w:val="009C5C64"/>
    <w:rsid w:val="009C5D31"/>
    <w:rsid w:val="009C5FB6"/>
    <w:rsid w:val="009C60AB"/>
    <w:rsid w:val="009C62F7"/>
    <w:rsid w:val="009C63DC"/>
    <w:rsid w:val="009C6683"/>
    <w:rsid w:val="009C6B21"/>
    <w:rsid w:val="009C6C70"/>
    <w:rsid w:val="009C6D38"/>
    <w:rsid w:val="009C6DB3"/>
    <w:rsid w:val="009C711C"/>
    <w:rsid w:val="009C714D"/>
    <w:rsid w:val="009C7180"/>
    <w:rsid w:val="009C7186"/>
    <w:rsid w:val="009C71EF"/>
    <w:rsid w:val="009C7382"/>
    <w:rsid w:val="009C73C4"/>
    <w:rsid w:val="009C73F6"/>
    <w:rsid w:val="009C7407"/>
    <w:rsid w:val="009C7416"/>
    <w:rsid w:val="009C775C"/>
    <w:rsid w:val="009C7870"/>
    <w:rsid w:val="009C7898"/>
    <w:rsid w:val="009C7A10"/>
    <w:rsid w:val="009C7A12"/>
    <w:rsid w:val="009C7A50"/>
    <w:rsid w:val="009C7B04"/>
    <w:rsid w:val="009C7B31"/>
    <w:rsid w:val="009C7D6C"/>
    <w:rsid w:val="009C7FFE"/>
    <w:rsid w:val="009D0240"/>
    <w:rsid w:val="009D0398"/>
    <w:rsid w:val="009D0404"/>
    <w:rsid w:val="009D04AC"/>
    <w:rsid w:val="009D066C"/>
    <w:rsid w:val="009D067B"/>
    <w:rsid w:val="009D080E"/>
    <w:rsid w:val="009D087A"/>
    <w:rsid w:val="009D0940"/>
    <w:rsid w:val="009D0950"/>
    <w:rsid w:val="009D096B"/>
    <w:rsid w:val="009D0ABE"/>
    <w:rsid w:val="009D0C51"/>
    <w:rsid w:val="009D0CCF"/>
    <w:rsid w:val="009D0E22"/>
    <w:rsid w:val="009D0F1F"/>
    <w:rsid w:val="009D0FE4"/>
    <w:rsid w:val="009D10A4"/>
    <w:rsid w:val="009D118B"/>
    <w:rsid w:val="009D1283"/>
    <w:rsid w:val="009D13D3"/>
    <w:rsid w:val="009D14F2"/>
    <w:rsid w:val="009D15DB"/>
    <w:rsid w:val="009D166B"/>
    <w:rsid w:val="009D16CB"/>
    <w:rsid w:val="009D1732"/>
    <w:rsid w:val="009D174A"/>
    <w:rsid w:val="009D175F"/>
    <w:rsid w:val="009D18A4"/>
    <w:rsid w:val="009D18E8"/>
    <w:rsid w:val="009D18F9"/>
    <w:rsid w:val="009D1A20"/>
    <w:rsid w:val="009D1AB4"/>
    <w:rsid w:val="009D1B1A"/>
    <w:rsid w:val="009D1B53"/>
    <w:rsid w:val="009D1C5B"/>
    <w:rsid w:val="009D1CDC"/>
    <w:rsid w:val="009D1E5B"/>
    <w:rsid w:val="009D1F23"/>
    <w:rsid w:val="009D1F72"/>
    <w:rsid w:val="009D210A"/>
    <w:rsid w:val="009D2210"/>
    <w:rsid w:val="009D24E5"/>
    <w:rsid w:val="009D24F0"/>
    <w:rsid w:val="009D2595"/>
    <w:rsid w:val="009D2744"/>
    <w:rsid w:val="009D29B8"/>
    <w:rsid w:val="009D2C89"/>
    <w:rsid w:val="009D2D0E"/>
    <w:rsid w:val="009D2D2E"/>
    <w:rsid w:val="009D2E40"/>
    <w:rsid w:val="009D2E92"/>
    <w:rsid w:val="009D2F24"/>
    <w:rsid w:val="009D2F64"/>
    <w:rsid w:val="009D2F7F"/>
    <w:rsid w:val="009D2FAC"/>
    <w:rsid w:val="009D3145"/>
    <w:rsid w:val="009D316E"/>
    <w:rsid w:val="009D31BF"/>
    <w:rsid w:val="009D3276"/>
    <w:rsid w:val="009D3281"/>
    <w:rsid w:val="009D32FB"/>
    <w:rsid w:val="009D33DC"/>
    <w:rsid w:val="009D35EE"/>
    <w:rsid w:val="009D3636"/>
    <w:rsid w:val="009D374D"/>
    <w:rsid w:val="009D3848"/>
    <w:rsid w:val="009D38D2"/>
    <w:rsid w:val="009D3A19"/>
    <w:rsid w:val="009D3D14"/>
    <w:rsid w:val="009D3F5A"/>
    <w:rsid w:val="009D3F71"/>
    <w:rsid w:val="009D3FEB"/>
    <w:rsid w:val="009D4012"/>
    <w:rsid w:val="009D40FA"/>
    <w:rsid w:val="009D4398"/>
    <w:rsid w:val="009D44FA"/>
    <w:rsid w:val="009D4528"/>
    <w:rsid w:val="009D4542"/>
    <w:rsid w:val="009D47F5"/>
    <w:rsid w:val="009D4906"/>
    <w:rsid w:val="009D49CB"/>
    <w:rsid w:val="009D4A82"/>
    <w:rsid w:val="009D4B1E"/>
    <w:rsid w:val="009D4BFE"/>
    <w:rsid w:val="009D4D13"/>
    <w:rsid w:val="009D4DF2"/>
    <w:rsid w:val="009D4FF7"/>
    <w:rsid w:val="009D52C4"/>
    <w:rsid w:val="009D52D0"/>
    <w:rsid w:val="009D5402"/>
    <w:rsid w:val="009D540D"/>
    <w:rsid w:val="009D545B"/>
    <w:rsid w:val="009D5547"/>
    <w:rsid w:val="009D56C6"/>
    <w:rsid w:val="009D57D4"/>
    <w:rsid w:val="009D59A0"/>
    <w:rsid w:val="009D5A53"/>
    <w:rsid w:val="009D5AE8"/>
    <w:rsid w:val="009D5C8B"/>
    <w:rsid w:val="009D5E69"/>
    <w:rsid w:val="009D5E7F"/>
    <w:rsid w:val="009D5EAB"/>
    <w:rsid w:val="009D5F70"/>
    <w:rsid w:val="009D5FDB"/>
    <w:rsid w:val="009D5FFC"/>
    <w:rsid w:val="009D60A5"/>
    <w:rsid w:val="009D6109"/>
    <w:rsid w:val="009D611C"/>
    <w:rsid w:val="009D623C"/>
    <w:rsid w:val="009D6430"/>
    <w:rsid w:val="009D6476"/>
    <w:rsid w:val="009D65CF"/>
    <w:rsid w:val="009D666F"/>
    <w:rsid w:val="009D682D"/>
    <w:rsid w:val="009D68BD"/>
    <w:rsid w:val="009D6979"/>
    <w:rsid w:val="009D6A9D"/>
    <w:rsid w:val="009D6ABC"/>
    <w:rsid w:val="009D6BBE"/>
    <w:rsid w:val="009D6C18"/>
    <w:rsid w:val="009D6D45"/>
    <w:rsid w:val="009D7111"/>
    <w:rsid w:val="009D718B"/>
    <w:rsid w:val="009D71FF"/>
    <w:rsid w:val="009D7292"/>
    <w:rsid w:val="009D73F0"/>
    <w:rsid w:val="009D7463"/>
    <w:rsid w:val="009D767A"/>
    <w:rsid w:val="009D7957"/>
    <w:rsid w:val="009D7AA7"/>
    <w:rsid w:val="009D7B3E"/>
    <w:rsid w:val="009D7CB4"/>
    <w:rsid w:val="009D7D34"/>
    <w:rsid w:val="009D7D5A"/>
    <w:rsid w:val="009D7D84"/>
    <w:rsid w:val="009E009A"/>
    <w:rsid w:val="009E02D0"/>
    <w:rsid w:val="009E03CC"/>
    <w:rsid w:val="009E06C4"/>
    <w:rsid w:val="009E06F1"/>
    <w:rsid w:val="009E0A30"/>
    <w:rsid w:val="009E0AEF"/>
    <w:rsid w:val="009E0B08"/>
    <w:rsid w:val="009E0C21"/>
    <w:rsid w:val="009E0DAE"/>
    <w:rsid w:val="009E0E1D"/>
    <w:rsid w:val="009E0E62"/>
    <w:rsid w:val="009E1276"/>
    <w:rsid w:val="009E1416"/>
    <w:rsid w:val="009E146E"/>
    <w:rsid w:val="009E14BF"/>
    <w:rsid w:val="009E158F"/>
    <w:rsid w:val="009E1646"/>
    <w:rsid w:val="009E1766"/>
    <w:rsid w:val="009E1785"/>
    <w:rsid w:val="009E1883"/>
    <w:rsid w:val="009E19A0"/>
    <w:rsid w:val="009E1C76"/>
    <w:rsid w:val="009E1CBA"/>
    <w:rsid w:val="009E1D6C"/>
    <w:rsid w:val="009E1DCF"/>
    <w:rsid w:val="009E1F79"/>
    <w:rsid w:val="009E1FA8"/>
    <w:rsid w:val="009E24C6"/>
    <w:rsid w:val="009E274E"/>
    <w:rsid w:val="009E27BA"/>
    <w:rsid w:val="009E2901"/>
    <w:rsid w:val="009E2A97"/>
    <w:rsid w:val="009E2B7E"/>
    <w:rsid w:val="009E2C3F"/>
    <w:rsid w:val="009E2E0E"/>
    <w:rsid w:val="009E2E58"/>
    <w:rsid w:val="009E3081"/>
    <w:rsid w:val="009E3112"/>
    <w:rsid w:val="009E31F4"/>
    <w:rsid w:val="009E321D"/>
    <w:rsid w:val="009E3326"/>
    <w:rsid w:val="009E35C5"/>
    <w:rsid w:val="009E35D5"/>
    <w:rsid w:val="009E3934"/>
    <w:rsid w:val="009E3B11"/>
    <w:rsid w:val="009E3BAF"/>
    <w:rsid w:val="009E3C28"/>
    <w:rsid w:val="009E3DD7"/>
    <w:rsid w:val="009E3EF9"/>
    <w:rsid w:val="009E4138"/>
    <w:rsid w:val="009E4381"/>
    <w:rsid w:val="009E43BB"/>
    <w:rsid w:val="009E453B"/>
    <w:rsid w:val="009E47B5"/>
    <w:rsid w:val="009E48E1"/>
    <w:rsid w:val="009E4A09"/>
    <w:rsid w:val="009E4A52"/>
    <w:rsid w:val="009E4A80"/>
    <w:rsid w:val="009E4CB6"/>
    <w:rsid w:val="009E4D22"/>
    <w:rsid w:val="009E4ECB"/>
    <w:rsid w:val="009E4ED9"/>
    <w:rsid w:val="009E4F5F"/>
    <w:rsid w:val="009E51D5"/>
    <w:rsid w:val="009E5259"/>
    <w:rsid w:val="009E5393"/>
    <w:rsid w:val="009E583C"/>
    <w:rsid w:val="009E58FD"/>
    <w:rsid w:val="009E5963"/>
    <w:rsid w:val="009E60C1"/>
    <w:rsid w:val="009E61A6"/>
    <w:rsid w:val="009E620F"/>
    <w:rsid w:val="009E6475"/>
    <w:rsid w:val="009E6520"/>
    <w:rsid w:val="009E65BC"/>
    <w:rsid w:val="009E6790"/>
    <w:rsid w:val="009E6814"/>
    <w:rsid w:val="009E69B0"/>
    <w:rsid w:val="009E6A0F"/>
    <w:rsid w:val="009E6A35"/>
    <w:rsid w:val="009E6B06"/>
    <w:rsid w:val="009E6C4C"/>
    <w:rsid w:val="009E6D20"/>
    <w:rsid w:val="009E6D36"/>
    <w:rsid w:val="009E6D80"/>
    <w:rsid w:val="009E6D95"/>
    <w:rsid w:val="009E6FDF"/>
    <w:rsid w:val="009E7210"/>
    <w:rsid w:val="009E7321"/>
    <w:rsid w:val="009E73E7"/>
    <w:rsid w:val="009E7588"/>
    <w:rsid w:val="009E769D"/>
    <w:rsid w:val="009E76FD"/>
    <w:rsid w:val="009E785A"/>
    <w:rsid w:val="009E78CE"/>
    <w:rsid w:val="009E7964"/>
    <w:rsid w:val="009E7994"/>
    <w:rsid w:val="009E79D3"/>
    <w:rsid w:val="009E7A60"/>
    <w:rsid w:val="009E7A76"/>
    <w:rsid w:val="009E7B38"/>
    <w:rsid w:val="009E7BC1"/>
    <w:rsid w:val="009E7C5D"/>
    <w:rsid w:val="009E7EDC"/>
    <w:rsid w:val="009E7F56"/>
    <w:rsid w:val="009F011E"/>
    <w:rsid w:val="009F0291"/>
    <w:rsid w:val="009F029D"/>
    <w:rsid w:val="009F0356"/>
    <w:rsid w:val="009F0490"/>
    <w:rsid w:val="009F05FD"/>
    <w:rsid w:val="009F0766"/>
    <w:rsid w:val="009F08BE"/>
    <w:rsid w:val="009F0937"/>
    <w:rsid w:val="009F09C0"/>
    <w:rsid w:val="009F0B65"/>
    <w:rsid w:val="009F0C6A"/>
    <w:rsid w:val="009F0D0D"/>
    <w:rsid w:val="009F0F76"/>
    <w:rsid w:val="009F0F89"/>
    <w:rsid w:val="009F1027"/>
    <w:rsid w:val="009F10BA"/>
    <w:rsid w:val="009F1306"/>
    <w:rsid w:val="009F139E"/>
    <w:rsid w:val="009F1436"/>
    <w:rsid w:val="009F15AF"/>
    <w:rsid w:val="009F15E6"/>
    <w:rsid w:val="009F166C"/>
    <w:rsid w:val="009F1A83"/>
    <w:rsid w:val="009F1C79"/>
    <w:rsid w:val="009F1CA0"/>
    <w:rsid w:val="009F1D67"/>
    <w:rsid w:val="009F1DC6"/>
    <w:rsid w:val="009F1DCB"/>
    <w:rsid w:val="009F1DEC"/>
    <w:rsid w:val="009F1EF0"/>
    <w:rsid w:val="009F1F89"/>
    <w:rsid w:val="009F2080"/>
    <w:rsid w:val="009F20FE"/>
    <w:rsid w:val="009F2232"/>
    <w:rsid w:val="009F22A4"/>
    <w:rsid w:val="009F245C"/>
    <w:rsid w:val="009F24D4"/>
    <w:rsid w:val="009F25D5"/>
    <w:rsid w:val="009F25FB"/>
    <w:rsid w:val="009F2657"/>
    <w:rsid w:val="009F2717"/>
    <w:rsid w:val="009F2792"/>
    <w:rsid w:val="009F27BA"/>
    <w:rsid w:val="009F2B6D"/>
    <w:rsid w:val="009F2CEF"/>
    <w:rsid w:val="009F2CFA"/>
    <w:rsid w:val="009F2E7E"/>
    <w:rsid w:val="009F2FFB"/>
    <w:rsid w:val="009F302A"/>
    <w:rsid w:val="009F30ED"/>
    <w:rsid w:val="009F328F"/>
    <w:rsid w:val="009F349D"/>
    <w:rsid w:val="009F34D7"/>
    <w:rsid w:val="009F350D"/>
    <w:rsid w:val="009F359D"/>
    <w:rsid w:val="009F35B9"/>
    <w:rsid w:val="009F35CF"/>
    <w:rsid w:val="009F3627"/>
    <w:rsid w:val="009F36F8"/>
    <w:rsid w:val="009F381E"/>
    <w:rsid w:val="009F3857"/>
    <w:rsid w:val="009F38B8"/>
    <w:rsid w:val="009F38FC"/>
    <w:rsid w:val="009F3A39"/>
    <w:rsid w:val="009F3A5F"/>
    <w:rsid w:val="009F3BBB"/>
    <w:rsid w:val="009F3DF9"/>
    <w:rsid w:val="009F3E0D"/>
    <w:rsid w:val="009F3E13"/>
    <w:rsid w:val="009F3E2B"/>
    <w:rsid w:val="009F3F69"/>
    <w:rsid w:val="009F4089"/>
    <w:rsid w:val="009F41EE"/>
    <w:rsid w:val="009F424E"/>
    <w:rsid w:val="009F427D"/>
    <w:rsid w:val="009F43A4"/>
    <w:rsid w:val="009F43B6"/>
    <w:rsid w:val="009F4465"/>
    <w:rsid w:val="009F4608"/>
    <w:rsid w:val="009F46C5"/>
    <w:rsid w:val="009F47BB"/>
    <w:rsid w:val="009F47FF"/>
    <w:rsid w:val="009F4827"/>
    <w:rsid w:val="009F48B5"/>
    <w:rsid w:val="009F4AAC"/>
    <w:rsid w:val="009F4B72"/>
    <w:rsid w:val="009F4BC0"/>
    <w:rsid w:val="009F4C20"/>
    <w:rsid w:val="009F4C3E"/>
    <w:rsid w:val="009F4C61"/>
    <w:rsid w:val="009F4CDD"/>
    <w:rsid w:val="009F4D31"/>
    <w:rsid w:val="009F4E32"/>
    <w:rsid w:val="009F4F45"/>
    <w:rsid w:val="009F4F68"/>
    <w:rsid w:val="009F507C"/>
    <w:rsid w:val="009F50FE"/>
    <w:rsid w:val="009F5191"/>
    <w:rsid w:val="009F5260"/>
    <w:rsid w:val="009F52A5"/>
    <w:rsid w:val="009F558F"/>
    <w:rsid w:val="009F55AE"/>
    <w:rsid w:val="009F56D2"/>
    <w:rsid w:val="009F5738"/>
    <w:rsid w:val="009F58F8"/>
    <w:rsid w:val="009F599C"/>
    <w:rsid w:val="009F59EE"/>
    <w:rsid w:val="009F5B14"/>
    <w:rsid w:val="009F5BF2"/>
    <w:rsid w:val="009F5D4B"/>
    <w:rsid w:val="009F5F2D"/>
    <w:rsid w:val="009F5FD6"/>
    <w:rsid w:val="009F5FF4"/>
    <w:rsid w:val="009F6060"/>
    <w:rsid w:val="009F6071"/>
    <w:rsid w:val="009F60EB"/>
    <w:rsid w:val="009F6265"/>
    <w:rsid w:val="009F630B"/>
    <w:rsid w:val="009F640A"/>
    <w:rsid w:val="009F6523"/>
    <w:rsid w:val="009F66E2"/>
    <w:rsid w:val="009F6790"/>
    <w:rsid w:val="009F67DB"/>
    <w:rsid w:val="009F6866"/>
    <w:rsid w:val="009F6922"/>
    <w:rsid w:val="009F6993"/>
    <w:rsid w:val="009F69F8"/>
    <w:rsid w:val="009F6B8D"/>
    <w:rsid w:val="009F6BF7"/>
    <w:rsid w:val="009F6DBA"/>
    <w:rsid w:val="009F6F38"/>
    <w:rsid w:val="009F6F68"/>
    <w:rsid w:val="009F6FA2"/>
    <w:rsid w:val="009F7031"/>
    <w:rsid w:val="009F70B7"/>
    <w:rsid w:val="009F7168"/>
    <w:rsid w:val="009F71BF"/>
    <w:rsid w:val="009F739B"/>
    <w:rsid w:val="009F73AB"/>
    <w:rsid w:val="009F74DF"/>
    <w:rsid w:val="009F75F0"/>
    <w:rsid w:val="009F7625"/>
    <w:rsid w:val="009F76DC"/>
    <w:rsid w:val="009F7743"/>
    <w:rsid w:val="009F7752"/>
    <w:rsid w:val="009F7763"/>
    <w:rsid w:val="009F7766"/>
    <w:rsid w:val="009F7781"/>
    <w:rsid w:val="009F7841"/>
    <w:rsid w:val="009F7AC9"/>
    <w:rsid w:val="009F7AD5"/>
    <w:rsid w:val="009F7BC6"/>
    <w:rsid w:val="009F7C1B"/>
    <w:rsid w:val="009F7CBC"/>
    <w:rsid w:val="009F7CC3"/>
    <w:rsid w:val="009F7EE6"/>
    <w:rsid w:val="009F7FDD"/>
    <w:rsid w:val="00A00008"/>
    <w:rsid w:val="00A00416"/>
    <w:rsid w:val="00A004FC"/>
    <w:rsid w:val="00A00556"/>
    <w:rsid w:val="00A0069D"/>
    <w:rsid w:val="00A0084E"/>
    <w:rsid w:val="00A00904"/>
    <w:rsid w:val="00A00A3E"/>
    <w:rsid w:val="00A00C79"/>
    <w:rsid w:val="00A00D3E"/>
    <w:rsid w:val="00A00E9D"/>
    <w:rsid w:val="00A00F65"/>
    <w:rsid w:val="00A01085"/>
    <w:rsid w:val="00A01107"/>
    <w:rsid w:val="00A012AF"/>
    <w:rsid w:val="00A013B1"/>
    <w:rsid w:val="00A013F7"/>
    <w:rsid w:val="00A014A2"/>
    <w:rsid w:val="00A014E6"/>
    <w:rsid w:val="00A01630"/>
    <w:rsid w:val="00A016DB"/>
    <w:rsid w:val="00A017C6"/>
    <w:rsid w:val="00A019D0"/>
    <w:rsid w:val="00A019EE"/>
    <w:rsid w:val="00A01A13"/>
    <w:rsid w:val="00A01B55"/>
    <w:rsid w:val="00A01ECE"/>
    <w:rsid w:val="00A01EE5"/>
    <w:rsid w:val="00A01F1A"/>
    <w:rsid w:val="00A01F2A"/>
    <w:rsid w:val="00A021F1"/>
    <w:rsid w:val="00A02376"/>
    <w:rsid w:val="00A025A8"/>
    <w:rsid w:val="00A02786"/>
    <w:rsid w:val="00A0282D"/>
    <w:rsid w:val="00A02883"/>
    <w:rsid w:val="00A029B1"/>
    <w:rsid w:val="00A029D7"/>
    <w:rsid w:val="00A029F5"/>
    <w:rsid w:val="00A02A60"/>
    <w:rsid w:val="00A02AD0"/>
    <w:rsid w:val="00A02C0E"/>
    <w:rsid w:val="00A02CCF"/>
    <w:rsid w:val="00A02CE2"/>
    <w:rsid w:val="00A02E4C"/>
    <w:rsid w:val="00A02E83"/>
    <w:rsid w:val="00A02F5E"/>
    <w:rsid w:val="00A02FF9"/>
    <w:rsid w:val="00A030E4"/>
    <w:rsid w:val="00A032BA"/>
    <w:rsid w:val="00A03304"/>
    <w:rsid w:val="00A033B1"/>
    <w:rsid w:val="00A033E5"/>
    <w:rsid w:val="00A034A6"/>
    <w:rsid w:val="00A036DC"/>
    <w:rsid w:val="00A036F8"/>
    <w:rsid w:val="00A03AAD"/>
    <w:rsid w:val="00A03B30"/>
    <w:rsid w:val="00A03CC5"/>
    <w:rsid w:val="00A03E49"/>
    <w:rsid w:val="00A03EE9"/>
    <w:rsid w:val="00A03F4B"/>
    <w:rsid w:val="00A0406E"/>
    <w:rsid w:val="00A0408D"/>
    <w:rsid w:val="00A04171"/>
    <w:rsid w:val="00A041A4"/>
    <w:rsid w:val="00A041F3"/>
    <w:rsid w:val="00A042B7"/>
    <w:rsid w:val="00A0435F"/>
    <w:rsid w:val="00A043A9"/>
    <w:rsid w:val="00A0448D"/>
    <w:rsid w:val="00A045C2"/>
    <w:rsid w:val="00A04758"/>
    <w:rsid w:val="00A04789"/>
    <w:rsid w:val="00A0478A"/>
    <w:rsid w:val="00A0481F"/>
    <w:rsid w:val="00A04A92"/>
    <w:rsid w:val="00A04B0A"/>
    <w:rsid w:val="00A04C03"/>
    <w:rsid w:val="00A04C69"/>
    <w:rsid w:val="00A04D78"/>
    <w:rsid w:val="00A04F90"/>
    <w:rsid w:val="00A0525C"/>
    <w:rsid w:val="00A0527A"/>
    <w:rsid w:val="00A05435"/>
    <w:rsid w:val="00A0549B"/>
    <w:rsid w:val="00A055EE"/>
    <w:rsid w:val="00A0577F"/>
    <w:rsid w:val="00A05833"/>
    <w:rsid w:val="00A0589C"/>
    <w:rsid w:val="00A05AAA"/>
    <w:rsid w:val="00A05B58"/>
    <w:rsid w:val="00A05C02"/>
    <w:rsid w:val="00A05C4F"/>
    <w:rsid w:val="00A05D8C"/>
    <w:rsid w:val="00A05E77"/>
    <w:rsid w:val="00A05E7A"/>
    <w:rsid w:val="00A05F68"/>
    <w:rsid w:val="00A05FAF"/>
    <w:rsid w:val="00A05FD5"/>
    <w:rsid w:val="00A0619A"/>
    <w:rsid w:val="00A061C1"/>
    <w:rsid w:val="00A06253"/>
    <w:rsid w:val="00A062A1"/>
    <w:rsid w:val="00A062D9"/>
    <w:rsid w:val="00A06555"/>
    <w:rsid w:val="00A065EF"/>
    <w:rsid w:val="00A066EE"/>
    <w:rsid w:val="00A068E5"/>
    <w:rsid w:val="00A0695B"/>
    <w:rsid w:val="00A06A10"/>
    <w:rsid w:val="00A06AAC"/>
    <w:rsid w:val="00A06B4D"/>
    <w:rsid w:val="00A06EE9"/>
    <w:rsid w:val="00A07127"/>
    <w:rsid w:val="00A0715F"/>
    <w:rsid w:val="00A071A0"/>
    <w:rsid w:val="00A072FD"/>
    <w:rsid w:val="00A07321"/>
    <w:rsid w:val="00A073B8"/>
    <w:rsid w:val="00A07629"/>
    <w:rsid w:val="00A0762A"/>
    <w:rsid w:val="00A0777D"/>
    <w:rsid w:val="00A07878"/>
    <w:rsid w:val="00A07A37"/>
    <w:rsid w:val="00A07A6D"/>
    <w:rsid w:val="00A07B2D"/>
    <w:rsid w:val="00A07B51"/>
    <w:rsid w:val="00A07C7C"/>
    <w:rsid w:val="00A07D3C"/>
    <w:rsid w:val="00A07F8B"/>
    <w:rsid w:val="00A07FFE"/>
    <w:rsid w:val="00A10003"/>
    <w:rsid w:val="00A100A0"/>
    <w:rsid w:val="00A10116"/>
    <w:rsid w:val="00A10142"/>
    <w:rsid w:val="00A101C7"/>
    <w:rsid w:val="00A10258"/>
    <w:rsid w:val="00A1030D"/>
    <w:rsid w:val="00A1033E"/>
    <w:rsid w:val="00A10342"/>
    <w:rsid w:val="00A104B5"/>
    <w:rsid w:val="00A10532"/>
    <w:rsid w:val="00A1061A"/>
    <w:rsid w:val="00A1077C"/>
    <w:rsid w:val="00A10841"/>
    <w:rsid w:val="00A108AD"/>
    <w:rsid w:val="00A10B1C"/>
    <w:rsid w:val="00A10B65"/>
    <w:rsid w:val="00A10BAD"/>
    <w:rsid w:val="00A10C7B"/>
    <w:rsid w:val="00A10D37"/>
    <w:rsid w:val="00A10E79"/>
    <w:rsid w:val="00A10EB2"/>
    <w:rsid w:val="00A10FE6"/>
    <w:rsid w:val="00A11036"/>
    <w:rsid w:val="00A110A3"/>
    <w:rsid w:val="00A1117F"/>
    <w:rsid w:val="00A111B9"/>
    <w:rsid w:val="00A111BB"/>
    <w:rsid w:val="00A11219"/>
    <w:rsid w:val="00A11223"/>
    <w:rsid w:val="00A113F1"/>
    <w:rsid w:val="00A114C1"/>
    <w:rsid w:val="00A11676"/>
    <w:rsid w:val="00A116DB"/>
    <w:rsid w:val="00A11712"/>
    <w:rsid w:val="00A11733"/>
    <w:rsid w:val="00A11843"/>
    <w:rsid w:val="00A118D6"/>
    <w:rsid w:val="00A11996"/>
    <w:rsid w:val="00A11A30"/>
    <w:rsid w:val="00A11AB8"/>
    <w:rsid w:val="00A11AB9"/>
    <w:rsid w:val="00A11ACE"/>
    <w:rsid w:val="00A11C10"/>
    <w:rsid w:val="00A11C18"/>
    <w:rsid w:val="00A11CEB"/>
    <w:rsid w:val="00A11D42"/>
    <w:rsid w:val="00A11D58"/>
    <w:rsid w:val="00A11E92"/>
    <w:rsid w:val="00A11F1E"/>
    <w:rsid w:val="00A12033"/>
    <w:rsid w:val="00A12051"/>
    <w:rsid w:val="00A1208E"/>
    <w:rsid w:val="00A12390"/>
    <w:rsid w:val="00A1247A"/>
    <w:rsid w:val="00A1285F"/>
    <w:rsid w:val="00A128CB"/>
    <w:rsid w:val="00A12988"/>
    <w:rsid w:val="00A12A6D"/>
    <w:rsid w:val="00A12AEF"/>
    <w:rsid w:val="00A12BFA"/>
    <w:rsid w:val="00A12C67"/>
    <w:rsid w:val="00A12D03"/>
    <w:rsid w:val="00A12D79"/>
    <w:rsid w:val="00A12DF0"/>
    <w:rsid w:val="00A12E3C"/>
    <w:rsid w:val="00A12F68"/>
    <w:rsid w:val="00A12FC7"/>
    <w:rsid w:val="00A13269"/>
    <w:rsid w:val="00A132C6"/>
    <w:rsid w:val="00A1333C"/>
    <w:rsid w:val="00A13433"/>
    <w:rsid w:val="00A13456"/>
    <w:rsid w:val="00A13487"/>
    <w:rsid w:val="00A134A1"/>
    <w:rsid w:val="00A13564"/>
    <w:rsid w:val="00A1363C"/>
    <w:rsid w:val="00A138E1"/>
    <w:rsid w:val="00A138E6"/>
    <w:rsid w:val="00A1397B"/>
    <w:rsid w:val="00A139C6"/>
    <w:rsid w:val="00A139E1"/>
    <w:rsid w:val="00A13A9A"/>
    <w:rsid w:val="00A13B01"/>
    <w:rsid w:val="00A13C04"/>
    <w:rsid w:val="00A13C7D"/>
    <w:rsid w:val="00A13D9B"/>
    <w:rsid w:val="00A13EDF"/>
    <w:rsid w:val="00A13F40"/>
    <w:rsid w:val="00A13FF1"/>
    <w:rsid w:val="00A14155"/>
    <w:rsid w:val="00A1415D"/>
    <w:rsid w:val="00A14160"/>
    <w:rsid w:val="00A144F1"/>
    <w:rsid w:val="00A1459D"/>
    <w:rsid w:val="00A1462A"/>
    <w:rsid w:val="00A14656"/>
    <w:rsid w:val="00A146A5"/>
    <w:rsid w:val="00A146D0"/>
    <w:rsid w:val="00A147D6"/>
    <w:rsid w:val="00A1483C"/>
    <w:rsid w:val="00A1493A"/>
    <w:rsid w:val="00A1494E"/>
    <w:rsid w:val="00A14A39"/>
    <w:rsid w:val="00A14A89"/>
    <w:rsid w:val="00A14B1F"/>
    <w:rsid w:val="00A14D6D"/>
    <w:rsid w:val="00A14EAD"/>
    <w:rsid w:val="00A15091"/>
    <w:rsid w:val="00A154A6"/>
    <w:rsid w:val="00A1580D"/>
    <w:rsid w:val="00A1583B"/>
    <w:rsid w:val="00A15956"/>
    <w:rsid w:val="00A1595D"/>
    <w:rsid w:val="00A15C0D"/>
    <w:rsid w:val="00A15C28"/>
    <w:rsid w:val="00A15C2A"/>
    <w:rsid w:val="00A15C4B"/>
    <w:rsid w:val="00A15CD3"/>
    <w:rsid w:val="00A16145"/>
    <w:rsid w:val="00A164D5"/>
    <w:rsid w:val="00A165D3"/>
    <w:rsid w:val="00A1677D"/>
    <w:rsid w:val="00A16825"/>
    <w:rsid w:val="00A169ED"/>
    <w:rsid w:val="00A16A0A"/>
    <w:rsid w:val="00A16A5D"/>
    <w:rsid w:val="00A16AA7"/>
    <w:rsid w:val="00A16AF3"/>
    <w:rsid w:val="00A16B8F"/>
    <w:rsid w:val="00A16BAD"/>
    <w:rsid w:val="00A16BEA"/>
    <w:rsid w:val="00A16DA8"/>
    <w:rsid w:val="00A16E6C"/>
    <w:rsid w:val="00A16E95"/>
    <w:rsid w:val="00A16E9D"/>
    <w:rsid w:val="00A17135"/>
    <w:rsid w:val="00A17173"/>
    <w:rsid w:val="00A17256"/>
    <w:rsid w:val="00A1725C"/>
    <w:rsid w:val="00A17268"/>
    <w:rsid w:val="00A1738F"/>
    <w:rsid w:val="00A1749D"/>
    <w:rsid w:val="00A174A2"/>
    <w:rsid w:val="00A1772A"/>
    <w:rsid w:val="00A1780A"/>
    <w:rsid w:val="00A1782E"/>
    <w:rsid w:val="00A1786A"/>
    <w:rsid w:val="00A1789B"/>
    <w:rsid w:val="00A1789E"/>
    <w:rsid w:val="00A178AD"/>
    <w:rsid w:val="00A179A9"/>
    <w:rsid w:val="00A179C2"/>
    <w:rsid w:val="00A17A78"/>
    <w:rsid w:val="00A17B4A"/>
    <w:rsid w:val="00A17CB8"/>
    <w:rsid w:val="00A17CEF"/>
    <w:rsid w:val="00A17D99"/>
    <w:rsid w:val="00A17DE7"/>
    <w:rsid w:val="00A200F1"/>
    <w:rsid w:val="00A201D7"/>
    <w:rsid w:val="00A20374"/>
    <w:rsid w:val="00A2046B"/>
    <w:rsid w:val="00A204A8"/>
    <w:rsid w:val="00A204E7"/>
    <w:rsid w:val="00A205ED"/>
    <w:rsid w:val="00A205EF"/>
    <w:rsid w:val="00A206B9"/>
    <w:rsid w:val="00A2074C"/>
    <w:rsid w:val="00A20855"/>
    <w:rsid w:val="00A20857"/>
    <w:rsid w:val="00A20887"/>
    <w:rsid w:val="00A209BD"/>
    <w:rsid w:val="00A20A37"/>
    <w:rsid w:val="00A20A3B"/>
    <w:rsid w:val="00A20A73"/>
    <w:rsid w:val="00A20D6C"/>
    <w:rsid w:val="00A2111B"/>
    <w:rsid w:val="00A21121"/>
    <w:rsid w:val="00A21127"/>
    <w:rsid w:val="00A2131E"/>
    <w:rsid w:val="00A2146D"/>
    <w:rsid w:val="00A215C6"/>
    <w:rsid w:val="00A21A53"/>
    <w:rsid w:val="00A21BDD"/>
    <w:rsid w:val="00A21BEA"/>
    <w:rsid w:val="00A21EF7"/>
    <w:rsid w:val="00A21F55"/>
    <w:rsid w:val="00A21F84"/>
    <w:rsid w:val="00A21F92"/>
    <w:rsid w:val="00A22078"/>
    <w:rsid w:val="00A2212B"/>
    <w:rsid w:val="00A221DD"/>
    <w:rsid w:val="00A22233"/>
    <w:rsid w:val="00A22304"/>
    <w:rsid w:val="00A22441"/>
    <w:rsid w:val="00A22471"/>
    <w:rsid w:val="00A224C9"/>
    <w:rsid w:val="00A2254E"/>
    <w:rsid w:val="00A225C9"/>
    <w:rsid w:val="00A22730"/>
    <w:rsid w:val="00A227E1"/>
    <w:rsid w:val="00A229A2"/>
    <w:rsid w:val="00A229D6"/>
    <w:rsid w:val="00A22C14"/>
    <w:rsid w:val="00A22C46"/>
    <w:rsid w:val="00A22CFF"/>
    <w:rsid w:val="00A22D4B"/>
    <w:rsid w:val="00A22E1F"/>
    <w:rsid w:val="00A22E51"/>
    <w:rsid w:val="00A22EB8"/>
    <w:rsid w:val="00A22EC9"/>
    <w:rsid w:val="00A22F53"/>
    <w:rsid w:val="00A22FC9"/>
    <w:rsid w:val="00A22FFA"/>
    <w:rsid w:val="00A231E2"/>
    <w:rsid w:val="00A23347"/>
    <w:rsid w:val="00A23352"/>
    <w:rsid w:val="00A233D1"/>
    <w:rsid w:val="00A234C2"/>
    <w:rsid w:val="00A23559"/>
    <w:rsid w:val="00A235E0"/>
    <w:rsid w:val="00A237C1"/>
    <w:rsid w:val="00A237CF"/>
    <w:rsid w:val="00A23ABC"/>
    <w:rsid w:val="00A23D4A"/>
    <w:rsid w:val="00A24032"/>
    <w:rsid w:val="00A24073"/>
    <w:rsid w:val="00A243F1"/>
    <w:rsid w:val="00A243FF"/>
    <w:rsid w:val="00A244A6"/>
    <w:rsid w:val="00A246A6"/>
    <w:rsid w:val="00A24773"/>
    <w:rsid w:val="00A2478A"/>
    <w:rsid w:val="00A24915"/>
    <w:rsid w:val="00A2499B"/>
    <w:rsid w:val="00A249BA"/>
    <w:rsid w:val="00A24A73"/>
    <w:rsid w:val="00A24B4E"/>
    <w:rsid w:val="00A24C88"/>
    <w:rsid w:val="00A24DBD"/>
    <w:rsid w:val="00A24F3E"/>
    <w:rsid w:val="00A25027"/>
    <w:rsid w:val="00A25123"/>
    <w:rsid w:val="00A25124"/>
    <w:rsid w:val="00A25217"/>
    <w:rsid w:val="00A2526C"/>
    <w:rsid w:val="00A252C0"/>
    <w:rsid w:val="00A253DC"/>
    <w:rsid w:val="00A25849"/>
    <w:rsid w:val="00A25A77"/>
    <w:rsid w:val="00A25AF8"/>
    <w:rsid w:val="00A25B71"/>
    <w:rsid w:val="00A25BFB"/>
    <w:rsid w:val="00A25C62"/>
    <w:rsid w:val="00A25CB9"/>
    <w:rsid w:val="00A25CDC"/>
    <w:rsid w:val="00A25D68"/>
    <w:rsid w:val="00A25E09"/>
    <w:rsid w:val="00A25EB2"/>
    <w:rsid w:val="00A25F88"/>
    <w:rsid w:val="00A25F98"/>
    <w:rsid w:val="00A2609B"/>
    <w:rsid w:val="00A260B1"/>
    <w:rsid w:val="00A260D2"/>
    <w:rsid w:val="00A2625D"/>
    <w:rsid w:val="00A263EF"/>
    <w:rsid w:val="00A2640E"/>
    <w:rsid w:val="00A2647F"/>
    <w:rsid w:val="00A26824"/>
    <w:rsid w:val="00A26982"/>
    <w:rsid w:val="00A2699D"/>
    <w:rsid w:val="00A26A7C"/>
    <w:rsid w:val="00A26AD7"/>
    <w:rsid w:val="00A26AF4"/>
    <w:rsid w:val="00A26B12"/>
    <w:rsid w:val="00A26B1E"/>
    <w:rsid w:val="00A26C30"/>
    <w:rsid w:val="00A26C6B"/>
    <w:rsid w:val="00A26C87"/>
    <w:rsid w:val="00A26EC3"/>
    <w:rsid w:val="00A270D5"/>
    <w:rsid w:val="00A2744F"/>
    <w:rsid w:val="00A274B6"/>
    <w:rsid w:val="00A27606"/>
    <w:rsid w:val="00A276E0"/>
    <w:rsid w:val="00A277E8"/>
    <w:rsid w:val="00A279A8"/>
    <w:rsid w:val="00A27A0B"/>
    <w:rsid w:val="00A27A20"/>
    <w:rsid w:val="00A27A46"/>
    <w:rsid w:val="00A27E52"/>
    <w:rsid w:val="00A30131"/>
    <w:rsid w:val="00A303B6"/>
    <w:rsid w:val="00A303E9"/>
    <w:rsid w:val="00A30469"/>
    <w:rsid w:val="00A30633"/>
    <w:rsid w:val="00A306CD"/>
    <w:rsid w:val="00A307CD"/>
    <w:rsid w:val="00A30850"/>
    <w:rsid w:val="00A308E7"/>
    <w:rsid w:val="00A308EB"/>
    <w:rsid w:val="00A30923"/>
    <w:rsid w:val="00A30978"/>
    <w:rsid w:val="00A309CB"/>
    <w:rsid w:val="00A30A46"/>
    <w:rsid w:val="00A30A48"/>
    <w:rsid w:val="00A30A99"/>
    <w:rsid w:val="00A30AF1"/>
    <w:rsid w:val="00A30B94"/>
    <w:rsid w:val="00A30BE3"/>
    <w:rsid w:val="00A30C3D"/>
    <w:rsid w:val="00A30C5C"/>
    <w:rsid w:val="00A30E06"/>
    <w:rsid w:val="00A30EA9"/>
    <w:rsid w:val="00A30FBA"/>
    <w:rsid w:val="00A30FEB"/>
    <w:rsid w:val="00A3117E"/>
    <w:rsid w:val="00A31249"/>
    <w:rsid w:val="00A31274"/>
    <w:rsid w:val="00A31288"/>
    <w:rsid w:val="00A312A8"/>
    <w:rsid w:val="00A316BC"/>
    <w:rsid w:val="00A316CB"/>
    <w:rsid w:val="00A31758"/>
    <w:rsid w:val="00A31A59"/>
    <w:rsid w:val="00A31D7B"/>
    <w:rsid w:val="00A31DA0"/>
    <w:rsid w:val="00A31DFB"/>
    <w:rsid w:val="00A31E6F"/>
    <w:rsid w:val="00A31EFD"/>
    <w:rsid w:val="00A31F5C"/>
    <w:rsid w:val="00A32097"/>
    <w:rsid w:val="00A321FB"/>
    <w:rsid w:val="00A323A9"/>
    <w:rsid w:val="00A323B5"/>
    <w:rsid w:val="00A32419"/>
    <w:rsid w:val="00A325D6"/>
    <w:rsid w:val="00A32623"/>
    <w:rsid w:val="00A32689"/>
    <w:rsid w:val="00A326B5"/>
    <w:rsid w:val="00A326EE"/>
    <w:rsid w:val="00A32709"/>
    <w:rsid w:val="00A32913"/>
    <w:rsid w:val="00A32AF5"/>
    <w:rsid w:val="00A32B3D"/>
    <w:rsid w:val="00A32CC0"/>
    <w:rsid w:val="00A32E35"/>
    <w:rsid w:val="00A32F5E"/>
    <w:rsid w:val="00A33018"/>
    <w:rsid w:val="00A33144"/>
    <w:rsid w:val="00A332B6"/>
    <w:rsid w:val="00A33450"/>
    <w:rsid w:val="00A336FE"/>
    <w:rsid w:val="00A33878"/>
    <w:rsid w:val="00A338C5"/>
    <w:rsid w:val="00A338F8"/>
    <w:rsid w:val="00A339A3"/>
    <w:rsid w:val="00A33A52"/>
    <w:rsid w:val="00A33A5F"/>
    <w:rsid w:val="00A33A99"/>
    <w:rsid w:val="00A33AE6"/>
    <w:rsid w:val="00A33E58"/>
    <w:rsid w:val="00A343ED"/>
    <w:rsid w:val="00A344A0"/>
    <w:rsid w:val="00A34640"/>
    <w:rsid w:val="00A34726"/>
    <w:rsid w:val="00A34A2D"/>
    <w:rsid w:val="00A34BC8"/>
    <w:rsid w:val="00A34BCF"/>
    <w:rsid w:val="00A34DBD"/>
    <w:rsid w:val="00A34ED7"/>
    <w:rsid w:val="00A34F56"/>
    <w:rsid w:val="00A3508E"/>
    <w:rsid w:val="00A350F9"/>
    <w:rsid w:val="00A352BA"/>
    <w:rsid w:val="00A35578"/>
    <w:rsid w:val="00A3559F"/>
    <w:rsid w:val="00A35775"/>
    <w:rsid w:val="00A357E0"/>
    <w:rsid w:val="00A357F4"/>
    <w:rsid w:val="00A3590E"/>
    <w:rsid w:val="00A35AFE"/>
    <w:rsid w:val="00A35C95"/>
    <w:rsid w:val="00A35D16"/>
    <w:rsid w:val="00A35D52"/>
    <w:rsid w:val="00A35E25"/>
    <w:rsid w:val="00A35FB7"/>
    <w:rsid w:val="00A3613C"/>
    <w:rsid w:val="00A36229"/>
    <w:rsid w:val="00A36265"/>
    <w:rsid w:val="00A362F2"/>
    <w:rsid w:val="00A36392"/>
    <w:rsid w:val="00A36582"/>
    <w:rsid w:val="00A365CF"/>
    <w:rsid w:val="00A3665E"/>
    <w:rsid w:val="00A3677E"/>
    <w:rsid w:val="00A367D9"/>
    <w:rsid w:val="00A367E4"/>
    <w:rsid w:val="00A36C05"/>
    <w:rsid w:val="00A36C91"/>
    <w:rsid w:val="00A36C98"/>
    <w:rsid w:val="00A36CE0"/>
    <w:rsid w:val="00A36DDE"/>
    <w:rsid w:val="00A36DEF"/>
    <w:rsid w:val="00A36EE1"/>
    <w:rsid w:val="00A36EF9"/>
    <w:rsid w:val="00A36F51"/>
    <w:rsid w:val="00A36F94"/>
    <w:rsid w:val="00A370C6"/>
    <w:rsid w:val="00A372C2"/>
    <w:rsid w:val="00A373B0"/>
    <w:rsid w:val="00A37458"/>
    <w:rsid w:val="00A374E0"/>
    <w:rsid w:val="00A374F8"/>
    <w:rsid w:val="00A375C7"/>
    <w:rsid w:val="00A3762C"/>
    <w:rsid w:val="00A3767D"/>
    <w:rsid w:val="00A37719"/>
    <w:rsid w:val="00A377E3"/>
    <w:rsid w:val="00A3781C"/>
    <w:rsid w:val="00A37957"/>
    <w:rsid w:val="00A379B6"/>
    <w:rsid w:val="00A37A74"/>
    <w:rsid w:val="00A37E22"/>
    <w:rsid w:val="00A37E42"/>
    <w:rsid w:val="00A37FAE"/>
    <w:rsid w:val="00A4002D"/>
    <w:rsid w:val="00A40077"/>
    <w:rsid w:val="00A401FA"/>
    <w:rsid w:val="00A40268"/>
    <w:rsid w:val="00A40474"/>
    <w:rsid w:val="00A405F7"/>
    <w:rsid w:val="00A406EA"/>
    <w:rsid w:val="00A4083B"/>
    <w:rsid w:val="00A4089E"/>
    <w:rsid w:val="00A409EB"/>
    <w:rsid w:val="00A40A1E"/>
    <w:rsid w:val="00A40AA0"/>
    <w:rsid w:val="00A40AFA"/>
    <w:rsid w:val="00A40E02"/>
    <w:rsid w:val="00A40F47"/>
    <w:rsid w:val="00A40F56"/>
    <w:rsid w:val="00A40FBC"/>
    <w:rsid w:val="00A41037"/>
    <w:rsid w:val="00A411AF"/>
    <w:rsid w:val="00A41300"/>
    <w:rsid w:val="00A4154C"/>
    <w:rsid w:val="00A415AE"/>
    <w:rsid w:val="00A415B6"/>
    <w:rsid w:val="00A4160F"/>
    <w:rsid w:val="00A41709"/>
    <w:rsid w:val="00A418A5"/>
    <w:rsid w:val="00A41C05"/>
    <w:rsid w:val="00A41CBE"/>
    <w:rsid w:val="00A41FD9"/>
    <w:rsid w:val="00A420EE"/>
    <w:rsid w:val="00A42183"/>
    <w:rsid w:val="00A421B0"/>
    <w:rsid w:val="00A42250"/>
    <w:rsid w:val="00A42267"/>
    <w:rsid w:val="00A422B2"/>
    <w:rsid w:val="00A42547"/>
    <w:rsid w:val="00A4255F"/>
    <w:rsid w:val="00A426B4"/>
    <w:rsid w:val="00A427A8"/>
    <w:rsid w:val="00A428DB"/>
    <w:rsid w:val="00A42A1F"/>
    <w:rsid w:val="00A42B02"/>
    <w:rsid w:val="00A42B3C"/>
    <w:rsid w:val="00A42BE2"/>
    <w:rsid w:val="00A42C6B"/>
    <w:rsid w:val="00A42CA1"/>
    <w:rsid w:val="00A42E77"/>
    <w:rsid w:val="00A42F31"/>
    <w:rsid w:val="00A42F3C"/>
    <w:rsid w:val="00A4301B"/>
    <w:rsid w:val="00A4317B"/>
    <w:rsid w:val="00A4323E"/>
    <w:rsid w:val="00A43408"/>
    <w:rsid w:val="00A43521"/>
    <w:rsid w:val="00A43551"/>
    <w:rsid w:val="00A43780"/>
    <w:rsid w:val="00A4378D"/>
    <w:rsid w:val="00A43818"/>
    <w:rsid w:val="00A4384C"/>
    <w:rsid w:val="00A438AF"/>
    <w:rsid w:val="00A438D8"/>
    <w:rsid w:val="00A43AFF"/>
    <w:rsid w:val="00A43B3C"/>
    <w:rsid w:val="00A43C6D"/>
    <w:rsid w:val="00A43D19"/>
    <w:rsid w:val="00A43E1C"/>
    <w:rsid w:val="00A43E68"/>
    <w:rsid w:val="00A4400A"/>
    <w:rsid w:val="00A440EE"/>
    <w:rsid w:val="00A44119"/>
    <w:rsid w:val="00A44256"/>
    <w:rsid w:val="00A4438A"/>
    <w:rsid w:val="00A44398"/>
    <w:rsid w:val="00A44464"/>
    <w:rsid w:val="00A4450E"/>
    <w:rsid w:val="00A44635"/>
    <w:rsid w:val="00A447B1"/>
    <w:rsid w:val="00A44832"/>
    <w:rsid w:val="00A448B7"/>
    <w:rsid w:val="00A44903"/>
    <w:rsid w:val="00A44B87"/>
    <w:rsid w:val="00A44C00"/>
    <w:rsid w:val="00A44CB4"/>
    <w:rsid w:val="00A44E75"/>
    <w:rsid w:val="00A44EC6"/>
    <w:rsid w:val="00A44F0F"/>
    <w:rsid w:val="00A44FA1"/>
    <w:rsid w:val="00A45058"/>
    <w:rsid w:val="00A45115"/>
    <w:rsid w:val="00A4513E"/>
    <w:rsid w:val="00A45228"/>
    <w:rsid w:val="00A4544F"/>
    <w:rsid w:val="00A45487"/>
    <w:rsid w:val="00A45560"/>
    <w:rsid w:val="00A4565E"/>
    <w:rsid w:val="00A456E7"/>
    <w:rsid w:val="00A45931"/>
    <w:rsid w:val="00A45A0C"/>
    <w:rsid w:val="00A45A25"/>
    <w:rsid w:val="00A45C14"/>
    <w:rsid w:val="00A46072"/>
    <w:rsid w:val="00A460A5"/>
    <w:rsid w:val="00A46362"/>
    <w:rsid w:val="00A46470"/>
    <w:rsid w:val="00A466AD"/>
    <w:rsid w:val="00A466C2"/>
    <w:rsid w:val="00A46764"/>
    <w:rsid w:val="00A46914"/>
    <w:rsid w:val="00A46941"/>
    <w:rsid w:val="00A46AFB"/>
    <w:rsid w:val="00A46D28"/>
    <w:rsid w:val="00A46D65"/>
    <w:rsid w:val="00A46EB2"/>
    <w:rsid w:val="00A46FD3"/>
    <w:rsid w:val="00A470CC"/>
    <w:rsid w:val="00A471DB"/>
    <w:rsid w:val="00A47210"/>
    <w:rsid w:val="00A4723B"/>
    <w:rsid w:val="00A47261"/>
    <w:rsid w:val="00A47534"/>
    <w:rsid w:val="00A47550"/>
    <w:rsid w:val="00A47607"/>
    <w:rsid w:val="00A476A6"/>
    <w:rsid w:val="00A47828"/>
    <w:rsid w:val="00A478C2"/>
    <w:rsid w:val="00A47941"/>
    <w:rsid w:val="00A47962"/>
    <w:rsid w:val="00A47983"/>
    <w:rsid w:val="00A47A96"/>
    <w:rsid w:val="00A47BE2"/>
    <w:rsid w:val="00A47C5B"/>
    <w:rsid w:val="00A47CB7"/>
    <w:rsid w:val="00A47DC1"/>
    <w:rsid w:val="00A47DCB"/>
    <w:rsid w:val="00A50238"/>
    <w:rsid w:val="00A502F2"/>
    <w:rsid w:val="00A5033C"/>
    <w:rsid w:val="00A503B3"/>
    <w:rsid w:val="00A50497"/>
    <w:rsid w:val="00A504A0"/>
    <w:rsid w:val="00A50701"/>
    <w:rsid w:val="00A508B7"/>
    <w:rsid w:val="00A5092D"/>
    <w:rsid w:val="00A509A3"/>
    <w:rsid w:val="00A509ED"/>
    <w:rsid w:val="00A50AAF"/>
    <w:rsid w:val="00A50B16"/>
    <w:rsid w:val="00A50D34"/>
    <w:rsid w:val="00A50D5B"/>
    <w:rsid w:val="00A50FB2"/>
    <w:rsid w:val="00A50FC3"/>
    <w:rsid w:val="00A510A6"/>
    <w:rsid w:val="00A5118E"/>
    <w:rsid w:val="00A5119B"/>
    <w:rsid w:val="00A51324"/>
    <w:rsid w:val="00A513B9"/>
    <w:rsid w:val="00A514BE"/>
    <w:rsid w:val="00A514D1"/>
    <w:rsid w:val="00A5172B"/>
    <w:rsid w:val="00A51780"/>
    <w:rsid w:val="00A51823"/>
    <w:rsid w:val="00A5183A"/>
    <w:rsid w:val="00A518CF"/>
    <w:rsid w:val="00A51AD4"/>
    <w:rsid w:val="00A51B22"/>
    <w:rsid w:val="00A51B4D"/>
    <w:rsid w:val="00A51E89"/>
    <w:rsid w:val="00A51E8B"/>
    <w:rsid w:val="00A51EB8"/>
    <w:rsid w:val="00A52007"/>
    <w:rsid w:val="00A52055"/>
    <w:rsid w:val="00A520A4"/>
    <w:rsid w:val="00A520FF"/>
    <w:rsid w:val="00A52145"/>
    <w:rsid w:val="00A5246C"/>
    <w:rsid w:val="00A524FA"/>
    <w:rsid w:val="00A526F4"/>
    <w:rsid w:val="00A527DE"/>
    <w:rsid w:val="00A528AE"/>
    <w:rsid w:val="00A52937"/>
    <w:rsid w:val="00A5298A"/>
    <w:rsid w:val="00A529CE"/>
    <w:rsid w:val="00A52B26"/>
    <w:rsid w:val="00A52B5D"/>
    <w:rsid w:val="00A52C2C"/>
    <w:rsid w:val="00A52C6C"/>
    <w:rsid w:val="00A52CAB"/>
    <w:rsid w:val="00A52D95"/>
    <w:rsid w:val="00A52E18"/>
    <w:rsid w:val="00A52E27"/>
    <w:rsid w:val="00A530AA"/>
    <w:rsid w:val="00A532C1"/>
    <w:rsid w:val="00A533F8"/>
    <w:rsid w:val="00A53567"/>
    <w:rsid w:val="00A535AA"/>
    <w:rsid w:val="00A53716"/>
    <w:rsid w:val="00A53744"/>
    <w:rsid w:val="00A53787"/>
    <w:rsid w:val="00A53803"/>
    <w:rsid w:val="00A53833"/>
    <w:rsid w:val="00A5397E"/>
    <w:rsid w:val="00A53A14"/>
    <w:rsid w:val="00A53A57"/>
    <w:rsid w:val="00A53A8C"/>
    <w:rsid w:val="00A53AD1"/>
    <w:rsid w:val="00A53D70"/>
    <w:rsid w:val="00A53FEF"/>
    <w:rsid w:val="00A5405B"/>
    <w:rsid w:val="00A54102"/>
    <w:rsid w:val="00A54144"/>
    <w:rsid w:val="00A5420F"/>
    <w:rsid w:val="00A5460D"/>
    <w:rsid w:val="00A54624"/>
    <w:rsid w:val="00A54640"/>
    <w:rsid w:val="00A5467A"/>
    <w:rsid w:val="00A54728"/>
    <w:rsid w:val="00A5475A"/>
    <w:rsid w:val="00A5480C"/>
    <w:rsid w:val="00A548E6"/>
    <w:rsid w:val="00A54925"/>
    <w:rsid w:val="00A54A94"/>
    <w:rsid w:val="00A54D75"/>
    <w:rsid w:val="00A54DAF"/>
    <w:rsid w:val="00A54F0D"/>
    <w:rsid w:val="00A54FB4"/>
    <w:rsid w:val="00A55051"/>
    <w:rsid w:val="00A551AD"/>
    <w:rsid w:val="00A555BB"/>
    <w:rsid w:val="00A558D9"/>
    <w:rsid w:val="00A55992"/>
    <w:rsid w:val="00A55A2F"/>
    <w:rsid w:val="00A55BF8"/>
    <w:rsid w:val="00A55EC7"/>
    <w:rsid w:val="00A55F13"/>
    <w:rsid w:val="00A562C9"/>
    <w:rsid w:val="00A563FC"/>
    <w:rsid w:val="00A564B1"/>
    <w:rsid w:val="00A564E4"/>
    <w:rsid w:val="00A564F9"/>
    <w:rsid w:val="00A5659B"/>
    <w:rsid w:val="00A56646"/>
    <w:rsid w:val="00A56897"/>
    <w:rsid w:val="00A56959"/>
    <w:rsid w:val="00A5697A"/>
    <w:rsid w:val="00A56AAD"/>
    <w:rsid w:val="00A56AEA"/>
    <w:rsid w:val="00A56B5A"/>
    <w:rsid w:val="00A56B82"/>
    <w:rsid w:val="00A56D8F"/>
    <w:rsid w:val="00A56EB8"/>
    <w:rsid w:val="00A56FD3"/>
    <w:rsid w:val="00A572CF"/>
    <w:rsid w:val="00A57741"/>
    <w:rsid w:val="00A578C7"/>
    <w:rsid w:val="00A57B21"/>
    <w:rsid w:val="00A57BAD"/>
    <w:rsid w:val="00A57C21"/>
    <w:rsid w:val="00A57C43"/>
    <w:rsid w:val="00A57C80"/>
    <w:rsid w:val="00A57D5E"/>
    <w:rsid w:val="00A57F6B"/>
    <w:rsid w:val="00A57FE1"/>
    <w:rsid w:val="00A6017E"/>
    <w:rsid w:val="00A601F0"/>
    <w:rsid w:val="00A6079F"/>
    <w:rsid w:val="00A60816"/>
    <w:rsid w:val="00A608D5"/>
    <w:rsid w:val="00A60900"/>
    <w:rsid w:val="00A60935"/>
    <w:rsid w:val="00A60A68"/>
    <w:rsid w:val="00A60CB8"/>
    <w:rsid w:val="00A60D95"/>
    <w:rsid w:val="00A60EF9"/>
    <w:rsid w:val="00A610C7"/>
    <w:rsid w:val="00A610CF"/>
    <w:rsid w:val="00A61181"/>
    <w:rsid w:val="00A61327"/>
    <w:rsid w:val="00A61609"/>
    <w:rsid w:val="00A61634"/>
    <w:rsid w:val="00A616A5"/>
    <w:rsid w:val="00A6173D"/>
    <w:rsid w:val="00A618B8"/>
    <w:rsid w:val="00A61928"/>
    <w:rsid w:val="00A61A0E"/>
    <w:rsid w:val="00A61BB7"/>
    <w:rsid w:val="00A61C37"/>
    <w:rsid w:val="00A61CE2"/>
    <w:rsid w:val="00A620EB"/>
    <w:rsid w:val="00A62102"/>
    <w:rsid w:val="00A62221"/>
    <w:rsid w:val="00A62225"/>
    <w:rsid w:val="00A62232"/>
    <w:rsid w:val="00A622F7"/>
    <w:rsid w:val="00A62538"/>
    <w:rsid w:val="00A62887"/>
    <w:rsid w:val="00A62891"/>
    <w:rsid w:val="00A629DD"/>
    <w:rsid w:val="00A62A07"/>
    <w:rsid w:val="00A62B08"/>
    <w:rsid w:val="00A62C7F"/>
    <w:rsid w:val="00A62CCE"/>
    <w:rsid w:val="00A62CE1"/>
    <w:rsid w:val="00A62E8A"/>
    <w:rsid w:val="00A631F7"/>
    <w:rsid w:val="00A6335A"/>
    <w:rsid w:val="00A63492"/>
    <w:rsid w:val="00A63519"/>
    <w:rsid w:val="00A6351F"/>
    <w:rsid w:val="00A63591"/>
    <w:rsid w:val="00A63612"/>
    <w:rsid w:val="00A63673"/>
    <w:rsid w:val="00A63726"/>
    <w:rsid w:val="00A63776"/>
    <w:rsid w:val="00A63798"/>
    <w:rsid w:val="00A637DC"/>
    <w:rsid w:val="00A63AAC"/>
    <w:rsid w:val="00A63BDC"/>
    <w:rsid w:val="00A63BFA"/>
    <w:rsid w:val="00A63E1C"/>
    <w:rsid w:val="00A63F26"/>
    <w:rsid w:val="00A63F7D"/>
    <w:rsid w:val="00A63F92"/>
    <w:rsid w:val="00A63FB7"/>
    <w:rsid w:val="00A640B9"/>
    <w:rsid w:val="00A64202"/>
    <w:rsid w:val="00A64263"/>
    <w:rsid w:val="00A642B5"/>
    <w:rsid w:val="00A643DC"/>
    <w:rsid w:val="00A6467C"/>
    <w:rsid w:val="00A649D5"/>
    <w:rsid w:val="00A64C5B"/>
    <w:rsid w:val="00A64CA6"/>
    <w:rsid w:val="00A64D1B"/>
    <w:rsid w:val="00A64E0A"/>
    <w:rsid w:val="00A64E6A"/>
    <w:rsid w:val="00A64FED"/>
    <w:rsid w:val="00A64FF3"/>
    <w:rsid w:val="00A64FFD"/>
    <w:rsid w:val="00A65113"/>
    <w:rsid w:val="00A65198"/>
    <w:rsid w:val="00A653A3"/>
    <w:rsid w:val="00A653A4"/>
    <w:rsid w:val="00A654A6"/>
    <w:rsid w:val="00A6550F"/>
    <w:rsid w:val="00A65527"/>
    <w:rsid w:val="00A655BF"/>
    <w:rsid w:val="00A65666"/>
    <w:rsid w:val="00A65776"/>
    <w:rsid w:val="00A65780"/>
    <w:rsid w:val="00A658B0"/>
    <w:rsid w:val="00A65A57"/>
    <w:rsid w:val="00A65AF6"/>
    <w:rsid w:val="00A65B9C"/>
    <w:rsid w:val="00A65BD6"/>
    <w:rsid w:val="00A65C01"/>
    <w:rsid w:val="00A65CB6"/>
    <w:rsid w:val="00A65CD0"/>
    <w:rsid w:val="00A65D47"/>
    <w:rsid w:val="00A65DE9"/>
    <w:rsid w:val="00A65F00"/>
    <w:rsid w:val="00A65FBB"/>
    <w:rsid w:val="00A65FEF"/>
    <w:rsid w:val="00A66052"/>
    <w:rsid w:val="00A66192"/>
    <w:rsid w:val="00A6634B"/>
    <w:rsid w:val="00A663A7"/>
    <w:rsid w:val="00A663DC"/>
    <w:rsid w:val="00A66420"/>
    <w:rsid w:val="00A66537"/>
    <w:rsid w:val="00A6654B"/>
    <w:rsid w:val="00A6670D"/>
    <w:rsid w:val="00A66726"/>
    <w:rsid w:val="00A66A1B"/>
    <w:rsid w:val="00A66B71"/>
    <w:rsid w:val="00A66BCE"/>
    <w:rsid w:val="00A66C27"/>
    <w:rsid w:val="00A66DB0"/>
    <w:rsid w:val="00A66E24"/>
    <w:rsid w:val="00A66EED"/>
    <w:rsid w:val="00A670A3"/>
    <w:rsid w:val="00A673BC"/>
    <w:rsid w:val="00A67464"/>
    <w:rsid w:val="00A675DC"/>
    <w:rsid w:val="00A6771D"/>
    <w:rsid w:val="00A678C6"/>
    <w:rsid w:val="00A6791D"/>
    <w:rsid w:val="00A67934"/>
    <w:rsid w:val="00A67970"/>
    <w:rsid w:val="00A67C05"/>
    <w:rsid w:val="00A67C21"/>
    <w:rsid w:val="00A67CA8"/>
    <w:rsid w:val="00A67FDD"/>
    <w:rsid w:val="00A700C6"/>
    <w:rsid w:val="00A701B1"/>
    <w:rsid w:val="00A70200"/>
    <w:rsid w:val="00A70204"/>
    <w:rsid w:val="00A702E9"/>
    <w:rsid w:val="00A70339"/>
    <w:rsid w:val="00A7033C"/>
    <w:rsid w:val="00A7037A"/>
    <w:rsid w:val="00A70438"/>
    <w:rsid w:val="00A705B5"/>
    <w:rsid w:val="00A705F7"/>
    <w:rsid w:val="00A70818"/>
    <w:rsid w:val="00A709C2"/>
    <w:rsid w:val="00A70B17"/>
    <w:rsid w:val="00A70B63"/>
    <w:rsid w:val="00A70C91"/>
    <w:rsid w:val="00A70CF7"/>
    <w:rsid w:val="00A70F66"/>
    <w:rsid w:val="00A70FB2"/>
    <w:rsid w:val="00A71004"/>
    <w:rsid w:val="00A71091"/>
    <w:rsid w:val="00A711BC"/>
    <w:rsid w:val="00A71280"/>
    <w:rsid w:val="00A713CB"/>
    <w:rsid w:val="00A7142D"/>
    <w:rsid w:val="00A715C1"/>
    <w:rsid w:val="00A71731"/>
    <w:rsid w:val="00A717C5"/>
    <w:rsid w:val="00A718E9"/>
    <w:rsid w:val="00A71941"/>
    <w:rsid w:val="00A71A1E"/>
    <w:rsid w:val="00A71AED"/>
    <w:rsid w:val="00A71B6C"/>
    <w:rsid w:val="00A71BBB"/>
    <w:rsid w:val="00A71DC4"/>
    <w:rsid w:val="00A71E0B"/>
    <w:rsid w:val="00A71F94"/>
    <w:rsid w:val="00A71FCD"/>
    <w:rsid w:val="00A72008"/>
    <w:rsid w:val="00A720F2"/>
    <w:rsid w:val="00A722C6"/>
    <w:rsid w:val="00A72391"/>
    <w:rsid w:val="00A723DA"/>
    <w:rsid w:val="00A724F5"/>
    <w:rsid w:val="00A7254D"/>
    <w:rsid w:val="00A72781"/>
    <w:rsid w:val="00A72818"/>
    <w:rsid w:val="00A72867"/>
    <w:rsid w:val="00A72984"/>
    <w:rsid w:val="00A72996"/>
    <w:rsid w:val="00A729F5"/>
    <w:rsid w:val="00A72A5F"/>
    <w:rsid w:val="00A72A78"/>
    <w:rsid w:val="00A72A98"/>
    <w:rsid w:val="00A72B12"/>
    <w:rsid w:val="00A72B6A"/>
    <w:rsid w:val="00A72C07"/>
    <w:rsid w:val="00A72C81"/>
    <w:rsid w:val="00A72CBD"/>
    <w:rsid w:val="00A72D23"/>
    <w:rsid w:val="00A72E1F"/>
    <w:rsid w:val="00A72E25"/>
    <w:rsid w:val="00A73000"/>
    <w:rsid w:val="00A730E5"/>
    <w:rsid w:val="00A731F9"/>
    <w:rsid w:val="00A736AC"/>
    <w:rsid w:val="00A736F4"/>
    <w:rsid w:val="00A73736"/>
    <w:rsid w:val="00A737F2"/>
    <w:rsid w:val="00A73827"/>
    <w:rsid w:val="00A73891"/>
    <w:rsid w:val="00A739BA"/>
    <w:rsid w:val="00A73A8A"/>
    <w:rsid w:val="00A73C3D"/>
    <w:rsid w:val="00A73D32"/>
    <w:rsid w:val="00A73D97"/>
    <w:rsid w:val="00A73E14"/>
    <w:rsid w:val="00A73E43"/>
    <w:rsid w:val="00A73EE3"/>
    <w:rsid w:val="00A73F7D"/>
    <w:rsid w:val="00A73FA7"/>
    <w:rsid w:val="00A741B8"/>
    <w:rsid w:val="00A74254"/>
    <w:rsid w:val="00A74280"/>
    <w:rsid w:val="00A74301"/>
    <w:rsid w:val="00A74313"/>
    <w:rsid w:val="00A743A2"/>
    <w:rsid w:val="00A74563"/>
    <w:rsid w:val="00A74664"/>
    <w:rsid w:val="00A7483E"/>
    <w:rsid w:val="00A748B4"/>
    <w:rsid w:val="00A74A88"/>
    <w:rsid w:val="00A74C2E"/>
    <w:rsid w:val="00A74CDC"/>
    <w:rsid w:val="00A74D5B"/>
    <w:rsid w:val="00A74D8C"/>
    <w:rsid w:val="00A74F4C"/>
    <w:rsid w:val="00A7509C"/>
    <w:rsid w:val="00A75180"/>
    <w:rsid w:val="00A75214"/>
    <w:rsid w:val="00A75327"/>
    <w:rsid w:val="00A753A8"/>
    <w:rsid w:val="00A75408"/>
    <w:rsid w:val="00A75440"/>
    <w:rsid w:val="00A7558E"/>
    <w:rsid w:val="00A7564F"/>
    <w:rsid w:val="00A7568D"/>
    <w:rsid w:val="00A758C0"/>
    <w:rsid w:val="00A758C2"/>
    <w:rsid w:val="00A758FE"/>
    <w:rsid w:val="00A75970"/>
    <w:rsid w:val="00A75987"/>
    <w:rsid w:val="00A75B59"/>
    <w:rsid w:val="00A75B6A"/>
    <w:rsid w:val="00A75C50"/>
    <w:rsid w:val="00A75C6A"/>
    <w:rsid w:val="00A75CB2"/>
    <w:rsid w:val="00A75D4C"/>
    <w:rsid w:val="00A75D5B"/>
    <w:rsid w:val="00A75E22"/>
    <w:rsid w:val="00A75FEF"/>
    <w:rsid w:val="00A760B2"/>
    <w:rsid w:val="00A76131"/>
    <w:rsid w:val="00A761C0"/>
    <w:rsid w:val="00A761FE"/>
    <w:rsid w:val="00A762FA"/>
    <w:rsid w:val="00A76302"/>
    <w:rsid w:val="00A764A7"/>
    <w:rsid w:val="00A7659A"/>
    <w:rsid w:val="00A766B3"/>
    <w:rsid w:val="00A766E3"/>
    <w:rsid w:val="00A76712"/>
    <w:rsid w:val="00A76766"/>
    <w:rsid w:val="00A76772"/>
    <w:rsid w:val="00A768BE"/>
    <w:rsid w:val="00A768F9"/>
    <w:rsid w:val="00A769A4"/>
    <w:rsid w:val="00A76A88"/>
    <w:rsid w:val="00A76AD3"/>
    <w:rsid w:val="00A76BDB"/>
    <w:rsid w:val="00A76D08"/>
    <w:rsid w:val="00A76D24"/>
    <w:rsid w:val="00A76ECE"/>
    <w:rsid w:val="00A76F25"/>
    <w:rsid w:val="00A76FBF"/>
    <w:rsid w:val="00A76FF9"/>
    <w:rsid w:val="00A770B3"/>
    <w:rsid w:val="00A7731B"/>
    <w:rsid w:val="00A77662"/>
    <w:rsid w:val="00A776BF"/>
    <w:rsid w:val="00A7777C"/>
    <w:rsid w:val="00A777FF"/>
    <w:rsid w:val="00A7790D"/>
    <w:rsid w:val="00A7794F"/>
    <w:rsid w:val="00A77A78"/>
    <w:rsid w:val="00A77ABF"/>
    <w:rsid w:val="00A77AF1"/>
    <w:rsid w:val="00A77B71"/>
    <w:rsid w:val="00A77CFF"/>
    <w:rsid w:val="00A77DE3"/>
    <w:rsid w:val="00A77E45"/>
    <w:rsid w:val="00A8009A"/>
    <w:rsid w:val="00A800F1"/>
    <w:rsid w:val="00A802D6"/>
    <w:rsid w:val="00A8030D"/>
    <w:rsid w:val="00A803DB"/>
    <w:rsid w:val="00A80470"/>
    <w:rsid w:val="00A804D9"/>
    <w:rsid w:val="00A8076D"/>
    <w:rsid w:val="00A8082F"/>
    <w:rsid w:val="00A8097D"/>
    <w:rsid w:val="00A80993"/>
    <w:rsid w:val="00A8099D"/>
    <w:rsid w:val="00A809B8"/>
    <w:rsid w:val="00A80A4F"/>
    <w:rsid w:val="00A80BD4"/>
    <w:rsid w:val="00A80CD0"/>
    <w:rsid w:val="00A80E24"/>
    <w:rsid w:val="00A80E5C"/>
    <w:rsid w:val="00A80E68"/>
    <w:rsid w:val="00A80F10"/>
    <w:rsid w:val="00A810FE"/>
    <w:rsid w:val="00A81165"/>
    <w:rsid w:val="00A8124E"/>
    <w:rsid w:val="00A812E4"/>
    <w:rsid w:val="00A815E5"/>
    <w:rsid w:val="00A815E7"/>
    <w:rsid w:val="00A815F2"/>
    <w:rsid w:val="00A81942"/>
    <w:rsid w:val="00A81AF5"/>
    <w:rsid w:val="00A81B40"/>
    <w:rsid w:val="00A81BEC"/>
    <w:rsid w:val="00A81E53"/>
    <w:rsid w:val="00A81EBC"/>
    <w:rsid w:val="00A81EBD"/>
    <w:rsid w:val="00A81F33"/>
    <w:rsid w:val="00A81FA6"/>
    <w:rsid w:val="00A82018"/>
    <w:rsid w:val="00A821F7"/>
    <w:rsid w:val="00A8223F"/>
    <w:rsid w:val="00A8232F"/>
    <w:rsid w:val="00A823B4"/>
    <w:rsid w:val="00A824EC"/>
    <w:rsid w:val="00A8251F"/>
    <w:rsid w:val="00A82636"/>
    <w:rsid w:val="00A82801"/>
    <w:rsid w:val="00A8292B"/>
    <w:rsid w:val="00A829DF"/>
    <w:rsid w:val="00A82C42"/>
    <w:rsid w:val="00A82C55"/>
    <w:rsid w:val="00A82CC8"/>
    <w:rsid w:val="00A82D57"/>
    <w:rsid w:val="00A82DCC"/>
    <w:rsid w:val="00A82E09"/>
    <w:rsid w:val="00A82EAE"/>
    <w:rsid w:val="00A82ED1"/>
    <w:rsid w:val="00A82F6F"/>
    <w:rsid w:val="00A82FFF"/>
    <w:rsid w:val="00A830E9"/>
    <w:rsid w:val="00A832A5"/>
    <w:rsid w:val="00A832B6"/>
    <w:rsid w:val="00A834B2"/>
    <w:rsid w:val="00A834F2"/>
    <w:rsid w:val="00A835E2"/>
    <w:rsid w:val="00A83653"/>
    <w:rsid w:val="00A836B3"/>
    <w:rsid w:val="00A836C7"/>
    <w:rsid w:val="00A83752"/>
    <w:rsid w:val="00A837C1"/>
    <w:rsid w:val="00A837FB"/>
    <w:rsid w:val="00A839B1"/>
    <w:rsid w:val="00A839E0"/>
    <w:rsid w:val="00A83B27"/>
    <w:rsid w:val="00A83B79"/>
    <w:rsid w:val="00A83B94"/>
    <w:rsid w:val="00A83E13"/>
    <w:rsid w:val="00A83F4B"/>
    <w:rsid w:val="00A84011"/>
    <w:rsid w:val="00A840D3"/>
    <w:rsid w:val="00A841F8"/>
    <w:rsid w:val="00A8426B"/>
    <w:rsid w:val="00A842BB"/>
    <w:rsid w:val="00A845CB"/>
    <w:rsid w:val="00A84620"/>
    <w:rsid w:val="00A8472D"/>
    <w:rsid w:val="00A8486E"/>
    <w:rsid w:val="00A84957"/>
    <w:rsid w:val="00A84AC6"/>
    <w:rsid w:val="00A84B55"/>
    <w:rsid w:val="00A84C1B"/>
    <w:rsid w:val="00A84C63"/>
    <w:rsid w:val="00A84EB7"/>
    <w:rsid w:val="00A8511E"/>
    <w:rsid w:val="00A8518B"/>
    <w:rsid w:val="00A853B9"/>
    <w:rsid w:val="00A85581"/>
    <w:rsid w:val="00A8559D"/>
    <w:rsid w:val="00A855B5"/>
    <w:rsid w:val="00A8565D"/>
    <w:rsid w:val="00A857CA"/>
    <w:rsid w:val="00A8580A"/>
    <w:rsid w:val="00A8580F"/>
    <w:rsid w:val="00A85889"/>
    <w:rsid w:val="00A858C5"/>
    <w:rsid w:val="00A85960"/>
    <w:rsid w:val="00A85A7F"/>
    <w:rsid w:val="00A85B73"/>
    <w:rsid w:val="00A85BC0"/>
    <w:rsid w:val="00A85D3B"/>
    <w:rsid w:val="00A85E12"/>
    <w:rsid w:val="00A85F3E"/>
    <w:rsid w:val="00A85F56"/>
    <w:rsid w:val="00A8605C"/>
    <w:rsid w:val="00A860AE"/>
    <w:rsid w:val="00A864B0"/>
    <w:rsid w:val="00A864C0"/>
    <w:rsid w:val="00A8664A"/>
    <w:rsid w:val="00A86687"/>
    <w:rsid w:val="00A867E6"/>
    <w:rsid w:val="00A86803"/>
    <w:rsid w:val="00A8688E"/>
    <w:rsid w:val="00A86976"/>
    <w:rsid w:val="00A86A01"/>
    <w:rsid w:val="00A86A4B"/>
    <w:rsid w:val="00A86B83"/>
    <w:rsid w:val="00A86BF7"/>
    <w:rsid w:val="00A86C45"/>
    <w:rsid w:val="00A86E0D"/>
    <w:rsid w:val="00A86F03"/>
    <w:rsid w:val="00A86F19"/>
    <w:rsid w:val="00A8706D"/>
    <w:rsid w:val="00A87176"/>
    <w:rsid w:val="00A871DA"/>
    <w:rsid w:val="00A8726E"/>
    <w:rsid w:val="00A87284"/>
    <w:rsid w:val="00A876D7"/>
    <w:rsid w:val="00A8798A"/>
    <w:rsid w:val="00A879A6"/>
    <w:rsid w:val="00A879DE"/>
    <w:rsid w:val="00A87BDF"/>
    <w:rsid w:val="00A87C98"/>
    <w:rsid w:val="00A87CAB"/>
    <w:rsid w:val="00A87EB5"/>
    <w:rsid w:val="00A87F26"/>
    <w:rsid w:val="00A900FA"/>
    <w:rsid w:val="00A9027F"/>
    <w:rsid w:val="00A902E4"/>
    <w:rsid w:val="00A90314"/>
    <w:rsid w:val="00A903D3"/>
    <w:rsid w:val="00A90551"/>
    <w:rsid w:val="00A9057C"/>
    <w:rsid w:val="00A9071F"/>
    <w:rsid w:val="00A907A4"/>
    <w:rsid w:val="00A907B2"/>
    <w:rsid w:val="00A907F3"/>
    <w:rsid w:val="00A90A03"/>
    <w:rsid w:val="00A90A6B"/>
    <w:rsid w:val="00A90D65"/>
    <w:rsid w:val="00A90DB9"/>
    <w:rsid w:val="00A90DEE"/>
    <w:rsid w:val="00A90E0F"/>
    <w:rsid w:val="00A90EB7"/>
    <w:rsid w:val="00A90F3A"/>
    <w:rsid w:val="00A911BE"/>
    <w:rsid w:val="00A911FD"/>
    <w:rsid w:val="00A91245"/>
    <w:rsid w:val="00A913A9"/>
    <w:rsid w:val="00A915D7"/>
    <w:rsid w:val="00A915FC"/>
    <w:rsid w:val="00A918B5"/>
    <w:rsid w:val="00A91928"/>
    <w:rsid w:val="00A91953"/>
    <w:rsid w:val="00A91999"/>
    <w:rsid w:val="00A919F2"/>
    <w:rsid w:val="00A91AB0"/>
    <w:rsid w:val="00A91B44"/>
    <w:rsid w:val="00A91D08"/>
    <w:rsid w:val="00A91D39"/>
    <w:rsid w:val="00A91E04"/>
    <w:rsid w:val="00A91E19"/>
    <w:rsid w:val="00A91F1D"/>
    <w:rsid w:val="00A92096"/>
    <w:rsid w:val="00A9210E"/>
    <w:rsid w:val="00A921C3"/>
    <w:rsid w:val="00A92385"/>
    <w:rsid w:val="00A92453"/>
    <w:rsid w:val="00A925D8"/>
    <w:rsid w:val="00A92639"/>
    <w:rsid w:val="00A926A8"/>
    <w:rsid w:val="00A92816"/>
    <w:rsid w:val="00A92845"/>
    <w:rsid w:val="00A92893"/>
    <w:rsid w:val="00A928EA"/>
    <w:rsid w:val="00A9297A"/>
    <w:rsid w:val="00A9298B"/>
    <w:rsid w:val="00A92A49"/>
    <w:rsid w:val="00A92AAF"/>
    <w:rsid w:val="00A92C13"/>
    <w:rsid w:val="00A92C6E"/>
    <w:rsid w:val="00A92D4C"/>
    <w:rsid w:val="00A92D8E"/>
    <w:rsid w:val="00A92DE4"/>
    <w:rsid w:val="00A92E6C"/>
    <w:rsid w:val="00A92EC1"/>
    <w:rsid w:val="00A92F82"/>
    <w:rsid w:val="00A92FDC"/>
    <w:rsid w:val="00A93444"/>
    <w:rsid w:val="00A9344D"/>
    <w:rsid w:val="00A93505"/>
    <w:rsid w:val="00A93786"/>
    <w:rsid w:val="00A93793"/>
    <w:rsid w:val="00A9385D"/>
    <w:rsid w:val="00A938A5"/>
    <w:rsid w:val="00A938B7"/>
    <w:rsid w:val="00A9393C"/>
    <w:rsid w:val="00A93B4F"/>
    <w:rsid w:val="00A93BC4"/>
    <w:rsid w:val="00A93C23"/>
    <w:rsid w:val="00A93E0D"/>
    <w:rsid w:val="00A93E4B"/>
    <w:rsid w:val="00A93F65"/>
    <w:rsid w:val="00A941BD"/>
    <w:rsid w:val="00A94439"/>
    <w:rsid w:val="00A9451E"/>
    <w:rsid w:val="00A94618"/>
    <w:rsid w:val="00A946CC"/>
    <w:rsid w:val="00A94831"/>
    <w:rsid w:val="00A948F8"/>
    <w:rsid w:val="00A94970"/>
    <w:rsid w:val="00A94987"/>
    <w:rsid w:val="00A94E88"/>
    <w:rsid w:val="00A9506E"/>
    <w:rsid w:val="00A950CF"/>
    <w:rsid w:val="00A95425"/>
    <w:rsid w:val="00A955A1"/>
    <w:rsid w:val="00A9570D"/>
    <w:rsid w:val="00A95809"/>
    <w:rsid w:val="00A95832"/>
    <w:rsid w:val="00A9587E"/>
    <w:rsid w:val="00A95B12"/>
    <w:rsid w:val="00A95B6F"/>
    <w:rsid w:val="00A95BF3"/>
    <w:rsid w:val="00A95CB7"/>
    <w:rsid w:val="00A95CED"/>
    <w:rsid w:val="00A95D10"/>
    <w:rsid w:val="00A95DC4"/>
    <w:rsid w:val="00A95DFA"/>
    <w:rsid w:val="00A95F35"/>
    <w:rsid w:val="00A95FCD"/>
    <w:rsid w:val="00A95FE4"/>
    <w:rsid w:val="00A9635F"/>
    <w:rsid w:val="00A96426"/>
    <w:rsid w:val="00A96538"/>
    <w:rsid w:val="00A96659"/>
    <w:rsid w:val="00A966A0"/>
    <w:rsid w:val="00A967DB"/>
    <w:rsid w:val="00A967E3"/>
    <w:rsid w:val="00A96887"/>
    <w:rsid w:val="00A9689A"/>
    <w:rsid w:val="00A9693F"/>
    <w:rsid w:val="00A96C5A"/>
    <w:rsid w:val="00A96C7B"/>
    <w:rsid w:val="00A96DAC"/>
    <w:rsid w:val="00A96F32"/>
    <w:rsid w:val="00A96FCF"/>
    <w:rsid w:val="00A972DE"/>
    <w:rsid w:val="00A972E5"/>
    <w:rsid w:val="00A973D0"/>
    <w:rsid w:val="00A9761A"/>
    <w:rsid w:val="00A97BE4"/>
    <w:rsid w:val="00A97C51"/>
    <w:rsid w:val="00A97C62"/>
    <w:rsid w:val="00A97D23"/>
    <w:rsid w:val="00A97E9C"/>
    <w:rsid w:val="00A97FB3"/>
    <w:rsid w:val="00A97FD0"/>
    <w:rsid w:val="00AA0089"/>
    <w:rsid w:val="00AA0092"/>
    <w:rsid w:val="00AA0131"/>
    <w:rsid w:val="00AA0273"/>
    <w:rsid w:val="00AA0341"/>
    <w:rsid w:val="00AA0411"/>
    <w:rsid w:val="00AA048C"/>
    <w:rsid w:val="00AA05B1"/>
    <w:rsid w:val="00AA05F7"/>
    <w:rsid w:val="00AA061C"/>
    <w:rsid w:val="00AA0664"/>
    <w:rsid w:val="00AA086D"/>
    <w:rsid w:val="00AA0B4D"/>
    <w:rsid w:val="00AA0B99"/>
    <w:rsid w:val="00AA0ED0"/>
    <w:rsid w:val="00AA0F0C"/>
    <w:rsid w:val="00AA105F"/>
    <w:rsid w:val="00AA1102"/>
    <w:rsid w:val="00AA1112"/>
    <w:rsid w:val="00AA124C"/>
    <w:rsid w:val="00AA140D"/>
    <w:rsid w:val="00AA1459"/>
    <w:rsid w:val="00AA145B"/>
    <w:rsid w:val="00AA1765"/>
    <w:rsid w:val="00AA17C2"/>
    <w:rsid w:val="00AA18CC"/>
    <w:rsid w:val="00AA1947"/>
    <w:rsid w:val="00AA196C"/>
    <w:rsid w:val="00AA1B03"/>
    <w:rsid w:val="00AA1B36"/>
    <w:rsid w:val="00AA1C83"/>
    <w:rsid w:val="00AA1C8A"/>
    <w:rsid w:val="00AA1D05"/>
    <w:rsid w:val="00AA1D7C"/>
    <w:rsid w:val="00AA1D95"/>
    <w:rsid w:val="00AA1DD0"/>
    <w:rsid w:val="00AA1E81"/>
    <w:rsid w:val="00AA1EC9"/>
    <w:rsid w:val="00AA2013"/>
    <w:rsid w:val="00AA2046"/>
    <w:rsid w:val="00AA2069"/>
    <w:rsid w:val="00AA21D6"/>
    <w:rsid w:val="00AA2219"/>
    <w:rsid w:val="00AA230A"/>
    <w:rsid w:val="00AA2360"/>
    <w:rsid w:val="00AA2458"/>
    <w:rsid w:val="00AA258D"/>
    <w:rsid w:val="00AA2773"/>
    <w:rsid w:val="00AA27E1"/>
    <w:rsid w:val="00AA27E2"/>
    <w:rsid w:val="00AA2954"/>
    <w:rsid w:val="00AA2973"/>
    <w:rsid w:val="00AA2B28"/>
    <w:rsid w:val="00AA2B2E"/>
    <w:rsid w:val="00AA2B45"/>
    <w:rsid w:val="00AA2CB2"/>
    <w:rsid w:val="00AA2D77"/>
    <w:rsid w:val="00AA2DDD"/>
    <w:rsid w:val="00AA2DFD"/>
    <w:rsid w:val="00AA30AE"/>
    <w:rsid w:val="00AA3268"/>
    <w:rsid w:val="00AA3372"/>
    <w:rsid w:val="00AA35AE"/>
    <w:rsid w:val="00AA3735"/>
    <w:rsid w:val="00AA3746"/>
    <w:rsid w:val="00AA374D"/>
    <w:rsid w:val="00AA3867"/>
    <w:rsid w:val="00AA3AEB"/>
    <w:rsid w:val="00AA3E72"/>
    <w:rsid w:val="00AA4214"/>
    <w:rsid w:val="00AA42F8"/>
    <w:rsid w:val="00AA4368"/>
    <w:rsid w:val="00AA4378"/>
    <w:rsid w:val="00AA43F5"/>
    <w:rsid w:val="00AA444C"/>
    <w:rsid w:val="00AA4569"/>
    <w:rsid w:val="00AA465C"/>
    <w:rsid w:val="00AA466D"/>
    <w:rsid w:val="00AA4892"/>
    <w:rsid w:val="00AA4946"/>
    <w:rsid w:val="00AA4A26"/>
    <w:rsid w:val="00AA4B72"/>
    <w:rsid w:val="00AA4C05"/>
    <w:rsid w:val="00AA4CA8"/>
    <w:rsid w:val="00AA4D0E"/>
    <w:rsid w:val="00AA4DB6"/>
    <w:rsid w:val="00AA4E2A"/>
    <w:rsid w:val="00AA4EA9"/>
    <w:rsid w:val="00AA4EBA"/>
    <w:rsid w:val="00AA4F16"/>
    <w:rsid w:val="00AA4F34"/>
    <w:rsid w:val="00AA4F40"/>
    <w:rsid w:val="00AA4F58"/>
    <w:rsid w:val="00AA4F96"/>
    <w:rsid w:val="00AA5086"/>
    <w:rsid w:val="00AA50FB"/>
    <w:rsid w:val="00AA51EE"/>
    <w:rsid w:val="00AA52FF"/>
    <w:rsid w:val="00AA5313"/>
    <w:rsid w:val="00AA533F"/>
    <w:rsid w:val="00AA5394"/>
    <w:rsid w:val="00AA542B"/>
    <w:rsid w:val="00AA5497"/>
    <w:rsid w:val="00AA55E7"/>
    <w:rsid w:val="00AA57CE"/>
    <w:rsid w:val="00AA5804"/>
    <w:rsid w:val="00AA5835"/>
    <w:rsid w:val="00AA5932"/>
    <w:rsid w:val="00AA5C41"/>
    <w:rsid w:val="00AA5D6F"/>
    <w:rsid w:val="00AA5DA0"/>
    <w:rsid w:val="00AA5DBB"/>
    <w:rsid w:val="00AA5E9B"/>
    <w:rsid w:val="00AA5F28"/>
    <w:rsid w:val="00AA5F8F"/>
    <w:rsid w:val="00AA600F"/>
    <w:rsid w:val="00AA607C"/>
    <w:rsid w:val="00AA6232"/>
    <w:rsid w:val="00AA6264"/>
    <w:rsid w:val="00AA6372"/>
    <w:rsid w:val="00AA646E"/>
    <w:rsid w:val="00AA6477"/>
    <w:rsid w:val="00AA6527"/>
    <w:rsid w:val="00AA655E"/>
    <w:rsid w:val="00AA65B9"/>
    <w:rsid w:val="00AA65F0"/>
    <w:rsid w:val="00AA65F3"/>
    <w:rsid w:val="00AA6863"/>
    <w:rsid w:val="00AA6877"/>
    <w:rsid w:val="00AA689A"/>
    <w:rsid w:val="00AA68C0"/>
    <w:rsid w:val="00AA68EA"/>
    <w:rsid w:val="00AA6A13"/>
    <w:rsid w:val="00AA6A1C"/>
    <w:rsid w:val="00AA6A34"/>
    <w:rsid w:val="00AA6AF5"/>
    <w:rsid w:val="00AA6BD0"/>
    <w:rsid w:val="00AA6BEE"/>
    <w:rsid w:val="00AA6C03"/>
    <w:rsid w:val="00AA6DA5"/>
    <w:rsid w:val="00AA6EAC"/>
    <w:rsid w:val="00AA6FB2"/>
    <w:rsid w:val="00AA6FBC"/>
    <w:rsid w:val="00AA6FD0"/>
    <w:rsid w:val="00AA7073"/>
    <w:rsid w:val="00AA7261"/>
    <w:rsid w:val="00AA730C"/>
    <w:rsid w:val="00AA73C5"/>
    <w:rsid w:val="00AA73D7"/>
    <w:rsid w:val="00AA752F"/>
    <w:rsid w:val="00AA75F4"/>
    <w:rsid w:val="00AA77B5"/>
    <w:rsid w:val="00AA77F7"/>
    <w:rsid w:val="00AA7A7F"/>
    <w:rsid w:val="00AA7B1F"/>
    <w:rsid w:val="00AA7D6E"/>
    <w:rsid w:val="00AA7D96"/>
    <w:rsid w:val="00AA7E42"/>
    <w:rsid w:val="00AA7E76"/>
    <w:rsid w:val="00AA7F59"/>
    <w:rsid w:val="00AB001F"/>
    <w:rsid w:val="00AB0024"/>
    <w:rsid w:val="00AB0171"/>
    <w:rsid w:val="00AB01B7"/>
    <w:rsid w:val="00AB02B0"/>
    <w:rsid w:val="00AB0363"/>
    <w:rsid w:val="00AB04E7"/>
    <w:rsid w:val="00AB05F6"/>
    <w:rsid w:val="00AB06E5"/>
    <w:rsid w:val="00AB079D"/>
    <w:rsid w:val="00AB08E7"/>
    <w:rsid w:val="00AB0989"/>
    <w:rsid w:val="00AB09A5"/>
    <w:rsid w:val="00AB0A0F"/>
    <w:rsid w:val="00AB0A6E"/>
    <w:rsid w:val="00AB0B5D"/>
    <w:rsid w:val="00AB0E20"/>
    <w:rsid w:val="00AB0EC8"/>
    <w:rsid w:val="00AB11B1"/>
    <w:rsid w:val="00AB11C4"/>
    <w:rsid w:val="00AB157B"/>
    <w:rsid w:val="00AB16C1"/>
    <w:rsid w:val="00AB17E4"/>
    <w:rsid w:val="00AB19B8"/>
    <w:rsid w:val="00AB1A1D"/>
    <w:rsid w:val="00AB1C18"/>
    <w:rsid w:val="00AB1DA8"/>
    <w:rsid w:val="00AB1E78"/>
    <w:rsid w:val="00AB1EDD"/>
    <w:rsid w:val="00AB1F22"/>
    <w:rsid w:val="00AB1F70"/>
    <w:rsid w:val="00AB225B"/>
    <w:rsid w:val="00AB2368"/>
    <w:rsid w:val="00AB2420"/>
    <w:rsid w:val="00AB25CB"/>
    <w:rsid w:val="00AB266B"/>
    <w:rsid w:val="00AB274B"/>
    <w:rsid w:val="00AB2842"/>
    <w:rsid w:val="00AB2A35"/>
    <w:rsid w:val="00AB2B5F"/>
    <w:rsid w:val="00AB2C50"/>
    <w:rsid w:val="00AB2D16"/>
    <w:rsid w:val="00AB2D31"/>
    <w:rsid w:val="00AB2D3B"/>
    <w:rsid w:val="00AB2DA5"/>
    <w:rsid w:val="00AB2E14"/>
    <w:rsid w:val="00AB2E70"/>
    <w:rsid w:val="00AB2E7C"/>
    <w:rsid w:val="00AB2EEB"/>
    <w:rsid w:val="00AB2FA1"/>
    <w:rsid w:val="00AB2FAC"/>
    <w:rsid w:val="00AB3159"/>
    <w:rsid w:val="00AB3384"/>
    <w:rsid w:val="00AB3396"/>
    <w:rsid w:val="00AB35FD"/>
    <w:rsid w:val="00AB363F"/>
    <w:rsid w:val="00AB3662"/>
    <w:rsid w:val="00AB3678"/>
    <w:rsid w:val="00AB36CD"/>
    <w:rsid w:val="00AB36D4"/>
    <w:rsid w:val="00AB378E"/>
    <w:rsid w:val="00AB3A7C"/>
    <w:rsid w:val="00AB3DCB"/>
    <w:rsid w:val="00AB3FF3"/>
    <w:rsid w:val="00AB4007"/>
    <w:rsid w:val="00AB413C"/>
    <w:rsid w:val="00AB419C"/>
    <w:rsid w:val="00AB4204"/>
    <w:rsid w:val="00AB4237"/>
    <w:rsid w:val="00AB42B3"/>
    <w:rsid w:val="00AB42F1"/>
    <w:rsid w:val="00AB433F"/>
    <w:rsid w:val="00AB451D"/>
    <w:rsid w:val="00AB46BE"/>
    <w:rsid w:val="00AB46F6"/>
    <w:rsid w:val="00AB478A"/>
    <w:rsid w:val="00AB481E"/>
    <w:rsid w:val="00AB4834"/>
    <w:rsid w:val="00AB4844"/>
    <w:rsid w:val="00AB485D"/>
    <w:rsid w:val="00AB4A76"/>
    <w:rsid w:val="00AB4BC3"/>
    <w:rsid w:val="00AB4C9A"/>
    <w:rsid w:val="00AB4D6C"/>
    <w:rsid w:val="00AB5040"/>
    <w:rsid w:val="00AB51EB"/>
    <w:rsid w:val="00AB52B0"/>
    <w:rsid w:val="00AB542E"/>
    <w:rsid w:val="00AB5752"/>
    <w:rsid w:val="00AB5837"/>
    <w:rsid w:val="00AB5844"/>
    <w:rsid w:val="00AB5A07"/>
    <w:rsid w:val="00AB5A97"/>
    <w:rsid w:val="00AB5B11"/>
    <w:rsid w:val="00AB5BBB"/>
    <w:rsid w:val="00AB5C64"/>
    <w:rsid w:val="00AB5CA8"/>
    <w:rsid w:val="00AB5D71"/>
    <w:rsid w:val="00AB5F19"/>
    <w:rsid w:val="00AB5F6E"/>
    <w:rsid w:val="00AB5FDF"/>
    <w:rsid w:val="00AB5FE9"/>
    <w:rsid w:val="00AB5FFB"/>
    <w:rsid w:val="00AB6018"/>
    <w:rsid w:val="00AB60C3"/>
    <w:rsid w:val="00AB611A"/>
    <w:rsid w:val="00AB62F3"/>
    <w:rsid w:val="00AB645A"/>
    <w:rsid w:val="00AB64BF"/>
    <w:rsid w:val="00AB6554"/>
    <w:rsid w:val="00AB659E"/>
    <w:rsid w:val="00AB6657"/>
    <w:rsid w:val="00AB68F7"/>
    <w:rsid w:val="00AB690D"/>
    <w:rsid w:val="00AB6914"/>
    <w:rsid w:val="00AB693B"/>
    <w:rsid w:val="00AB69CA"/>
    <w:rsid w:val="00AB69F7"/>
    <w:rsid w:val="00AB6AC1"/>
    <w:rsid w:val="00AB6B9F"/>
    <w:rsid w:val="00AB6D2A"/>
    <w:rsid w:val="00AB6D4A"/>
    <w:rsid w:val="00AB6D5B"/>
    <w:rsid w:val="00AB6DDD"/>
    <w:rsid w:val="00AB6E38"/>
    <w:rsid w:val="00AB6E72"/>
    <w:rsid w:val="00AB6F36"/>
    <w:rsid w:val="00AB701D"/>
    <w:rsid w:val="00AB70C4"/>
    <w:rsid w:val="00AB7157"/>
    <w:rsid w:val="00AB718F"/>
    <w:rsid w:val="00AB723F"/>
    <w:rsid w:val="00AB7304"/>
    <w:rsid w:val="00AB738B"/>
    <w:rsid w:val="00AB7397"/>
    <w:rsid w:val="00AB7403"/>
    <w:rsid w:val="00AB7410"/>
    <w:rsid w:val="00AB741C"/>
    <w:rsid w:val="00AB7525"/>
    <w:rsid w:val="00AB76DE"/>
    <w:rsid w:val="00AB76F4"/>
    <w:rsid w:val="00AB78AC"/>
    <w:rsid w:val="00AB7A52"/>
    <w:rsid w:val="00AB7A7D"/>
    <w:rsid w:val="00AB7B36"/>
    <w:rsid w:val="00AB7B70"/>
    <w:rsid w:val="00AB7C74"/>
    <w:rsid w:val="00AC0012"/>
    <w:rsid w:val="00AC0159"/>
    <w:rsid w:val="00AC0198"/>
    <w:rsid w:val="00AC02DC"/>
    <w:rsid w:val="00AC0307"/>
    <w:rsid w:val="00AC030A"/>
    <w:rsid w:val="00AC0310"/>
    <w:rsid w:val="00AC060E"/>
    <w:rsid w:val="00AC08D7"/>
    <w:rsid w:val="00AC0902"/>
    <w:rsid w:val="00AC0BCA"/>
    <w:rsid w:val="00AC0BEC"/>
    <w:rsid w:val="00AC0D36"/>
    <w:rsid w:val="00AC0E6D"/>
    <w:rsid w:val="00AC0FBB"/>
    <w:rsid w:val="00AC1041"/>
    <w:rsid w:val="00AC1067"/>
    <w:rsid w:val="00AC108D"/>
    <w:rsid w:val="00AC10BA"/>
    <w:rsid w:val="00AC12A5"/>
    <w:rsid w:val="00AC1393"/>
    <w:rsid w:val="00AC13CF"/>
    <w:rsid w:val="00AC1400"/>
    <w:rsid w:val="00AC1417"/>
    <w:rsid w:val="00AC171E"/>
    <w:rsid w:val="00AC17EC"/>
    <w:rsid w:val="00AC1B29"/>
    <w:rsid w:val="00AC1C32"/>
    <w:rsid w:val="00AC1D22"/>
    <w:rsid w:val="00AC1D7C"/>
    <w:rsid w:val="00AC1E1A"/>
    <w:rsid w:val="00AC2022"/>
    <w:rsid w:val="00AC207C"/>
    <w:rsid w:val="00AC22C2"/>
    <w:rsid w:val="00AC241C"/>
    <w:rsid w:val="00AC25D4"/>
    <w:rsid w:val="00AC26D2"/>
    <w:rsid w:val="00AC26F5"/>
    <w:rsid w:val="00AC28BF"/>
    <w:rsid w:val="00AC2944"/>
    <w:rsid w:val="00AC2A96"/>
    <w:rsid w:val="00AC2B30"/>
    <w:rsid w:val="00AC2B56"/>
    <w:rsid w:val="00AC2BF1"/>
    <w:rsid w:val="00AC2CF3"/>
    <w:rsid w:val="00AC2D33"/>
    <w:rsid w:val="00AC2D81"/>
    <w:rsid w:val="00AC2E39"/>
    <w:rsid w:val="00AC2E95"/>
    <w:rsid w:val="00AC2EFD"/>
    <w:rsid w:val="00AC3143"/>
    <w:rsid w:val="00AC31EB"/>
    <w:rsid w:val="00AC3211"/>
    <w:rsid w:val="00AC327B"/>
    <w:rsid w:val="00AC328E"/>
    <w:rsid w:val="00AC340C"/>
    <w:rsid w:val="00AC3504"/>
    <w:rsid w:val="00AC3513"/>
    <w:rsid w:val="00AC3601"/>
    <w:rsid w:val="00AC38F1"/>
    <w:rsid w:val="00AC3A0F"/>
    <w:rsid w:val="00AC3A30"/>
    <w:rsid w:val="00AC3BC7"/>
    <w:rsid w:val="00AC3BF0"/>
    <w:rsid w:val="00AC3CFF"/>
    <w:rsid w:val="00AC3ECC"/>
    <w:rsid w:val="00AC4194"/>
    <w:rsid w:val="00AC440B"/>
    <w:rsid w:val="00AC4547"/>
    <w:rsid w:val="00AC4621"/>
    <w:rsid w:val="00AC490F"/>
    <w:rsid w:val="00AC4B53"/>
    <w:rsid w:val="00AC4CA0"/>
    <w:rsid w:val="00AC4CEF"/>
    <w:rsid w:val="00AC4E24"/>
    <w:rsid w:val="00AC5420"/>
    <w:rsid w:val="00AC563E"/>
    <w:rsid w:val="00AC5647"/>
    <w:rsid w:val="00AC567A"/>
    <w:rsid w:val="00AC56EF"/>
    <w:rsid w:val="00AC56F5"/>
    <w:rsid w:val="00AC5803"/>
    <w:rsid w:val="00AC5821"/>
    <w:rsid w:val="00AC58BF"/>
    <w:rsid w:val="00AC59DF"/>
    <w:rsid w:val="00AC5A5A"/>
    <w:rsid w:val="00AC5BB5"/>
    <w:rsid w:val="00AC5C56"/>
    <w:rsid w:val="00AC5CB7"/>
    <w:rsid w:val="00AC5CC1"/>
    <w:rsid w:val="00AC5DCB"/>
    <w:rsid w:val="00AC6064"/>
    <w:rsid w:val="00AC60AF"/>
    <w:rsid w:val="00AC617B"/>
    <w:rsid w:val="00AC62E0"/>
    <w:rsid w:val="00AC63D6"/>
    <w:rsid w:val="00AC64CD"/>
    <w:rsid w:val="00AC65AE"/>
    <w:rsid w:val="00AC6670"/>
    <w:rsid w:val="00AC69F4"/>
    <w:rsid w:val="00AC6A42"/>
    <w:rsid w:val="00AC6B4B"/>
    <w:rsid w:val="00AC6BD4"/>
    <w:rsid w:val="00AC6CA2"/>
    <w:rsid w:val="00AC6CE2"/>
    <w:rsid w:val="00AC6E35"/>
    <w:rsid w:val="00AC6E58"/>
    <w:rsid w:val="00AC6F25"/>
    <w:rsid w:val="00AC6FE2"/>
    <w:rsid w:val="00AC7062"/>
    <w:rsid w:val="00AC7069"/>
    <w:rsid w:val="00AC7072"/>
    <w:rsid w:val="00AC70D7"/>
    <w:rsid w:val="00AC718F"/>
    <w:rsid w:val="00AC7278"/>
    <w:rsid w:val="00AC7291"/>
    <w:rsid w:val="00AC7311"/>
    <w:rsid w:val="00AC73A3"/>
    <w:rsid w:val="00AC7465"/>
    <w:rsid w:val="00AC7698"/>
    <w:rsid w:val="00AC79D4"/>
    <w:rsid w:val="00AC7BEF"/>
    <w:rsid w:val="00AC7D01"/>
    <w:rsid w:val="00AC7DBE"/>
    <w:rsid w:val="00AC7E37"/>
    <w:rsid w:val="00AC7F67"/>
    <w:rsid w:val="00AC7F8F"/>
    <w:rsid w:val="00AD0007"/>
    <w:rsid w:val="00AD0060"/>
    <w:rsid w:val="00AD00E2"/>
    <w:rsid w:val="00AD016C"/>
    <w:rsid w:val="00AD03FB"/>
    <w:rsid w:val="00AD04D6"/>
    <w:rsid w:val="00AD054C"/>
    <w:rsid w:val="00AD0553"/>
    <w:rsid w:val="00AD0584"/>
    <w:rsid w:val="00AD0624"/>
    <w:rsid w:val="00AD07C8"/>
    <w:rsid w:val="00AD082D"/>
    <w:rsid w:val="00AD08A5"/>
    <w:rsid w:val="00AD0AC2"/>
    <w:rsid w:val="00AD0B0F"/>
    <w:rsid w:val="00AD0B3D"/>
    <w:rsid w:val="00AD0B57"/>
    <w:rsid w:val="00AD0C63"/>
    <w:rsid w:val="00AD0D4B"/>
    <w:rsid w:val="00AD0F1A"/>
    <w:rsid w:val="00AD1040"/>
    <w:rsid w:val="00AD1101"/>
    <w:rsid w:val="00AD1195"/>
    <w:rsid w:val="00AD11A9"/>
    <w:rsid w:val="00AD1209"/>
    <w:rsid w:val="00AD12C5"/>
    <w:rsid w:val="00AD138D"/>
    <w:rsid w:val="00AD138E"/>
    <w:rsid w:val="00AD145F"/>
    <w:rsid w:val="00AD14DD"/>
    <w:rsid w:val="00AD1532"/>
    <w:rsid w:val="00AD1649"/>
    <w:rsid w:val="00AD169E"/>
    <w:rsid w:val="00AD16A0"/>
    <w:rsid w:val="00AD16C0"/>
    <w:rsid w:val="00AD184F"/>
    <w:rsid w:val="00AD189B"/>
    <w:rsid w:val="00AD1C8B"/>
    <w:rsid w:val="00AD1D78"/>
    <w:rsid w:val="00AD1F33"/>
    <w:rsid w:val="00AD21F1"/>
    <w:rsid w:val="00AD2211"/>
    <w:rsid w:val="00AD2243"/>
    <w:rsid w:val="00AD229F"/>
    <w:rsid w:val="00AD2740"/>
    <w:rsid w:val="00AD2774"/>
    <w:rsid w:val="00AD2A57"/>
    <w:rsid w:val="00AD2B56"/>
    <w:rsid w:val="00AD2D05"/>
    <w:rsid w:val="00AD2DCE"/>
    <w:rsid w:val="00AD2EEE"/>
    <w:rsid w:val="00AD315A"/>
    <w:rsid w:val="00AD31A6"/>
    <w:rsid w:val="00AD33CB"/>
    <w:rsid w:val="00AD3592"/>
    <w:rsid w:val="00AD36E3"/>
    <w:rsid w:val="00AD37DC"/>
    <w:rsid w:val="00AD395D"/>
    <w:rsid w:val="00AD3A5D"/>
    <w:rsid w:val="00AD3CE7"/>
    <w:rsid w:val="00AD423E"/>
    <w:rsid w:val="00AD4272"/>
    <w:rsid w:val="00AD4297"/>
    <w:rsid w:val="00AD452E"/>
    <w:rsid w:val="00AD4655"/>
    <w:rsid w:val="00AD465C"/>
    <w:rsid w:val="00AD4690"/>
    <w:rsid w:val="00AD46BA"/>
    <w:rsid w:val="00AD4726"/>
    <w:rsid w:val="00AD4861"/>
    <w:rsid w:val="00AD4928"/>
    <w:rsid w:val="00AD4939"/>
    <w:rsid w:val="00AD4C12"/>
    <w:rsid w:val="00AD4CCC"/>
    <w:rsid w:val="00AD4D2F"/>
    <w:rsid w:val="00AD4DC0"/>
    <w:rsid w:val="00AD4E73"/>
    <w:rsid w:val="00AD4EF1"/>
    <w:rsid w:val="00AD4F8A"/>
    <w:rsid w:val="00AD4F91"/>
    <w:rsid w:val="00AD52A4"/>
    <w:rsid w:val="00AD544A"/>
    <w:rsid w:val="00AD5669"/>
    <w:rsid w:val="00AD56C4"/>
    <w:rsid w:val="00AD5849"/>
    <w:rsid w:val="00AD5917"/>
    <w:rsid w:val="00AD59C7"/>
    <w:rsid w:val="00AD59E6"/>
    <w:rsid w:val="00AD5AE6"/>
    <w:rsid w:val="00AD5B02"/>
    <w:rsid w:val="00AD5B5D"/>
    <w:rsid w:val="00AD5DF6"/>
    <w:rsid w:val="00AD5E33"/>
    <w:rsid w:val="00AD5E5B"/>
    <w:rsid w:val="00AD6000"/>
    <w:rsid w:val="00AD60B8"/>
    <w:rsid w:val="00AD65D0"/>
    <w:rsid w:val="00AD6603"/>
    <w:rsid w:val="00AD69D3"/>
    <w:rsid w:val="00AD69D5"/>
    <w:rsid w:val="00AD6A7F"/>
    <w:rsid w:val="00AD6D80"/>
    <w:rsid w:val="00AD7143"/>
    <w:rsid w:val="00AD71CA"/>
    <w:rsid w:val="00AD7309"/>
    <w:rsid w:val="00AD7363"/>
    <w:rsid w:val="00AD73D5"/>
    <w:rsid w:val="00AD7419"/>
    <w:rsid w:val="00AD74DA"/>
    <w:rsid w:val="00AD7785"/>
    <w:rsid w:val="00AD781A"/>
    <w:rsid w:val="00AD784A"/>
    <w:rsid w:val="00AD7A21"/>
    <w:rsid w:val="00AD7AEE"/>
    <w:rsid w:val="00AD7B5D"/>
    <w:rsid w:val="00AD7CAC"/>
    <w:rsid w:val="00AD7D2A"/>
    <w:rsid w:val="00AD7EE5"/>
    <w:rsid w:val="00AD7F64"/>
    <w:rsid w:val="00AD7FA5"/>
    <w:rsid w:val="00AE00C8"/>
    <w:rsid w:val="00AE0110"/>
    <w:rsid w:val="00AE01DE"/>
    <w:rsid w:val="00AE0270"/>
    <w:rsid w:val="00AE0277"/>
    <w:rsid w:val="00AE037B"/>
    <w:rsid w:val="00AE03AA"/>
    <w:rsid w:val="00AE0457"/>
    <w:rsid w:val="00AE04A0"/>
    <w:rsid w:val="00AE0562"/>
    <w:rsid w:val="00AE05CD"/>
    <w:rsid w:val="00AE06BD"/>
    <w:rsid w:val="00AE081F"/>
    <w:rsid w:val="00AE084E"/>
    <w:rsid w:val="00AE0855"/>
    <w:rsid w:val="00AE0910"/>
    <w:rsid w:val="00AE0943"/>
    <w:rsid w:val="00AE0B04"/>
    <w:rsid w:val="00AE0C50"/>
    <w:rsid w:val="00AE0EF9"/>
    <w:rsid w:val="00AE0F24"/>
    <w:rsid w:val="00AE0F8A"/>
    <w:rsid w:val="00AE0FA3"/>
    <w:rsid w:val="00AE12DC"/>
    <w:rsid w:val="00AE171C"/>
    <w:rsid w:val="00AE1813"/>
    <w:rsid w:val="00AE190F"/>
    <w:rsid w:val="00AE19F7"/>
    <w:rsid w:val="00AE1A7E"/>
    <w:rsid w:val="00AE1AB4"/>
    <w:rsid w:val="00AE1AF9"/>
    <w:rsid w:val="00AE1B45"/>
    <w:rsid w:val="00AE1BB1"/>
    <w:rsid w:val="00AE1C5E"/>
    <w:rsid w:val="00AE1C73"/>
    <w:rsid w:val="00AE1CAD"/>
    <w:rsid w:val="00AE204D"/>
    <w:rsid w:val="00AE2062"/>
    <w:rsid w:val="00AE2077"/>
    <w:rsid w:val="00AE22E4"/>
    <w:rsid w:val="00AE2366"/>
    <w:rsid w:val="00AE23D3"/>
    <w:rsid w:val="00AE25EA"/>
    <w:rsid w:val="00AE265F"/>
    <w:rsid w:val="00AE26AE"/>
    <w:rsid w:val="00AE270A"/>
    <w:rsid w:val="00AE2712"/>
    <w:rsid w:val="00AE2816"/>
    <w:rsid w:val="00AE2844"/>
    <w:rsid w:val="00AE2898"/>
    <w:rsid w:val="00AE2B46"/>
    <w:rsid w:val="00AE2B56"/>
    <w:rsid w:val="00AE2B7B"/>
    <w:rsid w:val="00AE2B95"/>
    <w:rsid w:val="00AE2BB6"/>
    <w:rsid w:val="00AE2CE1"/>
    <w:rsid w:val="00AE3008"/>
    <w:rsid w:val="00AE3050"/>
    <w:rsid w:val="00AE305F"/>
    <w:rsid w:val="00AE30AD"/>
    <w:rsid w:val="00AE314A"/>
    <w:rsid w:val="00AE3289"/>
    <w:rsid w:val="00AE33C6"/>
    <w:rsid w:val="00AE353A"/>
    <w:rsid w:val="00AE36C2"/>
    <w:rsid w:val="00AE36DD"/>
    <w:rsid w:val="00AE37AE"/>
    <w:rsid w:val="00AE3822"/>
    <w:rsid w:val="00AE38B5"/>
    <w:rsid w:val="00AE3B2E"/>
    <w:rsid w:val="00AE3B90"/>
    <w:rsid w:val="00AE3CCD"/>
    <w:rsid w:val="00AE3CE2"/>
    <w:rsid w:val="00AE3CE3"/>
    <w:rsid w:val="00AE3E62"/>
    <w:rsid w:val="00AE3FE4"/>
    <w:rsid w:val="00AE4137"/>
    <w:rsid w:val="00AE4210"/>
    <w:rsid w:val="00AE42DE"/>
    <w:rsid w:val="00AE42FE"/>
    <w:rsid w:val="00AE45FC"/>
    <w:rsid w:val="00AE4775"/>
    <w:rsid w:val="00AE48C4"/>
    <w:rsid w:val="00AE4934"/>
    <w:rsid w:val="00AE49C9"/>
    <w:rsid w:val="00AE4A90"/>
    <w:rsid w:val="00AE4C52"/>
    <w:rsid w:val="00AE50EE"/>
    <w:rsid w:val="00AE5136"/>
    <w:rsid w:val="00AE516C"/>
    <w:rsid w:val="00AE51EC"/>
    <w:rsid w:val="00AE526B"/>
    <w:rsid w:val="00AE55D4"/>
    <w:rsid w:val="00AE560F"/>
    <w:rsid w:val="00AE5648"/>
    <w:rsid w:val="00AE565A"/>
    <w:rsid w:val="00AE56C5"/>
    <w:rsid w:val="00AE57E0"/>
    <w:rsid w:val="00AE5837"/>
    <w:rsid w:val="00AE5943"/>
    <w:rsid w:val="00AE5AA3"/>
    <w:rsid w:val="00AE5C22"/>
    <w:rsid w:val="00AE5CFC"/>
    <w:rsid w:val="00AE5D33"/>
    <w:rsid w:val="00AE5DC3"/>
    <w:rsid w:val="00AE5EAA"/>
    <w:rsid w:val="00AE5F03"/>
    <w:rsid w:val="00AE5FFC"/>
    <w:rsid w:val="00AE60BE"/>
    <w:rsid w:val="00AE612E"/>
    <w:rsid w:val="00AE61D3"/>
    <w:rsid w:val="00AE638B"/>
    <w:rsid w:val="00AE65ED"/>
    <w:rsid w:val="00AE667B"/>
    <w:rsid w:val="00AE6879"/>
    <w:rsid w:val="00AE68E7"/>
    <w:rsid w:val="00AE69A4"/>
    <w:rsid w:val="00AE69B8"/>
    <w:rsid w:val="00AE6A06"/>
    <w:rsid w:val="00AE6B7A"/>
    <w:rsid w:val="00AE6BE6"/>
    <w:rsid w:val="00AE6BEC"/>
    <w:rsid w:val="00AE6F39"/>
    <w:rsid w:val="00AE7014"/>
    <w:rsid w:val="00AE71C9"/>
    <w:rsid w:val="00AE747A"/>
    <w:rsid w:val="00AE74EE"/>
    <w:rsid w:val="00AE74F4"/>
    <w:rsid w:val="00AE75E0"/>
    <w:rsid w:val="00AE77DB"/>
    <w:rsid w:val="00AE7857"/>
    <w:rsid w:val="00AE7920"/>
    <w:rsid w:val="00AE792E"/>
    <w:rsid w:val="00AE799E"/>
    <w:rsid w:val="00AE7B46"/>
    <w:rsid w:val="00AE7C92"/>
    <w:rsid w:val="00AE7EA4"/>
    <w:rsid w:val="00AF00BB"/>
    <w:rsid w:val="00AF01DC"/>
    <w:rsid w:val="00AF0255"/>
    <w:rsid w:val="00AF0293"/>
    <w:rsid w:val="00AF048D"/>
    <w:rsid w:val="00AF0518"/>
    <w:rsid w:val="00AF0659"/>
    <w:rsid w:val="00AF071D"/>
    <w:rsid w:val="00AF07B5"/>
    <w:rsid w:val="00AF082A"/>
    <w:rsid w:val="00AF0966"/>
    <w:rsid w:val="00AF0992"/>
    <w:rsid w:val="00AF0A10"/>
    <w:rsid w:val="00AF0A1E"/>
    <w:rsid w:val="00AF0A9E"/>
    <w:rsid w:val="00AF1194"/>
    <w:rsid w:val="00AF122B"/>
    <w:rsid w:val="00AF127F"/>
    <w:rsid w:val="00AF13C7"/>
    <w:rsid w:val="00AF1442"/>
    <w:rsid w:val="00AF1465"/>
    <w:rsid w:val="00AF1562"/>
    <w:rsid w:val="00AF1691"/>
    <w:rsid w:val="00AF16EE"/>
    <w:rsid w:val="00AF1AC3"/>
    <w:rsid w:val="00AF1B0E"/>
    <w:rsid w:val="00AF1D93"/>
    <w:rsid w:val="00AF1DDB"/>
    <w:rsid w:val="00AF1F3C"/>
    <w:rsid w:val="00AF1F8F"/>
    <w:rsid w:val="00AF2037"/>
    <w:rsid w:val="00AF203C"/>
    <w:rsid w:val="00AF2148"/>
    <w:rsid w:val="00AF21F8"/>
    <w:rsid w:val="00AF2335"/>
    <w:rsid w:val="00AF2415"/>
    <w:rsid w:val="00AF24D1"/>
    <w:rsid w:val="00AF259B"/>
    <w:rsid w:val="00AF266D"/>
    <w:rsid w:val="00AF2735"/>
    <w:rsid w:val="00AF2A2E"/>
    <w:rsid w:val="00AF2A7C"/>
    <w:rsid w:val="00AF2AC2"/>
    <w:rsid w:val="00AF2C32"/>
    <w:rsid w:val="00AF2C53"/>
    <w:rsid w:val="00AF2D0C"/>
    <w:rsid w:val="00AF2DE3"/>
    <w:rsid w:val="00AF2F54"/>
    <w:rsid w:val="00AF2F89"/>
    <w:rsid w:val="00AF2FC6"/>
    <w:rsid w:val="00AF30A4"/>
    <w:rsid w:val="00AF30B0"/>
    <w:rsid w:val="00AF30CC"/>
    <w:rsid w:val="00AF34A6"/>
    <w:rsid w:val="00AF35A0"/>
    <w:rsid w:val="00AF3993"/>
    <w:rsid w:val="00AF3ACC"/>
    <w:rsid w:val="00AF3B71"/>
    <w:rsid w:val="00AF3CE5"/>
    <w:rsid w:val="00AF3CFD"/>
    <w:rsid w:val="00AF3D31"/>
    <w:rsid w:val="00AF3F8A"/>
    <w:rsid w:val="00AF3FDB"/>
    <w:rsid w:val="00AF4070"/>
    <w:rsid w:val="00AF40DC"/>
    <w:rsid w:val="00AF41F2"/>
    <w:rsid w:val="00AF4311"/>
    <w:rsid w:val="00AF4357"/>
    <w:rsid w:val="00AF43BA"/>
    <w:rsid w:val="00AF4545"/>
    <w:rsid w:val="00AF46AE"/>
    <w:rsid w:val="00AF474B"/>
    <w:rsid w:val="00AF4753"/>
    <w:rsid w:val="00AF4935"/>
    <w:rsid w:val="00AF4ACD"/>
    <w:rsid w:val="00AF4BA8"/>
    <w:rsid w:val="00AF4BAA"/>
    <w:rsid w:val="00AF4CF5"/>
    <w:rsid w:val="00AF4E2E"/>
    <w:rsid w:val="00AF4E64"/>
    <w:rsid w:val="00AF4ECA"/>
    <w:rsid w:val="00AF5104"/>
    <w:rsid w:val="00AF530E"/>
    <w:rsid w:val="00AF534F"/>
    <w:rsid w:val="00AF535D"/>
    <w:rsid w:val="00AF5550"/>
    <w:rsid w:val="00AF56B3"/>
    <w:rsid w:val="00AF5700"/>
    <w:rsid w:val="00AF5758"/>
    <w:rsid w:val="00AF5789"/>
    <w:rsid w:val="00AF5926"/>
    <w:rsid w:val="00AF59AB"/>
    <w:rsid w:val="00AF59E3"/>
    <w:rsid w:val="00AF5A06"/>
    <w:rsid w:val="00AF5A1F"/>
    <w:rsid w:val="00AF5A61"/>
    <w:rsid w:val="00AF5DA7"/>
    <w:rsid w:val="00AF5E2E"/>
    <w:rsid w:val="00AF5E48"/>
    <w:rsid w:val="00AF5F3C"/>
    <w:rsid w:val="00AF5F42"/>
    <w:rsid w:val="00AF601B"/>
    <w:rsid w:val="00AF6037"/>
    <w:rsid w:val="00AF6151"/>
    <w:rsid w:val="00AF63FA"/>
    <w:rsid w:val="00AF6412"/>
    <w:rsid w:val="00AF6485"/>
    <w:rsid w:val="00AF65BF"/>
    <w:rsid w:val="00AF65CB"/>
    <w:rsid w:val="00AF65EB"/>
    <w:rsid w:val="00AF6678"/>
    <w:rsid w:val="00AF66F3"/>
    <w:rsid w:val="00AF6983"/>
    <w:rsid w:val="00AF69E5"/>
    <w:rsid w:val="00AF6D02"/>
    <w:rsid w:val="00AF6E80"/>
    <w:rsid w:val="00AF6F13"/>
    <w:rsid w:val="00AF6FFF"/>
    <w:rsid w:val="00AF7157"/>
    <w:rsid w:val="00AF71E6"/>
    <w:rsid w:val="00AF7255"/>
    <w:rsid w:val="00AF744A"/>
    <w:rsid w:val="00AF7498"/>
    <w:rsid w:val="00AF7541"/>
    <w:rsid w:val="00AF7728"/>
    <w:rsid w:val="00AF772F"/>
    <w:rsid w:val="00AF7786"/>
    <w:rsid w:val="00AF778D"/>
    <w:rsid w:val="00AF7841"/>
    <w:rsid w:val="00AF79FC"/>
    <w:rsid w:val="00AF7AB8"/>
    <w:rsid w:val="00AF7AFE"/>
    <w:rsid w:val="00AF7BEB"/>
    <w:rsid w:val="00AF7C06"/>
    <w:rsid w:val="00AF7D7E"/>
    <w:rsid w:val="00AF7F39"/>
    <w:rsid w:val="00B00036"/>
    <w:rsid w:val="00B000CD"/>
    <w:rsid w:val="00B0013C"/>
    <w:rsid w:val="00B00279"/>
    <w:rsid w:val="00B0030A"/>
    <w:rsid w:val="00B00393"/>
    <w:rsid w:val="00B00457"/>
    <w:rsid w:val="00B0048F"/>
    <w:rsid w:val="00B00704"/>
    <w:rsid w:val="00B00782"/>
    <w:rsid w:val="00B00850"/>
    <w:rsid w:val="00B00A4C"/>
    <w:rsid w:val="00B00B48"/>
    <w:rsid w:val="00B00B51"/>
    <w:rsid w:val="00B00CFB"/>
    <w:rsid w:val="00B00EB9"/>
    <w:rsid w:val="00B00F75"/>
    <w:rsid w:val="00B0119C"/>
    <w:rsid w:val="00B011F9"/>
    <w:rsid w:val="00B01286"/>
    <w:rsid w:val="00B0128E"/>
    <w:rsid w:val="00B01409"/>
    <w:rsid w:val="00B01414"/>
    <w:rsid w:val="00B0142E"/>
    <w:rsid w:val="00B0147C"/>
    <w:rsid w:val="00B01492"/>
    <w:rsid w:val="00B016EC"/>
    <w:rsid w:val="00B016EE"/>
    <w:rsid w:val="00B01879"/>
    <w:rsid w:val="00B01890"/>
    <w:rsid w:val="00B01896"/>
    <w:rsid w:val="00B01A87"/>
    <w:rsid w:val="00B01B17"/>
    <w:rsid w:val="00B01C84"/>
    <w:rsid w:val="00B01DC4"/>
    <w:rsid w:val="00B01FCE"/>
    <w:rsid w:val="00B02104"/>
    <w:rsid w:val="00B02192"/>
    <w:rsid w:val="00B02199"/>
    <w:rsid w:val="00B02343"/>
    <w:rsid w:val="00B02389"/>
    <w:rsid w:val="00B025D3"/>
    <w:rsid w:val="00B02740"/>
    <w:rsid w:val="00B0285B"/>
    <w:rsid w:val="00B028B6"/>
    <w:rsid w:val="00B02994"/>
    <w:rsid w:val="00B02ABD"/>
    <w:rsid w:val="00B02AC7"/>
    <w:rsid w:val="00B02ADC"/>
    <w:rsid w:val="00B02AE2"/>
    <w:rsid w:val="00B02B20"/>
    <w:rsid w:val="00B02B6E"/>
    <w:rsid w:val="00B02C21"/>
    <w:rsid w:val="00B02C9B"/>
    <w:rsid w:val="00B02D47"/>
    <w:rsid w:val="00B02D71"/>
    <w:rsid w:val="00B02E68"/>
    <w:rsid w:val="00B031A9"/>
    <w:rsid w:val="00B03237"/>
    <w:rsid w:val="00B0328A"/>
    <w:rsid w:val="00B03294"/>
    <w:rsid w:val="00B03408"/>
    <w:rsid w:val="00B03431"/>
    <w:rsid w:val="00B0349B"/>
    <w:rsid w:val="00B034F7"/>
    <w:rsid w:val="00B0365B"/>
    <w:rsid w:val="00B03671"/>
    <w:rsid w:val="00B0383C"/>
    <w:rsid w:val="00B0398A"/>
    <w:rsid w:val="00B03AD6"/>
    <w:rsid w:val="00B03B21"/>
    <w:rsid w:val="00B03C77"/>
    <w:rsid w:val="00B03D26"/>
    <w:rsid w:val="00B03E00"/>
    <w:rsid w:val="00B03E28"/>
    <w:rsid w:val="00B04016"/>
    <w:rsid w:val="00B040E0"/>
    <w:rsid w:val="00B0419D"/>
    <w:rsid w:val="00B041E4"/>
    <w:rsid w:val="00B04219"/>
    <w:rsid w:val="00B042BE"/>
    <w:rsid w:val="00B042DC"/>
    <w:rsid w:val="00B043B6"/>
    <w:rsid w:val="00B0464F"/>
    <w:rsid w:val="00B046C8"/>
    <w:rsid w:val="00B0476E"/>
    <w:rsid w:val="00B04802"/>
    <w:rsid w:val="00B0487A"/>
    <w:rsid w:val="00B049AE"/>
    <w:rsid w:val="00B04BB9"/>
    <w:rsid w:val="00B04CC1"/>
    <w:rsid w:val="00B04D34"/>
    <w:rsid w:val="00B04DA1"/>
    <w:rsid w:val="00B04E2C"/>
    <w:rsid w:val="00B04F57"/>
    <w:rsid w:val="00B04F86"/>
    <w:rsid w:val="00B050BF"/>
    <w:rsid w:val="00B050DA"/>
    <w:rsid w:val="00B0525E"/>
    <w:rsid w:val="00B05436"/>
    <w:rsid w:val="00B057C0"/>
    <w:rsid w:val="00B057E5"/>
    <w:rsid w:val="00B059D1"/>
    <w:rsid w:val="00B05A34"/>
    <w:rsid w:val="00B05A65"/>
    <w:rsid w:val="00B05AD4"/>
    <w:rsid w:val="00B05B5C"/>
    <w:rsid w:val="00B05BFC"/>
    <w:rsid w:val="00B05C5E"/>
    <w:rsid w:val="00B05CB7"/>
    <w:rsid w:val="00B05E45"/>
    <w:rsid w:val="00B05EBA"/>
    <w:rsid w:val="00B05ED1"/>
    <w:rsid w:val="00B0600D"/>
    <w:rsid w:val="00B06213"/>
    <w:rsid w:val="00B0641A"/>
    <w:rsid w:val="00B066C7"/>
    <w:rsid w:val="00B06819"/>
    <w:rsid w:val="00B068B0"/>
    <w:rsid w:val="00B06CEC"/>
    <w:rsid w:val="00B06D30"/>
    <w:rsid w:val="00B06D54"/>
    <w:rsid w:val="00B06E01"/>
    <w:rsid w:val="00B06FF8"/>
    <w:rsid w:val="00B070D5"/>
    <w:rsid w:val="00B070EC"/>
    <w:rsid w:val="00B075E7"/>
    <w:rsid w:val="00B07660"/>
    <w:rsid w:val="00B076C2"/>
    <w:rsid w:val="00B07734"/>
    <w:rsid w:val="00B0778D"/>
    <w:rsid w:val="00B077AF"/>
    <w:rsid w:val="00B0796C"/>
    <w:rsid w:val="00B079BC"/>
    <w:rsid w:val="00B079CC"/>
    <w:rsid w:val="00B07FCF"/>
    <w:rsid w:val="00B10212"/>
    <w:rsid w:val="00B1023B"/>
    <w:rsid w:val="00B1024C"/>
    <w:rsid w:val="00B10285"/>
    <w:rsid w:val="00B102BB"/>
    <w:rsid w:val="00B10319"/>
    <w:rsid w:val="00B103A1"/>
    <w:rsid w:val="00B104F3"/>
    <w:rsid w:val="00B10537"/>
    <w:rsid w:val="00B10781"/>
    <w:rsid w:val="00B10800"/>
    <w:rsid w:val="00B10B25"/>
    <w:rsid w:val="00B10BDE"/>
    <w:rsid w:val="00B11038"/>
    <w:rsid w:val="00B11110"/>
    <w:rsid w:val="00B11416"/>
    <w:rsid w:val="00B11528"/>
    <w:rsid w:val="00B11A0E"/>
    <w:rsid w:val="00B11A27"/>
    <w:rsid w:val="00B11CB5"/>
    <w:rsid w:val="00B11CCA"/>
    <w:rsid w:val="00B11D93"/>
    <w:rsid w:val="00B11EF1"/>
    <w:rsid w:val="00B12073"/>
    <w:rsid w:val="00B120B4"/>
    <w:rsid w:val="00B12196"/>
    <w:rsid w:val="00B1220D"/>
    <w:rsid w:val="00B1231D"/>
    <w:rsid w:val="00B12418"/>
    <w:rsid w:val="00B12420"/>
    <w:rsid w:val="00B12535"/>
    <w:rsid w:val="00B126AC"/>
    <w:rsid w:val="00B12768"/>
    <w:rsid w:val="00B12793"/>
    <w:rsid w:val="00B127C9"/>
    <w:rsid w:val="00B128C8"/>
    <w:rsid w:val="00B12BBC"/>
    <w:rsid w:val="00B12C55"/>
    <w:rsid w:val="00B12D4D"/>
    <w:rsid w:val="00B12E27"/>
    <w:rsid w:val="00B12F68"/>
    <w:rsid w:val="00B13039"/>
    <w:rsid w:val="00B130DE"/>
    <w:rsid w:val="00B1318F"/>
    <w:rsid w:val="00B133D2"/>
    <w:rsid w:val="00B13405"/>
    <w:rsid w:val="00B1346D"/>
    <w:rsid w:val="00B1349E"/>
    <w:rsid w:val="00B134DB"/>
    <w:rsid w:val="00B1359C"/>
    <w:rsid w:val="00B1387B"/>
    <w:rsid w:val="00B13B44"/>
    <w:rsid w:val="00B13C8B"/>
    <w:rsid w:val="00B13CB4"/>
    <w:rsid w:val="00B13CB9"/>
    <w:rsid w:val="00B13CF9"/>
    <w:rsid w:val="00B13D23"/>
    <w:rsid w:val="00B13E14"/>
    <w:rsid w:val="00B14087"/>
    <w:rsid w:val="00B140E2"/>
    <w:rsid w:val="00B142AB"/>
    <w:rsid w:val="00B142D0"/>
    <w:rsid w:val="00B14452"/>
    <w:rsid w:val="00B14541"/>
    <w:rsid w:val="00B1457F"/>
    <w:rsid w:val="00B14697"/>
    <w:rsid w:val="00B14769"/>
    <w:rsid w:val="00B14794"/>
    <w:rsid w:val="00B14883"/>
    <w:rsid w:val="00B14905"/>
    <w:rsid w:val="00B149AE"/>
    <w:rsid w:val="00B14BE2"/>
    <w:rsid w:val="00B14BFB"/>
    <w:rsid w:val="00B14CFF"/>
    <w:rsid w:val="00B14E6E"/>
    <w:rsid w:val="00B14E7C"/>
    <w:rsid w:val="00B14F43"/>
    <w:rsid w:val="00B150BF"/>
    <w:rsid w:val="00B150DC"/>
    <w:rsid w:val="00B15171"/>
    <w:rsid w:val="00B1517F"/>
    <w:rsid w:val="00B151C2"/>
    <w:rsid w:val="00B152EB"/>
    <w:rsid w:val="00B1531B"/>
    <w:rsid w:val="00B1539B"/>
    <w:rsid w:val="00B1546B"/>
    <w:rsid w:val="00B154EA"/>
    <w:rsid w:val="00B15533"/>
    <w:rsid w:val="00B1563A"/>
    <w:rsid w:val="00B15842"/>
    <w:rsid w:val="00B1584A"/>
    <w:rsid w:val="00B15B63"/>
    <w:rsid w:val="00B15FD8"/>
    <w:rsid w:val="00B160A1"/>
    <w:rsid w:val="00B16215"/>
    <w:rsid w:val="00B162CB"/>
    <w:rsid w:val="00B1647B"/>
    <w:rsid w:val="00B1648B"/>
    <w:rsid w:val="00B1661F"/>
    <w:rsid w:val="00B1664D"/>
    <w:rsid w:val="00B16767"/>
    <w:rsid w:val="00B168B4"/>
    <w:rsid w:val="00B1694B"/>
    <w:rsid w:val="00B16A41"/>
    <w:rsid w:val="00B16A60"/>
    <w:rsid w:val="00B16AC2"/>
    <w:rsid w:val="00B16D7B"/>
    <w:rsid w:val="00B16EA0"/>
    <w:rsid w:val="00B16EC5"/>
    <w:rsid w:val="00B173B0"/>
    <w:rsid w:val="00B177F5"/>
    <w:rsid w:val="00B17823"/>
    <w:rsid w:val="00B17833"/>
    <w:rsid w:val="00B178DC"/>
    <w:rsid w:val="00B1795B"/>
    <w:rsid w:val="00B17AAF"/>
    <w:rsid w:val="00B17AD9"/>
    <w:rsid w:val="00B17CFE"/>
    <w:rsid w:val="00B17D34"/>
    <w:rsid w:val="00B17D8B"/>
    <w:rsid w:val="00B17E02"/>
    <w:rsid w:val="00B17E95"/>
    <w:rsid w:val="00B17F33"/>
    <w:rsid w:val="00B203A0"/>
    <w:rsid w:val="00B203E4"/>
    <w:rsid w:val="00B20519"/>
    <w:rsid w:val="00B206B7"/>
    <w:rsid w:val="00B206F5"/>
    <w:rsid w:val="00B208E5"/>
    <w:rsid w:val="00B2094E"/>
    <w:rsid w:val="00B209BE"/>
    <w:rsid w:val="00B209E9"/>
    <w:rsid w:val="00B20B26"/>
    <w:rsid w:val="00B20BCB"/>
    <w:rsid w:val="00B20C8D"/>
    <w:rsid w:val="00B20DD9"/>
    <w:rsid w:val="00B20F64"/>
    <w:rsid w:val="00B21257"/>
    <w:rsid w:val="00B2131B"/>
    <w:rsid w:val="00B21333"/>
    <w:rsid w:val="00B21570"/>
    <w:rsid w:val="00B2176A"/>
    <w:rsid w:val="00B217DE"/>
    <w:rsid w:val="00B21969"/>
    <w:rsid w:val="00B219B0"/>
    <w:rsid w:val="00B21A53"/>
    <w:rsid w:val="00B21A97"/>
    <w:rsid w:val="00B21B19"/>
    <w:rsid w:val="00B21B76"/>
    <w:rsid w:val="00B21B8D"/>
    <w:rsid w:val="00B21CC3"/>
    <w:rsid w:val="00B21E44"/>
    <w:rsid w:val="00B21E48"/>
    <w:rsid w:val="00B21EE8"/>
    <w:rsid w:val="00B21F59"/>
    <w:rsid w:val="00B21F92"/>
    <w:rsid w:val="00B220C2"/>
    <w:rsid w:val="00B220DC"/>
    <w:rsid w:val="00B22129"/>
    <w:rsid w:val="00B22196"/>
    <w:rsid w:val="00B223A9"/>
    <w:rsid w:val="00B223BE"/>
    <w:rsid w:val="00B2243A"/>
    <w:rsid w:val="00B2281A"/>
    <w:rsid w:val="00B228FE"/>
    <w:rsid w:val="00B229C9"/>
    <w:rsid w:val="00B22A0E"/>
    <w:rsid w:val="00B22A89"/>
    <w:rsid w:val="00B22AB1"/>
    <w:rsid w:val="00B22B18"/>
    <w:rsid w:val="00B22BF1"/>
    <w:rsid w:val="00B22C68"/>
    <w:rsid w:val="00B22CC0"/>
    <w:rsid w:val="00B22D3B"/>
    <w:rsid w:val="00B22DA1"/>
    <w:rsid w:val="00B22E3E"/>
    <w:rsid w:val="00B22E53"/>
    <w:rsid w:val="00B23145"/>
    <w:rsid w:val="00B231DC"/>
    <w:rsid w:val="00B231F0"/>
    <w:rsid w:val="00B231F9"/>
    <w:rsid w:val="00B2326A"/>
    <w:rsid w:val="00B23342"/>
    <w:rsid w:val="00B23457"/>
    <w:rsid w:val="00B23525"/>
    <w:rsid w:val="00B23721"/>
    <w:rsid w:val="00B23779"/>
    <w:rsid w:val="00B23837"/>
    <w:rsid w:val="00B2383E"/>
    <w:rsid w:val="00B23983"/>
    <w:rsid w:val="00B23A06"/>
    <w:rsid w:val="00B23A22"/>
    <w:rsid w:val="00B23B0F"/>
    <w:rsid w:val="00B23B95"/>
    <w:rsid w:val="00B23E69"/>
    <w:rsid w:val="00B23E89"/>
    <w:rsid w:val="00B23F61"/>
    <w:rsid w:val="00B23F8B"/>
    <w:rsid w:val="00B23F98"/>
    <w:rsid w:val="00B2402B"/>
    <w:rsid w:val="00B2412D"/>
    <w:rsid w:val="00B2413C"/>
    <w:rsid w:val="00B2415D"/>
    <w:rsid w:val="00B241AB"/>
    <w:rsid w:val="00B24218"/>
    <w:rsid w:val="00B24235"/>
    <w:rsid w:val="00B24323"/>
    <w:rsid w:val="00B243CF"/>
    <w:rsid w:val="00B24444"/>
    <w:rsid w:val="00B244CD"/>
    <w:rsid w:val="00B244DA"/>
    <w:rsid w:val="00B2489D"/>
    <w:rsid w:val="00B24AB4"/>
    <w:rsid w:val="00B24BB9"/>
    <w:rsid w:val="00B24D36"/>
    <w:rsid w:val="00B24D5D"/>
    <w:rsid w:val="00B24ECE"/>
    <w:rsid w:val="00B25028"/>
    <w:rsid w:val="00B25084"/>
    <w:rsid w:val="00B250A1"/>
    <w:rsid w:val="00B251DD"/>
    <w:rsid w:val="00B25234"/>
    <w:rsid w:val="00B25389"/>
    <w:rsid w:val="00B2566B"/>
    <w:rsid w:val="00B256E5"/>
    <w:rsid w:val="00B2579B"/>
    <w:rsid w:val="00B25825"/>
    <w:rsid w:val="00B2588A"/>
    <w:rsid w:val="00B2589E"/>
    <w:rsid w:val="00B2589F"/>
    <w:rsid w:val="00B258CD"/>
    <w:rsid w:val="00B258FD"/>
    <w:rsid w:val="00B2594D"/>
    <w:rsid w:val="00B259E7"/>
    <w:rsid w:val="00B25A2A"/>
    <w:rsid w:val="00B25A44"/>
    <w:rsid w:val="00B25A96"/>
    <w:rsid w:val="00B25CCE"/>
    <w:rsid w:val="00B25E8C"/>
    <w:rsid w:val="00B2602B"/>
    <w:rsid w:val="00B260CF"/>
    <w:rsid w:val="00B260FE"/>
    <w:rsid w:val="00B26139"/>
    <w:rsid w:val="00B26192"/>
    <w:rsid w:val="00B26291"/>
    <w:rsid w:val="00B26292"/>
    <w:rsid w:val="00B262B3"/>
    <w:rsid w:val="00B262D7"/>
    <w:rsid w:val="00B26335"/>
    <w:rsid w:val="00B2637E"/>
    <w:rsid w:val="00B26380"/>
    <w:rsid w:val="00B26591"/>
    <w:rsid w:val="00B2664C"/>
    <w:rsid w:val="00B26692"/>
    <w:rsid w:val="00B266DE"/>
    <w:rsid w:val="00B26790"/>
    <w:rsid w:val="00B2684D"/>
    <w:rsid w:val="00B269B5"/>
    <w:rsid w:val="00B26A26"/>
    <w:rsid w:val="00B26A55"/>
    <w:rsid w:val="00B26B89"/>
    <w:rsid w:val="00B26BCA"/>
    <w:rsid w:val="00B26C13"/>
    <w:rsid w:val="00B26C63"/>
    <w:rsid w:val="00B26CB7"/>
    <w:rsid w:val="00B26DAB"/>
    <w:rsid w:val="00B26DBA"/>
    <w:rsid w:val="00B26F0B"/>
    <w:rsid w:val="00B27052"/>
    <w:rsid w:val="00B27075"/>
    <w:rsid w:val="00B270DE"/>
    <w:rsid w:val="00B27115"/>
    <w:rsid w:val="00B271A1"/>
    <w:rsid w:val="00B2769E"/>
    <w:rsid w:val="00B276AE"/>
    <w:rsid w:val="00B27831"/>
    <w:rsid w:val="00B27848"/>
    <w:rsid w:val="00B2787C"/>
    <w:rsid w:val="00B27929"/>
    <w:rsid w:val="00B27BEB"/>
    <w:rsid w:val="00B27BF6"/>
    <w:rsid w:val="00B27D4D"/>
    <w:rsid w:val="00B27D60"/>
    <w:rsid w:val="00B27E00"/>
    <w:rsid w:val="00B27E1F"/>
    <w:rsid w:val="00B27E50"/>
    <w:rsid w:val="00B27F2F"/>
    <w:rsid w:val="00B30011"/>
    <w:rsid w:val="00B3005A"/>
    <w:rsid w:val="00B30066"/>
    <w:rsid w:val="00B30072"/>
    <w:rsid w:val="00B30160"/>
    <w:rsid w:val="00B302A7"/>
    <w:rsid w:val="00B3031E"/>
    <w:rsid w:val="00B3038B"/>
    <w:rsid w:val="00B3040C"/>
    <w:rsid w:val="00B3042E"/>
    <w:rsid w:val="00B3048C"/>
    <w:rsid w:val="00B304A1"/>
    <w:rsid w:val="00B304F8"/>
    <w:rsid w:val="00B3067F"/>
    <w:rsid w:val="00B3095B"/>
    <w:rsid w:val="00B30A0D"/>
    <w:rsid w:val="00B30B39"/>
    <w:rsid w:val="00B30C3C"/>
    <w:rsid w:val="00B30C67"/>
    <w:rsid w:val="00B30C8B"/>
    <w:rsid w:val="00B30D33"/>
    <w:rsid w:val="00B30E69"/>
    <w:rsid w:val="00B30F09"/>
    <w:rsid w:val="00B30F6F"/>
    <w:rsid w:val="00B31080"/>
    <w:rsid w:val="00B310EB"/>
    <w:rsid w:val="00B3121F"/>
    <w:rsid w:val="00B31275"/>
    <w:rsid w:val="00B312D8"/>
    <w:rsid w:val="00B313B8"/>
    <w:rsid w:val="00B314C8"/>
    <w:rsid w:val="00B3173A"/>
    <w:rsid w:val="00B3179C"/>
    <w:rsid w:val="00B31906"/>
    <w:rsid w:val="00B31CE7"/>
    <w:rsid w:val="00B31DA1"/>
    <w:rsid w:val="00B31E0D"/>
    <w:rsid w:val="00B31E24"/>
    <w:rsid w:val="00B31ED8"/>
    <w:rsid w:val="00B31F1A"/>
    <w:rsid w:val="00B31FCE"/>
    <w:rsid w:val="00B32122"/>
    <w:rsid w:val="00B3214E"/>
    <w:rsid w:val="00B32324"/>
    <w:rsid w:val="00B32588"/>
    <w:rsid w:val="00B325A4"/>
    <w:rsid w:val="00B325CE"/>
    <w:rsid w:val="00B32A82"/>
    <w:rsid w:val="00B32AAC"/>
    <w:rsid w:val="00B32AE6"/>
    <w:rsid w:val="00B32B55"/>
    <w:rsid w:val="00B32BED"/>
    <w:rsid w:val="00B33182"/>
    <w:rsid w:val="00B3323F"/>
    <w:rsid w:val="00B332BD"/>
    <w:rsid w:val="00B3338D"/>
    <w:rsid w:val="00B33395"/>
    <w:rsid w:val="00B3343F"/>
    <w:rsid w:val="00B33618"/>
    <w:rsid w:val="00B336D3"/>
    <w:rsid w:val="00B33A29"/>
    <w:rsid w:val="00B33A92"/>
    <w:rsid w:val="00B33AD6"/>
    <w:rsid w:val="00B33B56"/>
    <w:rsid w:val="00B33CDB"/>
    <w:rsid w:val="00B33D28"/>
    <w:rsid w:val="00B33DA3"/>
    <w:rsid w:val="00B33E1F"/>
    <w:rsid w:val="00B33E74"/>
    <w:rsid w:val="00B34028"/>
    <w:rsid w:val="00B340A7"/>
    <w:rsid w:val="00B340F2"/>
    <w:rsid w:val="00B3410A"/>
    <w:rsid w:val="00B3410C"/>
    <w:rsid w:val="00B3428C"/>
    <w:rsid w:val="00B3429C"/>
    <w:rsid w:val="00B342AB"/>
    <w:rsid w:val="00B3447A"/>
    <w:rsid w:val="00B348BC"/>
    <w:rsid w:val="00B348EA"/>
    <w:rsid w:val="00B34995"/>
    <w:rsid w:val="00B349C4"/>
    <w:rsid w:val="00B349E9"/>
    <w:rsid w:val="00B349F7"/>
    <w:rsid w:val="00B34CD0"/>
    <w:rsid w:val="00B34EAF"/>
    <w:rsid w:val="00B34EEA"/>
    <w:rsid w:val="00B34F89"/>
    <w:rsid w:val="00B350CF"/>
    <w:rsid w:val="00B3530B"/>
    <w:rsid w:val="00B35492"/>
    <w:rsid w:val="00B35641"/>
    <w:rsid w:val="00B35651"/>
    <w:rsid w:val="00B356BC"/>
    <w:rsid w:val="00B357EE"/>
    <w:rsid w:val="00B3580C"/>
    <w:rsid w:val="00B3581D"/>
    <w:rsid w:val="00B35845"/>
    <w:rsid w:val="00B35A3E"/>
    <w:rsid w:val="00B35BD1"/>
    <w:rsid w:val="00B35C89"/>
    <w:rsid w:val="00B35D8B"/>
    <w:rsid w:val="00B35F76"/>
    <w:rsid w:val="00B35FA4"/>
    <w:rsid w:val="00B360D7"/>
    <w:rsid w:val="00B36221"/>
    <w:rsid w:val="00B362DF"/>
    <w:rsid w:val="00B36498"/>
    <w:rsid w:val="00B36502"/>
    <w:rsid w:val="00B36618"/>
    <w:rsid w:val="00B3663F"/>
    <w:rsid w:val="00B36666"/>
    <w:rsid w:val="00B3667A"/>
    <w:rsid w:val="00B366F8"/>
    <w:rsid w:val="00B36714"/>
    <w:rsid w:val="00B36751"/>
    <w:rsid w:val="00B3685F"/>
    <w:rsid w:val="00B368C1"/>
    <w:rsid w:val="00B36A06"/>
    <w:rsid w:val="00B36ABD"/>
    <w:rsid w:val="00B36AD6"/>
    <w:rsid w:val="00B36B3C"/>
    <w:rsid w:val="00B36B69"/>
    <w:rsid w:val="00B36BCA"/>
    <w:rsid w:val="00B36BFB"/>
    <w:rsid w:val="00B36CF5"/>
    <w:rsid w:val="00B36DB8"/>
    <w:rsid w:val="00B36E43"/>
    <w:rsid w:val="00B37173"/>
    <w:rsid w:val="00B3734F"/>
    <w:rsid w:val="00B3736C"/>
    <w:rsid w:val="00B3736D"/>
    <w:rsid w:val="00B373C6"/>
    <w:rsid w:val="00B37612"/>
    <w:rsid w:val="00B3766A"/>
    <w:rsid w:val="00B3785D"/>
    <w:rsid w:val="00B378B3"/>
    <w:rsid w:val="00B37A9B"/>
    <w:rsid w:val="00B37B0F"/>
    <w:rsid w:val="00B37CA3"/>
    <w:rsid w:val="00B37EC9"/>
    <w:rsid w:val="00B40105"/>
    <w:rsid w:val="00B401DB"/>
    <w:rsid w:val="00B403E3"/>
    <w:rsid w:val="00B40423"/>
    <w:rsid w:val="00B4049A"/>
    <w:rsid w:val="00B4051D"/>
    <w:rsid w:val="00B4057E"/>
    <w:rsid w:val="00B408A0"/>
    <w:rsid w:val="00B408A6"/>
    <w:rsid w:val="00B408D4"/>
    <w:rsid w:val="00B409A8"/>
    <w:rsid w:val="00B40B79"/>
    <w:rsid w:val="00B40B87"/>
    <w:rsid w:val="00B40D91"/>
    <w:rsid w:val="00B40F19"/>
    <w:rsid w:val="00B4113C"/>
    <w:rsid w:val="00B411A0"/>
    <w:rsid w:val="00B411A6"/>
    <w:rsid w:val="00B411A9"/>
    <w:rsid w:val="00B41226"/>
    <w:rsid w:val="00B41296"/>
    <w:rsid w:val="00B412E3"/>
    <w:rsid w:val="00B4135E"/>
    <w:rsid w:val="00B41372"/>
    <w:rsid w:val="00B41419"/>
    <w:rsid w:val="00B4165C"/>
    <w:rsid w:val="00B4173D"/>
    <w:rsid w:val="00B41757"/>
    <w:rsid w:val="00B41931"/>
    <w:rsid w:val="00B41A52"/>
    <w:rsid w:val="00B41BE4"/>
    <w:rsid w:val="00B41CEC"/>
    <w:rsid w:val="00B41E06"/>
    <w:rsid w:val="00B41E10"/>
    <w:rsid w:val="00B41E24"/>
    <w:rsid w:val="00B41ED4"/>
    <w:rsid w:val="00B42182"/>
    <w:rsid w:val="00B421AA"/>
    <w:rsid w:val="00B422EE"/>
    <w:rsid w:val="00B4231C"/>
    <w:rsid w:val="00B42334"/>
    <w:rsid w:val="00B42447"/>
    <w:rsid w:val="00B42452"/>
    <w:rsid w:val="00B427A2"/>
    <w:rsid w:val="00B427D0"/>
    <w:rsid w:val="00B427D4"/>
    <w:rsid w:val="00B428C0"/>
    <w:rsid w:val="00B42C22"/>
    <w:rsid w:val="00B42DEF"/>
    <w:rsid w:val="00B42E26"/>
    <w:rsid w:val="00B42E33"/>
    <w:rsid w:val="00B42F75"/>
    <w:rsid w:val="00B430AF"/>
    <w:rsid w:val="00B43240"/>
    <w:rsid w:val="00B4325A"/>
    <w:rsid w:val="00B433D9"/>
    <w:rsid w:val="00B434A3"/>
    <w:rsid w:val="00B43605"/>
    <w:rsid w:val="00B4360B"/>
    <w:rsid w:val="00B43716"/>
    <w:rsid w:val="00B4374C"/>
    <w:rsid w:val="00B437A4"/>
    <w:rsid w:val="00B4386D"/>
    <w:rsid w:val="00B438FA"/>
    <w:rsid w:val="00B43C91"/>
    <w:rsid w:val="00B43D56"/>
    <w:rsid w:val="00B43E92"/>
    <w:rsid w:val="00B43F07"/>
    <w:rsid w:val="00B440A6"/>
    <w:rsid w:val="00B440C2"/>
    <w:rsid w:val="00B44205"/>
    <w:rsid w:val="00B44384"/>
    <w:rsid w:val="00B443EE"/>
    <w:rsid w:val="00B444FA"/>
    <w:rsid w:val="00B44790"/>
    <w:rsid w:val="00B44822"/>
    <w:rsid w:val="00B4494C"/>
    <w:rsid w:val="00B44AA0"/>
    <w:rsid w:val="00B44AF5"/>
    <w:rsid w:val="00B44BB7"/>
    <w:rsid w:val="00B44C1D"/>
    <w:rsid w:val="00B450E1"/>
    <w:rsid w:val="00B45186"/>
    <w:rsid w:val="00B451AF"/>
    <w:rsid w:val="00B454B9"/>
    <w:rsid w:val="00B456BF"/>
    <w:rsid w:val="00B45A54"/>
    <w:rsid w:val="00B45C16"/>
    <w:rsid w:val="00B45CA4"/>
    <w:rsid w:val="00B45CE2"/>
    <w:rsid w:val="00B45EC8"/>
    <w:rsid w:val="00B46010"/>
    <w:rsid w:val="00B4627F"/>
    <w:rsid w:val="00B46289"/>
    <w:rsid w:val="00B463D8"/>
    <w:rsid w:val="00B464A5"/>
    <w:rsid w:val="00B4650A"/>
    <w:rsid w:val="00B46560"/>
    <w:rsid w:val="00B465E9"/>
    <w:rsid w:val="00B46763"/>
    <w:rsid w:val="00B46929"/>
    <w:rsid w:val="00B46977"/>
    <w:rsid w:val="00B46A2C"/>
    <w:rsid w:val="00B46A7D"/>
    <w:rsid w:val="00B46BF7"/>
    <w:rsid w:val="00B46C54"/>
    <w:rsid w:val="00B46F1D"/>
    <w:rsid w:val="00B46F5A"/>
    <w:rsid w:val="00B46FD5"/>
    <w:rsid w:val="00B47011"/>
    <w:rsid w:val="00B47035"/>
    <w:rsid w:val="00B470AF"/>
    <w:rsid w:val="00B47256"/>
    <w:rsid w:val="00B47344"/>
    <w:rsid w:val="00B4737C"/>
    <w:rsid w:val="00B47470"/>
    <w:rsid w:val="00B474AC"/>
    <w:rsid w:val="00B47694"/>
    <w:rsid w:val="00B479DF"/>
    <w:rsid w:val="00B47A30"/>
    <w:rsid w:val="00B47A6C"/>
    <w:rsid w:val="00B47ABB"/>
    <w:rsid w:val="00B47AC9"/>
    <w:rsid w:val="00B47B5B"/>
    <w:rsid w:val="00B47BE2"/>
    <w:rsid w:val="00B47C87"/>
    <w:rsid w:val="00B47C95"/>
    <w:rsid w:val="00B47CB9"/>
    <w:rsid w:val="00B47CE7"/>
    <w:rsid w:val="00B47EB8"/>
    <w:rsid w:val="00B47F48"/>
    <w:rsid w:val="00B47FBF"/>
    <w:rsid w:val="00B5000F"/>
    <w:rsid w:val="00B5006B"/>
    <w:rsid w:val="00B5012A"/>
    <w:rsid w:val="00B50166"/>
    <w:rsid w:val="00B5019B"/>
    <w:rsid w:val="00B50441"/>
    <w:rsid w:val="00B504A0"/>
    <w:rsid w:val="00B50575"/>
    <w:rsid w:val="00B50576"/>
    <w:rsid w:val="00B5069D"/>
    <w:rsid w:val="00B506C6"/>
    <w:rsid w:val="00B50979"/>
    <w:rsid w:val="00B509BC"/>
    <w:rsid w:val="00B50A76"/>
    <w:rsid w:val="00B50AB0"/>
    <w:rsid w:val="00B50DC8"/>
    <w:rsid w:val="00B50E9D"/>
    <w:rsid w:val="00B50EEF"/>
    <w:rsid w:val="00B50FA9"/>
    <w:rsid w:val="00B510E5"/>
    <w:rsid w:val="00B51215"/>
    <w:rsid w:val="00B51431"/>
    <w:rsid w:val="00B5149F"/>
    <w:rsid w:val="00B51632"/>
    <w:rsid w:val="00B516B0"/>
    <w:rsid w:val="00B516C9"/>
    <w:rsid w:val="00B51791"/>
    <w:rsid w:val="00B51BAD"/>
    <w:rsid w:val="00B51BDD"/>
    <w:rsid w:val="00B51D1D"/>
    <w:rsid w:val="00B51EF0"/>
    <w:rsid w:val="00B51F90"/>
    <w:rsid w:val="00B51FDE"/>
    <w:rsid w:val="00B52023"/>
    <w:rsid w:val="00B52090"/>
    <w:rsid w:val="00B5224B"/>
    <w:rsid w:val="00B522F3"/>
    <w:rsid w:val="00B5236C"/>
    <w:rsid w:val="00B5238F"/>
    <w:rsid w:val="00B5243B"/>
    <w:rsid w:val="00B525D5"/>
    <w:rsid w:val="00B52602"/>
    <w:rsid w:val="00B526C7"/>
    <w:rsid w:val="00B52766"/>
    <w:rsid w:val="00B52B91"/>
    <w:rsid w:val="00B52C10"/>
    <w:rsid w:val="00B52D27"/>
    <w:rsid w:val="00B52D41"/>
    <w:rsid w:val="00B52E3D"/>
    <w:rsid w:val="00B52E81"/>
    <w:rsid w:val="00B52EA5"/>
    <w:rsid w:val="00B52F94"/>
    <w:rsid w:val="00B5317E"/>
    <w:rsid w:val="00B5318C"/>
    <w:rsid w:val="00B531E5"/>
    <w:rsid w:val="00B53314"/>
    <w:rsid w:val="00B536FD"/>
    <w:rsid w:val="00B5378A"/>
    <w:rsid w:val="00B5379D"/>
    <w:rsid w:val="00B53824"/>
    <w:rsid w:val="00B53939"/>
    <w:rsid w:val="00B539F8"/>
    <w:rsid w:val="00B53A09"/>
    <w:rsid w:val="00B53BA6"/>
    <w:rsid w:val="00B53BAA"/>
    <w:rsid w:val="00B53E65"/>
    <w:rsid w:val="00B53FD4"/>
    <w:rsid w:val="00B54002"/>
    <w:rsid w:val="00B54027"/>
    <w:rsid w:val="00B54113"/>
    <w:rsid w:val="00B54159"/>
    <w:rsid w:val="00B5418B"/>
    <w:rsid w:val="00B5419B"/>
    <w:rsid w:val="00B541D5"/>
    <w:rsid w:val="00B54219"/>
    <w:rsid w:val="00B54325"/>
    <w:rsid w:val="00B54405"/>
    <w:rsid w:val="00B54544"/>
    <w:rsid w:val="00B545B7"/>
    <w:rsid w:val="00B54686"/>
    <w:rsid w:val="00B54785"/>
    <w:rsid w:val="00B547C9"/>
    <w:rsid w:val="00B547F3"/>
    <w:rsid w:val="00B54A4D"/>
    <w:rsid w:val="00B54AFA"/>
    <w:rsid w:val="00B54E96"/>
    <w:rsid w:val="00B54FD4"/>
    <w:rsid w:val="00B55038"/>
    <w:rsid w:val="00B55057"/>
    <w:rsid w:val="00B550C5"/>
    <w:rsid w:val="00B5528A"/>
    <w:rsid w:val="00B55332"/>
    <w:rsid w:val="00B554AD"/>
    <w:rsid w:val="00B5581D"/>
    <w:rsid w:val="00B55A92"/>
    <w:rsid w:val="00B55B24"/>
    <w:rsid w:val="00B55BD6"/>
    <w:rsid w:val="00B55FBB"/>
    <w:rsid w:val="00B5618D"/>
    <w:rsid w:val="00B561B7"/>
    <w:rsid w:val="00B562C0"/>
    <w:rsid w:val="00B563F5"/>
    <w:rsid w:val="00B56594"/>
    <w:rsid w:val="00B56739"/>
    <w:rsid w:val="00B56820"/>
    <w:rsid w:val="00B56845"/>
    <w:rsid w:val="00B5684F"/>
    <w:rsid w:val="00B56936"/>
    <w:rsid w:val="00B56B04"/>
    <w:rsid w:val="00B56D3F"/>
    <w:rsid w:val="00B56D60"/>
    <w:rsid w:val="00B56D6B"/>
    <w:rsid w:val="00B56E0E"/>
    <w:rsid w:val="00B56EDC"/>
    <w:rsid w:val="00B5703B"/>
    <w:rsid w:val="00B572E4"/>
    <w:rsid w:val="00B57393"/>
    <w:rsid w:val="00B57447"/>
    <w:rsid w:val="00B5767B"/>
    <w:rsid w:val="00B576B2"/>
    <w:rsid w:val="00B57758"/>
    <w:rsid w:val="00B577C0"/>
    <w:rsid w:val="00B577E2"/>
    <w:rsid w:val="00B57974"/>
    <w:rsid w:val="00B57A78"/>
    <w:rsid w:val="00B57B7E"/>
    <w:rsid w:val="00B57BFC"/>
    <w:rsid w:val="00B57C1F"/>
    <w:rsid w:val="00B57E4F"/>
    <w:rsid w:val="00B600CA"/>
    <w:rsid w:val="00B60102"/>
    <w:rsid w:val="00B60167"/>
    <w:rsid w:val="00B60180"/>
    <w:rsid w:val="00B60195"/>
    <w:rsid w:val="00B60204"/>
    <w:rsid w:val="00B607BF"/>
    <w:rsid w:val="00B607C6"/>
    <w:rsid w:val="00B60A57"/>
    <w:rsid w:val="00B60DD4"/>
    <w:rsid w:val="00B60F44"/>
    <w:rsid w:val="00B60F97"/>
    <w:rsid w:val="00B60F9F"/>
    <w:rsid w:val="00B61045"/>
    <w:rsid w:val="00B61065"/>
    <w:rsid w:val="00B61096"/>
    <w:rsid w:val="00B61100"/>
    <w:rsid w:val="00B61282"/>
    <w:rsid w:val="00B61303"/>
    <w:rsid w:val="00B6135C"/>
    <w:rsid w:val="00B6139C"/>
    <w:rsid w:val="00B61685"/>
    <w:rsid w:val="00B6185B"/>
    <w:rsid w:val="00B61A35"/>
    <w:rsid w:val="00B61A4E"/>
    <w:rsid w:val="00B61AD5"/>
    <w:rsid w:val="00B61B4B"/>
    <w:rsid w:val="00B61CD1"/>
    <w:rsid w:val="00B61F2B"/>
    <w:rsid w:val="00B6208B"/>
    <w:rsid w:val="00B62161"/>
    <w:rsid w:val="00B6218E"/>
    <w:rsid w:val="00B621A3"/>
    <w:rsid w:val="00B622A6"/>
    <w:rsid w:val="00B6231D"/>
    <w:rsid w:val="00B6246A"/>
    <w:rsid w:val="00B6247E"/>
    <w:rsid w:val="00B62512"/>
    <w:rsid w:val="00B62550"/>
    <w:rsid w:val="00B6267E"/>
    <w:rsid w:val="00B627F7"/>
    <w:rsid w:val="00B628BF"/>
    <w:rsid w:val="00B628FB"/>
    <w:rsid w:val="00B6294E"/>
    <w:rsid w:val="00B62B78"/>
    <w:rsid w:val="00B62BAE"/>
    <w:rsid w:val="00B62C34"/>
    <w:rsid w:val="00B62CF8"/>
    <w:rsid w:val="00B62F04"/>
    <w:rsid w:val="00B62F2F"/>
    <w:rsid w:val="00B63037"/>
    <w:rsid w:val="00B6317C"/>
    <w:rsid w:val="00B6325D"/>
    <w:rsid w:val="00B63268"/>
    <w:rsid w:val="00B63361"/>
    <w:rsid w:val="00B6343A"/>
    <w:rsid w:val="00B63648"/>
    <w:rsid w:val="00B63731"/>
    <w:rsid w:val="00B63745"/>
    <w:rsid w:val="00B63750"/>
    <w:rsid w:val="00B637FA"/>
    <w:rsid w:val="00B63A3C"/>
    <w:rsid w:val="00B63A5D"/>
    <w:rsid w:val="00B63AFD"/>
    <w:rsid w:val="00B63B8C"/>
    <w:rsid w:val="00B63CC0"/>
    <w:rsid w:val="00B63E3B"/>
    <w:rsid w:val="00B63E40"/>
    <w:rsid w:val="00B63E94"/>
    <w:rsid w:val="00B63ECC"/>
    <w:rsid w:val="00B63FDF"/>
    <w:rsid w:val="00B64007"/>
    <w:rsid w:val="00B640C0"/>
    <w:rsid w:val="00B64142"/>
    <w:rsid w:val="00B6420D"/>
    <w:rsid w:val="00B6429C"/>
    <w:rsid w:val="00B642E6"/>
    <w:rsid w:val="00B64323"/>
    <w:rsid w:val="00B644AD"/>
    <w:rsid w:val="00B644DC"/>
    <w:rsid w:val="00B647EB"/>
    <w:rsid w:val="00B64991"/>
    <w:rsid w:val="00B64A9D"/>
    <w:rsid w:val="00B64B54"/>
    <w:rsid w:val="00B64FC3"/>
    <w:rsid w:val="00B65118"/>
    <w:rsid w:val="00B651C6"/>
    <w:rsid w:val="00B651D6"/>
    <w:rsid w:val="00B654EE"/>
    <w:rsid w:val="00B65565"/>
    <w:rsid w:val="00B655B5"/>
    <w:rsid w:val="00B65618"/>
    <w:rsid w:val="00B656E2"/>
    <w:rsid w:val="00B65820"/>
    <w:rsid w:val="00B658AE"/>
    <w:rsid w:val="00B65995"/>
    <w:rsid w:val="00B659DD"/>
    <w:rsid w:val="00B65E17"/>
    <w:rsid w:val="00B6608F"/>
    <w:rsid w:val="00B660B4"/>
    <w:rsid w:val="00B660D1"/>
    <w:rsid w:val="00B660FE"/>
    <w:rsid w:val="00B661E7"/>
    <w:rsid w:val="00B66303"/>
    <w:rsid w:val="00B66399"/>
    <w:rsid w:val="00B66453"/>
    <w:rsid w:val="00B6647E"/>
    <w:rsid w:val="00B6648F"/>
    <w:rsid w:val="00B664B7"/>
    <w:rsid w:val="00B66554"/>
    <w:rsid w:val="00B665FA"/>
    <w:rsid w:val="00B66682"/>
    <w:rsid w:val="00B66841"/>
    <w:rsid w:val="00B668B4"/>
    <w:rsid w:val="00B66AB6"/>
    <w:rsid w:val="00B66AC0"/>
    <w:rsid w:val="00B66BFB"/>
    <w:rsid w:val="00B66C23"/>
    <w:rsid w:val="00B66CEE"/>
    <w:rsid w:val="00B66E0D"/>
    <w:rsid w:val="00B66E96"/>
    <w:rsid w:val="00B66F08"/>
    <w:rsid w:val="00B67080"/>
    <w:rsid w:val="00B672E8"/>
    <w:rsid w:val="00B6758B"/>
    <w:rsid w:val="00B676B0"/>
    <w:rsid w:val="00B676F3"/>
    <w:rsid w:val="00B67719"/>
    <w:rsid w:val="00B67738"/>
    <w:rsid w:val="00B6773D"/>
    <w:rsid w:val="00B6785B"/>
    <w:rsid w:val="00B67947"/>
    <w:rsid w:val="00B67AA2"/>
    <w:rsid w:val="00B67AE8"/>
    <w:rsid w:val="00B67B44"/>
    <w:rsid w:val="00B67DCA"/>
    <w:rsid w:val="00B67E55"/>
    <w:rsid w:val="00B67E64"/>
    <w:rsid w:val="00B67F9B"/>
    <w:rsid w:val="00B70168"/>
    <w:rsid w:val="00B701AD"/>
    <w:rsid w:val="00B70274"/>
    <w:rsid w:val="00B7027E"/>
    <w:rsid w:val="00B703D4"/>
    <w:rsid w:val="00B70609"/>
    <w:rsid w:val="00B706EF"/>
    <w:rsid w:val="00B70743"/>
    <w:rsid w:val="00B70882"/>
    <w:rsid w:val="00B70AD3"/>
    <w:rsid w:val="00B70C29"/>
    <w:rsid w:val="00B70C33"/>
    <w:rsid w:val="00B70D27"/>
    <w:rsid w:val="00B70E53"/>
    <w:rsid w:val="00B70EAF"/>
    <w:rsid w:val="00B70F10"/>
    <w:rsid w:val="00B70F5D"/>
    <w:rsid w:val="00B7106E"/>
    <w:rsid w:val="00B71260"/>
    <w:rsid w:val="00B712B0"/>
    <w:rsid w:val="00B71386"/>
    <w:rsid w:val="00B71403"/>
    <w:rsid w:val="00B7159D"/>
    <w:rsid w:val="00B717F6"/>
    <w:rsid w:val="00B71888"/>
    <w:rsid w:val="00B71894"/>
    <w:rsid w:val="00B719BD"/>
    <w:rsid w:val="00B71AD9"/>
    <w:rsid w:val="00B71CA8"/>
    <w:rsid w:val="00B71E96"/>
    <w:rsid w:val="00B72016"/>
    <w:rsid w:val="00B72057"/>
    <w:rsid w:val="00B720B1"/>
    <w:rsid w:val="00B7226E"/>
    <w:rsid w:val="00B7235B"/>
    <w:rsid w:val="00B725CC"/>
    <w:rsid w:val="00B72756"/>
    <w:rsid w:val="00B727C3"/>
    <w:rsid w:val="00B728FF"/>
    <w:rsid w:val="00B72CC9"/>
    <w:rsid w:val="00B72CF9"/>
    <w:rsid w:val="00B72DA3"/>
    <w:rsid w:val="00B72E0E"/>
    <w:rsid w:val="00B72EC2"/>
    <w:rsid w:val="00B73095"/>
    <w:rsid w:val="00B730A1"/>
    <w:rsid w:val="00B730C5"/>
    <w:rsid w:val="00B7327B"/>
    <w:rsid w:val="00B732D8"/>
    <w:rsid w:val="00B733E1"/>
    <w:rsid w:val="00B7344F"/>
    <w:rsid w:val="00B73475"/>
    <w:rsid w:val="00B73498"/>
    <w:rsid w:val="00B734CC"/>
    <w:rsid w:val="00B73548"/>
    <w:rsid w:val="00B73589"/>
    <w:rsid w:val="00B7359E"/>
    <w:rsid w:val="00B73606"/>
    <w:rsid w:val="00B73673"/>
    <w:rsid w:val="00B737FC"/>
    <w:rsid w:val="00B738DE"/>
    <w:rsid w:val="00B73971"/>
    <w:rsid w:val="00B739FC"/>
    <w:rsid w:val="00B73ADA"/>
    <w:rsid w:val="00B73ADF"/>
    <w:rsid w:val="00B73AE8"/>
    <w:rsid w:val="00B73CA3"/>
    <w:rsid w:val="00B7401F"/>
    <w:rsid w:val="00B7405D"/>
    <w:rsid w:val="00B741AC"/>
    <w:rsid w:val="00B74372"/>
    <w:rsid w:val="00B743F5"/>
    <w:rsid w:val="00B7445D"/>
    <w:rsid w:val="00B7456D"/>
    <w:rsid w:val="00B745E4"/>
    <w:rsid w:val="00B745E8"/>
    <w:rsid w:val="00B7464A"/>
    <w:rsid w:val="00B7485C"/>
    <w:rsid w:val="00B7489D"/>
    <w:rsid w:val="00B748F9"/>
    <w:rsid w:val="00B749D0"/>
    <w:rsid w:val="00B74A1D"/>
    <w:rsid w:val="00B74C9A"/>
    <w:rsid w:val="00B74D69"/>
    <w:rsid w:val="00B74DA1"/>
    <w:rsid w:val="00B74DD3"/>
    <w:rsid w:val="00B74DF2"/>
    <w:rsid w:val="00B75074"/>
    <w:rsid w:val="00B7515C"/>
    <w:rsid w:val="00B7520F"/>
    <w:rsid w:val="00B7521A"/>
    <w:rsid w:val="00B752C9"/>
    <w:rsid w:val="00B7536B"/>
    <w:rsid w:val="00B754A0"/>
    <w:rsid w:val="00B7551D"/>
    <w:rsid w:val="00B7565C"/>
    <w:rsid w:val="00B7570B"/>
    <w:rsid w:val="00B759C2"/>
    <w:rsid w:val="00B75A5C"/>
    <w:rsid w:val="00B75BD4"/>
    <w:rsid w:val="00B75CC4"/>
    <w:rsid w:val="00B75D1E"/>
    <w:rsid w:val="00B75D22"/>
    <w:rsid w:val="00B75DBC"/>
    <w:rsid w:val="00B75EAB"/>
    <w:rsid w:val="00B761DC"/>
    <w:rsid w:val="00B76204"/>
    <w:rsid w:val="00B762A9"/>
    <w:rsid w:val="00B7637A"/>
    <w:rsid w:val="00B764C3"/>
    <w:rsid w:val="00B766C1"/>
    <w:rsid w:val="00B7670D"/>
    <w:rsid w:val="00B76833"/>
    <w:rsid w:val="00B76885"/>
    <w:rsid w:val="00B768A1"/>
    <w:rsid w:val="00B76A5C"/>
    <w:rsid w:val="00B76C48"/>
    <w:rsid w:val="00B76D1E"/>
    <w:rsid w:val="00B76D52"/>
    <w:rsid w:val="00B76DBA"/>
    <w:rsid w:val="00B76F0A"/>
    <w:rsid w:val="00B76FCE"/>
    <w:rsid w:val="00B7712F"/>
    <w:rsid w:val="00B77199"/>
    <w:rsid w:val="00B773A0"/>
    <w:rsid w:val="00B773B1"/>
    <w:rsid w:val="00B77424"/>
    <w:rsid w:val="00B779DC"/>
    <w:rsid w:val="00B77B68"/>
    <w:rsid w:val="00B77C77"/>
    <w:rsid w:val="00B77D4A"/>
    <w:rsid w:val="00B77D68"/>
    <w:rsid w:val="00B77EC4"/>
    <w:rsid w:val="00B77EC7"/>
    <w:rsid w:val="00B77EF0"/>
    <w:rsid w:val="00B8020F"/>
    <w:rsid w:val="00B80421"/>
    <w:rsid w:val="00B805C6"/>
    <w:rsid w:val="00B80617"/>
    <w:rsid w:val="00B80960"/>
    <w:rsid w:val="00B80991"/>
    <w:rsid w:val="00B80A10"/>
    <w:rsid w:val="00B80B22"/>
    <w:rsid w:val="00B80B47"/>
    <w:rsid w:val="00B80BD9"/>
    <w:rsid w:val="00B80C22"/>
    <w:rsid w:val="00B80C47"/>
    <w:rsid w:val="00B80CEE"/>
    <w:rsid w:val="00B80D17"/>
    <w:rsid w:val="00B80FD7"/>
    <w:rsid w:val="00B811D5"/>
    <w:rsid w:val="00B81319"/>
    <w:rsid w:val="00B81363"/>
    <w:rsid w:val="00B81379"/>
    <w:rsid w:val="00B814B8"/>
    <w:rsid w:val="00B81563"/>
    <w:rsid w:val="00B816E9"/>
    <w:rsid w:val="00B81883"/>
    <w:rsid w:val="00B81892"/>
    <w:rsid w:val="00B81897"/>
    <w:rsid w:val="00B818D6"/>
    <w:rsid w:val="00B8199E"/>
    <w:rsid w:val="00B81A3D"/>
    <w:rsid w:val="00B81B2C"/>
    <w:rsid w:val="00B81BA3"/>
    <w:rsid w:val="00B81BE2"/>
    <w:rsid w:val="00B81CCA"/>
    <w:rsid w:val="00B81D32"/>
    <w:rsid w:val="00B81DC8"/>
    <w:rsid w:val="00B81E1B"/>
    <w:rsid w:val="00B81FE0"/>
    <w:rsid w:val="00B820F8"/>
    <w:rsid w:val="00B820FA"/>
    <w:rsid w:val="00B820FD"/>
    <w:rsid w:val="00B822F3"/>
    <w:rsid w:val="00B8233E"/>
    <w:rsid w:val="00B8236F"/>
    <w:rsid w:val="00B823FD"/>
    <w:rsid w:val="00B824C8"/>
    <w:rsid w:val="00B8263D"/>
    <w:rsid w:val="00B8267F"/>
    <w:rsid w:val="00B82A9E"/>
    <w:rsid w:val="00B82BB7"/>
    <w:rsid w:val="00B82BF5"/>
    <w:rsid w:val="00B83053"/>
    <w:rsid w:val="00B83443"/>
    <w:rsid w:val="00B83479"/>
    <w:rsid w:val="00B8354A"/>
    <w:rsid w:val="00B83606"/>
    <w:rsid w:val="00B836D9"/>
    <w:rsid w:val="00B837BE"/>
    <w:rsid w:val="00B838DF"/>
    <w:rsid w:val="00B83944"/>
    <w:rsid w:val="00B839AF"/>
    <w:rsid w:val="00B83A6B"/>
    <w:rsid w:val="00B83B3A"/>
    <w:rsid w:val="00B83B68"/>
    <w:rsid w:val="00B83EDA"/>
    <w:rsid w:val="00B83F7A"/>
    <w:rsid w:val="00B840A9"/>
    <w:rsid w:val="00B840AD"/>
    <w:rsid w:val="00B840BB"/>
    <w:rsid w:val="00B84161"/>
    <w:rsid w:val="00B841D5"/>
    <w:rsid w:val="00B84435"/>
    <w:rsid w:val="00B845C2"/>
    <w:rsid w:val="00B84653"/>
    <w:rsid w:val="00B847FB"/>
    <w:rsid w:val="00B848B8"/>
    <w:rsid w:val="00B84970"/>
    <w:rsid w:val="00B849B5"/>
    <w:rsid w:val="00B84A12"/>
    <w:rsid w:val="00B84A96"/>
    <w:rsid w:val="00B84A9F"/>
    <w:rsid w:val="00B84B9A"/>
    <w:rsid w:val="00B84BB5"/>
    <w:rsid w:val="00B84C4F"/>
    <w:rsid w:val="00B84CB4"/>
    <w:rsid w:val="00B84CC7"/>
    <w:rsid w:val="00B84CF1"/>
    <w:rsid w:val="00B84EE8"/>
    <w:rsid w:val="00B84F33"/>
    <w:rsid w:val="00B84F50"/>
    <w:rsid w:val="00B850C5"/>
    <w:rsid w:val="00B850E5"/>
    <w:rsid w:val="00B8514A"/>
    <w:rsid w:val="00B8514C"/>
    <w:rsid w:val="00B851DE"/>
    <w:rsid w:val="00B851FC"/>
    <w:rsid w:val="00B85272"/>
    <w:rsid w:val="00B85516"/>
    <w:rsid w:val="00B85747"/>
    <w:rsid w:val="00B8577A"/>
    <w:rsid w:val="00B857D9"/>
    <w:rsid w:val="00B85838"/>
    <w:rsid w:val="00B8597B"/>
    <w:rsid w:val="00B85AE3"/>
    <w:rsid w:val="00B85AF8"/>
    <w:rsid w:val="00B85CA7"/>
    <w:rsid w:val="00B85CBD"/>
    <w:rsid w:val="00B85CF7"/>
    <w:rsid w:val="00B85D4F"/>
    <w:rsid w:val="00B85E46"/>
    <w:rsid w:val="00B85F18"/>
    <w:rsid w:val="00B85F87"/>
    <w:rsid w:val="00B860F6"/>
    <w:rsid w:val="00B86234"/>
    <w:rsid w:val="00B862E8"/>
    <w:rsid w:val="00B86315"/>
    <w:rsid w:val="00B863BF"/>
    <w:rsid w:val="00B864C6"/>
    <w:rsid w:val="00B864D1"/>
    <w:rsid w:val="00B8679D"/>
    <w:rsid w:val="00B869E4"/>
    <w:rsid w:val="00B86A34"/>
    <w:rsid w:val="00B86B28"/>
    <w:rsid w:val="00B86B5C"/>
    <w:rsid w:val="00B86CDD"/>
    <w:rsid w:val="00B86D5E"/>
    <w:rsid w:val="00B86DDA"/>
    <w:rsid w:val="00B86E9E"/>
    <w:rsid w:val="00B86ED6"/>
    <w:rsid w:val="00B870C0"/>
    <w:rsid w:val="00B87110"/>
    <w:rsid w:val="00B87126"/>
    <w:rsid w:val="00B871BE"/>
    <w:rsid w:val="00B87382"/>
    <w:rsid w:val="00B874D7"/>
    <w:rsid w:val="00B87533"/>
    <w:rsid w:val="00B8753B"/>
    <w:rsid w:val="00B87639"/>
    <w:rsid w:val="00B8768D"/>
    <w:rsid w:val="00B87942"/>
    <w:rsid w:val="00B87955"/>
    <w:rsid w:val="00B87AEA"/>
    <w:rsid w:val="00B87CD4"/>
    <w:rsid w:val="00B87CFC"/>
    <w:rsid w:val="00B87D97"/>
    <w:rsid w:val="00B87DE4"/>
    <w:rsid w:val="00B87F8A"/>
    <w:rsid w:val="00B90005"/>
    <w:rsid w:val="00B90041"/>
    <w:rsid w:val="00B900A8"/>
    <w:rsid w:val="00B90355"/>
    <w:rsid w:val="00B9045D"/>
    <w:rsid w:val="00B904E7"/>
    <w:rsid w:val="00B90509"/>
    <w:rsid w:val="00B905AA"/>
    <w:rsid w:val="00B9068B"/>
    <w:rsid w:val="00B90699"/>
    <w:rsid w:val="00B90706"/>
    <w:rsid w:val="00B90793"/>
    <w:rsid w:val="00B90835"/>
    <w:rsid w:val="00B908F4"/>
    <w:rsid w:val="00B9094E"/>
    <w:rsid w:val="00B909E4"/>
    <w:rsid w:val="00B90A84"/>
    <w:rsid w:val="00B90BC3"/>
    <w:rsid w:val="00B90BEE"/>
    <w:rsid w:val="00B90DF0"/>
    <w:rsid w:val="00B90E13"/>
    <w:rsid w:val="00B90E5E"/>
    <w:rsid w:val="00B90EA0"/>
    <w:rsid w:val="00B90EAC"/>
    <w:rsid w:val="00B90F3F"/>
    <w:rsid w:val="00B9116B"/>
    <w:rsid w:val="00B91242"/>
    <w:rsid w:val="00B91483"/>
    <w:rsid w:val="00B9166D"/>
    <w:rsid w:val="00B9168B"/>
    <w:rsid w:val="00B9170E"/>
    <w:rsid w:val="00B918CF"/>
    <w:rsid w:val="00B91A28"/>
    <w:rsid w:val="00B91AF5"/>
    <w:rsid w:val="00B91D08"/>
    <w:rsid w:val="00B91D25"/>
    <w:rsid w:val="00B91EF6"/>
    <w:rsid w:val="00B92071"/>
    <w:rsid w:val="00B921A2"/>
    <w:rsid w:val="00B923BF"/>
    <w:rsid w:val="00B92476"/>
    <w:rsid w:val="00B92521"/>
    <w:rsid w:val="00B925F4"/>
    <w:rsid w:val="00B92975"/>
    <w:rsid w:val="00B92AA8"/>
    <w:rsid w:val="00B92B2A"/>
    <w:rsid w:val="00B92CC3"/>
    <w:rsid w:val="00B92E6B"/>
    <w:rsid w:val="00B92EB5"/>
    <w:rsid w:val="00B92FDA"/>
    <w:rsid w:val="00B93020"/>
    <w:rsid w:val="00B9305D"/>
    <w:rsid w:val="00B933AC"/>
    <w:rsid w:val="00B934AD"/>
    <w:rsid w:val="00B93611"/>
    <w:rsid w:val="00B93618"/>
    <w:rsid w:val="00B938CE"/>
    <w:rsid w:val="00B939BD"/>
    <w:rsid w:val="00B93B71"/>
    <w:rsid w:val="00B93BF3"/>
    <w:rsid w:val="00B93D49"/>
    <w:rsid w:val="00B93DA5"/>
    <w:rsid w:val="00B93E85"/>
    <w:rsid w:val="00B93EFB"/>
    <w:rsid w:val="00B9405B"/>
    <w:rsid w:val="00B94067"/>
    <w:rsid w:val="00B940FC"/>
    <w:rsid w:val="00B94315"/>
    <w:rsid w:val="00B9432B"/>
    <w:rsid w:val="00B94354"/>
    <w:rsid w:val="00B9442E"/>
    <w:rsid w:val="00B94546"/>
    <w:rsid w:val="00B94587"/>
    <w:rsid w:val="00B946DD"/>
    <w:rsid w:val="00B948D3"/>
    <w:rsid w:val="00B94904"/>
    <w:rsid w:val="00B94A84"/>
    <w:rsid w:val="00B94CD3"/>
    <w:rsid w:val="00B94DDA"/>
    <w:rsid w:val="00B94E6A"/>
    <w:rsid w:val="00B94FA1"/>
    <w:rsid w:val="00B94FB6"/>
    <w:rsid w:val="00B950E1"/>
    <w:rsid w:val="00B9523B"/>
    <w:rsid w:val="00B952AC"/>
    <w:rsid w:val="00B95464"/>
    <w:rsid w:val="00B954AB"/>
    <w:rsid w:val="00B956D8"/>
    <w:rsid w:val="00B9578D"/>
    <w:rsid w:val="00B959D3"/>
    <w:rsid w:val="00B95ACE"/>
    <w:rsid w:val="00B95CC6"/>
    <w:rsid w:val="00B95CEA"/>
    <w:rsid w:val="00B95D22"/>
    <w:rsid w:val="00B95D8E"/>
    <w:rsid w:val="00B95DC2"/>
    <w:rsid w:val="00B95FFA"/>
    <w:rsid w:val="00B9603C"/>
    <w:rsid w:val="00B960A5"/>
    <w:rsid w:val="00B960CC"/>
    <w:rsid w:val="00B9621F"/>
    <w:rsid w:val="00B962CE"/>
    <w:rsid w:val="00B96369"/>
    <w:rsid w:val="00B963BC"/>
    <w:rsid w:val="00B9641A"/>
    <w:rsid w:val="00B9651D"/>
    <w:rsid w:val="00B9652A"/>
    <w:rsid w:val="00B965FF"/>
    <w:rsid w:val="00B96645"/>
    <w:rsid w:val="00B966AC"/>
    <w:rsid w:val="00B968E8"/>
    <w:rsid w:val="00B96A1D"/>
    <w:rsid w:val="00B96AAC"/>
    <w:rsid w:val="00B96AE1"/>
    <w:rsid w:val="00B96B1F"/>
    <w:rsid w:val="00B96B29"/>
    <w:rsid w:val="00B96CF1"/>
    <w:rsid w:val="00B96CF7"/>
    <w:rsid w:val="00B96DFA"/>
    <w:rsid w:val="00B96E2F"/>
    <w:rsid w:val="00B96E38"/>
    <w:rsid w:val="00B96F67"/>
    <w:rsid w:val="00B97196"/>
    <w:rsid w:val="00B971C8"/>
    <w:rsid w:val="00B9732E"/>
    <w:rsid w:val="00B9751C"/>
    <w:rsid w:val="00B9760F"/>
    <w:rsid w:val="00B97736"/>
    <w:rsid w:val="00B978BC"/>
    <w:rsid w:val="00B978F1"/>
    <w:rsid w:val="00B97961"/>
    <w:rsid w:val="00B97974"/>
    <w:rsid w:val="00B97A50"/>
    <w:rsid w:val="00B97AF3"/>
    <w:rsid w:val="00B97B65"/>
    <w:rsid w:val="00B97BF9"/>
    <w:rsid w:val="00B97C8A"/>
    <w:rsid w:val="00B97C9F"/>
    <w:rsid w:val="00B97D6A"/>
    <w:rsid w:val="00B97D7C"/>
    <w:rsid w:val="00B97E8F"/>
    <w:rsid w:val="00B97F9F"/>
    <w:rsid w:val="00B97FD6"/>
    <w:rsid w:val="00BA00F6"/>
    <w:rsid w:val="00BA01F6"/>
    <w:rsid w:val="00BA0396"/>
    <w:rsid w:val="00BA03D4"/>
    <w:rsid w:val="00BA05A8"/>
    <w:rsid w:val="00BA0680"/>
    <w:rsid w:val="00BA0838"/>
    <w:rsid w:val="00BA09BB"/>
    <w:rsid w:val="00BA0A43"/>
    <w:rsid w:val="00BA0B47"/>
    <w:rsid w:val="00BA0CAF"/>
    <w:rsid w:val="00BA0D9C"/>
    <w:rsid w:val="00BA0E92"/>
    <w:rsid w:val="00BA0F31"/>
    <w:rsid w:val="00BA0F85"/>
    <w:rsid w:val="00BA0FE2"/>
    <w:rsid w:val="00BA1087"/>
    <w:rsid w:val="00BA11FD"/>
    <w:rsid w:val="00BA1230"/>
    <w:rsid w:val="00BA129E"/>
    <w:rsid w:val="00BA1307"/>
    <w:rsid w:val="00BA1405"/>
    <w:rsid w:val="00BA1462"/>
    <w:rsid w:val="00BA152F"/>
    <w:rsid w:val="00BA159F"/>
    <w:rsid w:val="00BA17FA"/>
    <w:rsid w:val="00BA1909"/>
    <w:rsid w:val="00BA1975"/>
    <w:rsid w:val="00BA1AB0"/>
    <w:rsid w:val="00BA1CA0"/>
    <w:rsid w:val="00BA1D44"/>
    <w:rsid w:val="00BA1D47"/>
    <w:rsid w:val="00BA1E33"/>
    <w:rsid w:val="00BA20CE"/>
    <w:rsid w:val="00BA215B"/>
    <w:rsid w:val="00BA2170"/>
    <w:rsid w:val="00BA239C"/>
    <w:rsid w:val="00BA2418"/>
    <w:rsid w:val="00BA2427"/>
    <w:rsid w:val="00BA257F"/>
    <w:rsid w:val="00BA2D12"/>
    <w:rsid w:val="00BA2D47"/>
    <w:rsid w:val="00BA2DAB"/>
    <w:rsid w:val="00BA2DE0"/>
    <w:rsid w:val="00BA2E2C"/>
    <w:rsid w:val="00BA2E3A"/>
    <w:rsid w:val="00BA2F45"/>
    <w:rsid w:val="00BA3066"/>
    <w:rsid w:val="00BA307E"/>
    <w:rsid w:val="00BA340F"/>
    <w:rsid w:val="00BA369A"/>
    <w:rsid w:val="00BA3958"/>
    <w:rsid w:val="00BA3AFC"/>
    <w:rsid w:val="00BA3B3A"/>
    <w:rsid w:val="00BA3D8A"/>
    <w:rsid w:val="00BA3D8E"/>
    <w:rsid w:val="00BA3EE0"/>
    <w:rsid w:val="00BA3F2C"/>
    <w:rsid w:val="00BA3F73"/>
    <w:rsid w:val="00BA3FA6"/>
    <w:rsid w:val="00BA4030"/>
    <w:rsid w:val="00BA41A0"/>
    <w:rsid w:val="00BA41D8"/>
    <w:rsid w:val="00BA4246"/>
    <w:rsid w:val="00BA4614"/>
    <w:rsid w:val="00BA46E2"/>
    <w:rsid w:val="00BA47E0"/>
    <w:rsid w:val="00BA47E4"/>
    <w:rsid w:val="00BA48A2"/>
    <w:rsid w:val="00BA4A16"/>
    <w:rsid w:val="00BA4B90"/>
    <w:rsid w:val="00BA4BF5"/>
    <w:rsid w:val="00BA4DC0"/>
    <w:rsid w:val="00BA4E31"/>
    <w:rsid w:val="00BA4F7D"/>
    <w:rsid w:val="00BA4FCB"/>
    <w:rsid w:val="00BA5012"/>
    <w:rsid w:val="00BA526F"/>
    <w:rsid w:val="00BA54B4"/>
    <w:rsid w:val="00BA59B5"/>
    <w:rsid w:val="00BA5A5F"/>
    <w:rsid w:val="00BA5A95"/>
    <w:rsid w:val="00BA5BFA"/>
    <w:rsid w:val="00BA5C74"/>
    <w:rsid w:val="00BA5C8B"/>
    <w:rsid w:val="00BA5D5D"/>
    <w:rsid w:val="00BA5D8C"/>
    <w:rsid w:val="00BA5D9D"/>
    <w:rsid w:val="00BA5DFC"/>
    <w:rsid w:val="00BA5E1C"/>
    <w:rsid w:val="00BA5E3C"/>
    <w:rsid w:val="00BA5F69"/>
    <w:rsid w:val="00BA6149"/>
    <w:rsid w:val="00BA617C"/>
    <w:rsid w:val="00BA61D2"/>
    <w:rsid w:val="00BA65BF"/>
    <w:rsid w:val="00BA66FC"/>
    <w:rsid w:val="00BA6A17"/>
    <w:rsid w:val="00BA6A52"/>
    <w:rsid w:val="00BA6AE5"/>
    <w:rsid w:val="00BA6B2E"/>
    <w:rsid w:val="00BA6C09"/>
    <w:rsid w:val="00BA6CA2"/>
    <w:rsid w:val="00BA6E20"/>
    <w:rsid w:val="00BA6E8F"/>
    <w:rsid w:val="00BA6ED7"/>
    <w:rsid w:val="00BA72B6"/>
    <w:rsid w:val="00BA73EF"/>
    <w:rsid w:val="00BA7467"/>
    <w:rsid w:val="00BA7490"/>
    <w:rsid w:val="00BA7528"/>
    <w:rsid w:val="00BA76EA"/>
    <w:rsid w:val="00BA774A"/>
    <w:rsid w:val="00BA775A"/>
    <w:rsid w:val="00BA77C8"/>
    <w:rsid w:val="00BA7839"/>
    <w:rsid w:val="00BA7844"/>
    <w:rsid w:val="00BA7929"/>
    <w:rsid w:val="00BA7A08"/>
    <w:rsid w:val="00BA7A5B"/>
    <w:rsid w:val="00BA7BEE"/>
    <w:rsid w:val="00BA7BF7"/>
    <w:rsid w:val="00BA7C30"/>
    <w:rsid w:val="00BA7D43"/>
    <w:rsid w:val="00BA7DC7"/>
    <w:rsid w:val="00BA7E4C"/>
    <w:rsid w:val="00BA7E61"/>
    <w:rsid w:val="00BA7F7F"/>
    <w:rsid w:val="00BA7FF1"/>
    <w:rsid w:val="00BA7FF2"/>
    <w:rsid w:val="00BB0021"/>
    <w:rsid w:val="00BB0094"/>
    <w:rsid w:val="00BB00AC"/>
    <w:rsid w:val="00BB017B"/>
    <w:rsid w:val="00BB018E"/>
    <w:rsid w:val="00BB021F"/>
    <w:rsid w:val="00BB0248"/>
    <w:rsid w:val="00BB0426"/>
    <w:rsid w:val="00BB04A2"/>
    <w:rsid w:val="00BB055C"/>
    <w:rsid w:val="00BB0649"/>
    <w:rsid w:val="00BB0778"/>
    <w:rsid w:val="00BB086C"/>
    <w:rsid w:val="00BB0B3E"/>
    <w:rsid w:val="00BB0B8E"/>
    <w:rsid w:val="00BB0B9C"/>
    <w:rsid w:val="00BB0BA0"/>
    <w:rsid w:val="00BB0C5B"/>
    <w:rsid w:val="00BB0D7C"/>
    <w:rsid w:val="00BB0DD4"/>
    <w:rsid w:val="00BB0E45"/>
    <w:rsid w:val="00BB0E57"/>
    <w:rsid w:val="00BB0E9C"/>
    <w:rsid w:val="00BB0EE0"/>
    <w:rsid w:val="00BB0EF0"/>
    <w:rsid w:val="00BB0FF6"/>
    <w:rsid w:val="00BB1027"/>
    <w:rsid w:val="00BB10A4"/>
    <w:rsid w:val="00BB1177"/>
    <w:rsid w:val="00BB117C"/>
    <w:rsid w:val="00BB11DA"/>
    <w:rsid w:val="00BB1278"/>
    <w:rsid w:val="00BB1493"/>
    <w:rsid w:val="00BB15D7"/>
    <w:rsid w:val="00BB192B"/>
    <w:rsid w:val="00BB19E0"/>
    <w:rsid w:val="00BB1B06"/>
    <w:rsid w:val="00BB1BDE"/>
    <w:rsid w:val="00BB1C25"/>
    <w:rsid w:val="00BB1C2C"/>
    <w:rsid w:val="00BB1EE0"/>
    <w:rsid w:val="00BB1F0D"/>
    <w:rsid w:val="00BB201E"/>
    <w:rsid w:val="00BB2067"/>
    <w:rsid w:val="00BB22FA"/>
    <w:rsid w:val="00BB22FE"/>
    <w:rsid w:val="00BB2318"/>
    <w:rsid w:val="00BB237F"/>
    <w:rsid w:val="00BB24B5"/>
    <w:rsid w:val="00BB24C3"/>
    <w:rsid w:val="00BB24C8"/>
    <w:rsid w:val="00BB25A7"/>
    <w:rsid w:val="00BB2755"/>
    <w:rsid w:val="00BB2773"/>
    <w:rsid w:val="00BB2B45"/>
    <w:rsid w:val="00BB2F68"/>
    <w:rsid w:val="00BB2F6E"/>
    <w:rsid w:val="00BB304B"/>
    <w:rsid w:val="00BB31E1"/>
    <w:rsid w:val="00BB35EB"/>
    <w:rsid w:val="00BB387F"/>
    <w:rsid w:val="00BB3A2E"/>
    <w:rsid w:val="00BB3C34"/>
    <w:rsid w:val="00BB3CCF"/>
    <w:rsid w:val="00BB3ED9"/>
    <w:rsid w:val="00BB3F22"/>
    <w:rsid w:val="00BB416A"/>
    <w:rsid w:val="00BB4242"/>
    <w:rsid w:val="00BB42A8"/>
    <w:rsid w:val="00BB4315"/>
    <w:rsid w:val="00BB4618"/>
    <w:rsid w:val="00BB46CF"/>
    <w:rsid w:val="00BB47D8"/>
    <w:rsid w:val="00BB4945"/>
    <w:rsid w:val="00BB497E"/>
    <w:rsid w:val="00BB4AB6"/>
    <w:rsid w:val="00BB4B50"/>
    <w:rsid w:val="00BB4BC7"/>
    <w:rsid w:val="00BB4CAE"/>
    <w:rsid w:val="00BB4FA0"/>
    <w:rsid w:val="00BB5020"/>
    <w:rsid w:val="00BB5095"/>
    <w:rsid w:val="00BB50F5"/>
    <w:rsid w:val="00BB50FF"/>
    <w:rsid w:val="00BB511A"/>
    <w:rsid w:val="00BB514A"/>
    <w:rsid w:val="00BB521C"/>
    <w:rsid w:val="00BB526F"/>
    <w:rsid w:val="00BB5321"/>
    <w:rsid w:val="00BB5346"/>
    <w:rsid w:val="00BB53AA"/>
    <w:rsid w:val="00BB53F8"/>
    <w:rsid w:val="00BB545C"/>
    <w:rsid w:val="00BB5605"/>
    <w:rsid w:val="00BB56BD"/>
    <w:rsid w:val="00BB575C"/>
    <w:rsid w:val="00BB57E6"/>
    <w:rsid w:val="00BB584F"/>
    <w:rsid w:val="00BB58C9"/>
    <w:rsid w:val="00BB593E"/>
    <w:rsid w:val="00BB5A85"/>
    <w:rsid w:val="00BB5A8E"/>
    <w:rsid w:val="00BB5AC7"/>
    <w:rsid w:val="00BB5BB9"/>
    <w:rsid w:val="00BB5C0A"/>
    <w:rsid w:val="00BB5C76"/>
    <w:rsid w:val="00BB5CCB"/>
    <w:rsid w:val="00BB5DE3"/>
    <w:rsid w:val="00BB5EE2"/>
    <w:rsid w:val="00BB5F3D"/>
    <w:rsid w:val="00BB6084"/>
    <w:rsid w:val="00BB6758"/>
    <w:rsid w:val="00BB6981"/>
    <w:rsid w:val="00BB6AEF"/>
    <w:rsid w:val="00BB6CB1"/>
    <w:rsid w:val="00BB6E52"/>
    <w:rsid w:val="00BB6F25"/>
    <w:rsid w:val="00BB6FD9"/>
    <w:rsid w:val="00BB6FE9"/>
    <w:rsid w:val="00BB7035"/>
    <w:rsid w:val="00BB714F"/>
    <w:rsid w:val="00BB7150"/>
    <w:rsid w:val="00BB7222"/>
    <w:rsid w:val="00BB749F"/>
    <w:rsid w:val="00BB74C4"/>
    <w:rsid w:val="00BB74C7"/>
    <w:rsid w:val="00BB7752"/>
    <w:rsid w:val="00BB782F"/>
    <w:rsid w:val="00BB795C"/>
    <w:rsid w:val="00BB7AC9"/>
    <w:rsid w:val="00BB7B3E"/>
    <w:rsid w:val="00BB7B87"/>
    <w:rsid w:val="00BB7BAD"/>
    <w:rsid w:val="00BB7D07"/>
    <w:rsid w:val="00BB7F46"/>
    <w:rsid w:val="00BB7F61"/>
    <w:rsid w:val="00BB7FA0"/>
    <w:rsid w:val="00BB7FBB"/>
    <w:rsid w:val="00BC0090"/>
    <w:rsid w:val="00BC00EF"/>
    <w:rsid w:val="00BC0265"/>
    <w:rsid w:val="00BC0316"/>
    <w:rsid w:val="00BC0408"/>
    <w:rsid w:val="00BC0450"/>
    <w:rsid w:val="00BC0535"/>
    <w:rsid w:val="00BC066C"/>
    <w:rsid w:val="00BC0733"/>
    <w:rsid w:val="00BC0900"/>
    <w:rsid w:val="00BC0A21"/>
    <w:rsid w:val="00BC0A4B"/>
    <w:rsid w:val="00BC0AFF"/>
    <w:rsid w:val="00BC0CC7"/>
    <w:rsid w:val="00BC0CDD"/>
    <w:rsid w:val="00BC0D25"/>
    <w:rsid w:val="00BC0D9B"/>
    <w:rsid w:val="00BC0F39"/>
    <w:rsid w:val="00BC0F97"/>
    <w:rsid w:val="00BC1125"/>
    <w:rsid w:val="00BC112D"/>
    <w:rsid w:val="00BC1161"/>
    <w:rsid w:val="00BC11DC"/>
    <w:rsid w:val="00BC125C"/>
    <w:rsid w:val="00BC12E1"/>
    <w:rsid w:val="00BC1400"/>
    <w:rsid w:val="00BC1437"/>
    <w:rsid w:val="00BC14C3"/>
    <w:rsid w:val="00BC1563"/>
    <w:rsid w:val="00BC15E0"/>
    <w:rsid w:val="00BC16BE"/>
    <w:rsid w:val="00BC16EC"/>
    <w:rsid w:val="00BC177E"/>
    <w:rsid w:val="00BC1803"/>
    <w:rsid w:val="00BC1876"/>
    <w:rsid w:val="00BC187A"/>
    <w:rsid w:val="00BC18C8"/>
    <w:rsid w:val="00BC18F8"/>
    <w:rsid w:val="00BC1972"/>
    <w:rsid w:val="00BC1B09"/>
    <w:rsid w:val="00BC1B28"/>
    <w:rsid w:val="00BC1EB2"/>
    <w:rsid w:val="00BC1EB7"/>
    <w:rsid w:val="00BC206C"/>
    <w:rsid w:val="00BC219A"/>
    <w:rsid w:val="00BC2204"/>
    <w:rsid w:val="00BC2474"/>
    <w:rsid w:val="00BC24B0"/>
    <w:rsid w:val="00BC24C7"/>
    <w:rsid w:val="00BC2644"/>
    <w:rsid w:val="00BC282A"/>
    <w:rsid w:val="00BC296E"/>
    <w:rsid w:val="00BC29B1"/>
    <w:rsid w:val="00BC2A79"/>
    <w:rsid w:val="00BC2BDB"/>
    <w:rsid w:val="00BC2C59"/>
    <w:rsid w:val="00BC2D0E"/>
    <w:rsid w:val="00BC2D3A"/>
    <w:rsid w:val="00BC2E4E"/>
    <w:rsid w:val="00BC2E59"/>
    <w:rsid w:val="00BC2EE8"/>
    <w:rsid w:val="00BC2F17"/>
    <w:rsid w:val="00BC2F49"/>
    <w:rsid w:val="00BC2F7D"/>
    <w:rsid w:val="00BC30CC"/>
    <w:rsid w:val="00BC34E3"/>
    <w:rsid w:val="00BC3594"/>
    <w:rsid w:val="00BC3758"/>
    <w:rsid w:val="00BC378F"/>
    <w:rsid w:val="00BC3846"/>
    <w:rsid w:val="00BC3855"/>
    <w:rsid w:val="00BC388B"/>
    <w:rsid w:val="00BC39D8"/>
    <w:rsid w:val="00BC3A03"/>
    <w:rsid w:val="00BC3A3B"/>
    <w:rsid w:val="00BC3A44"/>
    <w:rsid w:val="00BC3D13"/>
    <w:rsid w:val="00BC3D28"/>
    <w:rsid w:val="00BC425F"/>
    <w:rsid w:val="00BC42BE"/>
    <w:rsid w:val="00BC43CB"/>
    <w:rsid w:val="00BC43FD"/>
    <w:rsid w:val="00BC4484"/>
    <w:rsid w:val="00BC471D"/>
    <w:rsid w:val="00BC47D8"/>
    <w:rsid w:val="00BC48D6"/>
    <w:rsid w:val="00BC48EB"/>
    <w:rsid w:val="00BC4931"/>
    <w:rsid w:val="00BC4A50"/>
    <w:rsid w:val="00BC4B77"/>
    <w:rsid w:val="00BC4E46"/>
    <w:rsid w:val="00BC4E4B"/>
    <w:rsid w:val="00BC4E74"/>
    <w:rsid w:val="00BC507D"/>
    <w:rsid w:val="00BC50F8"/>
    <w:rsid w:val="00BC518E"/>
    <w:rsid w:val="00BC5441"/>
    <w:rsid w:val="00BC544C"/>
    <w:rsid w:val="00BC55B1"/>
    <w:rsid w:val="00BC5624"/>
    <w:rsid w:val="00BC568A"/>
    <w:rsid w:val="00BC578F"/>
    <w:rsid w:val="00BC597A"/>
    <w:rsid w:val="00BC5AAC"/>
    <w:rsid w:val="00BC5EB3"/>
    <w:rsid w:val="00BC5F84"/>
    <w:rsid w:val="00BC614B"/>
    <w:rsid w:val="00BC617C"/>
    <w:rsid w:val="00BC638C"/>
    <w:rsid w:val="00BC63DA"/>
    <w:rsid w:val="00BC63F1"/>
    <w:rsid w:val="00BC6580"/>
    <w:rsid w:val="00BC666C"/>
    <w:rsid w:val="00BC67E2"/>
    <w:rsid w:val="00BC685F"/>
    <w:rsid w:val="00BC689D"/>
    <w:rsid w:val="00BC692C"/>
    <w:rsid w:val="00BC69C7"/>
    <w:rsid w:val="00BC69F6"/>
    <w:rsid w:val="00BC6A25"/>
    <w:rsid w:val="00BC6B17"/>
    <w:rsid w:val="00BC6B6B"/>
    <w:rsid w:val="00BC6B75"/>
    <w:rsid w:val="00BC6BAB"/>
    <w:rsid w:val="00BC6E52"/>
    <w:rsid w:val="00BC6F17"/>
    <w:rsid w:val="00BC6FCA"/>
    <w:rsid w:val="00BC7032"/>
    <w:rsid w:val="00BC7073"/>
    <w:rsid w:val="00BC7093"/>
    <w:rsid w:val="00BC70B0"/>
    <w:rsid w:val="00BC70C5"/>
    <w:rsid w:val="00BC712A"/>
    <w:rsid w:val="00BC7163"/>
    <w:rsid w:val="00BC7526"/>
    <w:rsid w:val="00BC754A"/>
    <w:rsid w:val="00BC7732"/>
    <w:rsid w:val="00BC77B7"/>
    <w:rsid w:val="00BC79FF"/>
    <w:rsid w:val="00BC7AAB"/>
    <w:rsid w:val="00BC7D36"/>
    <w:rsid w:val="00BC7D98"/>
    <w:rsid w:val="00BC7DCF"/>
    <w:rsid w:val="00BC7E45"/>
    <w:rsid w:val="00BC7EE4"/>
    <w:rsid w:val="00BC7F0F"/>
    <w:rsid w:val="00BC7F8D"/>
    <w:rsid w:val="00BD0070"/>
    <w:rsid w:val="00BD016C"/>
    <w:rsid w:val="00BD03D7"/>
    <w:rsid w:val="00BD03F5"/>
    <w:rsid w:val="00BD0404"/>
    <w:rsid w:val="00BD076A"/>
    <w:rsid w:val="00BD0813"/>
    <w:rsid w:val="00BD087B"/>
    <w:rsid w:val="00BD0938"/>
    <w:rsid w:val="00BD0948"/>
    <w:rsid w:val="00BD0B78"/>
    <w:rsid w:val="00BD0BE6"/>
    <w:rsid w:val="00BD0D19"/>
    <w:rsid w:val="00BD0E71"/>
    <w:rsid w:val="00BD0F9D"/>
    <w:rsid w:val="00BD0FAB"/>
    <w:rsid w:val="00BD100B"/>
    <w:rsid w:val="00BD101F"/>
    <w:rsid w:val="00BD12AA"/>
    <w:rsid w:val="00BD12DD"/>
    <w:rsid w:val="00BD1452"/>
    <w:rsid w:val="00BD16A9"/>
    <w:rsid w:val="00BD1869"/>
    <w:rsid w:val="00BD18D2"/>
    <w:rsid w:val="00BD19AA"/>
    <w:rsid w:val="00BD19F4"/>
    <w:rsid w:val="00BD1A53"/>
    <w:rsid w:val="00BD1B0D"/>
    <w:rsid w:val="00BD1C47"/>
    <w:rsid w:val="00BD1CEC"/>
    <w:rsid w:val="00BD1D24"/>
    <w:rsid w:val="00BD1F60"/>
    <w:rsid w:val="00BD2058"/>
    <w:rsid w:val="00BD2108"/>
    <w:rsid w:val="00BD21CD"/>
    <w:rsid w:val="00BD226D"/>
    <w:rsid w:val="00BD22C5"/>
    <w:rsid w:val="00BD25A2"/>
    <w:rsid w:val="00BD2614"/>
    <w:rsid w:val="00BD26F3"/>
    <w:rsid w:val="00BD26FD"/>
    <w:rsid w:val="00BD275C"/>
    <w:rsid w:val="00BD279A"/>
    <w:rsid w:val="00BD2897"/>
    <w:rsid w:val="00BD296E"/>
    <w:rsid w:val="00BD2A7D"/>
    <w:rsid w:val="00BD2A8D"/>
    <w:rsid w:val="00BD2AEF"/>
    <w:rsid w:val="00BD2B60"/>
    <w:rsid w:val="00BD2CA9"/>
    <w:rsid w:val="00BD2E36"/>
    <w:rsid w:val="00BD2FB5"/>
    <w:rsid w:val="00BD3247"/>
    <w:rsid w:val="00BD333E"/>
    <w:rsid w:val="00BD33B1"/>
    <w:rsid w:val="00BD33B9"/>
    <w:rsid w:val="00BD3468"/>
    <w:rsid w:val="00BD352B"/>
    <w:rsid w:val="00BD3581"/>
    <w:rsid w:val="00BD35BB"/>
    <w:rsid w:val="00BD35C6"/>
    <w:rsid w:val="00BD37AA"/>
    <w:rsid w:val="00BD39AD"/>
    <w:rsid w:val="00BD3ABC"/>
    <w:rsid w:val="00BD3C5E"/>
    <w:rsid w:val="00BD3D1E"/>
    <w:rsid w:val="00BD3DC5"/>
    <w:rsid w:val="00BD3ECD"/>
    <w:rsid w:val="00BD3F4C"/>
    <w:rsid w:val="00BD3FF6"/>
    <w:rsid w:val="00BD414B"/>
    <w:rsid w:val="00BD422C"/>
    <w:rsid w:val="00BD4233"/>
    <w:rsid w:val="00BD4261"/>
    <w:rsid w:val="00BD4262"/>
    <w:rsid w:val="00BD4288"/>
    <w:rsid w:val="00BD428C"/>
    <w:rsid w:val="00BD4292"/>
    <w:rsid w:val="00BD4356"/>
    <w:rsid w:val="00BD43C0"/>
    <w:rsid w:val="00BD443D"/>
    <w:rsid w:val="00BD45DA"/>
    <w:rsid w:val="00BD462C"/>
    <w:rsid w:val="00BD4695"/>
    <w:rsid w:val="00BD4827"/>
    <w:rsid w:val="00BD48BD"/>
    <w:rsid w:val="00BD49BB"/>
    <w:rsid w:val="00BD4BDF"/>
    <w:rsid w:val="00BD4C3C"/>
    <w:rsid w:val="00BD4CF4"/>
    <w:rsid w:val="00BD4D47"/>
    <w:rsid w:val="00BD4DD3"/>
    <w:rsid w:val="00BD4EF6"/>
    <w:rsid w:val="00BD4F34"/>
    <w:rsid w:val="00BD5217"/>
    <w:rsid w:val="00BD52D8"/>
    <w:rsid w:val="00BD53BB"/>
    <w:rsid w:val="00BD5499"/>
    <w:rsid w:val="00BD554D"/>
    <w:rsid w:val="00BD566A"/>
    <w:rsid w:val="00BD56A6"/>
    <w:rsid w:val="00BD56FC"/>
    <w:rsid w:val="00BD58D8"/>
    <w:rsid w:val="00BD590B"/>
    <w:rsid w:val="00BD5A59"/>
    <w:rsid w:val="00BD5B53"/>
    <w:rsid w:val="00BD5C3E"/>
    <w:rsid w:val="00BD5DF8"/>
    <w:rsid w:val="00BD5EA6"/>
    <w:rsid w:val="00BD5F79"/>
    <w:rsid w:val="00BD6062"/>
    <w:rsid w:val="00BD61F2"/>
    <w:rsid w:val="00BD63C7"/>
    <w:rsid w:val="00BD6536"/>
    <w:rsid w:val="00BD65C8"/>
    <w:rsid w:val="00BD6743"/>
    <w:rsid w:val="00BD6755"/>
    <w:rsid w:val="00BD67E5"/>
    <w:rsid w:val="00BD6831"/>
    <w:rsid w:val="00BD6859"/>
    <w:rsid w:val="00BD6A41"/>
    <w:rsid w:val="00BD6A51"/>
    <w:rsid w:val="00BD6A54"/>
    <w:rsid w:val="00BD6B3F"/>
    <w:rsid w:val="00BD6F1A"/>
    <w:rsid w:val="00BD6F81"/>
    <w:rsid w:val="00BD707F"/>
    <w:rsid w:val="00BD715B"/>
    <w:rsid w:val="00BD7187"/>
    <w:rsid w:val="00BD719A"/>
    <w:rsid w:val="00BD71B8"/>
    <w:rsid w:val="00BD71C2"/>
    <w:rsid w:val="00BD738D"/>
    <w:rsid w:val="00BD7395"/>
    <w:rsid w:val="00BD754D"/>
    <w:rsid w:val="00BD79BF"/>
    <w:rsid w:val="00BD7A6E"/>
    <w:rsid w:val="00BD7B41"/>
    <w:rsid w:val="00BD7B8E"/>
    <w:rsid w:val="00BD7BA8"/>
    <w:rsid w:val="00BD7E90"/>
    <w:rsid w:val="00BD7EB8"/>
    <w:rsid w:val="00BD7F95"/>
    <w:rsid w:val="00BE006B"/>
    <w:rsid w:val="00BE00E7"/>
    <w:rsid w:val="00BE00F1"/>
    <w:rsid w:val="00BE0124"/>
    <w:rsid w:val="00BE013A"/>
    <w:rsid w:val="00BE0224"/>
    <w:rsid w:val="00BE025B"/>
    <w:rsid w:val="00BE0305"/>
    <w:rsid w:val="00BE0409"/>
    <w:rsid w:val="00BE0492"/>
    <w:rsid w:val="00BE05F7"/>
    <w:rsid w:val="00BE0621"/>
    <w:rsid w:val="00BE0697"/>
    <w:rsid w:val="00BE072F"/>
    <w:rsid w:val="00BE0797"/>
    <w:rsid w:val="00BE09DB"/>
    <w:rsid w:val="00BE0A39"/>
    <w:rsid w:val="00BE0A9D"/>
    <w:rsid w:val="00BE0ACC"/>
    <w:rsid w:val="00BE0B08"/>
    <w:rsid w:val="00BE0B72"/>
    <w:rsid w:val="00BE0BB6"/>
    <w:rsid w:val="00BE0BE2"/>
    <w:rsid w:val="00BE0C55"/>
    <w:rsid w:val="00BE0D27"/>
    <w:rsid w:val="00BE0DD8"/>
    <w:rsid w:val="00BE0E82"/>
    <w:rsid w:val="00BE0F57"/>
    <w:rsid w:val="00BE0F7F"/>
    <w:rsid w:val="00BE1021"/>
    <w:rsid w:val="00BE10B0"/>
    <w:rsid w:val="00BE10C4"/>
    <w:rsid w:val="00BE10FA"/>
    <w:rsid w:val="00BE1305"/>
    <w:rsid w:val="00BE135B"/>
    <w:rsid w:val="00BE147B"/>
    <w:rsid w:val="00BE163F"/>
    <w:rsid w:val="00BE16A9"/>
    <w:rsid w:val="00BE1796"/>
    <w:rsid w:val="00BE1907"/>
    <w:rsid w:val="00BE1A2D"/>
    <w:rsid w:val="00BE1AFE"/>
    <w:rsid w:val="00BE1E11"/>
    <w:rsid w:val="00BE1E9B"/>
    <w:rsid w:val="00BE1F98"/>
    <w:rsid w:val="00BE2089"/>
    <w:rsid w:val="00BE2104"/>
    <w:rsid w:val="00BE2136"/>
    <w:rsid w:val="00BE219A"/>
    <w:rsid w:val="00BE223E"/>
    <w:rsid w:val="00BE22FA"/>
    <w:rsid w:val="00BE2429"/>
    <w:rsid w:val="00BE2486"/>
    <w:rsid w:val="00BE2500"/>
    <w:rsid w:val="00BE2613"/>
    <w:rsid w:val="00BE266D"/>
    <w:rsid w:val="00BE279D"/>
    <w:rsid w:val="00BE2A54"/>
    <w:rsid w:val="00BE2A8F"/>
    <w:rsid w:val="00BE2BD0"/>
    <w:rsid w:val="00BE2BDF"/>
    <w:rsid w:val="00BE2BF5"/>
    <w:rsid w:val="00BE2CE7"/>
    <w:rsid w:val="00BE2D2C"/>
    <w:rsid w:val="00BE34F7"/>
    <w:rsid w:val="00BE352C"/>
    <w:rsid w:val="00BE3629"/>
    <w:rsid w:val="00BE375D"/>
    <w:rsid w:val="00BE38E5"/>
    <w:rsid w:val="00BE38FC"/>
    <w:rsid w:val="00BE39CD"/>
    <w:rsid w:val="00BE3BCF"/>
    <w:rsid w:val="00BE3C71"/>
    <w:rsid w:val="00BE3DAA"/>
    <w:rsid w:val="00BE3E7A"/>
    <w:rsid w:val="00BE3EAD"/>
    <w:rsid w:val="00BE3F0D"/>
    <w:rsid w:val="00BE3F6A"/>
    <w:rsid w:val="00BE3FED"/>
    <w:rsid w:val="00BE40BE"/>
    <w:rsid w:val="00BE40E9"/>
    <w:rsid w:val="00BE4357"/>
    <w:rsid w:val="00BE4537"/>
    <w:rsid w:val="00BE4560"/>
    <w:rsid w:val="00BE4678"/>
    <w:rsid w:val="00BE4719"/>
    <w:rsid w:val="00BE47E6"/>
    <w:rsid w:val="00BE4A2A"/>
    <w:rsid w:val="00BE4B07"/>
    <w:rsid w:val="00BE4B62"/>
    <w:rsid w:val="00BE4E3F"/>
    <w:rsid w:val="00BE4F79"/>
    <w:rsid w:val="00BE4FF6"/>
    <w:rsid w:val="00BE5003"/>
    <w:rsid w:val="00BE540F"/>
    <w:rsid w:val="00BE541D"/>
    <w:rsid w:val="00BE557D"/>
    <w:rsid w:val="00BE5679"/>
    <w:rsid w:val="00BE573D"/>
    <w:rsid w:val="00BE58F2"/>
    <w:rsid w:val="00BE59FB"/>
    <w:rsid w:val="00BE5A34"/>
    <w:rsid w:val="00BE5A8D"/>
    <w:rsid w:val="00BE5B0B"/>
    <w:rsid w:val="00BE5B90"/>
    <w:rsid w:val="00BE5EB5"/>
    <w:rsid w:val="00BE604E"/>
    <w:rsid w:val="00BE60A1"/>
    <w:rsid w:val="00BE61FF"/>
    <w:rsid w:val="00BE62EA"/>
    <w:rsid w:val="00BE6346"/>
    <w:rsid w:val="00BE64DC"/>
    <w:rsid w:val="00BE64E8"/>
    <w:rsid w:val="00BE658A"/>
    <w:rsid w:val="00BE665A"/>
    <w:rsid w:val="00BE6689"/>
    <w:rsid w:val="00BE670E"/>
    <w:rsid w:val="00BE676D"/>
    <w:rsid w:val="00BE6803"/>
    <w:rsid w:val="00BE6A14"/>
    <w:rsid w:val="00BE6A4B"/>
    <w:rsid w:val="00BE6A9F"/>
    <w:rsid w:val="00BE6B68"/>
    <w:rsid w:val="00BE6C41"/>
    <w:rsid w:val="00BE6C42"/>
    <w:rsid w:val="00BE6CC3"/>
    <w:rsid w:val="00BE6EA7"/>
    <w:rsid w:val="00BE6EBD"/>
    <w:rsid w:val="00BE6F48"/>
    <w:rsid w:val="00BE70E8"/>
    <w:rsid w:val="00BE715C"/>
    <w:rsid w:val="00BE71E1"/>
    <w:rsid w:val="00BE7219"/>
    <w:rsid w:val="00BE724C"/>
    <w:rsid w:val="00BE7433"/>
    <w:rsid w:val="00BE745B"/>
    <w:rsid w:val="00BE7522"/>
    <w:rsid w:val="00BE7564"/>
    <w:rsid w:val="00BE764B"/>
    <w:rsid w:val="00BE7674"/>
    <w:rsid w:val="00BE787F"/>
    <w:rsid w:val="00BE7953"/>
    <w:rsid w:val="00BE7A62"/>
    <w:rsid w:val="00BE7C04"/>
    <w:rsid w:val="00BE7D91"/>
    <w:rsid w:val="00BE7E07"/>
    <w:rsid w:val="00BE7EA9"/>
    <w:rsid w:val="00BF001A"/>
    <w:rsid w:val="00BF0068"/>
    <w:rsid w:val="00BF00B9"/>
    <w:rsid w:val="00BF015D"/>
    <w:rsid w:val="00BF0187"/>
    <w:rsid w:val="00BF018E"/>
    <w:rsid w:val="00BF0259"/>
    <w:rsid w:val="00BF02E7"/>
    <w:rsid w:val="00BF0318"/>
    <w:rsid w:val="00BF035F"/>
    <w:rsid w:val="00BF03F9"/>
    <w:rsid w:val="00BF0418"/>
    <w:rsid w:val="00BF043C"/>
    <w:rsid w:val="00BF0487"/>
    <w:rsid w:val="00BF0833"/>
    <w:rsid w:val="00BF0897"/>
    <w:rsid w:val="00BF0A57"/>
    <w:rsid w:val="00BF0BD0"/>
    <w:rsid w:val="00BF0C06"/>
    <w:rsid w:val="00BF0C38"/>
    <w:rsid w:val="00BF0C71"/>
    <w:rsid w:val="00BF0E39"/>
    <w:rsid w:val="00BF0F1A"/>
    <w:rsid w:val="00BF0F62"/>
    <w:rsid w:val="00BF1035"/>
    <w:rsid w:val="00BF109A"/>
    <w:rsid w:val="00BF1351"/>
    <w:rsid w:val="00BF135E"/>
    <w:rsid w:val="00BF142D"/>
    <w:rsid w:val="00BF158C"/>
    <w:rsid w:val="00BF15CF"/>
    <w:rsid w:val="00BF16BD"/>
    <w:rsid w:val="00BF16C8"/>
    <w:rsid w:val="00BF1815"/>
    <w:rsid w:val="00BF1821"/>
    <w:rsid w:val="00BF194D"/>
    <w:rsid w:val="00BF1A49"/>
    <w:rsid w:val="00BF1AB9"/>
    <w:rsid w:val="00BF1CCD"/>
    <w:rsid w:val="00BF1CE5"/>
    <w:rsid w:val="00BF1D64"/>
    <w:rsid w:val="00BF1FA6"/>
    <w:rsid w:val="00BF216A"/>
    <w:rsid w:val="00BF24D8"/>
    <w:rsid w:val="00BF24F3"/>
    <w:rsid w:val="00BF2538"/>
    <w:rsid w:val="00BF269B"/>
    <w:rsid w:val="00BF27FD"/>
    <w:rsid w:val="00BF2865"/>
    <w:rsid w:val="00BF28AA"/>
    <w:rsid w:val="00BF2907"/>
    <w:rsid w:val="00BF2E0F"/>
    <w:rsid w:val="00BF2E37"/>
    <w:rsid w:val="00BF2E49"/>
    <w:rsid w:val="00BF2E7D"/>
    <w:rsid w:val="00BF3010"/>
    <w:rsid w:val="00BF3061"/>
    <w:rsid w:val="00BF308C"/>
    <w:rsid w:val="00BF30BA"/>
    <w:rsid w:val="00BF34C8"/>
    <w:rsid w:val="00BF34CF"/>
    <w:rsid w:val="00BF34EC"/>
    <w:rsid w:val="00BF3540"/>
    <w:rsid w:val="00BF357E"/>
    <w:rsid w:val="00BF39BB"/>
    <w:rsid w:val="00BF3BF0"/>
    <w:rsid w:val="00BF3C2C"/>
    <w:rsid w:val="00BF3C2F"/>
    <w:rsid w:val="00BF3E66"/>
    <w:rsid w:val="00BF3EB2"/>
    <w:rsid w:val="00BF4177"/>
    <w:rsid w:val="00BF428D"/>
    <w:rsid w:val="00BF43A7"/>
    <w:rsid w:val="00BF4464"/>
    <w:rsid w:val="00BF44FD"/>
    <w:rsid w:val="00BF4753"/>
    <w:rsid w:val="00BF4763"/>
    <w:rsid w:val="00BF48B5"/>
    <w:rsid w:val="00BF49A8"/>
    <w:rsid w:val="00BF4AC6"/>
    <w:rsid w:val="00BF4B87"/>
    <w:rsid w:val="00BF4C1E"/>
    <w:rsid w:val="00BF4E1C"/>
    <w:rsid w:val="00BF4E33"/>
    <w:rsid w:val="00BF4F94"/>
    <w:rsid w:val="00BF5168"/>
    <w:rsid w:val="00BF51B2"/>
    <w:rsid w:val="00BF52C4"/>
    <w:rsid w:val="00BF5469"/>
    <w:rsid w:val="00BF55E1"/>
    <w:rsid w:val="00BF560F"/>
    <w:rsid w:val="00BF5658"/>
    <w:rsid w:val="00BF577C"/>
    <w:rsid w:val="00BF5B7D"/>
    <w:rsid w:val="00BF5D01"/>
    <w:rsid w:val="00BF5EB8"/>
    <w:rsid w:val="00BF5FD6"/>
    <w:rsid w:val="00BF60AF"/>
    <w:rsid w:val="00BF60F2"/>
    <w:rsid w:val="00BF622E"/>
    <w:rsid w:val="00BF624F"/>
    <w:rsid w:val="00BF6275"/>
    <w:rsid w:val="00BF6574"/>
    <w:rsid w:val="00BF6599"/>
    <w:rsid w:val="00BF66AE"/>
    <w:rsid w:val="00BF66D7"/>
    <w:rsid w:val="00BF685C"/>
    <w:rsid w:val="00BF688D"/>
    <w:rsid w:val="00BF6981"/>
    <w:rsid w:val="00BF69D3"/>
    <w:rsid w:val="00BF69E8"/>
    <w:rsid w:val="00BF6B30"/>
    <w:rsid w:val="00BF6B85"/>
    <w:rsid w:val="00BF6C6E"/>
    <w:rsid w:val="00BF6D83"/>
    <w:rsid w:val="00BF7029"/>
    <w:rsid w:val="00BF70CE"/>
    <w:rsid w:val="00BF70FD"/>
    <w:rsid w:val="00BF7612"/>
    <w:rsid w:val="00BF7767"/>
    <w:rsid w:val="00BF79AD"/>
    <w:rsid w:val="00BF7A0C"/>
    <w:rsid w:val="00BF7AEA"/>
    <w:rsid w:val="00BF7C93"/>
    <w:rsid w:val="00BF7D64"/>
    <w:rsid w:val="00BF7E0F"/>
    <w:rsid w:val="00BF7E81"/>
    <w:rsid w:val="00BF7ED6"/>
    <w:rsid w:val="00C00031"/>
    <w:rsid w:val="00C00112"/>
    <w:rsid w:val="00C002E4"/>
    <w:rsid w:val="00C003A1"/>
    <w:rsid w:val="00C00441"/>
    <w:rsid w:val="00C004BE"/>
    <w:rsid w:val="00C0054C"/>
    <w:rsid w:val="00C005E6"/>
    <w:rsid w:val="00C00608"/>
    <w:rsid w:val="00C0067B"/>
    <w:rsid w:val="00C0088B"/>
    <w:rsid w:val="00C009BC"/>
    <w:rsid w:val="00C00A5E"/>
    <w:rsid w:val="00C00ADB"/>
    <w:rsid w:val="00C00B2C"/>
    <w:rsid w:val="00C00B51"/>
    <w:rsid w:val="00C00DE1"/>
    <w:rsid w:val="00C00E1B"/>
    <w:rsid w:val="00C00EF8"/>
    <w:rsid w:val="00C00FC7"/>
    <w:rsid w:val="00C0102E"/>
    <w:rsid w:val="00C01052"/>
    <w:rsid w:val="00C01187"/>
    <w:rsid w:val="00C01212"/>
    <w:rsid w:val="00C013F9"/>
    <w:rsid w:val="00C01508"/>
    <w:rsid w:val="00C017E7"/>
    <w:rsid w:val="00C0184A"/>
    <w:rsid w:val="00C0190E"/>
    <w:rsid w:val="00C01A18"/>
    <w:rsid w:val="00C01CDD"/>
    <w:rsid w:val="00C01CDE"/>
    <w:rsid w:val="00C01E61"/>
    <w:rsid w:val="00C01F24"/>
    <w:rsid w:val="00C01F4B"/>
    <w:rsid w:val="00C01F99"/>
    <w:rsid w:val="00C01FD0"/>
    <w:rsid w:val="00C020B9"/>
    <w:rsid w:val="00C022C8"/>
    <w:rsid w:val="00C023A7"/>
    <w:rsid w:val="00C023A8"/>
    <w:rsid w:val="00C023B5"/>
    <w:rsid w:val="00C023DF"/>
    <w:rsid w:val="00C02455"/>
    <w:rsid w:val="00C02664"/>
    <w:rsid w:val="00C02723"/>
    <w:rsid w:val="00C02735"/>
    <w:rsid w:val="00C0273A"/>
    <w:rsid w:val="00C0276A"/>
    <w:rsid w:val="00C0288C"/>
    <w:rsid w:val="00C02892"/>
    <w:rsid w:val="00C028B6"/>
    <w:rsid w:val="00C02902"/>
    <w:rsid w:val="00C0294B"/>
    <w:rsid w:val="00C02AB1"/>
    <w:rsid w:val="00C02AF1"/>
    <w:rsid w:val="00C02B07"/>
    <w:rsid w:val="00C02CD3"/>
    <w:rsid w:val="00C02E08"/>
    <w:rsid w:val="00C02E96"/>
    <w:rsid w:val="00C02E9A"/>
    <w:rsid w:val="00C02EA7"/>
    <w:rsid w:val="00C03071"/>
    <w:rsid w:val="00C030E7"/>
    <w:rsid w:val="00C030FF"/>
    <w:rsid w:val="00C031E2"/>
    <w:rsid w:val="00C032FA"/>
    <w:rsid w:val="00C03346"/>
    <w:rsid w:val="00C03481"/>
    <w:rsid w:val="00C03495"/>
    <w:rsid w:val="00C03643"/>
    <w:rsid w:val="00C036CD"/>
    <w:rsid w:val="00C0376C"/>
    <w:rsid w:val="00C0383D"/>
    <w:rsid w:val="00C03BB1"/>
    <w:rsid w:val="00C03C33"/>
    <w:rsid w:val="00C03C9B"/>
    <w:rsid w:val="00C03CBD"/>
    <w:rsid w:val="00C03D7A"/>
    <w:rsid w:val="00C03E00"/>
    <w:rsid w:val="00C03E06"/>
    <w:rsid w:val="00C03E12"/>
    <w:rsid w:val="00C03E9A"/>
    <w:rsid w:val="00C0425E"/>
    <w:rsid w:val="00C04376"/>
    <w:rsid w:val="00C0438D"/>
    <w:rsid w:val="00C04460"/>
    <w:rsid w:val="00C0463A"/>
    <w:rsid w:val="00C04693"/>
    <w:rsid w:val="00C04857"/>
    <w:rsid w:val="00C04877"/>
    <w:rsid w:val="00C049D7"/>
    <w:rsid w:val="00C04B6A"/>
    <w:rsid w:val="00C04B76"/>
    <w:rsid w:val="00C04B85"/>
    <w:rsid w:val="00C04C06"/>
    <w:rsid w:val="00C04D3E"/>
    <w:rsid w:val="00C04DFA"/>
    <w:rsid w:val="00C04F8C"/>
    <w:rsid w:val="00C05099"/>
    <w:rsid w:val="00C05112"/>
    <w:rsid w:val="00C05293"/>
    <w:rsid w:val="00C052C9"/>
    <w:rsid w:val="00C0535B"/>
    <w:rsid w:val="00C0537C"/>
    <w:rsid w:val="00C05423"/>
    <w:rsid w:val="00C05552"/>
    <w:rsid w:val="00C0588E"/>
    <w:rsid w:val="00C058F2"/>
    <w:rsid w:val="00C05973"/>
    <w:rsid w:val="00C05A0F"/>
    <w:rsid w:val="00C05B38"/>
    <w:rsid w:val="00C05C00"/>
    <w:rsid w:val="00C05CD1"/>
    <w:rsid w:val="00C05D46"/>
    <w:rsid w:val="00C05DD4"/>
    <w:rsid w:val="00C05E01"/>
    <w:rsid w:val="00C05E39"/>
    <w:rsid w:val="00C05E4B"/>
    <w:rsid w:val="00C05E77"/>
    <w:rsid w:val="00C05E78"/>
    <w:rsid w:val="00C05E93"/>
    <w:rsid w:val="00C05EBC"/>
    <w:rsid w:val="00C05FCE"/>
    <w:rsid w:val="00C05FDD"/>
    <w:rsid w:val="00C06046"/>
    <w:rsid w:val="00C060AE"/>
    <w:rsid w:val="00C06133"/>
    <w:rsid w:val="00C062A0"/>
    <w:rsid w:val="00C062DF"/>
    <w:rsid w:val="00C063B7"/>
    <w:rsid w:val="00C063B9"/>
    <w:rsid w:val="00C063C3"/>
    <w:rsid w:val="00C065D6"/>
    <w:rsid w:val="00C0678F"/>
    <w:rsid w:val="00C068AF"/>
    <w:rsid w:val="00C068B2"/>
    <w:rsid w:val="00C06A5C"/>
    <w:rsid w:val="00C06A94"/>
    <w:rsid w:val="00C06B0E"/>
    <w:rsid w:val="00C06CF0"/>
    <w:rsid w:val="00C06E15"/>
    <w:rsid w:val="00C06ECD"/>
    <w:rsid w:val="00C06FC5"/>
    <w:rsid w:val="00C07117"/>
    <w:rsid w:val="00C0731B"/>
    <w:rsid w:val="00C0736C"/>
    <w:rsid w:val="00C07602"/>
    <w:rsid w:val="00C07627"/>
    <w:rsid w:val="00C0763B"/>
    <w:rsid w:val="00C07654"/>
    <w:rsid w:val="00C0781D"/>
    <w:rsid w:val="00C07B27"/>
    <w:rsid w:val="00C07D4C"/>
    <w:rsid w:val="00C07D4F"/>
    <w:rsid w:val="00C07DA6"/>
    <w:rsid w:val="00C07DB2"/>
    <w:rsid w:val="00C07E30"/>
    <w:rsid w:val="00C07E6E"/>
    <w:rsid w:val="00C07FDB"/>
    <w:rsid w:val="00C07FF5"/>
    <w:rsid w:val="00C10023"/>
    <w:rsid w:val="00C103C8"/>
    <w:rsid w:val="00C10446"/>
    <w:rsid w:val="00C1058C"/>
    <w:rsid w:val="00C105B4"/>
    <w:rsid w:val="00C105F2"/>
    <w:rsid w:val="00C10621"/>
    <w:rsid w:val="00C1064B"/>
    <w:rsid w:val="00C10773"/>
    <w:rsid w:val="00C10C0F"/>
    <w:rsid w:val="00C10E23"/>
    <w:rsid w:val="00C10E47"/>
    <w:rsid w:val="00C10EF8"/>
    <w:rsid w:val="00C10EFA"/>
    <w:rsid w:val="00C1101D"/>
    <w:rsid w:val="00C11141"/>
    <w:rsid w:val="00C1119A"/>
    <w:rsid w:val="00C111EC"/>
    <w:rsid w:val="00C112E3"/>
    <w:rsid w:val="00C113D0"/>
    <w:rsid w:val="00C114CB"/>
    <w:rsid w:val="00C116AE"/>
    <w:rsid w:val="00C116B2"/>
    <w:rsid w:val="00C11706"/>
    <w:rsid w:val="00C1175D"/>
    <w:rsid w:val="00C11826"/>
    <w:rsid w:val="00C1184E"/>
    <w:rsid w:val="00C118A2"/>
    <w:rsid w:val="00C118EB"/>
    <w:rsid w:val="00C11914"/>
    <w:rsid w:val="00C11915"/>
    <w:rsid w:val="00C11A51"/>
    <w:rsid w:val="00C11A8D"/>
    <w:rsid w:val="00C11AF4"/>
    <w:rsid w:val="00C11C55"/>
    <w:rsid w:val="00C11DEA"/>
    <w:rsid w:val="00C11E04"/>
    <w:rsid w:val="00C11F35"/>
    <w:rsid w:val="00C11F8A"/>
    <w:rsid w:val="00C11FCD"/>
    <w:rsid w:val="00C11FEE"/>
    <w:rsid w:val="00C12052"/>
    <w:rsid w:val="00C12060"/>
    <w:rsid w:val="00C12642"/>
    <w:rsid w:val="00C126B2"/>
    <w:rsid w:val="00C12985"/>
    <w:rsid w:val="00C12A88"/>
    <w:rsid w:val="00C12C2C"/>
    <w:rsid w:val="00C12CC0"/>
    <w:rsid w:val="00C12CD8"/>
    <w:rsid w:val="00C12D43"/>
    <w:rsid w:val="00C12D6B"/>
    <w:rsid w:val="00C12DEA"/>
    <w:rsid w:val="00C12E61"/>
    <w:rsid w:val="00C12EBA"/>
    <w:rsid w:val="00C12FE3"/>
    <w:rsid w:val="00C13099"/>
    <w:rsid w:val="00C131D4"/>
    <w:rsid w:val="00C13218"/>
    <w:rsid w:val="00C13246"/>
    <w:rsid w:val="00C13264"/>
    <w:rsid w:val="00C133F4"/>
    <w:rsid w:val="00C1340A"/>
    <w:rsid w:val="00C13427"/>
    <w:rsid w:val="00C135F3"/>
    <w:rsid w:val="00C13809"/>
    <w:rsid w:val="00C13858"/>
    <w:rsid w:val="00C13909"/>
    <w:rsid w:val="00C13B32"/>
    <w:rsid w:val="00C13BB8"/>
    <w:rsid w:val="00C13BEB"/>
    <w:rsid w:val="00C13C88"/>
    <w:rsid w:val="00C13D4D"/>
    <w:rsid w:val="00C13D79"/>
    <w:rsid w:val="00C13DA5"/>
    <w:rsid w:val="00C13FC2"/>
    <w:rsid w:val="00C14133"/>
    <w:rsid w:val="00C14216"/>
    <w:rsid w:val="00C142C5"/>
    <w:rsid w:val="00C1430C"/>
    <w:rsid w:val="00C1443D"/>
    <w:rsid w:val="00C144F0"/>
    <w:rsid w:val="00C1453B"/>
    <w:rsid w:val="00C14577"/>
    <w:rsid w:val="00C146EB"/>
    <w:rsid w:val="00C1472B"/>
    <w:rsid w:val="00C1481A"/>
    <w:rsid w:val="00C148C0"/>
    <w:rsid w:val="00C14907"/>
    <w:rsid w:val="00C14BCE"/>
    <w:rsid w:val="00C14BE5"/>
    <w:rsid w:val="00C14E4B"/>
    <w:rsid w:val="00C14E5E"/>
    <w:rsid w:val="00C14E95"/>
    <w:rsid w:val="00C14EDF"/>
    <w:rsid w:val="00C14F9D"/>
    <w:rsid w:val="00C150A8"/>
    <w:rsid w:val="00C1517A"/>
    <w:rsid w:val="00C152A7"/>
    <w:rsid w:val="00C152E1"/>
    <w:rsid w:val="00C15329"/>
    <w:rsid w:val="00C15353"/>
    <w:rsid w:val="00C15397"/>
    <w:rsid w:val="00C15488"/>
    <w:rsid w:val="00C1549A"/>
    <w:rsid w:val="00C15522"/>
    <w:rsid w:val="00C15566"/>
    <w:rsid w:val="00C15673"/>
    <w:rsid w:val="00C15689"/>
    <w:rsid w:val="00C159BF"/>
    <w:rsid w:val="00C15A11"/>
    <w:rsid w:val="00C15E98"/>
    <w:rsid w:val="00C15EDF"/>
    <w:rsid w:val="00C15F85"/>
    <w:rsid w:val="00C16127"/>
    <w:rsid w:val="00C16292"/>
    <w:rsid w:val="00C162AF"/>
    <w:rsid w:val="00C163B7"/>
    <w:rsid w:val="00C16450"/>
    <w:rsid w:val="00C165A4"/>
    <w:rsid w:val="00C16803"/>
    <w:rsid w:val="00C1680E"/>
    <w:rsid w:val="00C16846"/>
    <w:rsid w:val="00C16959"/>
    <w:rsid w:val="00C16A4A"/>
    <w:rsid w:val="00C16C43"/>
    <w:rsid w:val="00C16CD6"/>
    <w:rsid w:val="00C16E50"/>
    <w:rsid w:val="00C16EF3"/>
    <w:rsid w:val="00C16F6D"/>
    <w:rsid w:val="00C17016"/>
    <w:rsid w:val="00C170B2"/>
    <w:rsid w:val="00C17178"/>
    <w:rsid w:val="00C1733E"/>
    <w:rsid w:val="00C173BB"/>
    <w:rsid w:val="00C17502"/>
    <w:rsid w:val="00C17549"/>
    <w:rsid w:val="00C1758B"/>
    <w:rsid w:val="00C175EC"/>
    <w:rsid w:val="00C1763A"/>
    <w:rsid w:val="00C17659"/>
    <w:rsid w:val="00C17711"/>
    <w:rsid w:val="00C177B1"/>
    <w:rsid w:val="00C17A15"/>
    <w:rsid w:val="00C17A2F"/>
    <w:rsid w:val="00C17A45"/>
    <w:rsid w:val="00C17C10"/>
    <w:rsid w:val="00C20290"/>
    <w:rsid w:val="00C20291"/>
    <w:rsid w:val="00C20372"/>
    <w:rsid w:val="00C204E8"/>
    <w:rsid w:val="00C2053F"/>
    <w:rsid w:val="00C206AA"/>
    <w:rsid w:val="00C206CD"/>
    <w:rsid w:val="00C207C0"/>
    <w:rsid w:val="00C207C8"/>
    <w:rsid w:val="00C20A78"/>
    <w:rsid w:val="00C20B64"/>
    <w:rsid w:val="00C20D05"/>
    <w:rsid w:val="00C20DAD"/>
    <w:rsid w:val="00C20E91"/>
    <w:rsid w:val="00C20E9C"/>
    <w:rsid w:val="00C210E0"/>
    <w:rsid w:val="00C21230"/>
    <w:rsid w:val="00C21261"/>
    <w:rsid w:val="00C21477"/>
    <w:rsid w:val="00C21583"/>
    <w:rsid w:val="00C2160D"/>
    <w:rsid w:val="00C21652"/>
    <w:rsid w:val="00C2188F"/>
    <w:rsid w:val="00C218EA"/>
    <w:rsid w:val="00C2191D"/>
    <w:rsid w:val="00C219B8"/>
    <w:rsid w:val="00C21A3B"/>
    <w:rsid w:val="00C21B09"/>
    <w:rsid w:val="00C21B80"/>
    <w:rsid w:val="00C21C56"/>
    <w:rsid w:val="00C21D1D"/>
    <w:rsid w:val="00C21DFA"/>
    <w:rsid w:val="00C21E44"/>
    <w:rsid w:val="00C21E7A"/>
    <w:rsid w:val="00C21FEE"/>
    <w:rsid w:val="00C22047"/>
    <w:rsid w:val="00C22191"/>
    <w:rsid w:val="00C223B3"/>
    <w:rsid w:val="00C223CD"/>
    <w:rsid w:val="00C223E1"/>
    <w:rsid w:val="00C225E3"/>
    <w:rsid w:val="00C22750"/>
    <w:rsid w:val="00C2278F"/>
    <w:rsid w:val="00C229FC"/>
    <w:rsid w:val="00C22AA6"/>
    <w:rsid w:val="00C22AF8"/>
    <w:rsid w:val="00C22C65"/>
    <w:rsid w:val="00C22DC1"/>
    <w:rsid w:val="00C22DD0"/>
    <w:rsid w:val="00C22E49"/>
    <w:rsid w:val="00C22EAF"/>
    <w:rsid w:val="00C22FCA"/>
    <w:rsid w:val="00C22FF7"/>
    <w:rsid w:val="00C23427"/>
    <w:rsid w:val="00C2343D"/>
    <w:rsid w:val="00C23454"/>
    <w:rsid w:val="00C2356C"/>
    <w:rsid w:val="00C23599"/>
    <w:rsid w:val="00C23688"/>
    <w:rsid w:val="00C239F0"/>
    <w:rsid w:val="00C23AC5"/>
    <w:rsid w:val="00C23AED"/>
    <w:rsid w:val="00C23B59"/>
    <w:rsid w:val="00C23C59"/>
    <w:rsid w:val="00C23D86"/>
    <w:rsid w:val="00C23E9B"/>
    <w:rsid w:val="00C23F8F"/>
    <w:rsid w:val="00C240CC"/>
    <w:rsid w:val="00C24498"/>
    <w:rsid w:val="00C24535"/>
    <w:rsid w:val="00C2454A"/>
    <w:rsid w:val="00C24B07"/>
    <w:rsid w:val="00C24B3C"/>
    <w:rsid w:val="00C24B41"/>
    <w:rsid w:val="00C24C1B"/>
    <w:rsid w:val="00C24CCA"/>
    <w:rsid w:val="00C24D16"/>
    <w:rsid w:val="00C24DF9"/>
    <w:rsid w:val="00C24ECF"/>
    <w:rsid w:val="00C24F3E"/>
    <w:rsid w:val="00C25128"/>
    <w:rsid w:val="00C251F9"/>
    <w:rsid w:val="00C25211"/>
    <w:rsid w:val="00C25230"/>
    <w:rsid w:val="00C252D3"/>
    <w:rsid w:val="00C25377"/>
    <w:rsid w:val="00C25604"/>
    <w:rsid w:val="00C256EB"/>
    <w:rsid w:val="00C25726"/>
    <w:rsid w:val="00C258F4"/>
    <w:rsid w:val="00C25956"/>
    <w:rsid w:val="00C25A9B"/>
    <w:rsid w:val="00C25BB3"/>
    <w:rsid w:val="00C25BC8"/>
    <w:rsid w:val="00C25C71"/>
    <w:rsid w:val="00C25D16"/>
    <w:rsid w:val="00C25DED"/>
    <w:rsid w:val="00C25E3D"/>
    <w:rsid w:val="00C25FE9"/>
    <w:rsid w:val="00C26051"/>
    <w:rsid w:val="00C260E6"/>
    <w:rsid w:val="00C26109"/>
    <w:rsid w:val="00C262A7"/>
    <w:rsid w:val="00C2630B"/>
    <w:rsid w:val="00C263A8"/>
    <w:rsid w:val="00C264F7"/>
    <w:rsid w:val="00C2656A"/>
    <w:rsid w:val="00C26675"/>
    <w:rsid w:val="00C266E3"/>
    <w:rsid w:val="00C2686D"/>
    <w:rsid w:val="00C268A9"/>
    <w:rsid w:val="00C268D3"/>
    <w:rsid w:val="00C26938"/>
    <w:rsid w:val="00C26953"/>
    <w:rsid w:val="00C26975"/>
    <w:rsid w:val="00C26A58"/>
    <w:rsid w:val="00C26C23"/>
    <w:rsid w:val="00C26E50"/>
    <w:rsid w:val="00C26EEB"/>
    <w:rsid w:val="00C26F4D"/>
    <w:rsid w:val="00C26F7A"/>
    <w:rsid w:val="00C26F9C"/>
    <w:rsid w:val="00C270B4"/>
    <w:rsid w:val="00C27248"/>
    <w:rsid w:val="00C274BD"/>
    <w:rsid w:val="00C274C7"/>
    <w:rsid w:val="00C2755E"/>
    <w:rsid w:val="00C2756E"/>
    <w:rsid w:val="00C275F7"/>
    <w:rsid w:val="00C276D5"/>
    <w:rsid w:val="00C27723"/>
    <w:rsid w:val="00C27744"/>
    <w:rsid w:val="00C27755"/>
    <w:rsid w:val="00C277F9"/>
    <w:rsid w:val="00C27861"/>
    <w:rsid w:val="00C278CB"/>
    <w:rsid w:val="00C278FA"/>
    <w:rsid w:val="00C27970"/>
    <w:rsid w:val="00C27A0C"/>
    <w:rsid w:val="00C27A24"/>
    <w:rsid w:val="00C27B98"/>
    <w:rsid w:val="00C27BAE"/>
    <w:rsid w:val="00C27BF8"/>
    <w:rsid w:val="00C27C33"/>
    <w:rsid w:val="00C27C97"/>
    <w:rsid w:val="00C27D8C"/>
    <w:rsid w:val="00C27E4B"/>
    <w:rsid w:val="00C27EB9"/>
    <w:rsid w:val="00C27FA6"/>
    <w:rsid w:val="00C30025"/>
    <w:rsid w:val="00C30068"/>
    <w:rsid w:val="00C3007D"/>
    <w:rsid w:val="00C300D3"/>
    <w:rsid w:val="00C3027A"/>
    <w:rsid w:val="00C302FB"/>
    <w:rsid w:val="00C30339"/>
    <w:rsid w:val="00C303B4"/>
    <w:rsid w:val="00C303E9"/>
    <w:rsid w:val="00C30431"/>
    <w:rsid w:val="00C304A1"/>
    <w:rsid w:val="00C30537"/>
    <w:rsid w:val="00C30673"/>
    <w:rsid w:val="00C306B8"/>
    <w:rsid w:val="00C307BC"/>
    <w:rsid w:val="00C30854"/>
    <w:rsid w:val="00C30A7F"/>
    <w:rsid w:val="00C30AD2"/>
    <w:rsid w:val="00C30B28"/>
    <w:rsid w:val="00C30B7F"/>
    <w:rsid w:val="00C30BBF"/>
    <w:rsid w:val="00C30BD8"/>
    <w:rsid w:val="00C30C95"/>
    <w:rsid w:val="00C30E30"/>
    <w:rsid w:val="00C30F45"/>
    <w:rsid w:val="00C3109D"/>
    <w:rsid w:val="00C310E1"/>
    <w:rsid w:val="00C31185"/>
    <w:rsid w:val="00C31216"/>
    <w:rsid w:val="00C31284"/>
    <w:rsid w:val="00C31510"/>
    <w:rsid w:val="00C315C6"/>
    <w:rsid w:val="00C315E0"/>
    <w:rsid w:val="00C31679"/>
    <w:rsid w:val="00C3178B"/>
    <w:rsid w:val="00C3180A"/>
    <w:rsid w:val="00C31873"/>
    <w:rsid w:val="00C318CF"/>
    <w:rsid w:val="00C318DE"/>
    <w:rsid w:val="00C31A68"/>
    <w:rsid w:val="00C31B81"/>
    <w:rsid w:val="00C31BD1"/>
    <w:rsid w:val="00C31C8B"/>
    <w:rsid w:val="00C31DBE"/>
    <w:rsid w:val="00C31E34"/>
    <w:rsid w:val="00C31F42"/>
    <w:rsid w:val="00C31F88"/>
    <w:rsid w:val="00C320B7"/>
    <w:rsid w:val="00C321B2"/>
    <w:rsid w:val="00C321C4"/>
    <w:rsid w:val="00C322A8"/>
    <w:rsid w:val="00C322F8"/>
    <w:rsid w:val="00C32314"/>
    <w:rsid w:val="00C32319"/>
    <w:rsid w:val="00C32336"/>
    <w:rsid w:val="00C3244A"/>
    <w:rsid w:val="00C3247A"/>
    <w:rsid w:val="00C324F3"/>
    <w:rsid w:val="00C3267E"/>
    <w:rsid w:val="00C328E4"/>
    <w:rsid w:val="00C32910"/>
    <w:rsid w:val="00C329B9"/>
    <w:rsid w:val="00C32B8F"/>
    <w:rsid w:val="00C32E35"/>
    <w:rsid w:val="00C32E92"/>
    <w:rsid w:val="00C32F32"/>
    <w:rsid w:val="00C32F41"/>
    <w:rsid w:val="00C33066"/>
    <w:rsid w:val="00C33230"/>
    <w:rsid w:val="00C3325D"/>
    <w:rsid w:val="00C3344A"/>
    <w:rsid w:val="00C33461"/>
    <w:rsid w:val="00C3356D"/>
    <w:rsid w:val="00C336A4"/>
    <w:rsid w:val="00C33710"/>
    <w:rsid w:val="00C337CD"/>
    <w:rsid w:val="00C337F4"/>
    <w:rsid w:val="00C3382F"/>
    <w:rsid w:val="00C3385C"/>
    <w:rsid w:val="00C33876"/>
    <w:rsid w:val="00C339E1"/>
    <w:rsid w:val="00C33A52"/>
    <w:rsid w:val="00C33C3F"/>
    <w:rsid w:val="00C33CE4"/>
    <w:rsid w:val="00C33DC4"/>
    <w:rsid w:val="00C33E9A"/>
    <w:rsid w:val="00C33ECE"/>
    <w:rsid w:val="00C3419F"/>
    <w:rsid w:val="00C34276"/>
    <w:rsid w:val="00C342B6"/>
    <w:rsid w:val="00C34348"/>
    <w:rsid w:val="00C34434"/>
    <w:rsid w:val="00C344EC"/>
    <w:rsid w:val="00C34583"/>
    <w:rsid w:val="00C3465B"/>
    <w:rsid w:val="00C34666"/>
    <w:rsid w:val="00C34688"/>
    <w:rsid w:val="00C346DF"/>
    <w:rsid w:val="00C34985"/>
    <w:rsid w:val="00C34AD8"/>
    <w:rsid w:val="00C34B38"/>
    <w:rsid w:val="00C34BDD"/>
    <w:rsid w:val="00C34CA2"/>
    <w:rsid w:val="00C34DB1"/>
    <w:rsid w:val="00C34DD6"/>
    <w:rsid w:val="00C34EE0"/>
    <w:rsid w:val="00C34F22"/>
    <w:rsid w:val="00C350CC"/>
    <w:rsid w:val="00C3521F"/>
    <w:rsid w:val="00C352D0"/>
    <w:rsid w:val="00C35301"/>
    <w:rsid w:val="00C353C7"/>
    <w:rsid w:val="00C35531"/>
    <w:rsid w:val="00C3554C"/>
    <w:rsid w:val="00C3560A"/>
    <w:rsid w:val="00C35685"/>
    <w:rsid w:val="00C3588C"/>
    <w:rsid w:val="00C35AE8"/>
    <w:rsid w:val="00C35B08"/>
    <w:rsid w:val="00C35CB9"/>
    <w:rsid w:val="00C35D17"/>
    <w:rsid w:val="00C35F7F"/>
    <w:rsid w:val="00C362C9"/>
    <w:rsid w:val="00C36315"/>
    <w:rsid w:val="00C36321"/>
    <w:rsid w:val="00C363CA"/>
    <w:rsid w:val="00C3641A"/>
    <w:rsid w:val="00C36469"/>
    <w:rsid w:val="00C364ED"/>
    <w:rsid w:val="00C365AE"/>
    <w:rsid w:val="00C3671D"/>
    <w:rsid w:val="00C367C2"/>
    <w:rsid w:val="00C36AD5"/>
    <w:rsid w:val="00C36B34"/>
    <w:rsid w:val="00C36C82"/>
    <w:rsid w:val="00C36CCB"/>
    <w:rsid w:val="00C37016"/>
    <w:rsid w:val="00C3703B"/>
    <w:rsid w:val="00C373C1"/>
    <w:rsid w:val="00C3742E"/>
    <w:rsid w:val="00C37678"/>
    <w:rsid w:val="00C376A3"/>
    <w:rsid w:val="00C376E1"/>
    <w:rsid w:val="00C37A1F"/>
    <w:rsid w:val="00C37BCA"/>
    <w:rsid w:val="00C37C3E"/>
    <w:rsid w:val="00C37C69"/>
    <w:rsid w:val="00C37C8D"/>
    <w:rsid w:val="00C37DD3"/>
    <w:rsid w:val="00C37E92"/>
    <w:rsid w:val="00C37E9E"/>
    <w:rsid w:val="00C37F07"/>
    <w:rsid w:val="00C40065"/>
    <w:rsid w:val="00C400BE"/>
    <w:rsid w:val="00C400F5"/>
    <w:rsid w:val="00C40150"/>
    <w:rsid w:val="00C40355"/>
    <w:rsid w:val="00C40374"/>
    <w:rsid w:val="00C4039A"/>
    <w:rsid w:val="00C404D0"/>
    <w:rsid w:val="00C4078E"/>
    <w:rsid w:val="00C407B8"/>
    <w:rsid w:val="00C407D8"/>
    <w:rsid w:val="00C40B35"/>
    <w:rsid w:val="00C40C8D"/>
    <w:rsid w:val="00C40CD3"/>
    <w:rsid w:val="00C40D7E"/>
    <w:rsid w:val="00C40DAE"/>
    <w:rsid w:val="00C40E30"/>
    <w:rsid w:val="00C40E7C"/>
    <w:rsid w:val="00C4115F"/>
    <w:rsid w:val="00C41183"/>
    <w:rsid w:val="00C414B0"/>
    <w:rsid w:val="00C414C5"/>
    <w:rsid w:val="00C41595"/>
    <w:rsid w:val="00C416FB"/>
    <w:rsid w:val="00C41762"/>
    <w:rsid w:val="00C41852"/>
    <w:rsid w:val="00C41A34"/>
    <w:rsid w:val="00C41C36"/>
    <w:rsid w:val="00C41CA6"/>
    <w:rsid w:val="00C41CA7"/>
    <w:rsid w:val="00C41D61"/>
    <w:rsid w:val="00C41DD0"/>
    <w:rsid w:val="00C4208A"/>
    <w:rsid w:val="00C42136"/>
    <w:rsid w:val="00C42150"/>
    <w:rsid w:val="00C421E5"/>
    <w:rsid w:val="00C422C6"/>
    <w:rsid w:val="00C42308"/>
    <w:rsid w:val="00C4233D"/>
    <w:rsid w:val="00C4249B"/>
    <w:rsid w:val="00C4279B"/>
    <w:rsid w:val="00C42908"/>
    <w:rsid w:val="00C42935"/>
    <w:rsid w:val="00C4298E"/>
    <w:rsid w:val="00C42A39"/>
    <w:rsid w:val="00C42CC7"/>
    <w:rsid w:val="00C42F0D"/>
    <w:rsid w:val="00C42F7D"/>
    <w:rsid w:val="00C42FB4"/>
    <w:rsid w:val="00C434C2"/>
    <w:rsid w:val="00C435F9"/>
    <w:rsid w:val="00C43807"/>
    <w:rsid w:val="00C4381A"/>
    <w:rsid w:val="00C439DD"/>
    <w:rsid w:val="00C43A57"/>
    <w:rsid w:val="00C43ADE"/>
    <w:rsid w:val="00C43D82"/>
    <w:rsid w:val="00C43DA8"/>
    <w:rsid w:val="00C43E22"/>
    <w:rsid w:val="00C43E4E"/>
    <w:rsid w:val="00C43FDA"/>
    <w:rsid w:val="00C44085"/>
    <w:rsid w:val="00C440A4"/>
    <w:rsid w:val="00C441A4"/>
    <w:rsid w:val="00C44369"/>
    <w:rsid w:val="00C443E9"/>
    <w:rsid w:val="00C44488"/>
    <w:rsid w:val="00C4471D"/>
    <w:rsid w:val="00C4474D"/>
    <w:rsid w:val="00C44799"/>
    <w:rsid w:val="00C4482B"/>
    <w:rsid w:val="00C448C1"/>
    <w:rsid w:val="00C44C42"/>
    <w:rsid w:val="00C4509B"/>
    <w:rsid w:val="00C450C4"/>
    <w:rsid w:val="00C4519D"/>
    <w:rsid w:val="00C4524E"/>
    <w:rsid w:val="00C45280"/>
    <w:rsid w:val="00C453C9"/>
    <w:rsid w:val="00C45403"/>
    <w:rsid w:val="00C45436"/>
    <w:rsid w:val="00C454CC"/>
    <w:rsid w:val="00C454EC"/>
    <w:rsid w:val="00C4552D"/>
    <w:rsid w:val="00C4556A"/>
    <w:rsid w:val="00C45637"/>
    <w:rsid w:val="00C4576E"/>
    <w:rsid w:val="00C45808"/>
    <w:rsid w:val="00C45841"/>
    <w:rsid w:val="00C45952"/>
    <w:rsid w:val="00C45A5B"/>
    <w:rsid w:val="00C45BC1"/>
    <w:rsid w:val="00C45D3F"/>
    <w:rsid w:val="00C45FAC"/>
    <w:rsid w:val="00C460F7"/>
    <w:rsid w:val="00C4632B"/>
    <w:rsid w:val="00C46447"/>
    <w:rsid w:val="00C46575"/>
    <w:rsid w:val="00C465D5"/>
    <w:rsid w:val="00C4666A"/>
    <w:rsid w:val="00C466EA"/>
    <w:rsid w:val="00C4676C"/>
    <w:rsid w:val="00C4677E"/>
    <w:rsid w:val="00C46917"/>
    <w:rsid w:val="00C46983"/>
    <w:rsid w:val="00C4699D"/>
    <w:rsid w:val="00C46BE5"/>
    <w:rsid w:val="00C46C72"/>
    <w:rsid w:val="00C46D24"/>
    <w:rsid w:val="00C46D8E"/>
    <w:rsid w:val="00C46F93"/>
    <w:rsid w:val="00C4704F"/>
    <w:rsid w:val="00C47154"/>
    <w:rsid w:val="00C471A7"/>
    <w:rsid w:val="00C4720F"/>
    <w:rsid w:val="00C472B7"/>
    <w:rsid w:val="00C472E0"/>
    <w:rsid w:val="00C474A3"/>
    <w:rsid w:val="00C474C1"/>
    <w:rsid w:val="00C474CB"/>
    <w:rsid w:val="00C475F8"/>
    <w:rsid w:val="00C47606"/>
    <w:rsid w:val="00C47777"/>
    <w:rsid w:val="00C47857"/>
    <w:rsid w:val="00C4786A"/>
    <w:rsid w:val="00C478DF"/>
    <w:rsid w:val="00C4797A"/>
    <w:rsid w:val="00C47A44"/>
    <w:rsid w:val="00C47AB0"/>
    <w:rsid w:val="00C47AB3"/>
    <w:rsid w:val="00C47B09"/>
    <w:rsid w:val="00C47E75"/>
    <w:rsid w:val="00C47ED8"/>
    <w:rsid w:val="00C47F26"/>
    <w:rsid w:val="00C47FE5"/>
    <w:rsid w:val="00C50135"/>
    <w:rsid w:val="00C50151"/>
    <w:rsid w:val="00C504DF"/>
    <w:rsid w:val="00C50618"/>
    <w:rsid w:val="00C506B7"/>
    <w:rsid w:val="00C5078E"/>
    <w:rsid w:val="00C5099F"/>
    <w:rsid w:val="00C50A1C"/>
    <w:rsid w:val="00C50B89"/>
    <w:rsid w:val="00C50C2A"/>
    <w:rsid w:val="00C50C36"/>
    <w:rsid w:val="00C50D45"/>
    <w:rsid w:val="00C50E2A"/>
    <w:rsid w:val="00C50E7A"/>
    <w:rsid w:val="00C50EDD"/>
    <w:rsid w:val="00C50F5A"/>
    <w:rsid w:val="00C50F9A"/>
    <w:rsid w:val="00C5103E"/>
    <w:rsid w:val="00C51102"/>
    <w:rsid w:val="00C5115D"/>
    <w:rsid w:val="00C51284"/>
    <w:rsid w:val="00C5136C"/>
    <w:rsid w:val="00C513B3"/>
    <w:rsid w:val="00C513EB"/>
    <w:rsid w:val="00C515AD"/>
    <w:rsid w:val="00C51829"/>
    <w:rsid w:val="00C51927"/>
    <w:rsid w:val="00C51983"/>
    <w:rsid w:val="00C519D5"/>
    <w:rsid w:val="00C51C35"/>
    <w:rsid w:val="00C52028"/>
    <w:rsid w:val="00C52105"/>
    <w:rsid w:val="00C52143"/>
    <w:rsid w:val="00C521A2"/>
    <w:rsid w:val="00C521A8"/>
    <w:rsid w:val="00C5228A"/>
    <w:rsid w:val="00C52293"/>
    <w:rsid w:val="00C5232E"/>
    <w:rsid w:val="00C52363"/>
    <w:rsid w:val="00C525DF"/>
    <w:rsid w:val="00C5272A"/>
    <w:rsid w:val="00C52803"/>
    <w:rsid w:val="00C528A8"/>
    <w:rsid w:val="00C528C6"/>
    <w:rsid w:val="00C529D3"/>
    <w:rsid w:val="00C52A0D"/>
    <w:rsid w:val="00C52A39"/>
    <w:rsid w:val="00C52B14"/>
    <w:rsid w:val="00C52C4F"/>
    <w:rsid w:val="00C52E93"/>
    <w:rsid w:val="00C52EFA"/>
    <w:rsid w:val="00C52F00"/>
    <w:rsid w:val="00C52FA8"/>
    <w:rsid w:val="00C52FE0"/>
    <w:rsid w:val="00C530DD"/>
    <w:rsid w:val="00C5313B"/>
    <w:rsid w:val="00C53165"/>
    <w:rsid w:val="00C53179"/>
    <w:rsid w:val="00C532D5"/>
    <w:rsid w:val="00C53406"/>
    <w:rsid w:val="00C534C0"/>
    <w:rsid w:val="00C5354F"/>
    <w:rsid w:val="00C53932"/>
    <w:rsid w:val="00C53A34"/>
    <w:rsid w:val="00C53A80"/>
    <w:rsid w:val="00C53C82"/>
    <w:rsid w:val="00C53C94"/>
    <w:rsid w:val="00C53CFF"/>
    <w:rsid w:val="00C53D03"/>
    <w:rsid w:val="00C53D11"/>
    <w:rsid w:val="00C53FB0"/>
    <w:rsid w:val="00C542A5"/>
    <w:rsid w:val="00C5441C"/>
    <w:rsid w:val="00C54495"/>
    <w:rsid w:val="00C5467E"/>
    <w:rsid w:val="00C548CA"/>
    <w:rsid w:val="00C5493D"/>
    <w:rsid w:val="00C54A5C"/>
    <w:rsid w:val="00C54BAF"/>
    <w:rsid w:val="00C54D7E"/>
    <w:rsid w:val="00C54F0D"/>
    <w:rsid w:val="00C54F10"/>
    <w:rsid w:val="00C54FD5"/>
    <w:rsid w:val="00C54FE9"/>
    <w:rsid w:val="00C55188"/>
    <w:rsid w:val="00C5519A"/>
    <w:rsid w:val="00C55209"/>
    <w:rsid w:val="00C55215"/>
    <w:rsid w:val="00C55251"/>
    <w:rsid w:val="00C5532F"/>
    <w:rsid w:val="00C553E4"/>
    <w:rsid w:val="00C554C4"/>
    <w:rsid w:val="00C55627"/>
    <w:rsid w:val="00C55730"/>
    <w:rsid w:val="00C557ED"/>
    <w:rsid w:val="00C558FE"/>
    <w:rsid w:val="00C55BC9"/>
    <w:rsid w:val="00C55C7C"/>
    <w:rsid w:val="00C55D17"/>
    <w:rsid w:val="00C55D48"/>
    <w:rsid w:val="00C55E94"/>
    <w:rsid w:val="00C55F12"/>
    <w:rsid w:val="00C55FE4"/>
    <w:rsid w:val="00C56061"/>
    <w:rsid w:val="00C56087"/>
    <w:rsid w:val="00C56560"/>
    <w:rsid w:val="00C565D8"/>
    <w:rsid w:val="00C56717"/>
    <w:rsid w:val="00C5679C"/>
    <w:rsid w:val="00C567C0"/>
    <w:rsid w:val="00C56836"/>
    <w:rsid w:val="00C56A27"/>
    <w:rsid w:val="00C56A32"/>
    <w:rsid w:val="00C56B97"/>
    <w:rsid w:val="00C56C41"/>
    <w:rsid w:val="00C56CA6"/>
    <w:rsid w:val="00C56D36"/>
    <w:rsid w:val="00C56D8D"/>
    <w:rsid w:val="00C56E14"/>
    <w:rsid w:val="00C570F1"/>
    <w:rsid w:val="00C57212"/>
    <w:rsid w:val="00C5722B"/>
    <w:rsid w:val="00C572AE"/>
    <w:rsid w:val="00C5732B"/>
    <w:rsid w:val="00C5733A"/>
    <w:rsid w:val="00C574F4"/>
    <w:rsid w:val="00C575C1"/>
    <w:rsid w:val="00C57675"/>
    <w:rsid w:val="00C5786E"/>
    <w:rsid w:val="00C578B1"/>
    <w:rsid w:val="00C57A3B"/>
    <w:rsid w:val="00C57B2E"/>
    <w:rsid w:val="00C57BBD"/>
    <w:rsid w:val="00C57CE3"/>
    <w:rsid w:val="00C602CE"/>
    <w:rsid w:val="00C6036D"/>
    <w:rsid w:val="00C604AE"/>
    <w:rsid w:val="00C60550"/>
    <w:rsid w:val="00C6089A"/>
    <w:rsid w:val="00C609FB"/>
    <w:rsid w:val="00C60A2A"/>
    <w:rsid w:val="00C60AE8"/>
    <w:rsid w:val="00C60D79"/>
    <w:rsid w:val="00C60EF4"/>
    <w:rsid w:val="00C60F6B"/>
    <w:rsid w:val="00C60FF2"/>
    <w:rsid w:val="00C6115B"/>
    <w:rsid w:val="00C611CC"/>
    <w:rsid w:val="00C61236"/>
    <w:rsid w:val="00C61244"/>
    <w:rsid w:val="00C61267"/>
    <w:rsid w:val="00C613E1"/>
    <w:rsid w:val="00C6186B"/>
    <w:rsid w:val="00C6189C"/>
    <w:rsid w:val="00C61B55"/>
    <w:rsid w:val="00C61B60"/>
    <w:rsid w:val="00C61B88"/>
    <w:rsid w:val="00C61D78"/>
    <w:rsid w:val="00C61E38"/>
    <w:rsid w:val="00C61EED"/>
    <w:rsid w:val="00C61F59"/>
    <w:rsid w:val="00C61FB9"/>
    <w:rsid w:val="00C620F1"/>
    <w:rsid w:val="00C62154"/>
    <w:rsid w:val="00C622B6"/>
    <w:rsid w:val="00C624A9"/>
    <w:rsid w:val="00C62641"/>
    <w:rsid w:val="00C626CD"/>
    <w:rsid w:val="00C627C6"/>
    <w:rsid w:val="00C62900"/>
    <w:rsid w:val="00C62995"/>
    <w:rsid w:val="00C6299E"/>
    <w:rsid w:val="00C62AB5"/>
    <w:rsid w:val="00C62C2B"/>
    <w:rsid w:val="00C62F6C"/>
    <w:rsid w:val="00C63016"/>
    <w:rsid w:val="00C63053"/>
    <w:rsid w:val="00C63063"/>
    <w:rsid w:val="00C63237"/>
    <w:rsid w:val="00C632F2"/>
    <w:rsid w:val="00C6340F"/>
    <w:rsid w:val="00C63507"/>
    <w:rsid w:val="00C63566"/>
    <w:rsid w:val="00C637B0"/>
    <w:rsid w:val="00C63845"/>
    <w:rsid w:val="00C63964"/>
    <w:rsid w:val="00C63A82"/>
    <w:rsid w:val="00C63BE3"/>
    <w:rsid w:val="00C63C69"/>
    <w:rsid w:val="00C63CA1"/>
    <w:rsid w:val="00C63D5E"/>
    <w:rsid w:val="00C63D6C"/>
    <w:rsid w:val="00C63DCE"/>
    <w:rsid w:val="00C63EBC"/>
    <w:rsid w:val="00C63FC7"/>
    <w:rsid w:val="00C63FE1"/>
    <w:rsid w:val="00C6400D"/>
    <w:rsid w:val="00C6401B"/>
    <w:rsid w:val="00C6430D"/>
    <w:rsid w:val="00C643D6"/>
    <w:rsid w:val="00C643E7"/>
    <w:rsid w:val="00C64433"/>
    <w:rsid w:val="00C64469"/>
    <w:rsid w:val="00C645C8"/>
    <w:rsid w:val="00C6468D"/>
    <w:rsid w:val="00C646F9"/>
    <w:rsid w:val="00C64789"/>
    <w:rsid w:val="00C647E2"/>
    <w:rsid w:val="00C64880"/>
    <w:rsid w:val="00C64942"/>
    <w:rsid w:val="00C64BCF"/>
    <w:rsid w:val="00C64CB6"/>
    <w:rsid w:val="00C64CBD"/>
    <w:rsid w:val="00C64D51"/>
    <w:rsid w:val="00C64DDB"/>
    <w:rsid w:val="00C64F8E"/>
    <w:rsid w:val="00C65040"/>
    <w:rsid w:val="00C65195"/>
    <w:rsid w:val="00C65358"/>
    <w:rsid w:val="00C65370"/>
    <w:rsid w:val="00C654A9"/>
    <w:rsid w:val="00C655CA"/>
    <w:rsid w:val="00C65688"/>
    <w:rsid w:val="00C65802"/>
    <w:rsid w:val="00C65882"/>
    <w:rsid w:val="00C65995"/>
    <w:rsid w:val="00C6599C"/>
    <w:rsid w:val="00C65A38"/>
    <w:rsid w:val="00C65B4F"/>
    <w:rsid w:val="00C65B87"/>
    <w:rsid w:val="00C65D32"/>
    <w:rsid w:val="00C65D6D"/>
    <w:rsid w:val="00C65D8A"/>
    <w:rsid w:val="00C6603A"/>
    <w:rsid w:val="00C660C4"/>
    <w:rsid w:val="00C661A6"/>
    <w:rsid w:val="00C661AB"/>
    <w:rsid w:val="00C6620C"/>
    <w:rsid w:val="00C663BB"/>
    <w:rsid w:val="00C664EE"/>
    <w:rsid w:val="00C66573"/>
    <w:rsid w:val="00C66613"/>
    <w:rsid w:val="00C66671"/>
    <w:rsid w:val="00C6669E"/>
    <w:rsid w:val="00C6671F"/>
    <w:rsid w:val="00C6680D"/>
    <w:rsid w:val="00C66954"/>
    <w:rsid w:val="00C669A3"/>
    <w:rsid w:val="00C66A27"/>
    <w:rsid w:val="00C66A32"/>
    <w:rsid w:val="00C66B88"/>
    <w:rsid w:val="00C66F67"/>
    <w:rsid w:val="00C66FDB"/>
    <w:rsid w:val="00C670AC"/>
    <w:rsid w:val="00C6728A"/>
    <w:rsid w:val="00C675E9"/>
    <w:rsid w:val="00C675EF"/>
    <w:rsid w:val="00C677D1"/>
    <w:rsid w:val="00C67883"/>
    <w:rsid w:val="00C67885"/>
    <w:rsid w:val="00C6788B"/>
    <w:rsid w:val="00C67AE6"/>
    <w:rsid w:val="00C67AEB"/>
    <w:rsid w:val="00C67B1B"/>
    <w:rsid w:val="00C67BD3"/>
    <w:rsid w:val="00C67CD5"/>
    <w:rsid w:val="00C67D4A"/>
    <w:rsid w:val="00C67E22"/>
    <w:rsid w:val="00C67E47"/>
    <w:rsid w:val="00C67E6A"/>
    <w:rsid w:val="00C70056"/>
    <w:rsid w:val="00C7006B"/>
    <w:rsid w:val="00C7008D"/>
    <w:rsid w:val="00C700CA"/>
    <w:rsid w:val="00C70225"/>
    <w:rsid w:val="00C7028F"/>
    <w:rsid w:val="00C702C5"/>
    <w:rsid w:val="00C7035F"/>
    <w:rsid w:val="00C70360"/>
    <w:rsid w:val="00C70413"/>
    <w:rsid w:val="00C705A0"/>
    <w:rsid w:val="00C70631"/>
    <w:rsid w:val="00C7083E"/>
    <w:rsid w:val="00C708BD"/>
    <w:rsid w:val="00C708BE"/>
    <w:rsid w:val="00C70A3C"/>
    <w:rsid w:val="00C70C6D"/>
    <w:rsid w:val="00C70CD2"/>
    <w:rsid w:val="00C70D2A"/>
    <w:rsid w:val="00C70E69"/>
    <w:rsid w:val="00C70E89"/>
    <w:rsid w:val="00C70FC8"/>
    <w:rsid w:val="00C711B3"/>
    <w:rsid w:val="00C71238"/>
    <w:rsid w:val="00C71286"/>
    <w:rsid w:val="00C714E5"/>
    <w:rsid w:val="00C71627"/>
    <w:rsid w:val="00C7162A"/>
    <w:rsid w:val="00C716C7"/>
    <w:rsid w:val="00C716FF"/>
    <w:rsid w:val="00C718E7"/>
    <w:rsid w:val="00C71A4C"/>
    <w:rsid w:val="00C71AEB"/>
    <w:rsid w:val="00C71B7E"/>
    <w:rsid w:val="00C71BC3"/>
    <w:rsid w:val="00C71BD0"/>
    <w:rsid w:val="00C71CB7"/>
    <w:rsid w:val="00C71E4D"/>
    <w:rsid w:val="00C7209E"/>
    <w:rsid w:val="00C72280"/>
    <w:rsid w:val="00C722FC"/>
    <w:rsid w:val="00C7240F"/>
    <w:rsid w:val="00C726D2"/>
    <w:rsid w:val="00C72785"/>
    <w:rsid w:val="00C727AD"/>
    <w:rsid w:val="00C727EB"/>
    <w:rsid w:val="00C72831"/>
    <w:rsid w:val="00C7288A"/>
    <w:rsid w:val="00C72B1B"/>
    <w:rsid w:val="00C72B66"/>
    <w:rsid w:val="00C72B8A"/>
    <w:rsid w:val="00C73044"/>
    <w:rsid w:val="00C73048"/>
    <w:rsid w:val="00C73134"/>
    <w:rsid w:val="00C73237"/>
    <w:rsid w:val="00C732C9"/>
    <w:rsid w:val="00C734B2"/>
    <w:rsid w:val="00C734D6"/>
    <w:rsid w:val="00C73668"/>
    <w:rsid w:val="00C737F1"/>
    <w:rsid w:val="00C738CE"/>
    <w:rsid w:val="00C738EF"/>
    <w:rsid w:val="00C738FD"/>
    <w:rsid w:val="00C73AC4"/>
    <w:rsid w:val="00C73AEF"/>
    <w:rsid w:val="00C73AFA"/>
    <w:rsid w:val="00C73BF4"/>
    <w:rsid w:val="00C73C1C"/>
    <w:rsid w:val="00C73C7A"/>
    <w:rsid w:val="00C73D1B"/>
    <w:rsid w:val="00C73E02"/>
    <w:rsid w:val="00C73E73"/>
    <w:rsid w:val="00C73F36"/>
    <w:rsid w:val="00C73F92"/>
    <w:rsid w:val="00C740DA"/>
    <w:rsid w:val="00C74120"/>
    <w:rsid w:val="00C74213"/>
    <w:rsid w:val="00C74269"/>
    <w:rsid w:val="00C744BA"/>
    <w:rsid w:val="00C745AC"/>
    <w:rsid w:val="00C7474C"/>
    <w:rsid w:val="00C7477F"/>
    <w:rsid w:val="00C747CE"/>
    <w:rsid w:val="00C74837"/>
    <w:rsid w:val="00C748E3"/>
    <w:rsid w:val="00C74950"/>
    <w:rsid w:val="00C74972"/>
    <w:rsid w:val="00C74C2E"/>
    <w:rsid w:val="00C74CDA"/>
    <w:rsid w:val="00C74D79"/>
    <w:rsid w:val="00C74DF5"/>
    <w:rsid w:val="00C74E7F"/>
    <w:rsid w:val="00C74EDD"/>
    <w:rsid w:val="00C74F48"/>
    <w:rsid w:val="00C750D2"/>
    <w:rsid w:val="00C752AE"/>
    <w:rsid w:val="00C753D2"/>
    <w:rsid w:val="00C753FF"/>
    <w:rsid w:val="00C754BA"/>
    <w:rsid w:val="00C75587"/>
    <w:rsid w:val="00C755CC"/>
    <w:rsid w:val="00C7562B"/>
    <w:rsid w:val="00C75691"/>
    <w:rsid w:val="00C7571F"/>
    <w:rsid w:val="00C75721"/>
    <w:rsid w:val="00C7591C"/>
    <w:rsid w:val="00C759EE"/>
    <w:rsid w:val="00C75B31"/>
    <w:rsid w:val="00C75BB4"/>
    <w:rsid w:val="00C75BED"/>
    <w:rsid w:val="00C75C27"/>
    <w:rsid w:val="00C75CDE"/>
    <w:rsid w:val="00C75D9C"/>
    <w:rsid w:val="00C75E4F"/>
    <w:rsid w:val="00C75EBB"/>
    <w:rsid w:val="00C75F01"/>
    <w:rsid w:val="00C75F3F"/>
    <w:rsid w:val="00C75F86"/>
    <w:rsid w:val="00C760AA"/>
    <w:rsid w:val="00C760C0"/>
    <w:rsid w:val="00C7611B"/>
    <w:rsid w:val="00C7617E"/>
    <w:rsid w:val="00C761BD"/>
    <w:rsid w:val="00C7643D"/>
    <w:rsid w:val="00C76559"/>
    <w:rsid w:val="00C76633"/>
    <w:rsid w:val="00C767FA"/>
    <w:rsid w:val="00C7683A"/>
    <w:rsid w:val="00C768A8"/>
    <w:rsid w:val="00C769C0"/>
    <w:rsid w:val="00C769FD"/>
    <w:rsid w:val="00C76AF4"/>
    <w:rsid w:val="00C76B1E"/>
    <w:rsid w:val="00C76B54"/>
    <w:rsid w:val="00C76B7F"/>
    <w:rsid w:val="00C76C69"/>
    <w:rsid w:val="00C76D31"/>
    <w:rsid w:val="00C76DDF"/>
    <w:rsid w:val="00C76FB9"/>
    <w:rsid w:val="00C76FC7"/>
    <w:rsid w:val="00C77210"/>
    <w:rsid w:val="00C772BD"/>
    <w:rsid w:val="00C77311"/>
    <w:rsid w:val="00C7751A"/>
    <w:rsid w:val="00C7755B"/>
    <w:rsid w:val="00C77587"/>
    <w:rsid w:val="00C7785A"/>
    <w:rsid w:val="00C7794A"/>
    <w:rsid w:val="00C77A18"/>
    <w:rsid w:val="00C77A66"/>
    <w:rsid w:val="00C77C29"/>
    <w:rsid w:val="00C77C71"/>
    <w:rsid w:val="00C77C86"/>
    <w:rsid w:val="00C77C90"/>
    <w:rsid w:val="00C77D5A"/>
    <w:rsid w:val="00C77DA4"/>
    <w:rsid w:val="00C8000D"/>
    <w:rsid w:val="00C8015D"/>
    <w:rsid w:val="00C8022C"/>
    <w:rsid w:val="00C802BC"/>
    <w:rsid w:val="00C803E5"/>
    <w:rsid w:val="00C80441"/>
    <w:rsid w:val="00C8058E"/>
    <w:rsid w:val="00C805C5"/>
    <w:rsid w:val="00C80617"/>
    <w:rsid w:val="00C806C4"/>
    <w:rsid w:val="00C8078F"/>
    <w:rsid w:val="00C80861"/>
    <w:rsid w:val="00C80876"/>
    <w:rsid w:val="00C808D4"/>
    <w:rsid w:val="00C809E8"/>
    <w:rsid w:val="00C80C5D"/>
    <w:rsid w:val="00C80ECA"/>
    <w:rsid w:val="00C8112D"/>
    <w:rsid w:val="00C81210"/>
    <w:rsid w:val="00C81260"/>
    <w:rsid w:val="00C81448"/>
    <w:rsid w:val="00C814C8"/>
    <w:rsid w:val="00C81589"/>
    <w:rsid w:val="00C815A8"/>
    <w:rsid w:val="00C816D6"/>
    <w:rsid w:val="00C81957"/>
    <w:rsid w:val="00C819EA"/>
    <w:rsid w:val="00C81BE4"/>
    <w:rsid w:val="00C81C61"/>
    <w:rsid w:val="00C81CAD"/>
    <w:rsid w:val="00C81D0F"/>
    <w:rsid w:val="00C81D9F"/>
    <w:rsid w:val="00C81DF5"/>
    <w:rsid w:val="00C81E98"/>
    <w:rsid w:val="00C82064"/>
    <w:rsid w:val="00C82284"/>
    <w:rsid w:val="00C8230C"/>
    <w:rsid w:val="00C82325"/>
    <w:rsid w:val="00C82544"/>
    <w:rsid w:val="00C82658"/>
    <w:rsid w:val="00C827B0"/>
    <w:rsid w:val="00C827F9"/>
    <w:rsid w:val="00C828F0"/>
    <w:rsid w:val="00C82935"/>
    <w:rsid w:val="00C82C20"/>
    <w:rsid w:val="00C82DB4"/>
    <w:rsid w:val="00C82E87"/>
    <w:rsid w:val="00C82F5F"/>
    <w:rsid w:val="00C83036"/>
    <w:rsid w:val="00C8311F"/>
    <w:rsid w:val="00C8313C"/>
    <w:rsid w:val="00C83376"/>
    <w:rsid w:val="00C83424"/>
    <w:rsid w:val="00C834A0"/>
    <w:rsid w:val="00C834EF"/>
    <w:rsid w:val="00C835B6"/>
    <w:rsid w:val="00C835C7"/>
    <w:rsid w:val="00C835D2"/>
    <w:rsid w:val="00C83604"/>
    <w:rsid w:val="00C8363A"/>
    <w:rsid w:val="00C8371D"/>
    <w:rsid w:val="00C83790"/>
    <w:rsid w:val="00C837E0"/>
    <w:rsid w:val="00C83805"/>
    <w:rsid w:val="00C83909"/>
    <w:rsid w:val="00C83998"/>
    <w:rsid w:val="00C83A56"/>
    <w:rsid w:val="00C83AAB"/>
    <w:rsid w:val="00C83C15"/>
    <w:rsid w:val="00C83E99"/>
    <w:rsid w:val="00C83EE1"/>
    <w:rsid w:val="00C8402B"/>
    <w:rsid w:val="00C84046"/>
    <w:rsid w:val="00C84349"/>
    <w:rsid w:val="00C843EB"/>
    <w:rsid w:val="00C84491"/>
    <w:rsid w:val="00C8471C"/>
    <w:rsid w:val="00C84781"/>
    <w:rsid w:val="00C84873"/>
    <w:rsid w:val="00C84A86"/>
    <w:rsid w:val="00C84B1D"/>
    <w:rsid w:val="00C84D43"/>
    <w:rsid w:val="00C84EFA"/>
    <w:rsid w:val="00C84F05"/>
    <w:rsid w:val="00C84F22"/>
    <w:rsid w:val="00C85058"/>
    <w:rsid w:val="00C8506C"/>
    <w:rsid w:val="00C8507B"/>
    <w:rsid w:val="00C850C5"/>
    <w:rsid w:val="00C8513E"/>
    <w:rsid w:val="00C851B4"/>
    <w:rsid w:val="00C851B8"/>
    <w:rsid w:val="00C851C7"/>
    <w:rsid w:val="00C8531F"/>
    <w:rsid w:val="00C85452"/>
    <w:rsid w:val="00C85539"/>
    <w:rsid w:val="00C85767"/>
    <w:rsid w:val="00C857BB"/>
    <w:rsid w:val="00C858F9"/>
    <w:rsid w:val="00C8594B"/>
    <w:rsid w:val="00C85A64"/>
    <w:rsid w:val="00C85A90"/>
    <w:rsid w:val="00C85F46"/>
    <w:rsid w:val="00C86102"/>
    <w:rsid w:val="00C86302"/>
    <w:rsid w:val="00C8633F"/>
    <w:rsid w:val="00C86444"/>
    <w:rsid w:val="00C8648D"/>
    <w:rsid w:val="00C864E9"/>
    <w:rsid w:val="00C86754"/>
    <w:rsid w:val="00C867EA"/>
    <w:rsid w:val="00C86C1A"/>
    <w:rsid w:val="00C86CB2"/>
    <w:rsid w:val="00C86CFF"/>
    <w:rsid w:val="00C86D79"/>
    <w:rsid w:val="00C86D96"/>
    <w:rsid w:val="00C86F02"/>
    <w:rsid w:val="00C86FB5"/>
    <w:rsid w:val="00C87285"/>
    <w:rsid w:val="00C878EF"/>
    <w:rsid w:val="00C87A87"/>
    <w:rsid w:val="00C87A99"/>
    <w:rsid w:val="00C87C82"/>
    <w:rsid w:val="00C87CC1"/>
    <w:rsid w:val="00C87D06"/>
    <w:rsid w:val="00C87D95"/>
    <w:rsid w:val="00C87DB6"/>
    <w:rsid w:val="00C87F39"/>
    <w:rsid w:val="00C87F9C"/>
    <w:rsid w:val="00C87FC0"/>
    <w:rsid w:val="00C87FF3"/>
    <w:rsid w:val="00C90235"/>
    <w:rsid w:val="00C90334"/>
    <w:rsid w:val="00C90394"/>
    <w:rsid w:val="00C905EA"/>
    <w:rsid w:val="00C90660"/>
    <w:rsid w:val="00C906E0"/>
    <w:rsid w:val="00C90B22"/>
    <w:rsid w:val="00C90B4C"/>
    <w:rsid w:val="00C90E58"/>
    <w:rsid w:val="00C90EBF"/>
    <w:rsid w:val="00C90F5C"/>
    <w:rsid w:val="00C90FE8"/>
    <w:rsid w:val="00C9110F"/>
    <w:rsid w:val="00C9128F"/>
    <w:rsid w:val="00C912C5"/>
    <w:rsid w:val="00C91358"/>
    <w:rsid w:val="00C91560"/>
    <w:rsid w:val="00C91617"/>
    <w:rsid w:val="00C91619"/>
    <w:rsid w:val="00C91647"/>
    <w:rsid w:val="00C9171C"/>
    <w:rsid w:val="00C917C2"/>
    <w:rsid w:val="00C91929"/>
    <w:rsid w:val="00C91991"/>
    <w:rsid w:val="00C919DC"/>
    <w:rsid w:val="00C91A31"/>
    <w:rsid w:val="00C91C27"/>
    <w:rsid w:val="00C91C5D"/>
    <w:rsid w:val="00C91CC5"/>
    <w:rsid w:val="00C91CDF"/>
    <w:rsid w:val="00C91D48"/>
    <w:rsid w:val="00C91D4D"/>
    <w:rsid w:val="00C91D75"/>
    <w:rsid w:val="00C91DD5"/>
    <w:rsid w:val="00C91F1C"/>
    <w:rsid w:val="00C91F6E"/>
    <w:rsid w:val="00C91F79"/>
    <w:rsid w:val="00C92008"/>
    <w:rsid w:val="00C92046"/>
    <w:rsid w:val="00C92186"/>
    <w:rsid w:val="00C9228B"/>
    <w:rsid w:val="00C922D1"/>
    <w:rsid w:val="00C9231B"/>
    <w:rsid w:val="00C923DA"/>
    <w:rsid w:val="00C9261D"/>
    <w:rsid w:val="00C926E9"/>
    <w:rsid w:val="00C927D5"/>
    <w:rsid w:val="00C927FC"/>
    <w:rsid w:val="00C928F3"/>
    <w:rsid w:val="00C92994"/>
    <w:rsid w:val="00C92ACB"/>
    <w:rsid w:val="00C92C26"/>
    <w:rsid w:val="00C93021"/>
    <w:rsid w:val="00C9322E"/>
    <w:rsid w:val="00C9325F"/>
    <w:rsid w:val="00C93282"/>
    <w:rsid w:val="00C9329A"/>
    <w:rsid w:val="00C933C5"/>
    <w:rsid w:val="00C93427"/>
    <w:rsid w:val="00C93461"/>
    <w:rsid w:val="00C9359D"/>
    <w:rsid w:val="00C9368E"/>
    <w:rsid w:val="00C936FD"/>
    <w:rsid w:val="00C937AF"/>
    <w:rsid w:val="00C937C3"/>
    <w:rsid w:val="00C937C7"/>
    <w:rsid w:val="00C938A5"/>
    <w:rsid w:val="00C938ED"/>
    <w:rsid w:val="00C939D7"/>
    <w:rsid w:val="00C939F6"/>
    <w:rsid w:val="00C93B77"/>
    <w:rsid w:val="00C93DBE"/>
    <w:rsid w:val="00C93F4B"/>
    <w:rsid w:val="00C93F8A"/>
    <w:rsid w:val="00C94014"/>
    <w:rsid w:val="00C941F3"/>
    <w:rsid w:val="00C942DC"/>
    <w:rsid w:val="00C94545"/>
    <w:rsid w:val="00C94573"/>
    <w:rsid w:val="00C94577"/>
    <w:rsid w:val="00C94630"/>
    <w:rsid w:val="00C946F3"/>
    <w:rsid w:val="00C94727"/>
    <w:rsid w:val="00C94A2D"/>
    <w:rsid w:val="00C94A61"/>
    <w:rsid w:val="00C94A78"/>
    <w:rsid w:val="00C94B47"/>
    <w:rsid w:val="00C94BC3"/>
    <w:rsid w:val="00C94D73"/>
    <w:rsid w:val="00C94E3A"/>
    <w:rsid w:val="00C94EB4"/>
    <w:rsid w:val="00C94ED4"/>
    <w:rsid w:val="00C94FCF"/>
    <w:rsid w:val="00C9502F"/>
    <w:rsid w:val="00C95075"/>
    <w:rsid w:val="00C950AA"/>
    <w:rsid w:val="00C950E2"/>
    <w:rsid w:val="00C9519E"/>
    <w:rsid w:val="00C95232"/>
    <w:rsid w:val="00C9525B"/>
    <w:rsid w:val="00C95392"/>
    <w:rsid w:val="00C953F1"/>
    <w:rsid w:val="00C9542B"/>
    <w:rsid w:val="00C95686"/>
    <w:rsid w:val="00C95720"/>
    <w:rsid w:val="00C9574E"/>
    <w:rsid w:val="00C957B7"/>
    <w:rsid w:val="00C957D4"/>
    <w:rsid w:val="00C95875"/>
    <w:rsid w:val="00C95883"/>
    <w:rsid w:val="00C958F3"/>
    <w:rsid w:val="00C95902"/>
    <w:rsid w:val="00C9594F"/>
    <w:rsid w:val="00C959E8"/>
    <w:rsid w:val="00C95AEF"/>
    <w:rsid w:val="00C95C33"/>
    <w:rsid w:val="00C95CD4"/>
    <w:rsid w:val="00C95E90"/>
    <w:rsid w:val="00C95F24"/>
    <w:rsid w:val="00C96015"/>
    <w:rsid w:val="00C9608A"/>
    <w:rsid w:val="00C961FA"/>
    <w:rsid w:val="00C96604"/>
    <w:rsid w:val="00C96675"/>
    <w:rsid w:val="00C96744"/>
    <w:rsid w:val="00C967CE"/>
    <w:rsid w:val="00C9687D"/>
    <w:rsid w:val="00C968A1"/>
    <w:rsid w:val="00C969D4"/>
    <w:rsid w:val="00C96AA9"/>
    <w:rsid w:val="00C96CA0"/>
    <w:rsid w:val="00C96D70"/>
    <w:rsid w:val="00C96E7E"/>
    <w:rsid w:val="00C96EDC"/>
    <w:rsid w:val="00C96EF6"/>
    <w:rsid w:val="00C96F44"/>
    <w:rsid w:val="00C971EB"/>
    <w:rsid w:val="00C97389"/>
    <w:rsid w:val="00C9738D"/>
    <w:rsid w:val="00C973ED"/>
    <w:rsid w:val="00C9774A"/>
    <w:rsid w:val="00C977D7"/>
    <w:rsid w:val="00C97871"/>
    <w:rsid w:val="00C9789D"/>
    <w:rsid w:val="00C978B2"/>
    <w:rsid w:val="00C97A55"/>
    <w:rsid w:val="00C97A73"/>
    <w:rsid w:val="00C97B97"/>
    <w:rsid w:val="00C97BC6"/>
    <w:rsid w:val="00C97C2A"/>
    <w:rsid w:val="00C97C4B"/>
    <w:rsid w:val="00C97CD2"/>
    <w:rsid w:val="00C97E5C"/>
    <w:rsid w:val="00C97E79"/>
    <w:rsid w:val="00C97EDE"/>
    <w:rsid w:val="00C97F88"/>
    <w:rsid w:val="00CA0083"/>
    <w:rsid w:val="00CA01A1"/>
    <w:rsid w:val="00CA025C"/>
    <w:rsid w:val="00CA0352"/>
    <w:rsid w:val="00CA0558"/>
    <w:rsid w:val="00CA05EC"/>
    <w:rsid w:val="00CA06C8"/>
    <w:rsid w:val="00CA06EC"/>
    <w:rsid w:val="00CA076A"/>
    <w:rsid w:val="00CA0814"/>
    <w:rsid w:val="00CA082F"/>
    <w:rsid w:val="00CA0A10"/>
    <w:rsid w:val="00CA0A99"/>
    <w:rsid w:val="00CA0A9B"/>
    <w:rsid w:val="00CA0AEA"/>
    <w:rsid w:val="00CA0BDB"/>
    <w:rsid w:val="00CA0C1C"/>
    <w:rsid w:val="00CA0C61"/>
    <w:rsid w:val="00CA0EDD"/>
    <w:rsid w:val="00CA0F94"/>
    <w:rsid w:val="00CA0FF9"/>
    <w:rsid w:val="00CA1168"/>
    <w:rsid w:val="00CA1252"/>
    <w:rsid w:val="00CA1384"/>
    <w:rsid w:val="00CA13CB"/>
    <w:rsid w:val="00CA1474"/>
    <w:rsid w:val="00CA1582"/>
    <w:rsid w:val="00CA166A"/>
    <w:rsid w:val="00CA188B"/>
    <w:rsid w:val="00CA189E"/>
    <w:rsid w:val="00CA18ED"/>
    <w:rsid w:val="00CA1AAC"/>
    <w:rsid w:val="00CA1B64"/>
    <w:rsid w:val="00CA1B75"/>
    <w:rsid w:val="00CA1C07"/>
    <w:rsid w:val="00CA1C81"/>
    <w:rsid w:val="00CA1F9C"/>
    <w:rsid w:val="00CA2007"/>
    <w:rsid w:val="00CA2057"/>
    <w:rsid w:val="00CA20E7"/>
    <w:rsid w:val="00CA21B2"/>
    <w:rsid w:val="00CA2204"/>
    <w:rsid w:val="00CA22E9"/>
    <w:rsid w:val="00CA2315"/>
    <w:rsid w:val="00CA23C9"/>
    <w:rsid w:val="00CA24DE"/>
    <w:rsid w:val="00CA263F"/>
    <w:rsid w:val="00CA268D"/>
    <w:rsid w:val="00CA287D"/>
    <w:rsid w:val="00CA289A"/>
    <w:rsid w:val="00CA2979"/>
    <w:rsid w:val="00CA2A21"/>
    <w:rsid w:val="00CA2AB2"/>
    <w:rsid w:val="00CA2BE9"/>
    <w:rsid w:val="00CA2DFB"/>
    <w:rsid w:val="00CA2E51"/>
    <w:rsid w:val="00CA2F26"/>
    <w:rsid w:val="00CA323D"/>
    <w:rsid w:val="00CA3287"/>
    <w:rsid w:val="00CA32BD"/>
    <w:rsid w:val="00CA3682"/>
    <w:rsid w:val="00CA3698"/>
    <w:rsid w:val="00CA36C5"/>
    <w:rsid w:val="00CA36F3"/>
    <w:rsid w:val="00CA3771"/>
    <w:rsid w:val="00CA378B"/>
    <w:rsid w:val="00CA384C"/>
    <w:rsid w:val="00CA3A04"/>
    <w:rsid w:val="00CA3A44"/>
    <w:rsid w:val="00CA3B32"/>
    <w:rsid w:val="00CA3B80"/>
    <w:rsid w:val="00CA3C33"/>
    <w:rsid w:val="00CA3C75"/>
    <w:rsid w:val="00CA3CBC"/>
    <w:rsid w:val="00CA3DF1"/>
    <w:rsid w:val="00CA3E35"/>
    <w:rsid w:val="00CA4008"/>
    <w:rsid w:val="00CA40DD"/>
    <w:rsid w:val="00CA425C"/>
    <w:rsid w:val="00CA4394"/>
    <w:rsid w:val="00CA457E"/>
    <w:rsid w:val="00CA4677"/>
    <w:rsid w:val="00CA4784"/>
    <w:rsid w:val="00CA4806"/>
    <w:rsid w:val="00CA48CA"/>
    <w:rsid w:val="00CA48DB"/>
    <w:rsid w:val="00CA4A17"/>
    <w:rsid w:val="00CA4A46"/>
    <w:rsid w:val="00CA4BF0"/>
    <w:rsid w:val="00CA4C6D"/>
    <w:rsid w:val="00CA4D17"/>
    <w:rsid w:val="00CA4F69"/>
    <w:rsid w:val="00CA4F6E"/>
    <w:rsid w:val="00CA50A0"/>
    <w:rsid w:val="00CA50C5"/>
    <w:rsid w:val="00CA50DA"/>
    <w:rsid w:val="00CA5172"/>
    <w:rsid w:val="00CA5186"/>
    <w:rsid w:val="00CA5346"/>
    <w:rsid w:val="00CA5377"/>
    <w:rsid w:val="00CA5488"/>
    <w:rsid w:val="00CA5623"/>
    <w:rsid w:val="00CA5852"/>
    <w:rsid w:val="00CA599F"/>
    <w:rsid w:val="00CA5A0E"/>
    <w:rsid w:val="00CA5A24"/>
    <w:rsid w:val="00CA5B5A"/>
    <w:rsid w:val="00CA5C7F"/>
    <w:rsid w:val="00CA5DAE"/>
    <w:rsid w:val="00CA5E70"/>
    <w:rsid w:val="00CA609A"/>
    <w:rsid w:val="00CA6391"/>
    <w:rsid w:val="00CA63CE"/>
    <w:rsid w:val="00CA640A"/>
    <w:rsid w:val="00CA6433"/>
    <w:rsid w:val="00CA659F"/>
    <w:rsid w:val="00CA65B3"/>
    <w:rsid w:val="00CA65ED"/>
    <w:rsid w:val="00CA668A"/>
    <w:rsid w:val="00CA68EA"/>
    <w:rsid w:val="00CA6AE8"/>
    <w:rsid w:val="00CA6BC7"/>
    <w:rsid w:val="00CA6CBE"/>
    <w:rsid w:val="00CA6D2A"/>
    <w:rsid w:val="00CA6D50"/>
    <w:rsid w:val="00CA6F25"/>
    <w:rsid w:val="00CA7118"/>
    <w:rsid w:val="00CA727F"/>
    <w:rsid w:val="00CA758F"/>
    <w:rsid w:val="00CA7603"/>
    <w:rsid w:val="00CA78FA"/>
    <w:rsid w:val="00CA795A"/>
    <w:rsid w:val="00CA7A50"/>
    <w:rsid w:val="00CA7AB0"/>
    <w:rsid w:val="00CA7BA1"/>
    <w:rsid w:val="00CA7D4F"/>
    <w:rsid w:val="00CA7D53"/>
    <w:rsid w:val="00CA7DC6"/>
    <w:rsid w:val="00CA7F56"/>
    <w:rsid w:val="00CA7F65"/>
    <w:rsid w:val="00CA7FDC"/>
    <w:rsid w:val="00CB00E9"/>
    <w:rsid w:val="00CB00FD"/>
    <w:rsid w:val="00CB016E"/>
    <w:rsid w:val="00CB0339"/>
    <w:rsid w:val="00CB045A"/>
    <w:rsid w:val="00CB0676"/>
    <w:rsid w:val="00CB068D"/>
    <w:rsid w:val="00CB0805"/>
    <w:rsid w:val="00CB088B"/>
    <w:rsid w:val="00CB08F3"/>
    <w:rsid w:val="00CB09CE"/>
    <w:rsid w:val="00CB0ACD"/>
    <w:rsid w:val="00CB0AD7"/>
    <w:rsid w:val="00CB0AFD"/>
    <w:rsid w:val="00CB0B10"/>
    <w:rsid w:val="00CB0BC4"/>
    <w:rsid w:val="00CB0EDC"/>
    <w:rsid w:val="00CB101B"/>
    <w:rsid w:val="00CB10FD"/>
    <w:rsid w:val="00CB110F"/>
    <w:rsid w:val="00CB11F4"/>
    <w:rsid w:val="00CB14D1"/>
    <w:rsid w:val="00CB15B8"/>
    <w:rsid w:val="00CB1884"/>
    <w:rsid w:val="00CB18E8"/>
    <w:rsid w:val="00CB18F0"/>
    <w:rsid w:val="00CB1923"/>
    <w:rsid w:val="00CB1A17"/>
    <w:rsid w:val="00CB1A47"/>
    <w:rsid w:val="00CB1A7A"/>
    <w:rsid w:val="00CB1AE3"/>
    <w:rsid w:val="00CB1B5C"/>
    <w:rsid w:val="00CB1B9C"/>
    <w:rsid w:val="00CB1BCF"/>
    <w:rsid w:val="00CB1BF6"/>
    <w:rsid w:val="00CB1D70"/>
    <w:rsid w:val="00CB1DF6"/>
    <w:rsid w:val="00CB1EB6"/>
    <w:rsid w:val="00CB201E"/>
    <w:rsid w:val="00CB21D5"/>
    <w:rsid w:val="00CB2403"/>
    <w:rsid w:val="00CB2430"/>
    <w:rsid w:val="00CB2689"/>
    <w:rsid w:val="00CB27BE"/>
    <w:rsid w:val="00CB2ABF"/>
    <w:rsid w:val="00CB2AF7"/>
    <w:rsid w:val="00CB2B78"/>
    <w:rsid w:val="00CB2D3E"/>
    <w:rsid w:val="00CB2DD5"/>
    <w:rsid w:val="00CB2DE1"/>
    <w:rsid w:val="00CB3067"/>
    <w:rsid w:val="00CB3184"/>
    <w:rsid w:val="00CB31A8"/>
    <w:rsid w:val="00CB328F"/>
    <w:rsid w:val="00CB32A9"/>
    <w:rsid w:val="00CB34D4"/>
    <w:rsid w:val="00CB3516"/>
    <w:rsid w:val="00CB3953"/>
    <w:rsid w:val="00CB3BCC"/>
    <w:rsid w:val="00CB3C73"/>
    <w:rsid w:val="00CB3ED0"/>
    <w:rsid w:val="00CB3F04"/>
    <w:rsid w:val="00CB4013"/>
    <w:rsid w:val="00CB4053"/>
    <w:rsid w:val="00CB40ED"/>
    <w:rsid w:val="00CB412B"/>
    <w:rsid w:val="00CB423A"/>
    <w:rsid w:val="00CB427E"/>
    <w:rsid w:val="00CB43CE"/>
    <w:rsid w:val="00CB43E2"/>
    <w:rsid w:val="00CB4406"/>
    <w:rsid w:val="00CB4471"/>
    <w:rsid w:val="00CB46AE"/>
    <w:rsid w:val="00CB4764"/>
    <w:rsid w:val="00CB47B0"/>
    <w:rsid w:val="00CB47FB"/>
    <w:rsid w:val="00CB488F"/>
    <w:rsid w:val="00CB492F"/>
    <w:rsid w:val="00CB49DA"/>
    <w:rsid w:val="00CB4A04"/>
    <w:rsid w:val="00CB4C8E"/>
    <w:rsid w:val="00CB4D87"/>
    <w:rsid w:val="00CB4EFA"/>
    <w:rsid w:val="00CB508D"/>
    <w:rsid w:val="00CB50C0"/>
    <w:rsid w:val="00CB51E7"/>
    <w:rsid w:val="00CB5271"/>
    <w:rsid w:val="00CB52D4"/>
    <w:rsid w:val="00CB5336"/>
    <w:rsid w:val="00CB5490"/>
    <w:rsid w:val="00CB55D4"/>
    <w:rsid w:val="00CB5611"/>
    <w:rsid w:val="00CB5642"/>
    <w:rsid w:val="00CB56AC"/>
    <w:rsid w:val="00CB56C5"/>
    <w:rsid w:val="00CB5798"/>
    <w:rsid w:val="00CB5863"/>
    <w:rsid w:val="00CB5AB0"/>
    <w:rsid w:val="00CB5B8F"/>
    <w:rsid w:val="00CB5C5B"/>
    <w:rsid w:val="00CB5E80"/>
    <w:rsid w:val="00CB6148"/>
    <w:rsid w:val="00CB61D7"/>
    <w:rsid w:val="00CB6239"/>
    <w:rsid w:val="00CB62BA"/>
    <w:rsid w:val="00CB646F"/>
    <w:rsid w:val="00CB648D"/>
    <w:rsid w:val="00CB653D"/>
    <w:rsid w:val="00CB654E"/>
    <w:rsid w:val="00CB6556"/>
    <w:rsid w:val="00CB65FC"/>
    <w:rsid w:val="00CB6606"/>
    <w:rsid w:val="00CB66C5"/>
    <w:rsid w:val="00CB688F"/>
    <w:rsid w:val="00CB6950"/>
    <w:rsid w:val="00CB69BD"/>
    <w:rsid w:val="00CB69ED"/>
    <w:rsid w:val="00CB6A58"/>
    <w:rsid w:val="00CB6BDE"/>
    <w:rsid w:val="00CB6BE8"/>
    <w:rsid w:val="00CB6C51"/>
    <w:rsid w:val="00CB6D35"/>
    <w:rsid w:val="00CB6D80"/>
    <w:rsid w:val="00CB6DB1"/>
    <w:rsid w:val="00CB6DF9"/>
    <w:rsid w:val="00CB6E74"/>
    <w:rsid w:val="00CB708F"/>
    <w:rsid w:val="00CB70B0"/>
    <w:rsid w:val="00CB726D"/>
    <w:rsid w:val="00CB737E"/>
    <w:rsid w:val="00CB7478"/>
    <w:rsid w:val="00CB7705"/>
    <w:rsid w:val="00CB77F3"/>
    <w:rsid w:val="00CB7974"/>
    <w:rsid w:val="00CB7A38"/>
    <w:rsid w:val="00CB7A5D"/>
    <w:rsid w:val="00CB7AEB"/>
    <w:rsid w:val="00CB7C4B"/>
    <w:rsid w:val="00CB7CB4"/>
    <w:rsid w:val="00CB7FE8"/>
    <w:rsid w:val="00CC009B"/>
    <w:rsid w:val="00CC0490"/>
    <w:rsid w:val="00CC04BF"/>
    <w:rsid w:val="00CC051F"/>
    <w:rsid w:val="00CC0545"/>
    <w:rsid w:val="00CC0632"/>
    <w:rsid w:val="00CC08CE"/>
    <w:rsid w:val="00CC0D5E"/>
    <w:rsid w:val="00CC0D87"/>
    <w:rsid w:val="00CC0D96"/>
    <w:rsid w:val="00CC0DA9"/>
    <w:rsid w:val="00CC0DC4"/>
    <w:rsid w:val="00CC0FE5"/>
    <w:rsid w:val="00CC104C"/>
    <w:rsid w:val="00CC1117"/>
    <w:rsid w:val="00CC136A"/>
    <w:rsid w:val="00CC13FC"/>
    <w:rsid w:val="00CC146B"/>
    <w:rsid w:val="00CC155B"/>
    <w:rsid w:val="00CC16A8"/>
    <w:rsid w:val="00CC16CF"/>
    <w:rsid w:val="00CC16E2"/>
    <w:rsid w:val="00CC17F8"/>
    <w:rsid w:val="00CC1843"/>
    <w:rsid w:val="00CC1910"/>
    <w:rsid w:val="00CC1A66"/>
    <w:rsid w:val="00CC1AAE"/>
    <w:rsid w:val="00CC1B91"/>
    <w:rsid w:val="00CC1D78"/>
    <w:rsid w:val="00CC1EEC"/>
    <w:rsid w:val="00CC1EF6"/>
    <w:rsid w:val="00CC229F"/>
    <w:rsid w:val="00CC22E6"/>
    <w:rsid w:val="00CC2392"/>
    <w:rsid w:val="00CC24B2"/>
    <w:rsid w:val="00CC24E3"/>
    <w:rsid w:val="00CC252B"/>
    <w:rsid w:val="00CC258E"/>
    <w:rsid w:val="00CC25BB"/>
    <w:rsid w:val="00CC2754"/>
    <w:rsid w:val="00CC2891"/>
    <w:rsid w:val="00CC29B7"/>
    <w:rsid w:val="00CC29EB"/>
    <w:rsid w:val="00CC2A0F"/>
    <w:rsid w:val="00CC2CD1"/>
    <w:rsid w:val="00CC2E90"/>
    <w:rsid w:val="00CC31C3"/>
    <w:rsid w:val="00CC324F"/>
    <w:rsid w:val="00CC33DC"/>
    <w:rsid w:val="00CC3528"/>
    <w:rsid w:val="00CC36DF"/>
    <w:rsid w:val="00CC37D0"/>
    <w:rsid w:val="00CC384D"/>
    <w:rsid w:val="00CC3902"/>
    <w:rsid w:val="00CC390D"/>
    <w:rsid w:val="00CC3A7E"/>
    <w:rsid w:val="00CC3AAC"/>
    <w:rsid w:val="00CC3AC1"/>
    <w:rsid w:val="00CC3C55"/>
    <w:rsid w:val="00CC3C58"/>
    <w:rsid w:val="00CC3D1D"/>
    <w:rsid w:val="00CC3D6B"/>
    <w:rsid w:val="00CC3DCD"/>
    <w:rsid w:val="00CC3E53"/>
    <w:rsid w:val="00CC3E7C"/>
    <w:rsid w:val="00CC3E80"/>
    <w:rsid w:val="00CC3EDB"/>
    <w:rsid w:val="00CC402B"/>
    <w:rsid w:val="00CC42CA"/>
    <w:rsid w:val="00CC4397"/>
    <w:rsid w:val="00CC43A6"/>
    <w:rsid w:val="00CC444C"/>
    <w:rsid w:val="00CC44AD"/>
    <w:rsid w:val="00CC44C9"/>
    <w:rsid w:val="00CC4740"/>
    <w:rsid w:val="00CC4B48"/>
    <w:rsid w:val="00CC4C0E"/>
    <w:rsid w:val="00CC4C16"/>
    <w:rsid w:val="00CC4C3E"/>
    <w:rsid w:val="00CC4CD6"/>
    <w:rsid w:val="00CC4DCE"/>
    <w:rsid w:val="00CC4E42"/>
    <w:rsid w:val="00CC4EDC"/>
    <w:rsid w:val="00CC504D"/>
    <w:rsid w:val="00CC50A4"/>
    <w:rsid w:val="00CC5372"/>
    <w:rsid w:val="00CC53D7"/>
    <w:rsid w:val="00CC54CA"/>
    <w:rsid w:val="00CC5693"/>
    <w:rsid w:val="00CC57F0"/>
    <w:rsid w:val="00CC5A44"/>
    <w:rsid w:val="00CC5B26"/>
    <w:rsid w:val="00CC5CBA"/>
    <w:rsid w:val="00CC5EB1"/>
    <w:rsid w:val="00CC5F00"/>
    <w:rsid w:val="00CC5F7F"/>
    <w:rsid w:val="00CC6017"/>
    <w:rsid w:val="00CC61CD"/>
    <w:rsid w:val="00CC622B"/>
    <w:rsid w:val="00CC637C"/>
    <w:rsid w:val="00CC6489"/>
    <w:rsid w:val="00CC65E2"/>
    <w:rsid w:val="00CC6789"/>
    <w:rsid w:val="00CC67F4"/>
    <w:rsid w:val="00CC68BA"/>
    <w:rsid w:val="00CC697C"/>
    <w:rsid w:val="00CC69FF"/>
    <w:rsid w:val="00CC6A37"/>
    <w:rsid w:val="00CC6DCD"/>
    <w:rsid w:val="00CC6F7D"/>
    <w:rsid w:val="00CC7005"/>
    <w:rsid w:val="00CC7088"/>
    <w:rsid w:val="00CC7166"/>
    <w:rsid w:val="00CC7239"/>
    <w:rsid w:val="00CC728F"/>
    <w:rsid w:val="00CC72DA"/>
    <w:rsid w:val="00CC737C"/>
    <w:rsid w:val="00CC7515"/>
    <w:rsid w:val="00CC7533"/>
    <w:rsid w:val="00CC758E"/>
    <w:rsid w:val="00CC77FC"/>
    <w:rsid w:val="00CC781F"/>
    <w:rsid w:val="00CC783E"/>
    <w:rsid w:val="00CC7A63"/>
    <w:rsid w:val="00CC7AA6"/>
    <w:rsid w:val="00CC7B12"/>
    <w:rsid w:val="00CC7BBB"/>
    <w:rsid w:val="00CC7C09"/>
    <w:rsid w:val="00CC7C86"/>
    <w:rsid w:val="00CC7D52"/>
    <w:rsid w:val="00CC7D7B"/>
    <w:rsid w:val="00CC7DB4"/>
    <w:rsid w:val="00CD0218"/>
    <w:rsid w:val="00CD030D"/>
    <w:rsid w:val="00CD0314"/>
    <w:rsid w:val="00CD03DE"/>
    <w:rsid w:val="00CD045A"/>
    <w:rsid w:val="00CD04B8"/>
    <w:rsid w:val="00CD0655"/>
    <w:rsid w:val="00CD08E8"/>
    <w:rsid w:val="00CD094C"/>
    <w:rsid w:val="00CD0A35"/>
    <w:rsid w:val="00CD0A74"/>
    <w:rsid w:val="00CD0CD3"/>
    <w:rsid w:val="00CD0D87"/>
    <w:rsid w:val="00CD1007"/>
    <w:rsid w:val="00CD1094"/>
    <w:rsid w:val="00CD10C2"/>
    <w:rsid w:val="00CD10C6"/>
    <w:rsid w:val="00CD11E9"/>
    <w:rsid w:val="00CD12E8"/>
    <w:rsid w:val="00CD13DA"/>
    <w:rsid w:val="00CD1454"/>
    <w:rsid w:val="00CD161E"/>
    <w:rsid w:val="00CD17F0"/>
    <w:rsid w:val="00CD1835"/>
    <w:rsid w:val="00CD184B"/>
    <w:rsid w:val="00CD190D"/>
    <w:rsid w:val="00CD1927"/>
    <w:rsid w:val="00CD197A"/>
    <w:rsid w:val="00CD1A08"/>
    <w:rsid w:val="00CD1A39"/>
    <w:rsid w:val="00CD1B95"/>
    <w:rsid w:val="00CD1DD3"/>
    <w:rsid w:val="00CD1F12"/>
    <w:rsid w:val="00CD200B"/>
    <w:rsid w:val="00CD22CA"/>
    <w:rsid w:val="00CD24A0"/>
    <w:rsid w:val="00CD271D"/>
    <w:rsid w:val="00CD28C0"/>
    <w:rsid w:val="00CD2953"/>
    <w:rsid w:val="00CD2970"/>
    <w:rsid w:val="00CD2987"/>
    <w:rsid w:val="00CD29CA"/>
    <w:rsid w:val="00CD2BE3"/>
    <w:rsid w:val="00CD2C2E"/>
    <w:rsid w:val="00CD2D35"/>
    <w:rsid w:val="00CD2DCA"/>
    <w:rsid w:val="00CD3079"/>
    <w:rsid w:val="00CD307E"/>
    <w:rsid w:val="00CD3164"/>
    <w:rsid w:val="00CD3186"/>
    <w:rsid w:val="00CD31A8"/>
    <w:rsid w:val="00CD31DB"/>
    <w:rsid w:val="00CD31E8"/>
    <w:rsid w:val="00CD3227"/>
    <w:rsid w:val="00CD34AB"/>
    <w:rsid w:val="00CD35DD"/>
    <w:rsid w:val="00CD3625"/>
    <w:rsid w:val="00CD3684"/>
    <w:rsid w:val="00CD376C"/>
    <w:rsid w:val="00CD37A2"/>
    <w:rsid w:val="00CD3871"/>
    <w:rsid w:val="00CD387A"/>
    <w:rsid w:val="00CD3887"/>
    <w:rsid w:val="00CD3A20"/>
    <w:rsid w:val="00CD3AAC"/>
    <w:rsid w:val="00CD3D90"/>
    <w:rsid w:val="00CD3DED"/>
    <w:rsid w:val="00CD3E39"/>
    <w:rsid w:val="00CD3EA8"/>
    <w:rsid w:val="00CD41E9"/>
    <w:rsid w:val="00CD45EA"/>
    <w:rsid w:val="00CD4866"/>
    <w:rsid w:val="00CD486E"/>
    <w:rsid w:val="00CD49BA"/>
    <w:rsid w:val="00CD4B04"/>
    <w:rsid w:val="00CD4C0F"/>
    <w:rsid w:val="00CD4CA9"/>
    <w:rsid w:val="00CD4EE4"/>
    <w:rsid w:val="00CD5063"/>
    <w:rsid w:val="00CD50B6"/>
    <w:rsid w:val="00CD50E8"/>
    <w:rsid w:val="00CD51BB"/>
    <w:rsid w:val="00CD52E7"/>
    <w:rsid w:val="00CD53EE"/>
    <w:rsid w:val="00CD5475"/>
    <w:rsid w:val="00CD5492"/>
    <w:rsid w:val="00CD54F7"/>
    <w:rsid w:val="00CD5570"/>
    <w:rsid w:val="00CD5577"/>
    <w:rsid w:val="00CD55C6"/>
    <w:rsid w:val="00CD5656"/>
    <w:rsid w:val="00CD58E5"/>
    <w:rsid w:val="00CD5963"/>
    <w:rsid w:val="00CD5A67"/>
    <w:rsid w:val="00CD5A96"/>
    <w:rsid w:val="00CD5B1B"/>
    <w:rsid w:val="00CD5B6A"/>
    <w:rsid w:val="00CD5B83"/>
    <w:rsid w:val="00CD5BCC"/>
    <w:rsid w:val="00CD5D01"/>
    <w:rsid w:val="00CD5D99"/>
    <w:rsid w:val="00CD5F99"/>
    <w:rsid w:val="00CD600E"/>
    <w:rsid w:val="00CD6078"/>
    <w:rsid w:val="00CD6285"/>
    <w:rsid w:val="00CD63C1"/>
    <w:rsid w:val="00CD6509"/>
    <w:rsid w:val="00CD65AB"/>
    <w:rsid w:val="00CD6600"/>
    <w:rsid w:val="00CD660D"/>
    <w:rsid w:val="00CD67D7"/>
    <w:rsid w:val="00CD6AA7"/>
    <w:rsid w:val="00CD6C61"/>
    <w:rsid w:val="00CD6C79"/>
    <w:rsid w:val="00CD7155"/>
    <w:rsid w:val="00CD715B"/>
    <w:rsid w:val="00CD7164"/>
    <w:rsid w:val="00CD71D0"/>
    <w:rsid w:val="00CD7380"/>
    <w:rsid w:val="00CD76B6"/>
    <w:rsid w:val="00CD76BB"/>
    <w:rsid w:val="00CD7707"/>
    <w:rsid w:val="00CD7775"/>
    <w:rsid w:val="00CD7844"/>
    <w:rsid w:val="00CD7907"/>
    <w:rsid w:val="00CD79F9"/>
    <w:rsid w:val="00CD7AEC"/>
    <w:rsid w:val="00CD7E97"/>
    <w:rsid w:val="00CD7FD9"/>
    <w:rsid w:val="00CD7FFD"/>
    <w:rsid w:val="00CE0051"/>
    <w:rsid w:val="00CE0060"/>
    <w:rsid w:val="00CE0123"/>
    <w:rsid w:val="00CE0175"/>
    <w:rsid w:val="00CE0183"/>
    <w:rsid w:val="00CE034B"/>
    <w:rsid w:val="00CE0434"/>
    <w:rsid w:val="00CE0459"/>
    <w:rsid w:val="00CE04B5"/>
    <w:rsid w:val="00CE04F9"/>
    <w:rsid w:val="00CE0537"/>
    <w:rsid w:val="00CE07AE"/>
    <w:rsid w:val="00CE07FE"/>
    <w:rsid w:val="00CE08B9"/>
    <w:rsid w:val="00CE091B"/>
    <w:rsid w:val="00CE0A9C"/>
    <w:rsid w:val="00CE0AAA"/>
    <w:rsid w:val="00CE0B9A"/>
    <w:rsid w:val="00CE0BD8"/>
    <w:rsid w:val="00CE0CBB"/>
    <w:rsid w:val="00CE0D23"/>
    <w:rsid w:val="00CE0EA2"/>
    <w:rsid w:val="00CE0FD2"/>
    <w:rsid w:val="00CE0FF1"/>
    <w:rsid w:val="00CE1098"/>
    <w:rsid w:val="00CE119C"/>
    <w:rsid w:val="00CE12F0"/>
    <w:rsid w:val="00CE13AE"/>
    <w:rsid w:val="00CE151E"/>
    <w:rsid w:val="00CE167B"/>
    <w:rsid w:val="00CE169D"/>
    <w:rsid w:val="00CE174C"/>
    <w:rsid w:val="00CE189B"/>
    <w:rsid w:val="00CE192D"/>
    <w:rsid w:val="00CE19F8"/>
    <w:rsid w:val="00CE1A5E"/>
    <w:rsid w:val="00CE1AA5"/>
    <w:rsid w:val="00CE1BAA"/>
    <w:rsid w:val="00CE1BB2"/>
    <w:rsid w:val="00CE1CF9"/>
    <w:rsid w:val="00CE1D46"/>
    <w:rsid w:val="00CE1DC6"/>
    <w:rsid w:val="00CE1E42"/>
    <w:rsid w:val="00CE1F4B"/>
    <w:rsid w:val="00CE1FEC"/>
    <w:rsid w:val="00CE2062"/>
    <w:rsid w:val="00CE21A9"/>
    <w:rsid w:val="00CE2390"/>
    <w:rsid w:val="00CE23C6"/>
    <w:rsid w:val="00CE24A6"/>
    <w:rsid w:val="00CE2534"/>
    <w:rsid w:val="00CE255E"/>
    <w:rsid w:val="00CE2650"/>
    <w:rsid w:val="00CE2793"/>
    <w:rsid w:val="00CE27EC"/>
    <w:rsid w:val="00CE2876"/>
    <w:rsid w:val="00CE28B6"/>
    <w:rsid w:val="00CE28FC"/>
    <w:rsid w:val="00CE2934"/>
    <w:rsid w:val="00CE29EB"/>
    <w:rsid w:val="00CE2A2C"/>
    <w:rsid w:val="00CE2A64"/>
    <w:rsid w:val="00CE2BA8"/>
    <w:rsid w:val="00CE2CA1"/>
    <w:rsid w:val="00CE2D56"/>
    <w:rsid w:val="00CE2D98"/>
    <w:rsid w:val="00CE2EAD"/>
    <w:rsid w:val="00CE3013"/>
    <w:rsid w:val="00CE3029"/>
    <w:rsid w:val="00CE303D"/>
    <w:rsid w:val="00CE3066"/>
    <w:rsid w:val="00CE3085"/>
    <w:rsid w:val="00CE31F0"/>
    <w:rsid w:val="00CE32E5"/>
    <w:rsid w:val="00CE3402"/>
    <w:rsid w:val="00CE3445"/>
    <w:rsid w:val="00CE3571"/>
    <w:rsid w:val="00CE37E5"/>
    <w:rsid w:val="00CE3A95"/>
    <w:rsid w:val="00CE3C2D"/>
    <w:rsid w:val="00CE3C87"/>
    <w:rsid w:val="00CE3DB4"/>
    <w:rsid w:val="00CE3F90"/>
    <w:rsid w:val="00CE3FC5"/>
    <w:rsid w:val="00CE4054"/>
    <w:rsid w:val="00CE409F"/>
    <w:rsid w:val="00CE40C7"/>
    <w:rsid w:val="00CE413D"/>
    <w:rsid w:val="00CE4492"/>
    <w:rsid w:val="00CE4577"/>
    <w:rsid w:val="00CE4806"/>
    <w:rsid w:val="00CE49CE"/>
    <w:rsid w:val="00CE49F7"/>
    <w:rsid w:val="00CE4A77"/>
    <w:rsid w:val="00CE4AFD"/>
    <w:rsid w:val="00CE4DEE"/>
    <w:rsid w:val="00CE4E25"/>
    <w:rsid w:val="00CE4F39"/>
    <w:rsid w:val="00CE4F99"/>
    <w:rsid w:val="00CE509C"/>
    <w:rsid w:val="00CE52FC"/>
    <w:rsid w:val="00CE5442"/>
    <w:rsid w:val="00CE5479"/>
    <w:rsid w:val="00CE5544"/>
    <w:rsid w:val="00CE5676"/>
    <w:rsid w:val="00CE58BC"/>
    <w:rsid w:val="00CE5B69"/>
    <w:rsid w:val="00CE5BA0"/>
    <w:rsid w:val="00CE5CA2"/>
    <w:rsid w:val="00CE5D15"/>
    <w:rsid w:val="00CE5E46"/>
    <w:rsid w:val="00CE5E6B"/>
    <w:rsid w:val="00CE5EF7"/>
    <w:rsid w:val="00CE605F"/>
    <w:rsid w:val="00CE61C6"/>
    <w:rsid w:val="00CE6221"/>
    <w:rsid w:val="00CE631B"/>
    <w:rsid w:val="00CE6448"/>
    <w:rsid w:val="00CE6505"/>
    <w:rsid w:val="00CE657D"/>
    <w:rsid w:val="00CE65C9"/>
    <w:rsid w:val="00CE666A"/>
    <w:rsid w:val="00CE669D"/>
    <w:rsid w:val="00CE66E1"/>
    <w:rsid w:val="00CE698D"/>
    <w:rsid w:val="00CE69D6"/>
    <w:rsid w:val="00CE6D06"/>
    <w:rsid w:val="00CE6D16"/>
    <w:rsid w:val="00CE6E30"/>
    <w:rsid w:val="00CE6FB6"/>
    <w:rsid w:val="00CE7032"/>
    <w:rsid w:val="00CE7310"/>
    <w:rsid w:val="00CE737E"/>
    <w:rsid w:val="00CE75BC"/>
    <w:rsid w:val="00CE7615"/>
    <w:rsid w:val="00CE76ED"/>
    <w:rsid w:val="00CE79DB"/>
    <w:rsid w:val="00CE7A07"/>
    <w:rsid w:val="00CE7D01"/>
    <w:rsid w:val="00CE7E97"/>
    <w:rsid w:val="00CF001C"/>
    <w:rsid w:val="00CF0377"/>
    <w:rsid w:val="00CF05DF"/>
    <w:rsid w:val="00CF0610"/>
    <w:rsid w:val="00CF064A"/>
    <w:rsid w:val="00CF078B"/>
    <w:rsid w:val="00CF07BB"/>
    <w:rsid w:val="00CF0837"/>
    <w:rsid w:val="00CF0957"/>
    <w:rsid w:val="00CF0A77"/>
    <w:rsid w:val="00CF0CCD"/>
    <w:rsid w:val="00CF0D38"/>
    <w:rsid w:val="00CF0D3D"/>
    <w:rsid w:val="00CF0D4B"/>
    <w:rsid w:val="00CF0DDA"/>
    <w:rsid w:val="00CF0FD8"/>
    <w:rsid w:val="00CF119A"/>
    <w:rsid w:val="00CF1222"/>
    <w:rsid w:val="00CF1245"/>
    <w:rsid w:val="00CF1338"/>
    <w:rsid w:val="00CF135A"/>
    <w:rsid w:val="00CF13B1"/>
    <w:rsid w:val="00CF14E2"/>
    <w:rsid w:val="00CF1706"/>
    <w:rsid w:val="00CF1746"/>
    <w:rsid w:val="00CF18CA"/>
    <w:rsid w:val="00CF1903"/>
    <w:rsid w:val="00CF1955"/>
    <w:rsid w:val="00CF195D"/>
    <w:rsid w:val="00CF1CDC"/>
    <w:rsid w:val="00CF1CDE"/>
    <w:rsid w:val="00CF1DBE"/>
    <w:rsid w:val="00CF1DCC"/>
    <w:rsid w:val="00CF1F10"/>
    <w:rsid w:val="00CF1F94"/>
    <w:rsid w:val="00CF20B4"/>
    <w:rsid w:val="00CF2230"/>
    <w:rsid w:val="00CF2242"/>
    <w:rsid w:val="00CF2342"/>
    <w:rsid w:val="00CF2389"/>
    <w:rsid w:val="00CF23BA"/>
    <w:rsid w:val="00CF24A2"/>
    <w:rsid w:val="00CF262A"/>
    <w:rsid w:val="00CF2685"/>
    <w:rsid w:val="00CF2688"/>
    <w:rsid w:val="00CF268B"/>
    <w:rsid w:val="00CF27E9"/>
    <w:rsid w:val="00CF27F4"/>
    <w:rsid w:val="00CF299D"/>
    <w:rsid w:val="00CF2ADC"/>
    <w:rsid w:val="00CF2B5A"/>
    <w:rsid w:val="00CF2C16"/>
    <w:rsid w:val="00CF2E5D"/>
    <w:rsid w:val="00CF2FA1"/>
    <w:rsid w:val="00CF3415"/>
    <w:rsid w:val="00CF345F"/>
    <w:rsid w:val="00CF34AD"/>
    <w:rsid w:val="00CF34F8"/>
    <w:rsid w:val="00CF3663"/>
    <w:rsid w:val="00CF378B"/>
    <w:rsid w:val="00CF381F"/>
    <w:rsid w:val="00CF383E"/>
    <w:rsid w:val="00CF3851"/>
    <w:rsid w:val="00CF388E"/>
    <w:rsid w:val="00CF3A28"/>
    <w:rsid w:val="00CF3AAF"/>
    <w:rsid w:val="00CF3B30"/>
    <w:rsid w:val="00CF3BF7"/>
    <w:rsid w:val="00CF3C74"/>
    <w:rsid w:val="00CF3CAF"/>
    <w:rsid w:val="00CF3F51"/>
    <w:rsid w:val="00CF3FC3"/>
    <w:rsid w:val="00CF4088"/>
    <w:rsid w:val="00CF4099"/>
    <w:rsid w:val="00CF4490"/>
    <w:rsid w:val="00CF44CC"/>
    <w:rsid w:val="00CF4544"/>
    <w:rsid w:val="00CF45B7"/>
    <w:rsid w:val="00CF4606"/>
    <w:rsid w:val="00CF4631"/>
    <w:rsid w:val="00CF4702"/>
    <w:rsid w:val="00CF4740"/>
    <w:rsid w:val="00CF47D8"/>
    <w:rsid w:val="00CF47EA"/>
    <w:rsid w:val="00CF4A42"/>
    <w:rsid w:val="00CF4AA1"/>
    <w:rsid w:val="00CF4AD6"/>
    <w:rsid w:val="00CF4C15"/>
    <w:rsid w:val="00CF4C95"/>
    <w:rsid w:val="00CF4E0D"/>
    <w:rsid w:val="00CF4F55"/>
    <w:rsid w:val="00CF51B2"/>
    <w:rsid w:val="00CF52A6"/>
    <w:rsid w:val="00CF5421"/>
    <w:rsid w:val="00CF5447"/>
    <w:rsid w:val="00CF54CE"/>
    <w:rsid w:val="00CF5547"/>
    <w:rsid w:val="00CF5616"/>
    <w:rsid w:val="00CF57DA"/>
    <w:rsid w:val="00CF5988"/>
    <w:rsid w:val="00CF59AE"/>
    <w:rsid w:val="00CF5AD9"/>
    <w:rsid w:val="00CF5B00"/>
    <w:rsid w:val="00CF5B92"/>
    <w:rsid w:val="00CF5CF9"/>
    <w:rsid w:val="00CF5D2B"/>
    <w:rsid w:val="00CF5D67"/>
    <w:rsid w:val="00CF5E42"/>
    <w:rsid w:val="00CF5E83"/>
    <w:rsid w:val="00CF5FBD"/>
    <w:rsid w:val="00CF6058"/>
    <w:rsid w:val="00CF613E"/>
    <w:rsid w:val="00CF626F"/>
    <w:rsid w:val="00CF62A2"/>
    <w:rsid w:val="00CF635C"/>
    <w:rsid w:val="00CF64CF"/>
    <w:rsid w:val="00CF64FC"/>
    <w:rsid w:val="00CF6503"/>
    <w:rsid w:val="00CF662E"/>
    <w:rsid w:val="00CF6759"/>
    <w:rsid w:val="00CF6837"/>
    <w:rsid w:val="00CF68FB"/>
    <w:rsid w:val="00CF6CCB"/>
    <w:rsid w:val="00CF7002"/>
    <w:rsid w:val="00CF7028"/>
    <w:rsid w:val="00CF7166"/>
    <w:rsid w:val="00CF718C"/>
    <w:rsid w:val="00CF71E6"/>
    <w:rsid w:val="00CF72BE"/>
    <w:rsid w:val="00CF73D1"/>
    <w:rsid w:val="00CF73DE"/>
    <w:rsid w:val="00CF73F0"/>
    <w:rsid w:val="00CF73F4"/>
    <w:rsid w:val="00CF7648"/>
    <w:rsid w:val="00CF764E"/>
    <w:rsid w:val="00CF7656"/>
    <w:rsid w:val="00CF78C4"/>
    <w:rsid w:val="00CF78D2"/>
    <w:rsid w:val="00CF7931"/>
    <w:rsid w:val="00CF79E3"/>
    <w:rsid w:val="00CF7A75"/>
    <w:rsid w:val="00CF7AB9"/>
    <w:rsid w:val="00CF7AF7"/>
    <w:rsid w:val="00CF7E4A"/>
    <w:rsid w:val="00CF7F0D"/>
    <w:rsid w:val="00D00083"/>
    <w:rsid w:val="00D000A3"/>
    <w:rsid w:val="00D001FC"/>
    <w:rsid w:val="00D0027A"/>
    <w:rsid w:val="00D0040D"/>
    <w:rsid w:val="00D0042A"/>
    <w:rsid w:val="00D00451"/>
    <w:rsid w:val="00D00618"/>
    <w:rsid w:val="00D00744"/>
    <w:rsid w:val="00D00798"/>
    <w:rsid w:val="00D007A5"/>
    <w:rsid w:val="00D00AD1"/>
    <w:rsid w:val="00D00C3E"/>
    <w:rsid w:val="00D00DC1"/>
    <w:rsid w:val="00D00E18"/>
    <w:rsid w:val="00D00E43"/>
    <w:rsid w:val="00D01059"/>
    <w:rsid w:val="00D0127B"/>
    <w:rsid w:val="00D013F3"/>
    <w:rsid w:val="00D01529"/>
    <w:rsid w:val="00D01534"/>
    <w:rsid w:val="00D0164C"/>
    <w:rsid w:val="00D01905"/>
    <w:rsid w:val="00D01A52"/>
    <w:rsid w:val="00D01A5B"/>
    <w:rsid w:val="00D01B75"/>
    <w:rsid w:val="00D01C22"/>
    <w:rsid w:val="00D01D17"/>
    <w:rsid w:val="00D01F2B"/>
    <w:rsid w:val="00D01FBA"/>
    <w:rsid w:val="00D02202"/>
    <w:rsid w:val="00D024E0"/>
    <w:rsid w:val="00D025D0"/>
    <w:rsid w:val="00D02662"/>
    <w:rsid w:val="00D026D5"/>
    <w:rsid w:val="00D0279C"/>
    <w:rsid w:val="00D027B7"/>
    <w:rsid w:val="00D027BE"/>
    <w:rsid w:val="00D027E2"/>
    <w:rsid w:val="00D0280E"/>
    <w:rsid w:val="00D028E7"/>
    <w:rsid w:val="00D029D5"/>
    <w:rsid w:val="00D02C52"/>
    <w:rsid w:val="00D02CCC"/>
    <w:rsid w:val="00D02DB4"/>
    <w:rsid w:val="00D02E45"/>
    <w:rsid w:val="00D02FE9"/>
    <w:rsid w:val="00D0300B"/>
    <w:rsid w:val="00D03271"/>
    <w:rsid w:val="00D032F7"/>
    <w:rsid w:val="00D03329"/>
    <w:rsid w:val="00D0340C"/>
    <w:rsid w:val="00D03516"/>
    <w:rsid w:val="00D03524"/>
    <w:rsid w:val="00D035BD"/>
    <w:rsid w:val="00D0360E"/>
    <w:rsid w:val="00D038EF"/>
    <w:rsid w:val="00D03CE0"/>
    <w:rsid w:val="00D03E49"/>
    <w:rsid w:val="00D03F7C"/>
    <w:rsid w:val="00D0426A"/>
    <w:rsid w:val="00D04276"/>
    <w:rsid w:val="00D042E3"/>
    <w:rsid w:val="00D046D9"/>
    <w:rsid w:val="00D04739"/>
    <w:rsid w:val="00D0482C"/>
    <w:rsid w:val="00D04838"/>
    <w:rsid w:val="00D04919"/>
    <w:rsid w:val="00D049A2"/>
    <w:rsid w:val="00D04A5D"/>
    <w:rsid w:val="00D04BEE"/>
    <w:rsid w:val="00D04C21"/>
    <w:rsid w:val="00D04EE5"/>
    <w:rsid w:val="00D04F3B"/>
    <w:rsid w:val="00D04FB1"/>
    <w:rsid w:val="00D0508B"/>
    <w:rsid w:val="00D0524A"/>
    <w:rsid w:val="00D05433"/>
    <w:rsid w:val="00D05545"/>
    <w:rsid w:val="00D05695"/>
    <w:rsid w:val="00D056B9"/>
    <w:rsid w:val="00D058EE"/>
    <w:rsid w:val="00D05996"/>
    <w:rsid w:val="00D059B4"/>
    <w:rsid w:val="00D05A20"/>
    <w:rsid w:val="00D05B45"/>
    <w:rsid w:val="00D05BC2"/>
    <w:rsid w:val="00D05C06"/>
    <w:rsid w:val="00D05C42"/>
    <w:rsid w:val="00D05C59"/>
    <w:rsid w:val="00D05CAF"/>
    <w:rsid w:val="00D05DB8"/>
    <w:rsid w:val="00D05DC4"/>
    <w:rsid w:val="00D05E75"/>
    <w:rsid w:val="00D05F62"/>
    <w:rsid w:val="00D05FA1"/>
    <w:rsid w:val="00D0612D"/>
    <w:rsid w:val="00D06164"/>
    <w:rsid w:val="00D06195"/>
    <w:rsid w:val="00D0632A"/>
    <w:rsid w:val="00D063CB"/>
    <w:rsid w:val="00D064D2"/>
    <w:rsid w:val="00D064EF"/>
    <w:rsid w:val="00D06577"/>
    <w:rsid w:val="00D0668E"/>
    <w:rsid w:val="00D066F4"/>
    <w:rsid w:val="00D06704"/>
    <w:rsid w:val="00D06837"/>
    <w:rsid w:val="00D06A1A"/>
    <w:rsid w:val="00D06B41"/>
    <w:rsid w:val="00D06C0C"/>
    <w:rsid w:val="00D06C88"/>
    <w:rsid w:val="00D06DA9"/>
    <w:rsid w:val="00D06DD2"/>
    <w:rsid w:val="00D06DEA"/>
    <w:rsid w:val="00D06F40"/>
    <w:rsid w:val="00D07088"/>
    <w:rsid w:val="00D070DA"/>
    <w:rsid w:val="00D07113"/>
    <w:rsid w:val="00D071F4"/>
    <w:rsid w:val="00D0727A"/>
    <w:rsid w:val="00D073DE"/>
    <w:rsid w:val="00D074FD"/>
    <w:rsid w:val="00D07578"/>
    <w:rsid w:val="00D0759A"/>
    <w:rsid w:val="00D07632"/>
    <w:rsid w:val="00D07729"/>
    <w:rsid w:val="00D0791F"/>
    <w:rsid w:val="00D079A1"/>
    <w:rsid w:val="00D07BDE"/>
    <w:rsid w:val="00D07F59"/>
    <w:rsid w:val="00D07FF0"/>
    <w:rsid w:val="00D10017"/>
    <w:rsid w:val="00D1009E"/>
    <w:rsid w:val="00D100CA"/>
    <w:rsid w:val="00D101FD"/>
    <w:rsid w:val="00D102CA"/>
    <w:rsid w:val="00D10343"/>
    <w:rsid w:val="00D1036F"/>
    <w:rsid w:val="00D1041B"/>
    <w:rsid w:val="00D104A7"/>
    <w:rsid w:val="00D104E8"/>
    <w:rsid w:val="00D106CC"/>
    <w:rsid w:val="00D1070E"/>
    <w:rsid w:val="00D10749"/>
    <w:rsid w:val="00D107E6"/>
    <w:rsid w:val="00D1086E"/>
    <w:rsid w:val="00D1098F"/>
    <w:rsid w:val="00D10AE9"/>
    <w:rsid w:val="00D10B2E"/>
    <w:rsid w:val="00D10BBB"/>
    <w:rsid w:val="00D10BE7"/>
    <w:rsid w:val="00D10C65"/>
    <w:rsid w:val="00D10EEC"/>
    <w:rsid w:val="00D10F50"/>
    <w:rsid w:val="00D10F83"/>
    <w:rsid w:val="00D1113D"/>
    <w:rsid w:val="00D111A0"/>
    <w:rsid w:val="00D11228"/>
    <w:rsid w:val="00D11274"/>
    <w:rsid w:val="00D113EC"/>
    <w:rsid w:val="00D11440"/>
    <w:rsid w:val="00D115C7"/>
    <w:rsid w:val="00D11660"/>
    <w:rsid w:val="00D11699"/>
    <w:rsid w:val="00D116F3"/>
    <w:rsid w:val="00D11771"/>
    <w:rsid w:val="00D117C2"/>
    <w:rsid w:val="00D1181E"/>
    <w:rsid w:val="00D1189B"/>
    <w:rsid w:val="00D118EC"/>
    <w:rsid w:val="00D119FB"/>
    <w:rsid w:val="00D11AAF"/>
    <w:rsid w:val="00D11B12"/>
    <w:rsid w:val="00D11C54"/>
    <w:rsid w:val="00D11CAB"/>
    <w:rsid w:val="00D11DB8"/>
    <w:rsid w:val="00D11E62"/>
    <w:rsid w:val="00D11E72"/>
    <w:rsid w:val="00D11F6C"/>
    <w:rsid w:val="00D1204A"/>
    <w:rsid w:val="00D120D0"/>
    <w:rsid w:val="00D1242A"/>
    <w:rsid w:val="00D124BD"/>
    <w:rsid w:val="00D124DA"/>
    <w:rsid w:val="00D124E6"/>
    <w:rsid w:val="00D12571"/>
    <w:rsid w:val="00D12590"/>
    <w:rsid w:val="00D125B2"/>
    <w:rsid w:val="00D1282C"/>
    <w:rsid w:val="00D12850"/>
    <w:rsid w:val="00D1289D"/>
    <w:rsid w:val="00D128B4"/>
    <w:rsid w:val="00D12930"/>
    <w:rsid w:val="00D12990"/>
    <w:rsid w:val="00D12A3F"/>
    <w:rsid w:val="00D12C68"/>
    <w:rsid w:val="00D12D2C"/>
    <w:rsid w:val="00D12D95"/>
    <w:rsid w:val="00D12ECE"/>
    <w:rsid w:val="00D12F32"/>
    <w:rsid w:val="00D13054"/>
    <w:rsid w:val="00D13073"/>
    <w:rsid w:val="00D132DC"/>
    <w:rsid w:val="00D1338F"/>
    <w:rsid w:val="00D13532"/>
    <w:rsid w:val="00D1355A"/>
    <w:rsid w:val="00D13587"/>
    <w:rsid w:val="00D138CF"/>
    <w:rsid w:val="00D139C5"/>
    <w:rsid w:val="00D13A33"/>
    <w:rsid w:val="00D13A69"/>
    <w:rsid w:val="00D13CA0"/>
    <w:rsid w:val="00D13CAE"/>
    <w:rsid w:val="00D13CDC"/>
    <w:rsid w:val="00D13DAA"/>
    <w:rsid w:val="00D14264"/>
    <w:rsid w:val="00D14279"/>
    <w:rsid w:val="00D142B9"/>
    <w:rsid w:val="00D1430A"/>
    <w:rsid w:val="00D144CA"/>
    <w:rsid w:val="00D145A2"/>
    <w:rsid w:val="00D146AF"/>
    <w:rsid w:val="00D14773"/>
    <w:rsid w:val="00D1492F"/>
    <w:rsid w:val="00D14994"/>
    <w:rsid w:val="00D14BB4"/>
    <w:rsid w:val="00D14BE4"/>
    <w:rsid w:val="00D14DD4"/>
    <w:rsid w:val="00D14DEF"/>
    <w:rsid w:val="00D14E44"/>
    <w:rsid w:val="00D14EF0"/>
    <w:rsid w:val="00D14F8D"/>
    <w:rsid w:val="00D14FCA"/>
    <w:rsid w:val="00D150C4"/>
    <w:rsid w:val="00D15109"/>
    <w:rsid w:val="00D15343"/>
    <w:rsid w:val="00D1536B"/>
    <w:rsid w:val="00D1553F"/>
    <w:rsid w:val="00D15668"/>
    <w:rsid w:val="00D156B5"/>
    <w:rsid w:val="00D156C9"/>
    <w:rsid w:val="00D1573D"/>
    <w:rsid w:val="00D15847"/>
    <w:rsid w:val="00D15869"/>
    <w:rsid w:val="00D15972"/>
    <w:rsid w:val="00D15B81"/>
    <w:rsid w:val="00D15B82"/>
    <w:rsid w:val="00D15C39"/>
    <w:rsid w:val="00D15C3C"/>
    <w:rsid w:val="00D15C84"/>
    <w:rsid w:val="00D15E8F"/>
    <w:rsid w:val="00D1603F"/>
    <w:rsid w:val="00D160A3"/>
    <w:rsid w:val="00D1615B"/>
    <w:rsid w:val="00D16217"/>
    <w:rsid w:val="00D162E5"/>
    <w:rsid w:val="00D162E9"/>
    <w:rsid w:val="00D1630E"/>
    <w:rsid w:val="00D16330"/>
    <w:rsid w:val="00D1636F"/>
    <w:rsid w:val="00D16413"/>
    <w:rsid w:val="00D16427"/>
    <w:rsid w:val="00D164C5"/>
    <w:rsid w:val="00D165E4"/>
    <w:rsid w:val="00D165E7"/>
    <w:rsid w:val="00D16630"/>
    <w:rsid w:val="00D167DE"/>
    <w:rsid w:val="00D167EF"/>
    <w:rsid w:val="00D167FF"/>
    <w:rsid w:val="00D16862"/>
    <w:rsid w:val="00D16921"/>
    <w:rsid w:val="00D16943"/>
    <w:rsid w:val="00D1699E"/>
    <w:rsid w:val="00D169CC"/>
    <w:rsid w:val="00D16AE9"/>
    <w:rsid w:val="00D16B96"/>
    <w:rsid w:val="00D16D27"/>
    <w:rsid w:val="00D16DAF"/>
    <w:rsid w:val="00D16F61"/>
    <w:rsid w:val="00D16FBD"/>
    <w:rsid w:val="00D170B9"/>
    <w:rsid w:val="00D1720C"/>
    <w:rsid w:val="00D172D1"/>
    <w:rsid w:val="00D17395"/>
    <w:rsid w:val="00D1750A"/>
    <w:rsid w:val="00D176EF"/>
    <w:rsid w:val="00D1772E"/>
    <w:rsid w:val="00D17744"/>
    <w:rsid w:val="00D17793"/>
    <w:rsid w:val="00D17CC1"/>
    <w:rsid w:val="00D17D3B"/>
    <w:rsid w:val="00D17D5F"/>
    <w:rsid w:val="00D17DC3"/>
    <w:rsid w:val="00D17DC5"/>
    <w:rsid w:val="00D17F1C"/>
    <w:rsid w:val="00D200A7"/>
    <w:rsid w:val="00D20151"/>
    <w:rsid w:val="00D2015F"/>
    <w:rsid w:val="00D201E6"/>
    <w:rsid w:val="00D20217"/>
    <w:rsid w:val="00D2039E"/>
    <w:rsid w:val="00D203F5"/>
    <w:rsid w:val="00D2040C"/>
    <w:rsid w:val="00D20459"/>
    <w:rsid w:val="00D2057A"/>
    <w:rsid w:val="00D205C2"/>
    <w:rsid w:val="00D20845"/>
    <w:rsid w:val="00D208EA"/>
    <w:rsid w:val="00D20A2D"/>
    <w:rsid w:val="00D20DA7"/>
    <w:rsid w:val="00D20DF4"/>
    <w:rsid w:val="00D20EB8"/>
    <w:rsid w:val="00D20F97"/>
    <w:rsid w:val="00D210C7"/>
    <w:rsid w:val="00D21140"/>
    <w:rsid w:val="00D211FA"/>
    <w:rsid w:val="00D2125A"/>
    <w:rsid w:val="00D212BB"/>
    <w:rsid w:val="00D217C1"/>
    <w:rsid w:val="00D217CF"/>
    <w:rsid w:val="00D21805"/>
    <w:rsid w:val="00D21853"/>
    <w:rsid w:val="00D21872"/>
    <w:rsid w:val="00D219B3"/>
    <w:rsid w:val="00D21ACF"/>
    <w:rsid w:val="00D21B47"/>
    <w:rsid w:val="00D21B50"/>
    <w:rsid w:val="00D21BF1"/>
    <w:rsid w:val="00D21DCD"/>
    <w:rsid w:val="00D22168"/>
    <w:rsid w:val="00D2222F"/>
    <w:rsid w:val="00D22477"/>
    <w:rsid w:val="00D224F0"/>
    <w:rsid w:val="00D22685"/>
    <w:rsid w:val="00D22979"/>
    <w:rsid w:val="00D22BB5"/>
    <w:rsid w:val="00D22BF9"/>
    <w:rsid w:val="00D22D8F"/>
    <w:rsid w:val="00D22E9A"/>
    <w:rsid w:val="00D230A1"/>
    <w:rsid w:val="00D2316F"/>
    <w:rsid w:val="00D23396"/>
    <w:rsid w:val="00D233A5"/>
    <w:rsid w:val="00D23572"/>
    <w:rsid w:val="00D2370A"/>
    <w:rsid w:val="00D23750"/>
    <w:rsid w:val="00D237B7"/>
    <w:rsid w:val="00D238DB"/>
    <w:rsid w:val="00D23AA0"/>
    <w:rsid w:val="00D23AA7"/>
    <w:rsid w:val="00D23B8D"/>
    <w:rsid w:val="00D23BDD"/>
    <w:rsid w:val="00D23C3A"/>
    <w:rsid w:val="00D23F3A"/>
    <w:rsid w:val="00D24172"/>
    <w:rsid w:val="00D24181"/>
    <w:rsid w:val="00D2433D"/>
    <w:rsid w:val="00D243EE"/>
    <w:rsid w:val="00D244BC"/>
    <w:rsid w:val="00D24563"/>
    <w:rsid w:val="00D24590"/>
    <w:rsid w:val="00D245BF"/>
    <w:rsid w:val="00D245E6"/>
    <w:rsid w:val="00D24741"/>
    <w:rsid w:val="00D2479B"/>
    <w:rsid w:val="00D24850"/>
    <w:rsid w:val="00D248D3"/>
    <w:rsid w:val="00D24A26"/>
    <w:rsid w:val="00D24A31"/>
    <w:rsid w:val="00D24AA8"/>
    <w:rsid w:val="00D24AAA"/>
    <w:rsid w:val="00D24B39"/>
    <w:rsid w:val="00D24B4B"/>
    <w:rsid w:val="00D24D1E"/>
    <w:rsid w:val="00D24E2A"/>
    <w:rsid w:val="00D24E41"/>
    <w:rsid w:val="00D24EA3"/>
    <w:rsid w:val="00D250E1"/>
    <w:rsid w:val="00D25223"/>
    <w:rsid w:val="00D2524C"/>
    <w:rsid w:val="00D25275"/>
    <w:rsid w:val="00D252F8"/>
    <w:rsid w:val="00D255EA"/>
    <w:rsid w:val="00D25604"/>
    <w:rsid w:val="00D256C4"/>
    <w:rsid w:val="00D2576B"/>
    <w:rsid w:val="00D257E3"/>
    <w:rsid w:val="00D25816"/>
    <w:rsid w:val="00D2585C"/>
    <w:rsid w:val="00D25A6F"/>
    <w:rsid w:val="00D25A9A"/>
    <w:rsid w:val="00D25BAD"/>
    <w:rsid w:val="00D25C52"/>
    <w:rsid w:val="00D25F5A"/>
    <w:rsid w:val="00D25FA0"/>
    <w:rsid w:val="00D260B2"/>
    <w:rsid w:val="00D2612B"/>
    <w:rsid w:val="00D2629B"/>
    <w:rsid w:val="00D262E4"/>
    <w:rsid w:val="00D26353"/>
    <w:rsid w:val="00D264A4"/>
    <w:rsid w:val="00D265D0"/>
    <w:rsid w:val="00D2661F"/>
    <w:rsid w:val="00D267DF"/>
    <w:rsid w:val="00D267E7"/>
    <w:rsid w:val="00D26843"/>
    <w:rsid w:val="00D268B0"/>
    <w:rsid w:val="00D268F7"/>
    <w:rsid w:val="00D26913"/>
    <w:rsid w:val="00D26A7C"/>
    <w:rsid w:val="00D26ABF"/>
    <w:rsid w:val="00D26B41"/>
    <w:rsid w:val="00D26B48"/>
    <w:rsid w:val="00D26B6A"/>
    <w:rsid w:val="00D26D8C"/>
    <w:rsid w:val="00D26DFC"/>
    <w:rsid w:val="00D26EF8"/>
    <w:rsid w:val="00D26F96"/>
    <w:rsid w:val="00D270B6"/>
    <w:rsid w:val="00D270C3"/>
    <w:rsid w:val="00D276EE"/>
    <w:rsid w:val="00D2772F"/>
    <w:rsid w:val="00D2779E"/>
    <w:rsid w:val="00D2785B"/>
    <w:rsid w:val="00D278BB"/>
    <w:rsid w:val="00D279A0"/>
    <w:rsid w:val="00D279CC"/>
    <w:rsid w:val="00D279F5"/>
    <w:rsid w:val="00D27B96"/>
    <w:rsid w:val="00D27C93"/>
    <w:rsid w:val="00D27CED"/>
    <w:rsid w:val="00D27D3A"/>
    <w:rsid w:val="00D30040"/>
    <w:rsid w:val="00D30163"/>
    <w:rsid w:val="00D3025D"/>
    <w:rsid w:val="00D3026D"/>
    <w:rsid w:val="00D30294"/>
    <w:rsid w:val="00D303A6"/>
    <w:rsid w:val="00D30933"/>
    <w:rsid w:val="00D30976"/>
    <w:rsid w:val="00D309F0"/>
    <w:rsid w:val="00D309F9"/>
    <w:rsid w:val="00D30ACE"/>
    <w:rsid w:val="00D30AEA"/>
    <w:rsid w:val="00D30AFD"/>
    <w:rsid w:val="00D30B70"/>
    <w:rsid w:val="00D30C55"/>
    <w:rsid w:val="00D30CC0"/>
    <w:rsid w:val="00D30D68"/>
    <w:rsid w:val="00D30E07"/>
    <w:rsid w:val="00D30FA5"/>
    <w:rsid w:val="00D3107F"/>
    <w:rsid w:val="00D3120E"/>
    <w:rsid w:val="00D3124F"/>
    <w:rsid w:val="00D31292"/>
    <w:rsid w:val="00D31438"/>
    <w:rsid w:val="00D314E0"/>
    <w:rsid w:val="00D3151B"/>
    <w:rsid w:val="00D31679"/>
    <w:rsid w:val="00D31699"/>
    <w:rsid w:val="00D319D3"/>
    <w:rsid w:val="00D319E2"/>
    <w:rsid w:val="00D31A3F"/>
    <w:rsid w:val="00D31A8A"/>
    <w:rsid w:val="00D31CCF"/>
    <w:rsid w:val="00D31E47"/>
    <w:rsid w:val="00D32073"/>
    <w:rsid w:val="00D322B1"/>
    <w:rsid w:val="00D323CF"/>
    <w:rsid w:val="00D32420"/>
    <w:rsid w:val="00D32552"/>
    <w:rsid w:val="00D32582"/>
    <w:rsid w:val="00D3260C"/>
    <w:rsid w:val="00D32636"/>
    <w:rsid w:val="00D327ED"/>
    <w:rsid w:val="00D32991"/>
    <w:rsid w:val="00D32B1F"/>
    <w:rsid w:val="00D32D57"/>
    <w:rsid w:val="00D32D62"/>
    <w:rsid w:val="00D32DFD"/>
    <w:rsid w:val="00D330EC"/>
    <w:rsid w:val="00D33145"/>
    <w:rsid w:val="00D33182"/>
    <w:rsid w:val="00D33200"/>
    <w:rsid w:val="00D3332D"/>
    <w:rsid w:val="00D3337F"/>
    <w:rsid w:val="00D33389"/>
    <w:rsid w:val="00D334DD"/>
    <w:rsid w:val="00D33523"/>
    <w:rsid w:val="00D3353A"/>
    <w:rsid w:val="00D33549"/>
    <w:rsid w:val="00D33565"/>
    <w:rsid w:val="00D335C5"/>
    <w:rsid w:val="00D33754"/>
    <w:rsid w:val="00D33831"/>
    <w:rsid w:val="00D338CA"/>
    <w:rsid w:val="00D338F2"/>
    <w:rsid w:val="00D3393A"/>
    <w:rsid w:val="00D33A0C"/>
    <w:rsid w:val="00D33ADA"/>
    <w:rsid w:val="00D33D88"/>
    <w:rsid w:val="00D33F0C"/>
    <w:rsid w:val="00D33F5E"/>
    <w:rsid w:val="00D33F67"/>
    <w:rsid w:val="00D33F9D"/>
    <w:rsid w:val="00D34099"/>
    <w:rsid w:val="00D340AE"/>
    <w:rsid w:val="00D341AA"/>
    <w:rsid w:val="00D3448B"/>
    <w:rsid w:val="00D34545"/>
    <w:rsid w:val="00D346B9"/>
    <w:rsid w:val="00D3474C"/>
    <w:rsid w:val="00D348DC"/>
    <w:rsid w:val="00D34C1C"/>
    <w:rsid w:val="00D34C50"/>
    <w:rsid w:val="00D34D3E"/>
    <w:rsid w:val="00D34D7A"/>
    <w:rsid w:val="00D34E72"/>
    <w:rsid w:val="00D34E75"/>
    <w:rsid w:val="00D34E9F"/>
    <w:rsid w:val="00D34EA6"/>
    <w:rsid w:val="00D34EB4"/>
    <w:rsid w:val="00D34F34"/>
    <w:rsid w:val="00D3524F"/>
    <w:rsid w:val="00D353F4"/>
    <w:rsid w:val="00D354FA"/>
    <w:rsid w:val="00D355E7"/>
    <w:rsid w:val="00D3567B"/>
    <w:rsid w:val="00D3578E"/>
    <w:rsid w:val="00D357D7"/>
    <w:rsid w:val="00D35844"/>
    <w:rsid w:val="00D358FE"/>
    <w:rsid w:val="00D35AAA"/>
    <w:rsid w:val="00D35BA5"/>
    <w:rsid w:val="00D35DEB"/>
    <w:rsid w:val="00D35F84"/>
    <w:rsid w:val="00D35FCE"/>
    <w:rsid w:val="00D360A5"/>
    <w:rsid w:val="00D36228"/>
    <w:rsid w:val="00D365AC"/>
    <w:rsid w:val="00D365F7"/>
    <w:rsid w:val="00D36751"/>
    <w:rsid w:val="00D36778"/>
    <w:rsid w:val="00D3677E"/>
    <w:rsid w:val="00D367FB"/>
    <w:rsid w:val="00D3693A"/>
    <w:rsid w:val="00D36969"/>
    <w:rsid w:val="00D36D5A"/>
    <w:rsid w:val="00D36E9E"/>
    <w:rsid w:val="00D36F1A"/>
    <w:rsid w:val="00D37003"/>
    <w:rsid w:val="00D37007"/>
    <w:rsid w:val="00D370D8"/>
    <w:rsid w:val="00D370E1"/>
    <w:rsid w:val="00D3712F"/>
    <w:rsid w:val="00D372B4"/>
    <w:rsid w:val="00D37302"/>
    <w:rsid w:val="00D37486"/>
    <w:rsid w:val="00D3749D"/>
    <w:rsid w:val="00D37573"/>
    <w:rsid w:val="00D377EE"/>
    <w:rsid w:val="00D378AC"/>
    <w:rsid w:val="00D37A01"/>
    <w:rsid w:val="00D37B6D"/>
    <w:rsid w:val="00D37D24"/>
    <w:rsid w:val="00D37D4F"/>
    <w:rsid w:val="00D37D98"/>
    <w:rsid w:val="00D37DB7"/>
    <w:rsid w:val="00D37E54"/>
    <w:rsid w:val="00D4009B"/>
    <w:rsid w:val="00D401EE"/>
    <w:rsid w:val="00D4024D"/>
    <w:rsid w:val="00D402F1"/>
    <w:rsid w:val="00D40382"/>
    <w:rsid w:val="00D40571"/>
    <w:rsid w:val="00D405D8"/>
    <w:rsid w:val="00D405F8"/>
    <w:rsid w:val="00D40626"/>
    <w:rsid w:val="00D40630"/>
    <w:rsid w:val="00D406A4"/>
    <w:rsid w:val="00D407D6"/>
    <w:rsid w:val="00D40811"/>
    <w:rsid w:val="00D40B31"/>
    <w:rsid w:val="00D40B94"/>
    <w:rsid w:val="00D40C43"/>
    <w:rsid w:val="00D40E10"/>
    <w:rsid w:val="00D40E86"/>
    <w:rsid w:val="00D40E8F"/>
    <w:rsid w:val="00D40F4E"/>
    <w:rsid w:val="00D41066"/>
    <w:rsid w:val="00D4126F"/>
    <w:rsid w:val="00D41309"/>
    <w:rsid w:val="00D413F1"/>
    <w:rsid w:val="00D413F2"/>
    <w:rsid w:val="00D4149C"/>
    <w:rsid w:val="00D41816"/>
    <w:rsid w:val="00D41817"/>
    <w:rsid w:val="00D41924"/>
    <w:rsid w:val="00D419E4"/>
    <w:rsid w:val="00D41BAA"/>
    <w:rsid w:val="00D41BEC"/>
    <w:rsid w:val="00D41D0F"/>
    <w:rsid w:val="00D41FCA"/>
    <w:rsid w:val="00D42026"/>
    <w:rsid w:val="00D4204F"/>
    <w:rsid w:val="00D42085"/>
    <w:rsid w:val="00D42177"/>
    <w:rsid w:val="00D421A7"/>
    <w:rsid w:val="00D42260"/>
    <w:rsid w:val="00D42285"/>
    <w:rsid w:val="00D42319"/>
    <w:rsid w:val="00D424C0"/>
    <w:rsid w:val="00D425CB"/>
    <w:rsid w:val="00D425F7"/>
    <w:rsid w:val="00D42733"/>
    <w:rsid w:val="00D427CE"/>
    <w:rsid w:val="00D427E4"/>
    <w:rsid w:val="00D42864"/>
    <w:rsid w:val="00D4290C"/>
    <w:rsid w:val="00D429B9"/>
    <w:rsid w:val="00D42B45"/>
    <w:rsid w:val="00D42C56"/>
    <w:rsid w:val="00D42DA7"/>
    <w:rsid w:val="00D42EB0"/>
    <w:rsid w:val="00D4309D"/>
    <w:rsid w:val="00D4325C"/>
    <w:rsid w:val="00D4338D"/>
    <w:rsid w:val="00D4341D"/>
    <w:rsid w:val="00D43498"/>
    <w:rsid w:val="00D43526"/>
    <w:rsid w:val="00D43653"/>
    <w:rsid w:val="00D4371D"/>
    <w:rsid w:val="00D43857"/>
    <w:rsid w:val="00D438BD"/>
    <w:rsid w:val="00D4398B"/>
    <w:rsid w:val="00D43B7E"/>
    <w:rsid w:val="00D43B91"/>
    <w:rsid w:val="00D43C53"/>
    <w:rsid w:val="00D43CA2"/>
    <w:rsid w:val="00D43D0E"/>
    <w:rsid w:val="00D43E9D"/>
    <w:rsid w:val="00D43F91"/>
    <w:rsid w:val="00D440DA"/>
    <w:rsid w:val="00D440ED"/>
    <w:rsid w:val="00D4411B"/>
    <w:rsid w:val="00D441FB"/>
    <w:rsid w:val="00D44270"/>
    <w:rsid w:val="00D44854"/>
    <w:rsid w:val="00D44A8E"/>
    <w:rsid w:val="00D44B3F"/>
    <w:rsid w:val="00D44C1B"/>
    <w:rsid w:val="00D44CF2"/>
    <w:rsid w:val="00D44FAF"/>
    <w:rsid w:val="00D45009"/>
    <w:rsid w:val="00D450A6"/>
    <w:rsid w:val="00D45147"/>
    <w:rsid w:val="00D45167"/>
    <w:rsid w:val="00D4519D"/>
    <w:rsid w:val="00D45281"/>
    <w:rsid w:val="00D454B1"/>
    <w:rsid w:val="00D45579"/>
    <w:rsid w:val="00D4563F"/>
    <w:rsid w:val="00D45826"/>
    <w:rsid w:val="00D45846"/>
    <w:rsid w:val="00D458B3"/>
    <w:rsid w:val="00D458F9"/>
    <w:rsid w:val="00D45A7B"/>
    <w:rsid w:val="00D45ABF"/>
    <w:rsid w:val="00D45C6E"/>
    <w:rsid w:val="00D45C95"/>
    <w:rsid w:val="00D45ED1"/>
    <w:rsid w:val="00D460BB"/>
    <w:rsid w:val="00D4612A"/>
    <w:rsid w:val="00D4619B"/>
    <w:rsid w:val="00D4619E"/>
    <w:rsid w:val="00D46487"/>
    <w:rsid w:val="00D464AD"/>
    <w:rsid w:val="00D465E1"/>
    <w:rsid w:val="00D46618"/>
    <w:rsid w:val="00D46676"/>
    <w:rsid w:val="00D466A7"/>
    <w:rsid w:val="00D466C5"/>
    <w:rsid w:val="00D466FA"/>
    <w:rsid w:val="00D46AB2"/>
    <w:rsid w:val="00D46E70"/>
    <w:rsid w:val="00D46F73"/>
    <w:rsid w:val="00D47009"/>
    <w:rsid w:val="00D47073"/>
    <w:rsid w:val="00D4714D"/>
    <w:rsid w:val="00D471C9"/>
    <w:rsid w:val="00D4742C"/>
    <w:rsid w:val="00D47623"/>
    <w:rsid w:val="00D47646"/>
    <w:rsid w:val="00D476FB"/>
    <w:rsid w:val="00D4771C"/>
    <w:rsid w:val="00D4772F"/>
    <w:rsid w:val="00D477DF"/>
    <w:rsid w:val="00D47803"/>
    <w:rsid w:val="00D47896"/>
    <w:rsid w:val="00D478DA"/>
    <w:rsid w:val="00D47A62"/>
    <w:rsid w:val="00D47A82"/>
    <w:rsid w:val="00D47ADF"/>
    <w:rsid w:val="00D47B3E"/>
    <w:rsid w:val="00D47B46"/>
    <w:rsid w:val="00D47B97"/>
    <w:rsid w:val="00D47B99"/>
    <w:rsid w:val="00D47CF0"/>
    <w:rsid w:val="00D47CF9"/>
    <w:rsid w:val="00D501C3"/>
    <w:rsid w:val="00D501D2"/>
    <w:rsid w:val="00D502C9"/>
    <w:rsid w:val="00D502DD"/>
    <w:rsid w:val="00D5031E"/>
    <w:rsid w:val="00D504A6"/>
    <w:rsid w:val="00D50547"/>
    <w:rsid w:val="00D505A1"/>
    <w:rsid w:val="00D5062F"/>
    <w:rsid w:val="00D506C1"/>
    <w:rsid w:val="00D50708"/>
    <w:rsid w:val="00D50782"/>
    <w:rsid w:val="00D50920"/>
    <w:rsid w:val="00D50952"/>
    <w:rsid w:val="00D509C5"/>
    <w:rsid w:val="00D50D47"/>
    <w:rsid w:val="00D50D54"/>
    <w:rsid w:val="00D50FE5"/>
    <w:rsid w:val="00D51398"/>
    <w:rsid w:val="00D513AD"/>
    <w:rsid w:val="00D513B5"/>
    <w:rsid w:val="00D5143E"/>
    <w:rsid w:val="00D514BA"/>
    <w:rsid w:val="00D51690"/>
    <w:rsid w:val="00D5171B"/>
    <w:rsid w:val="00D5172B"/>
    <w:rsid w:val="00D51887"/>
    <w:rsid w:val="00D5195C"/>
    <w:rsid w:val="00D51A45"/>
    <w:rsid w:val="00D51A5C"/>
    <w:rsid w:val="00D51B1B"/>
    <w:rsid w:val="00D51F12"/>
    <w:rsid w:val="00D51F29"/>
    <w:rsid w:val="00D52279"/>
    <w:rsid w:val="00D522D3"/>
    <w:rsid w:val="00D52301"/>
    <w:rsid w:val="00D524A7"/>
    <w:rsid w:val="00D52800"/>
    <w:rsid w:val="00D52A07"/>
    <w:rsid w:val="00D52A0A"/>
    <w:rsid w:val="00D52A16"/>
    <w:rsid w:val="00D52A27"/>
    <w:rsid w:val="00D52C33"/>
    <w:rsid w:val="00D52D52"/>
    <w:rsid w:val="00D52DE6"/>
    <w:rsid w:val="00D52DF6"/>
    <w:rsid w:val="00D52EC7"/>
    <w:rsid w:val="00D52FBF"/>
    <w:rsid w:val="00D5303D"/>
    <w:rsid w:val="00D53069"/>
    <w:rsid w:val="00D530BF"/>
    <w:rsid w:val="00D53307"/>
    <w:rsid w:val="00D5331A"/>
    <w:rsid w:val="00D5338E"/>
    <w:rsid w:val="00D53499"/>
    <w:rsid w:val="00D535D6"/>
    <w:rsid w:val="00D535FA"/>
    <w:rsid w:val="00D53653"/>
    <w:rsid w:val="00D536E1"/>
    <w:rsid w:val="00D5378C"/>
    <w:rsid w:val="00D537A1"/>
    <w:rsid w:val="00D53939"/>
    <w:rsid w:val="00D53A85"/>
    <w:rsid w:val="00D53BA1"/>
    <w:rsid w:val="00D53C3D"/>
    <w:rsid w:val="00D53C62"/>
    <w:rsid w:val="00D53E2D"/>
    <w:rsid w:val="00D53EC6"/>
    <w:rsid w:val="00D53EF1"/>
    <w:rsid w:val="00D53F10"/>
    <w:rsid w:val="00D54010"/>
    <w:rsid w:val="00D540B8"/>
    <w:rsid w:val="00D540D4"/>
    <w:rsid w:val="00D540D9"/>
    <w:rsid w:val="00D54331"/>
    <w:rsid w:val="00D5433B"/>
    <w:rsid w:val="00D543D0"/>
    <w:rsid w:val="00D5453B"/>
    <w:rsid w:val="00D5455B"/>
    <w:rsid w:val="00D546D0"/>
    <w:rsid w:val="00D54775"/>
    <w:rsid w:val="00D54881"/>
    <w:rsid w:val="00D548A2"/>
    <w:rsid w:val="00D5490A"/>
    <w:rsid w:val="00D5492A"/>
    <w:rsid w:val="00D54999"/>
    <w:rsid w:val="00D549CA"/>
    <w:rsid w:val="00D54AF0"/>
    <w:rsid w:val="00D54B2D"/>
    <w:rsid w:val="00D54BEF"/>
    <w:rsid w:val="00D54DEB"/>
    <w:rsid w:val="00D54DFE"/>
    <w:rsid w:val="00D54E13"/>
    <w:rsid w:val="00D54E31"/>
    <w:rsid w:val="00D54E55"/>
    <w:rsid w:val="00D54E8D"/>
    <w:rsid w:val="00D54F41"/>
    <w:rsid w:val="00D5501D"/>
    <w:rsid w:val="00D55102"/>
    <w:rsid w:val="00D551CB"/>
    <w:rsid w:val="00D55212"/>
    <w:rsid w:val="00D552C7"/>
    <w:rsid w:val="00D552C8"/>
    <w:rsid w:val="00D554DC"/>
    <w:rsid w:val="00D55630"/>
    <w:rsid w:val="00D5567F"/>
    <w:rsid w:val="00D55694"/>
    <w:rsid w:val="00D559A3"/>
    <w:rsid w:val="00D559C3"/>
    <w:rsid w:val="00D55AE7"/>
    <w:rsid w:val="00D55B1E"/>
    <w:rsid w:val="00D55B38"/>
    <w:rsid w:val="00D55B56"/>
    <w:rsid w:val="00D55B94"/>
    <w:rsid w:val="00D55BDE"/>
    <w:rsid w:val="00D55BF1"/>
    <w:rsid w:val="00D55C84"/>
    <w:rsid w:val="00D55C96"/>
    <w:rsid w:val="00D55CAD"/>
    <w:rsid w:val="00D55CFA"/>
    <w:rsid w:val="00D55D6F"/>
    <w:rsid w:val="00D56086"/>
    <w:rsid w:val="00D56097"/>
    <w:rsid w:val="00D560CF"/>
    <w:rsid w:val="00D561C2"/>
    <w:rsid w:val="00D5643D"/>
    <w:rsid w:val="00D5645B"/>
    <w:rsid w:val="00D564C2"/>
    <w:rsid w:val="00D565AC"/>
    <w:rsid w:val="00D5671A"/>
    <w:rsid w:val="00D56722"/>
    <w:rsid w:val="00D56918"/>
    <w:rsid w:val="00D56974"/>
    <w:rsid w:val="00D569B2"/>
    <w:rsid w:val="00D569D1"/>
    <w:rsid w:val="00D56B1A"/>
    <w:rsid w:val="00D56B50"/>
    <w:rsid w:val="00D56DC4"/>
    <w:rsid w:val="00D56E35"/>
    <w:rsid w:val="00D56EAC"/>
    <w:rsid w:val="00D56ED6"/>
    <w:rsid w:val="00D56FB2"/>
    <w:rsid w:val="00D5700E"/>
    <w:rsid w:val="00D5702B"/>
    <w:rsid w:val="00D57062"/>
    <w:rsid w:val="00D57260"/>
    <w:rsid w:val="00D5746F"/>
    <w:rsid w:val="00D57489"/>
    <w:rsid w:val="00D577AA"/>
    <w:rsid w:val="00D57850"/>
    <w:rsid w:val="00D578B8"/>
    <w:rsid w:val="00D579DB"/>
    <w:rsid w:val="00D579E1"/>
    <w:rsid w:val="00D57AE8"/>
    <w:rsid w:val="00D57B96"/>
    <w:rsid w:val="00D57BEF"/>
    <w:rsid w:val="00D57D60"/>
    <w:rsid w:val="00D57DF8"/>
    <w:rsid w:val="00D57F0D"/>
    <w:rsid w:val="00D57F5C"/>
    <w:rsid w:val="00D57F7D"/>
    <w:rsid w:val="00D57FE9"/>
    <w:rsid w:val="00D60006"/>
    <w:rsid w:val="00D6019B"/>
    <w:rsid w:val="00D601D1"/>
    <w:rsid w:val="00D601E7"/>
    <w:rsid w:val="00D602EF"/>
    <w:rsid w:val="00D60434"/>
    <w:rsid w:val="00D604FC"/>
    <w:rsid w:val="00D60529"/>
    <w:rsid w:val="00D6054F"/>
    <w:rsid w:val="00D60730"/>
    <w:rsid w:val="00D607B8"/>
    <w:rsid w:val="00D607C1"/>
    <w:rsid w:val="00D608E1"/>
    <w:rsid w:val="00D6091D"/>
    <w:rsid w:val="00D60AAC"/>
    <w:rsid w:val="00D60AD7"/>
    <w:rsid w:val="00D60CA8"/>
    <w:rsid w:val="00D60D5A"/>
    <w:rsid w:val="00D60E65"/>
    <w:rsid w:val="00D60ED1"/>
    <w:rsid w:val="00D60F3D"/>
    <w:rsid w:val="00D60F92"/>
    <w:rsid w:val="00D61020"/>
    <w:rsid w:val="00D6130B"/>
    <w:rsid w:val="00D6132C"/>
    <w:rsid w:val="00D617B3"/>
    <w:rsid w:val="00D61B4A"/>
    <w:rsid w:val="00D61BAF"/>
    <w:rsid w:val="00D61C27"/>
    <w:rsid w:val="00D61E7A"/>
    <w:rsid w:val="00D61F1C"/>
    <w:rsid w:val="00D61F68"/>
    <w:rsid w:val="00D62180"/>
    <w:rsid w:val="00D62343"/>
    <w:rsid w:val="00D623E6"/>
    <w:rsid w:val="00D6267C"/>
    <w:rsid w:val="00D62689"/>
    <w:rsid w:val="00D628F8"/>
    <w:rsid w:val="00D62A28"/>
    <w:rsid w:val="00D62AB5"/>
    <w:rsid w:val="00D62AD0"/>
    <w:rsid w:val="00D62AD2"/>
    <w:rsid w:val="00D62B62"/>
    <w:rsid w:val="00D62C8B"/>
    <w:rsid w:val="00D62C94"/>
    <w:rsid w:val="00D62D62"/>
    <w:rsid w:val="00D62DF1"/>
    <w:rsid w:val="00D62F5E"/>
    <w:rsid w:val="00D6306D"/>
    <w:rsid w:val="00D63274"/>
    <w:rsid w:val="00D63283"/>
    <w:rsid w:val="00D632D6"/>
    <w:rsid w:val="00D632EE"/>
    <w:rsid w:val="00D634DA"/>
    <w:rsid w:val="00D63714"/>
    <w:rsid w:val="00D63732"/>
    <w:rsid w:val="00D6377B"/>
    <w:rsid w:val="00D639C4"/>
    <w:rsid w:val="00D639D5"/>
    <w:rsid w:val="00D639DF"/>
    <w:rsid w:val="00D63C91"/>
    <w:rsid w:val="00D63CD5"/>
    <w:rsid w:val="00D63D11"/>
    <w:rsid w:val="00D63D8B"/>
    <w:rsid w:val="00D63E7B"/>
    <w:rsid w:val="00D63EF0"/>
    <w:rsid w:val="00D63FD9"/>
    <w:rsid w:val="00D640BC"/>
    <w:rsid w:val="00D640FA"/>
    <w:rsid w:val="00D64153"/>
    <w:rsid w:val="00D64216"/>
    <w:rsid w:val="00D642CB"/>
    <w:rsid w:val="00D644A9"/>
    <w:rsid w:val="00D6462F"/>
    <w:rsid w:val="00D647E3"/>
    <w:rsid w:val="00D64902"/>
    <w:rsid w:val="00D64A22"/>
    <w:rsid w:val="00D64AC4"/>
    <w:rsid w:val="00D64E41"/>
    <w:rsid w:val="00D64E97"/>
    <w:rsid w:val="00D64EB8"/>
    <w:rsid w:val="00D64EDC"/>
    <w:rsid w:val="00D6527D"/>
    <w:rsid w:val="00D653E5"/>
    <w:rsid w:val="00D6542F"/>
    <w:rsid w:val="00D6552B"/>
    <w:rsid w:val="00D6552D"/>
    <w:rsid w:val="00D65573"/>
    <w:rsid w:val="00D656C1"/>
    <w:rsid w:val="00D6590F"/>
    <w:rsid w:val="00D659C6"/>
    <w:rsid w:val="00D65CC4"/>
    <w:rsid w:val="00D65DA5"/>
    <w:rsid w:val="00D65EF0"/>
    <w:rsid w:val="00D65F89"/>
    <w:rsid w:val="00D65F92"/>
    <w:rsid w:val="00D660B7"/>
    <w:rsid w:val="00D660DB"/>
    <w:rsid w:val="00D66150"/>
    <w:rsid w:val="00D6625E"/>
    <w:rsid w:val="00D662B0"/>
    <w:rsid w:val="00D66314"/>
    <w:rsid w:val="00D6640D"/>
    <w:rsid w:val="00D66431"/>
    <w:rsid w:val="00D664CF"/>
    <w:rsid w:val="00D66540"/>
    <w:rsid w:val="00D6657C"/>
    <w:rsid w:val="00D6660E"/>
    <w:rsid w:val="00D66633"/>
    <w:rsid w:val="00D6666A"/>
    <w:rsid w:val="00D66690"/>
    <w:rsid w:val="00D6673C"/>
    <w:rsid w:val="00D6676B"/>
    <w:rsid w:val="00D667F8"/>
    <w:rsid w:val="00D66804"/>
    <w:rsid w:val="00D66843"/>
    <w:rsid w:val="00D66878"/>
    <w:rsid w:val="00D66908"/>
    <w:rsid w:val="00D669F7"/>
    <w:rsid w:val="00D66A5F"/>
    <w:rsid w:val="00D66A96"/>
    <w:rsid w:val="00D66AB1"/>
    <w:rsid w:val="00D66B44"/>
    <w:rsid w:val="00D66B78"/>
    <w:rsid w:val="00D67115"/>
    <w:rsid w:val="00D671EE"/>
    <w:rsid w:val="00D672AF"/>
    <w:rsid w:val="00D672E2"/>
    <w:rsid w:val="00D6737D"/>
    <w:rsid w:val="00D673A1"/>
    <w:rsid w:val="00D67447"/>
    <w:rsid w:val="00D67493"/>
    <w:rsid w:val="00D675A2"/>
    <w:rsid w:val="00D675AA"/>
    <w:rsid w:val="00D675C2"/>
    <w:rsid w:val="00D675D4"/>
    <w:rsid w:val="00D67604"/>
    <w:rsid w:val="00D67691"/>
    <w:rsid w:val="00D676A8"/>
    <w:rsid w:val="00D676BB"/>
    <w:rsid w:val="00D676CE"/>
    <w:rsid w:val="00D676DE"/>
    <w:rsid w:val="00D678B7"/>
    <w:rsid w:val="00D67903"/>
    <w:rsid w:val="00D67979"/>
    <w:rsid w:val="00D67A0B"/>
    <w:rsid w:val="00D67B21"/>
    <w:rsid w:val="00D67C02"/>
    <w:rsid w:val="00D67D80"/>
    <w:rsid w:val="00D67DBF"/>
    <w:rsid w:val="00D67EC9"/>
    <w:rsid w:val="00D7016C"/>
    <w:rsid w:val="00D70282"/>
    <w:rsid w:val="00D7028A"/>
    <w:rsid w:val="00D70340"/>
    <w:rsid w:val="00D70520"/>
    <w:rsid w:val="00D70539"/>
    <w:rsid w:val="00D70566"/>
    <w:rsid w:val="00D708C4"/>
    <w:rsid w:val="00D708D6"/>
    <w:rsid w:val="00D70954"/>
    <w:rsid w:val="00D7095B"/>
    <w:rsid w:val="00D70B69"/>
    <w:rsid w:val="00D70D57"/>
    <w:rsid w:val="00D70DE4"/>
    <w:rsid w:val="00D70E25"/>
    <w:rsid w:val="00D70EA4"/>
    <w:rsid w:val="00D70ED9"/>
    <w:rsid w:val="00D70F8F"/>
    <w:rsid w:val="00D7110C"/>
    <w:rsid w:val="00D7112D"/>
    <w:rsid w:val="00D711E7"/>
    <w:rsid w:val="00D712D8"/>
    <w:rsid w:val="00D71368"/>
    <w:rsid w:val="00D71644"/>
    <w:rsid w:val="00D7179A"/>
    <w:rsid w:val="00D71852"/>
    <w:rsid w:val="00D7186C"/>
    <w:rsid w:val="00D71A05"/>
    <w:rsid w:val="00D71A06"/>
    <w:rsid w:val="00D71ABA"/>
    <w:rsid w:val="00D71CCA"/>
    <w:rsid w:val="00D71D5D"/>
    <w:rsid w:val="00D71D7D"/>
    <w:rsid w:val="00D71DAF"/>
    <w:rsid w:val="00D71FE6"/>
    <w:rsid w:val="00D7208B"/>
    <w:rsid w:val="00D720C3"/>
    <w:rsid w:val="00D72145"/>
    <w:rsid w:val="00D722A2"/>
    <w:rsid w:val="00D722E3"/>
    <w:rsid w:val="00D7234D"/>
    <w:rsid w:val="00D7244C"/>
    <w:rsid w:val="00D7246A"/>
    <w:rsid w:val="00D72480"/>
    <w:rsid w:val="00D725B7"/>
    <w:rsid w:val="00D725FA"/>
    <w:rsid w:val="00D72634"/>
    <w:rsid w:val="00D7268E"/>
    <w:rsid w:val="00D72867"/>
    <w:rsid w:val="00D72879"/>
    <w:rsid w:val="00D72951"/>
    <w:rsid w:val="00D72A9C"/>
    <w:rsid w:val="00D72BEA"/>
    <w:rsid w:val="00D72C2E"/>
    <w:rsid w:val="00D72D08"/>
    <w:rsid w:val="00D72E37"/>
    <w:rsid w:val="00D72E7C"/>
    <w:rsid w:val="00D72EE5"/>
    <w:rsid w:val="00D72FC2"/>
    <w:rsid w:val="00D72FF1"/>
    <w:rsid w:val="00D72FF9"/>
    <w:rsid w:val="00D73011"/>
    <w:rsid w:val="00D73031"/>
    <w:rsid w:val="00D732E0"/>
    <w:rsid w:val="00D7352D"/>
    <w:rsid w:val="00D735EB"/>
    <w:rsid w:val="00D7371E"/>
    <w:rsid w:val="00D73780"/>
    <w:rsid w:val="00D737E7"/>
    <w:rsid w:val="00D738A2"/>
    <w:rsid w:val="00D7391C"/>
    <w:rsid w:val="00D73ACD"/>
    <w:rsid w:val="00D73C3C"/>
    <w:rsid w:val="00D73E02"/>
    <w:rsid w:val="00D73E5F"/>
    <w:rsid w:val="00D73F8F"/>
    <w:rsid w:val="00D73FCB"/>
    <w:rsid w:val="00D73FFE"/>
    <w:rsid w:val="00D74096"/>
    <w:rsid w:val="00D7410F"/>
    <w:rsid w:val="00D7415A"/>
    <w:rsid w:val="00D74415"/>
    <w:rsid w:val="00D74437"/>
    <w:rsid w:val="00D74449"/>
    <w:rsid w:val="00D74570"/>
    <w:rsid w:val="00D745AC"/>
    <w:rsid w:val="00D74673"/>
    <w:rsid w:val="00D746C3"/>
    <w:rsid w:val="00D74736"/>
    <w:rsid w:val="00D74873"/>
    <w:rsid w:val="00D74AE6"/>
    <w:rsid w:val="00D74B1F"/>
    <w:rsid w:val="00D74BC0"/>
    <w:rsid w:val="00D74BDB"/>
    <w:rsid w:val="00D74C13"/>
    <w:rsid w:val="00D74C7C"/>
    <w:rsid w:val="00D74CC3"/>
    <w:rsid w:val="00D74E00"/>
    <w:rsid w:val="00D74E61"/>
    <w:rsid w:val="00D75016"/>
    <w:rsid w:val="00D750A0"/>
    <w:rsid w:val="00D750E4"/>
    <w:rsid w:val="00D750FB"/>
    <w:rsid w:val="00D75397"/>
    <w:rsid w:val="00D753AC"/>
    <w:rsid w:val="00D7541C"/>
    <w:rsid w:val="00D755C1"/>
    <w:rsid w:val="00D755C5"/>
    <w:rsid w:val="00D757D2"/>
    <w:rsid w:val="00D75834"/>
    <w:rsid w:val="00D75874"/>
    <w:rsid w:val="00D7589C"/>
    <w:rsid w:val="00D758E1"/>
    <w:rsid w:val="00D75911"/>
    <w:rsid w:val="00D7596D"/>
    <w:rsid w:val="00D75AD7"/>
    <w:rsid w:val="00D75B28"/>
    <w:rsid w:val="00D75C33"/>
    <w:rsid w:val="00D75D97"/>
    <w:rsid w:val="00D75E12"/>
    <w:rsid w:val="00D75E3D"/>
    <w:rsid w:val="00D76037"/>
    <w:rsid w:val="00D76078"/>
    <w:rsid w:val="00D76158"/>
    <w:rsid w:val="00D76178"/>
    <w:rsid w:val="00D764F3"/>
    <w:rsid w:val="00D76503"/>
    <w:rsid w:val="00D7655D"/>
    <w:rsid w:val="00D7657B"/>
    <w:rsid w:val="00D7659F"/>
    <w:rsid w:val="00D765A6"/>
    <w:rsid w:val="00D76613"/>
    <w:rsid w:val="00D76680"/>
    <w:rsid w:val="00D766A3"/>
    <w:rsid w:val="00D766FC"/>
    <w:rsid w:val="00D7688C"/>
    <w:rsid w:val="00D7694E"/>
    <w:rsid w:val="00D76993"/>
    <w:rsid w:val="00D76AA1"/>
    <w:rsid w:val="00D76C4E"/>
    <w:rsid w:val="00D76E45"/>
    <w:rsid w:val="00D76E97"/>
    <w:rsid w:val="00D76ECC"/>
    <w:rsid w:val="00D7703E"/>
    <w:rsid w:val="00D770A9"/>
    <w:rsid w:val="00D7711B"/>
    <w:rsid w:val="00D77122"/>
    <w:rsid w:val="00D7719F"/>
    <w:rsid w:val="00D772B7"/>
    <w:rsid w:val="00D77576"/>
    <w:rsid w:val="00D7762B"/>
    <w:rsid w:val="00D7798A"/>
    <w:rsid w:val="00D77A99"/>
    <w:rsid w:val="00D77C29"/>
    <w:rsid w:val="00D77C5A"/>
    <w:rsid w:val="00D77E31"/>
    <w:rsid w:val="00D77ECF"/>
    <w:rsid w:val="00D77EF9"/>
    <w:rsid w:val="00D77FFE"/>
    <w:rsid w:val="00D80486"/>
    <w:rsid w:val="00D804F5"/>
    <w:rsid w:val="00D805C4"/>
    <w:rsid w:val="00D80628"/>
    <w:rsid w:val="00D80761"/>
    <w:rsid w:val="00D808C3"/>
    <w:rsid w:val="00D80946"/>
    <w:rsid w:val="00D80A6C"/>
    <w:rsid w:val="00D80C58"/>
    <w:rsid w:val="00D80D56"/>
    <w:rsid w:val="00D80EF1"/>
    <w:rsid w:val="00D80F01"/>
    <w:rsid w:val="00D8114A"/>
    <w:rsid w:val="00D812AA"/>
    <w:rsid w:val="00D812D2"/>
    <w:rsid w:val="00D81328"/>
    <w:rsid w:val="00D81384"/>
    <w:rsid w:val="00D813F1"/>
    <w:rsid w:val="00D814A3"/>
    <w:rsid w:val="00D814CC"/>
    <w:rsid w:val="00D81653"/>
    <w:rsid w:val="00D81812"/>
    <w:rsid w:val="00D81B67"/>
    <w:rsid w:val="00D81D28"/>
    <w:rsid w:val="00D81D39"/>
    <w:rsid w:val="00D81E73"/>
    <w:rsid w:val="00D82007"/>
    <w:rsid w:val="00D8203C"/>
    <w:rsid w:val="00D8207B"/>
    <w:rsid w:val="00D82155"/>
    <w:rsid w:val="00D8219A"/>
    <w:rsid w:val="00D821F8"/>
    <w:rsid w:val="00D822F0"/>
    <w:rsid w:val="00D8240D"/>
    <w:rsid w:val="00D824EB"/>
    <w:rsid w:val="00D824FF"/>
    <w:rsid w:val="00D82500"/>
    <w:rsid w:val="00D82612"/>
    <w:rsid w:val="00D826F2"/>
    <w:rsid w:val="00D82869"/>
    <w:rsid w:val="00D82ACA"/>
    <w:rsid w:val="00D82B72"/>
    <w:rsid w:val="00D82BAF"/>
    <w:rsid w:val="00D82D12"/>
    <w:rsid w:val="00D82D70"/>
    <w:rsid w:val="00D82F40"/>
    <w:rsid w:val="00D8313D"/>
    <w:rsid w:val="00D832DA"/>
    <w:rsid w:val="00D832DF"/>
    <w:rsid w:val="00D83390"/>
    <w:rsid w:val="00D8345C"/>
    <w:rsid w:val="00D8348A"/>
    <w:rsid w:val="00D83534"/>
    <w:rsid w:val="00D83563"/>
    <w:rsid w:val="00D836CE"/>
    <w:rsid w:val="00D8370A"/>
    <w:rsid w:val="00D8376D"/>
    <w:rsid w:val="00D837C9"/>
    <w:rsid w:val="00D8386A"/>
    <w:rsid w:val="00D83885"/>
    <w:rsid w:val="00D838B1"/>
    <w:rsid w:val="00D83B31"/>
    <w:rsid w:val="00D83BD4"/>
    <w:rsid w:val="00D83C03"/>
    <w:rsid w:val="00D83D42"/>
    <w:rsid w:val="00D83DF3"/>
    <w:rsid w:val="00D83EBA"/>
    <w:rsid w:val="00D83F4B"/>
    <w:rsid w:val="00D84052"/>
    <w:rsid w:val="00D840F6"/>
    <w:rsid w:val="00D84149"/>
    <w:rsid w:val="00D84196"/>
    <w:rsid w:val="00D84246"/>
    <w:rsid w:val="00D84417"/>
    <w:rsid w:val="00D8444A"/>
    <w:rsid w:val="00D8447C"/>
    <w:rsid w:val="00D8463F"/>
    <w:rsid w:val="00D84711"/>
    <w:rsid w:val="00D848A8"/>
    <w:rsid w:val="00D84921"/>
    <w:rsid w:val="00D84955"/>
    <w:rsid w:val="00D84A79"/>
    <w:rsid w:val="00D84C6F"/>
    <w:rsid w:val="00D84D06"/>
    <w:rsid w:val="00D84E26"/>
    <w:rsid w:val="00D84F19"/>
    <w:rsid w:val="00D84F1E"/>
    <w:rsid w:val="00D84F3C"/>
    <w:rsid w:val="00D84F9B"/>
    <w:rsid w:val="00D8505D"/>
    <w:rsid w:val="00D8512C"/>
    <w:rsid w:val="00D85143"/>
    <w:rsid w:val="00D851CA"/>
    <w:rsid w:val="00D852D1"/>
    <w:rsid w:val="00D85317"/>
    <w:rsid w:val="00D854BB"/>
    <w:rsid w:val="00D85555"/>
    <w:rsid w:val="00D855AA"/>
    <w:rsid w:val="00D855C7"/>
    <w:rsid w:val="00D8587F"/>
    <w:rsid w:val="00D858BC"/>
    <w:rsid w:val="00D85ABF"/>
    <w:rsid w:val="00D85D14"/>
    <w:rsid w:val="00D85D25"/>
    <w:rsid w:val="00D85EC8"/>
    <w:rsid w:val="00D85F59"/>
    <w:rsid w:val="00D85FF9"/>
    <w:rsid w:val="00D863B6"/>
    <w:rsid w:val="00D863CE"/>
    <w:rsid w:val="00D86557"/>
    <w:rsid w:val="00D865AC"/>
    <w:rsid w:val="00D86620"/>
    <w:rsid w:val="00D86643"/>
    <w:rsid w:val="00D86663"/>
    <w:rsid w:val="00D86692"/>
    <w:rsid w:val="00D86791"/>
    <w:rsid w:val="00D867C3"/>
    <w:rsid w:val="00D8682C"/>
    <w:rsid w:val="00D86939"/>
    <w:rsid w:val="00D869DC"/>
    <w:rsid w:val="00D86B31"/>
    <w:rsid w:val="00D86C1B"/>
    <w:rsid w:val="00D870F4"/>
    <w:rsid w:val="00D87120"/>
    <w:rsid w:val="00D87166"/>
    <w:rsid w:val="00D87212"/>
    <w:rsid w:val="00D8721A"/>
    <w:rsid w:val="00D87291"/>
    <w:rsid w:val="00D872B8"/>
    <w:rsid w:val="00D872F5"/>
    <w:rsid w:val="00D87357"/>
    <w:rsid w:val="00D8736F"/>
    <w:rsid w:val="00D87589"/>
    <w:rsid w:val="00D87645"/>
    <w:rsid w:val="00D87811"/>
    <w:rsid w:val="00D8792A"/>
    <w:rsid w:val="00D87A26"/>
    <w:rsid w:val="00D87A49"/>
    <w:rsid w:val="00D87A9A"/>
    <w:rsid w:val="00D87AE2"/>
    <w:rsid w:val="00D87B72"/>
    <w:rsid w:val="00D87BD8"/>
    <w:rsid w:val="00D87E84"/>
    <w:rsid w:val="00D87F54"/>
    <w:rsid w:val="00D87FA3"/>
    <w:rsid w:val="00D87FCE"/>
    <w:rsid w:val="00D900DA"/>
    <w:rsid w:val="00D902EC"/>
    <w:rsid w:val="00D90357"/>
    <w:rsid w:val="00D9045F"/>
    <w:rsid w:val="00D90564"/>
    <w:rsid w:val="00D90709"/>
    <w:rsid w:val="00D908BF"/>
    <w:rsid w:val="00D90A7C"/>
    <w:rsid w:val="00D90A7F"/>
    <w:rsid w:val="00D90AC6"/>
    <w:rsid w:val="00D90ADA"/>
    <w:rsid w:val="00D90B0B"/>
    <w:rsid w:val="00D90B3F"/>
    <w:rsid w:val="00D90C81"/>
    <w:rsid w:val="00D90EA1"/>
    <w:rsid w:val="00D90ED4"/>
    <w:rsid w:val="00D90FA2"/>
    <w:rsid w:val="00D9102A"/>
    <w:rsid w:val="00D910DF"/>
    <w:rsid w:val="00D911FB"/>
    <w:rsid w:val="00D912D7"/>
    <w:rsid w:val="00D915F9"/>
    <w:rsid w:val="00D916C6"/>
    <w:rsid w:val="00D9170A"/>
    <w:rsid w:val="00D91720"/>
    <w:rsid w:val="00D91725"/>
    <w:rsid w:val="00D917E5"/>
    <w:rsid w:val="00D91826"/>
    <w:rsid w:val="00D918E3"/>
    <w:rsid w:val="00D91AEC"/>
    <w:rsid w:val="00D91DB8"/>
    <w:rsid w:val="00D91DF2"/>
    <w:rsid w:val="00D91F77"/>
    <w:rsid w:val="00D91FD8"/>
    <w:rsid w:val="00D92237"/>
    <w:rsid w:val="00D923BC"/>
    <w:rsid w:val="00D92527"/>
    <w:rsid w:val="00D9268A"/>
    <w:rsid w:val="00D9269F"/>
    <w:rsid w:val="00D926EA"/>
    <w:rsid w:val="00D92711"/>
    <w:rsid w:val="00D9279A"/>
    <w:rsid w:val="00D92809"/>
    <w:rsid w:val="00D9286F"/>
    <w:rsid w:val="00D92895"/>
    <w:rsid w:val="00D929DE"/>
    <w:rsid w:val="00D92ADE"/>
    <w:rsid w:val="00D92C49"/>
    <w:rsid w:val="00D92CED"/>
    <w:rsid w:val="00D92CF0"/>
    <w:rsid w:val="00D92DDA"/>
    <w:rsid w:val="00D92F72"/>
    <w:rsid w:val="00D93089"/>
    <w:rsid w:val="00D931A7"/>
    <w:rsid w:val="00D93262"/>
    <w:rsid w:val="00D932C1"/>
    <w:rsid w:val="00D932C8"/>
    <w:rsid w:val="00D933B2"/>
    <w:rsid w:val="00D93404"/>
    <w:rsid w:val="00D934F8"/>
    <w:rsid w:val="00D93623"/>
    <w:rsid w:val="00D93690"/>
    <w:rsid w:val="00D93728"/>
    <w:rsid w:val="00D9386A"/>
    <w:rsid w:val="00D93A03"/>
    <w:rsid w:val="00D93AA4"/>
    <w:rsid w:val="00D93B0E"/>
    <w:rsid w:val="00D93B3C"/>
    <w:rsid w:val="00D93B7C"/>
    <w:rsid w:val="00D93BF2"/>
    <w:rsid w:val="00D93C2A"/>
    <w:rsid w:val="00D93C8E"/>
    <w:rsid w:val="00D93C93"/>
    <w:rsid w:val="00D93DBB"/>
    <w:rsid w:val="00D93E11"/>
    <w:rsid w:val="00D941DF"/>
    <w:rsid w:val="00D94224"/>
    <w:rsid w:val="00D94229"/>
    <w:rsid w:val="00D9435E"/>
    <w:rsid w:val="00D94470"/>
    <w:rsid w:val="00D944B6"/>
    <w:rsid w:val="00D94518"/>
    <w:rsid w:val="00D945ED"/>
    <w:rsid w:val="00D94663"/>
    <w:rsid w:val="00D947F3"/>
    <w:rsid w:val="00D948F1"/>
    <w:rsid w:val="00D948F8"/>
    <w:rsid w:val="00D94C1B"/>
    <w:rsid w:val="00D94C7A"/>
    <w:rsid w:val="00D94E5C"/>
    <w:rsid w:val="00D94EF1"/>
    <w:rsid w:val="00D94F4F"/>
    <w:rsid w:val="00D94F77"/>
    <w:rsid w:val="00D95023"/>
    <w:rsid w:val="00D9508D"/>
    <w:rsid w:val="00D9510C"/>
    <w:rsid w:val="00D9532C"/>
    <w:rsid w:val="00D953BB"/>
    <w:rsid w:val="00D953C9"/>
    <w:rsid w:val="00D9541D"/>
    <w:rsid w:val="00D9558D"/>
    <w:rsid w:val="00D957AA"/>
    <w:rsid w:val="00D958BC"/>
    <w:rsid w:val="00D95963"/>
    <w:rsid w:val="00D959F9"/>
    <w:rsid w:val="00D95A57"/>
    <w:rsid w:val="00D95B16"/>
    <w:rsid w:val="00D95EE2"/>
    <w:rsid w:val="00D95F5C"/>
    <w:rsid w:val="00D9602E"/>
    <w:rsid w:val="00D963F3"/>
    <w:rsid w:val="00D96539"/>
    <w:rsid w:val="00D96606"/>
    <w:rsid w:val="00D9666A"/>
    <w:rsid w:val="00D96675"/>
    <w:rsid w:val="00D966F0"/>
    <w:rsid w:val="00D96932"/>
    <w:rsid w:val="00D969EF"/>
    <w:rsid w:val="00D96A3E"/>
    <w:rsid w:val="00D96B2F"/>
    <w:rsid w:val="00D96BB5"/>
    <w:rsid w:val="00D96D25"/>
    <w:rsid w:val="00D96E8C"/>
    <w:rsid w:val="00D96FC1"/>
    <w:rsid w:val="00D97055"/>
    <w:rsid w:val="00D9711B"/>
    <w:rsid w:val="00D9714C"/>
    <w:rsid w:val="00D9720A"/>
    <w:rsid w:val="00D972E9"/>
    <w:rsid w:val="00D97406"/>
    <w:rsid w:val="00D97423"/>
    <w:rsid w:val="00D974B0"/>
    <w:rsid w:val="00D974C6"/>
    <w:rsid w:val="00D9751C"/>
    <w:rsid w:val="00D97900"/>
    <w:rsid w:val="00D97D45"/>
    <w:rsid w:val="00D97DA8"/>
    <w:rsid w:val="00D97E11"/>
    <w:rsid w:val="00D97FB3"/>
    <w:rsid w:val="00DA00C1"/>
    <w:rsid w:val="00DA00CC"/>
    <w:rsid w:val="00DA013A"/>
    <w:rsid w:val="00DA0187"/>
    <w:rsid w:val="00DA0208"/>
    <w:rsid w:val="00DA0224"/>
    <w:rsid w:val="00DA035D"/>
    <w:rsid w:val="00DA03C9"/>
    <w:rsid w:val="00DA03CF"/>
    <w:rsid w:val="00DA0475"/>
    <w:rsid w:val="00DA05DE"/>
    <w:rsid w:val="00DA05EB"/>
    <w:rsid w:val="00DA0798"/>
    <w:rsid w:val="00DA0811"/>
    <w:rsid w:val="00DA081B"/>
    <w:rsid w:val="00DA0949"/>
    <w:rsid w:val="00DA0980"/>
    <w:rsid w:val="00DA09BC"/>
    <w:rsid w:val="00DA0A14"/>
    <w:rsid w:val="00DA0BC5"/>
    <w:rsid w:val="00DA0C0E"/>
    <w:rsid w:val="00DA0DBC"/>
    <w:rsid w:val="00DA0F89"/>
    <w:rsid w:val="00DA10FA"/>
    <w:rsid w:val="00DA135D"/>
    <w:rsid w:val="00DA13D4"/>
    <w:rsid w:val="00DA143D"/>
    <w:rsid w:val="00DA145A"/>
    <w:rsid w:val="00DA14A9"/>
    <w:rsid w:val="00DA1528"/>
    <w:rsid w:val="00DA1585"/>
    <w:rsid w:val="00DA16A6"/>
    <w:rsid w:val="00DA1709"/>
    <w:rsid w:val="00DA17DE"/>
    <w:rsid w:val="00DA1983"/>
    <w:rsid w:val="00DA19A1"/>
    <w:rsid w:val="00DA1AC4"/>
    <w:rsid w:val="00DA1C50"/>
    <w:rsid w:val="00DA1CDD"/>
    <w:rsid w:val="00DA1D6C"/>
    <w:rsid w:val="00DA1E25"/>
    <w:rsid w:val="00DA1F3B"/>
    <w:rsid w:val="00DA1FAB"/>
    <w:rsid w:val="00DA1FDB"/>
    <w:rsid w:val="00DA200A"/>
    <w:rsid w:val="00DA21C1"/>
    <w:rsid w:val="00DA226C"/>
    <w:rsid w:val="00DA228C"/>
    <w:rsid w:val="00DA23CF"/>
    <w:rsid w:val="00DA2472"/>
    <w:rsid w:val="00DA254F"/>
    <w:rsid w:val="00DA25E2"/>
    <w:rsid w:val="00DA2727"/>
    <w:rsid w:val="00DA2943"/>
    <w:rsid w:val="00DA2AC3"/>
    <w:rsid w:val="00DA2ACD"/>
    <w:rsid w:val="00DA2B8E"/>
    <w:rsid w:val="00DA2C1A"/>
    <w:rsid w:val="00DA2CAF"/>
    <w:rsid w:val="00DA2D30"/>
    <w:rsid w:val="00DA2F3B"/>
    <w:rsid w:val="00DA3013"/>
    <w:rsid w:val="00DA305F"/>
    <w:rsid w:val="00DA30E2"/>
    <w:rsid w:val="00DA3122"/>
    <w:rsid w:val="00DA32AC"/>
    <w:rsid w:val="00DA33AE"/>
    <w:rsid w:val="00DA33CB"/>
    <w:rsid w:val="00DA350E"/>
    <w:rsid w:val="00DA3519"/>
    <w:rsid w:val="00DA3686"/>
    <w:rsid w:val="00DA3779"/>
    <w:rsid w:val="00DA383A"/>
    <w:rsid w:val="00DA38D7"/>
    <w:rsid w:val="00DA3999"/>
    <w:rsid w:val="00DA39D1"/>
    <w:rsid w:val="00DA3A00"/>
    <w:rsid w:val="00DA3A7D"/>
    <w:rsid w:val="00DA3A97"/>
    <w:rsid w:val="00DA3B52"/>
    <w:rsid w:val="00DA3BC8"/>
    <w:rsid w:val="00DA3E9C"/>
    <w:rsid w:val="00DA3ECE"/>
    <w:rsid w:val="00DA3F25"/>
    <w:rsid w:val="00DA405D"/>
    <w:rsid w:val="00DA463F"/>
    <w:rsid w:val="00DA4650"/>
    <w:rsid w:val="00DA46B9"/>
    <w:rsid w:val="00DA47F6"/>
    <w:rsid w:val="00DA4A99"/>
    <w:rsid w:val="00DA4C39"/>
    <w:rsid w:val="00DA4C79"/>
    <w:rsid w:val="00DA4D62"/>
    <w:rsid w:val="00DA4DFC"/>
    <w:rsid w:val="00DA4FE2"/>
    <w:rsid w:val="00DA5031"/>
    <w:rsid w:val="00DA522D"/>
    <w:rsid w:val="00DA537F"/>
    <w:rsid w:val="00DA5568"/>
    <w:rsid w:val="00DA5608"/>
    <w:rsid w:val="00DA5682"/>
    <w:rsid w:val="00DA5850"/>
    <w:rsid w:val="00DA58D1"/>
    <w:rsid w:val="00DA5AD6"/>
    <w:rsid w:val="00DA5C13"/>
    <w:rsid w:val="00DA5C37"/>
    <w:rsid w:val="00DA5D7B"/>
    <w:rsid w:val="00DA5DBF"/>
    <w:rsid w:val="00DA5E63"/>
    <w:rsid w:val="00DA5F08"/>
    <w:rsid w:val="00DA5F8E"/>
    <w:rsid w:val="00DA5FCC"/>
    <w:rsid w:val="00DA606A"/>
    <w:rsid w:val="00DA6252"/>
    <w:rsid w:val="00DA62C1"/>
    <w:rsid w:val="00DA6355"/>
    <w:rsid w:val="00DA63C4"/>
    <w:rsid w:val="00DA647D"/>
    <w:rsid w:val="00DA65D1"/>
    <w:rsid w:val="00DA668B"/>
    <w:rsid w:val="00DA6868"/>
    <w:rsid w:val="00DA6888"/>
    <w:rsid w:val="00DA6983"/>
    <w:rsid w:val="00DA699B"/>
    <w:rsid w:val="00DA699C"/>
    <w:rsid w:val="00DA6AFB"/>
    <w:rsid w:val="00DA6E70"/>
    <w:rsid w:val="00DA6E8E"/>
    <w:rsid w:val="00DA6EA6"/>
    <w:rsid w:val="00DA6EF4"/>
    <w:rsid w:val="00DA6FF0"/>
    <w:rsid w:val="00DA707F"/>
    <w:rsid w:val="00DA7085"/>
    <w:rsid w:val="00DA716E"/>
    <w:rsid w:val="00DA71D8"/>
    <w:rsid w:val="00DA7489"/>
    <w:rsid w:val="00DA77DC"/>
    <w:rsid w:val="00DA784F"/>
    <w:rsid w:val="00DA7853"/>
    <w:rsid w:val="00DA7871"/>
    <w:rsid w:val="00DA7875"/>
    <w:rsid w:val="00DA7894"/>
    <w:rsid w:val="00DA789E"/>
    <w:rsid w:val="00DA7922"/>
    <w:rsid w:val="00DA7AFB"/>
    <w:rsid w:val="00DA7DD9"/>
    <w:rsid w:val="00DB011C"/>
    <w:rsid w:val="00DB0209"/>
    <w:rsid w:val="00DB0464"/>
    <w:rsid w:val="00DB048C"/>
    <w:rsid w:val="00DB0573"/>
    <w:rsid w:val="00DB05AE"/>
    <w:rsid w:val="00DB05C0"/>
    <w:rsid w:val="00DB05E7"/>
    <w:rsid w:val="00DB06E8"/>
    <w:rsid w:val="00DB0772"/>
    <w:rsid w:val="00DB07F8"/>
    <w:rsid w:val="00DB0923"/>
    <w:rsid w:val="00DB099A"/>
    <w:rsid w:val="00DB09A2"/>
    <w:rsid w:val="00DB09B0"/>
    <w:rsid w:val="00DB09E7"/>
    <w:rsid w:val="00DB0BE2"/>
    <w:rsid w:val="00DB0C25"/>
    <w:rsid w:val="00DB0C9B"/>
    <w:rsid w:val="00DB0E76"/>
    <w:rsid w:val="00DB0F39"/>
    <w:rsid w:val="00DB0F96"/>
    <w:rsid w:val="00DB1106"/>
    <w:rsid w:val="00DB126F"/>
    <w:rsid w:val="00DB132F"/>
    <w:rsid w:val="00DB1339"/>
    <w:rsid w:val="00DB1368"/>
    <w:rsid w:val="00DB1499"/>
    <w:rsid w:val="00DB15FA"/>
    <w:rsid w:val="00DB1657"/>
    <w:rsid w:val="00DB17C0"/>
    <w:rsid w:val="00DB185F"/>
    <w:rsid w:val="00DB1883"/>
    <w:rsid w:val="00DB198D"/>
    <w:rsid w:val="00DB1A47"/>
    <w:rsid w:val="00DB1C08"/>
    <w:rsid w:val="00DB1D8F"/>
    <w:rsid w:val="00DB1E57"/>
    <w:rsid w:val="00DB1F3F"/>
    <w:rsid w:val="00DB1FFC"/>
    <w:rsid w:val="00DB2002"/>
    <w:rsid w:val="00DB202E"/>
    <w:rsid w:val="00DB203F"/>
    <w:rsid w:val="00DB207F"/>
    <w:rsid w:val="00DB2118"/>
    <w:rsid w:val="00DB2258"/>
    <w:rsid w:val="00DB2295"/>
    <w:rsid w:val="00DB22FA"/>
    <w:rsid w:val="00DB2372"/>
    <w:rsid w:val="00DB23C4"/>
    <w:rsid w:val="00DB24AD"/>
    <w:rsid w:val="00DB273C"/>
    <w:rsid w:val="00DB29F3"/>
    <w:rsid w:val="00DB2B4F"/>
    <w:rsid w:val="00DB2C75"/>
    <w:rsid w:val="00DB2D4E"/>
    <w:rsid w:val="00DB2E2D"/>
    <w:rsid w:val="00DB2EB6"/>
    <w:rsid w:val="00DB302C"/>
    <w:rsid w:val="00DB3030"/>
    <w:rsid w:val="00DB30FE"/>
    <w:rsid w:val="00DB312C"/>
    <w:rsid w:val="00DB33C3"/>
    <w:rsid w:val="00DB359A"/>
    <w:rsid w:val="00DB35FE"/>
    <w:rsid w:val="00DB3608"/>
    <w:rsid w:val="00DB3627"/>
    <w:rsid w:val="00DB37AF"/>
    <w:rsid w:val="00DB37FD"/>
    <w:rsid w:val="00DB38C6"/>
    <w:rsid w:val="00DB39B0"/>
    <w:rsid w:val="00DB3C87"/>
    <w:rsid w:val="00DB3C92"/>
    <w:rsid w:val="00DB3D74"/>
    <w:rsid w:val="00DB3DA7"/>
    <w:rsid w:val="00DB3DD5"/>
    <w:rsid w:val="00DB3E58"/>
    <w:rsid w:val="00DB3E70"/>
    <w:rsid w:val="00DB3ED7"/>
    <w:rsid w:val="00DB3EF6"/>
    <w:rsid w:val="00DB3F04"/>
    <w:rsid w:val="00DB3FB5"/>
    <w:rsid w:val="00DB402F"/>
    <w:rsid w:val="00DB4074"/>
    <w:rsid w:val="00DB40F6"/>
    <w:rsid w:val="00DB4309"/>
    <w:rsid w:val="00DB442B"/>
    <w:rsid w:val="00DB4474"/>
    <w:rsid w:val="00DB4495"/>
    <w:rsid w:val="00DB4526"/>
    <w:rsid w:val="00DB4637"/>
    <w:rsid w:val="00DB481A"/>
    <w:rsid w:val="00DB48C6"/>
    <w:rsid w:val="00DB49CE"/>
    <w:rsid w:val="00DB4A6F"/>
    <w:rsid w:val="00DB4CCD"/>
    <w:rsid w:val="00DB4D12"/>
    <w:rsid w:val="00DB4D8B"/>
    <w:rsid w:val="00DB4E55"/>
    <w:rsid w:val="00DB4EF1"/>
    <w:rsid w:val="00DB4F79"/>
    <w:rsid w:val="00DB4FDF"/>
    <w:rsid w:val="00DB501B"/>
    <w:rsid w:val="00DB5209"/>
    <w:rsid w:val="00DB5215"/>
    <w:rsid w:val="00DB5347"/>
    <w:rsid w:val="00DB54BA"/>
    <w:rsid w:val="00DB551A"/>
    <w:rsid w:val="00DB5667"/>
    <w:rsid w:val="00DB57F7"/>
    <w:rsid w:val="00DB5915"/>
    <w:rsid w:val="00DB5A69"/>
    <w:rsid w:val="00DB5B6D"/>
    <w:rsid w:val="00DB5D5F"/>
    <w:rsid w:val="00DB5E30"/>
    <w:rsid w:val="00DB5E82"/>
    <w:rsid w:val="00DB5EE7"/>
    <w:rsid w:val="00DB615E"/>
    <w:rsid w:val="00DB6395"/>
    <w:rsid w:val="00DB64EC"/>
    <w:rsid w:val="00DB659D"/>
    <w:rsid w:val="00DB695F"/>
    <w:rsid w:val="00DB69C4"/>
    <w:rsid w:val="00DB6A82"/>
    <w:rsid w:val="00DB6B0C"/>
    <w:rsid w:val="00DB6D0C"/>
    <w:rsid w:val="00DB6D48"/>
    <w:rsid w:val="00DB6FF8"/>
    <w:rsid w:val="00DB703C"/>
    <w:rsid w:val="00DB70D1"/>
    <w:rsid w:val="00DB72AD"/>
    <w:rsid w:val="00DB72B2"/>
    <w:rsid w:val="00DB72CC"/>
    <w:rsid w:val="00DB7332"/>
    <w:rsid w:val="00DB74AC"/>
    <w:rsid w:val="00DB7729"/>
    <w:rsid w:val="00DB7828"/>
    <w:rsid w:val="00DB786D"/>
    <w:rsid w:val="00DB789C"/>
    <w:rsid w:val="00DB7978"/>
    <w:rsid w:val="00DB7B08"/>
    <w:rsid w:val="00DB7B73"/>
    <w:rsid w:val="00DB7CB5"/>
    <w:rsid w:val="00DB7CE4"/>
    <w:rsid w:val="00DB7D8B"/>
    <w:rsid w:val="00DB7D8E"/>
    <w:rsid w:val="00DB7EAA"/>
    <w:rsid w:val="00DC001B"/>
    <w:rsid w:val="00DC0070"/>
    <w:rsid w:val="00DC0335"/>
    <w:rsid w:val="00DC03AC"/>
    <w:rsid w:val="00DC03E9"/>
    <w:rsid w:val="00DC0556"/>
    <w:rsid w:val="00DC0701"/>
    <w:rsid w:val="00DC0764"/>
    <w:rsid w:val="00DC08F1"/>
    <w:rsid w:val="00DC0983"/>
    <w:rsid w:val="00DC0A77"/>
    <w:rsid w:val="00DC0B66"/>
    <w:rsid w:val="00DC0B7A"/>
    <w:rsid w:val="00DC0CC1"/>
    <w:rsid w:val="00DC0CF0"/>
    <w:rsid w:val="00DC0DB5"/>
    <w:rsid w:val="00DC0EA4"/>
    <w:rsid w:val="00DC0F64"/>
    <w:rsid w:val="00DC105B"/>
    <w:rsid w:val="00DC107A"/>
    <w:rsid w:val="00DC1098"/>
    <w:rsid w:val="00DC1142"/>
    <w:rsid w:val="00DC1354"/>
    <w:rsid w:val="00DC138B"/>
    <w:rsid w:val="00DC144E"/>
    <w:rsid w:val="00DC149C"/>
    <w:rsid w:val="00DC167B"/>
    <w:rsid w:val="00DC1881"/>
    <w:rsid w:val="00DC1901"/>
    <w:rsid w:val="00DC19E5"/>
    <w:rsid w:val="00DC1A1D"/>
    <w:rsid w:val="00DC1A7B"/>
    <w:rsid w:val="00DC1CD5"/>
    <w:rsid w:val="00DC1D30"/>
    <w:rsid w:val="00DC1D70"/>
    <w:rsid w:val="00DC2076"/>
    <w:rsid w:val="00DC21B8"/>
    <w:rsid w:val="00DC223D"/>
    <w:rsid w:val="00DC226A"/>
    <w:rsid w:val="00DC23E7"/>
    <w:rsid w:val="00DC23FB"/>
    <w:rsid w:val="00DC25C7"/>
    <w:rsid w:val="00DC25DA"/>
    <w:rsid w:val="00DC25F2"/>
    <w:rsid w:val="00DC2724"/>
    <w:rsid w:val="00DC2748"/>
    <w:rsid w:val="00DC2822"/>
    <w:rsid w:val="00DC2AA2"/>
    <w:rsid w:val="00DC2B6E"/>
    <w:rsid w:val="00DC2B8A"/>
    <w:rsid w:val="00DC2BE8"/>
    <w:rsid w:val="00DC2C0A"/>
    <w:rsid w:val="00DC2DC2"/>
    <w:rsid w:val="00DC3076"/>
    <w:rsid w:val="00DC30C8"/>
    <w:rsid w:val="00DC31C3"/>
    <w:rsid w:val="00DC3234"/>
    <w:rsid w:val="00DC3260"/>
    <w:rsid w:val="00DC32C7"/>
    <w:rsid w:val="00DC32D9"/>
    <w:rsid w:val="00DC33AC"/>
    <w:rsid w:val="00DC33B3"/>
    <w:rsid w:val="00DC347B"/>
    <w:rsid w:val="00DC373F"/>
    <w:rsid w:val="00DC3764"/>
    <w:rsid w:val="00DC38AB"/>
    <w:rsid w:val="00DC3BF9"/>
    <w:rsid w:val="00DC3C7A"/>
    <w:rsid w:val="00DC3D23"/>
    <w:rsid w:val="00DC3D92"/>
    <w:rsid w:val="00DC3DBA"/>
    <w:rsid w:val="00DC3ED7"/>
    <w:rsid w:val="00DC4140"/>
    <w:rsid w:val="00DC4266"/>
    <w:rsid w:val="00DC4312"/>
    <w:rsid w:val="00DC44D7"/>
    <w:rsid w:val="00DC47CE"/>
    <w:rsid w:val="00DC4885"/>
    <w:rsid w:val="00DC4939"/>
    <w:rsid w:val="00DC49A8"/>
    <w:rsid w:val="00DC4A62"/>
    <w:rsid w:val="00DC4ACD"/>
    <w:rsid w:val="00DC4CB4"/>
    <w:rsid w:val="00DC4DE2"/>
    <w:rsid w:val="00DC5108"/>
    <w:rsid w:val="00DC51DF"/>
    <w:rsid w:val="00DC5364"/>
    <w:rsid w:val="00DC54DF"/>
    <w:rsid w:val="00DC54F9"/>
    <w:rsid w:val="00DC5500"/>
    <w:rsid w:val="00DC5516"/>
    <w:rsid w:val="00DC57A8"/>
    <w:rsid w:val="00DC5B72"/>
    <w:rsid w:val="00DC5B93"/>
    <w:rsid w:val="00DC5C8E"/>
    <w:rsid w:val="00DC5F84"/>
    <w:rsid w:val="00DC60B9"/>
    <w:rsid w:val="00DC6154"/>
    <w:rsid w:val="00DC6233"/>
    <w:rsid w:val="00DC6422"/>
    <w:rsid w:val="00DC647C"/>
    <w:rsid w:val="00DC64A2"/>
    <w:rsid w:val="00DC65A4"/>
    <w:rsid w:val="00DC65EA"/>
    <w:rsid w:val="00DC67EA"/>
    <w:rsid w:val="00DC687A"/>
    <w:rsid w:val="00DC697D"/>
    <w:rsid w:val="00DC698D"/>
    <w:rsid w:val="00DC6A71"/>
    <w:rsid w:val="00DC6E60"/>
    <w:rsid w:val="00DC6E66"/>
    <w:rsid w:val="00DC6E75"/>
    <w:rsid w:val="00DC6EDF"/>
    <w:rsid w:val="00DC6F30"/>
    <w:rsid w:val="00DC6F54"/>
    <w:rsid w:val="00DC6FD8"/>
    <w:rsid w:val="00DC7076"/>
    <w:rsid w:val="00DC7123"/>
    <w:rsid w:val="00DC73B2"/>
    <w:rsid w:val="00DC74E2"/>
    <w:rsid w:val="00DC7597"/>
    <w:rsid w:val="00DC7634"/>
    <w:rsid w:val="00DC768D"/>
    <w:rsid w:val="00DC7691"/>
    <w:rsid w:val="00DC76DB"/>
    <w:rsid w:val="00DC7739"/>
    <w:rsid w:val="00DC78CC"/>
    <w:rsid w:val="00DC7ACB"/>
    <w:rsid w:val="00DC7AD2"/>
    <w:rsid w:val="00DC7C16"/>
    <w:rsid w:val="00DC7D4F"/>
    <w:rsid w:val="00DC7DA3"/>
    <w:rsid w:val="00DC7DD9"/>
    <w:rsid w:val="00DC7F00"/>
    <w:rsid w:val="00DD02D5"/>
    <w:rsid w:val="00DD0453"/>
    <w:rsid w:val="00DD049B"/>
    <w:rsid w:val="00DD0542"/>
    <w:rsid w:val="00DD05F6"/>
    <w:rsid w:val="00DD085B"/>
    <w:rsid w:val="00DD0924"/>
    <w:rsid w:val="00DD0A58"/>
    <w:rsid w:val="00DD0AE5"/>
    <w:rsid w:val="00DD0AF4"/>
    <w:rsid w:val="00DD0B50"/>
    <w:rsid w:val="00DD0B99"/>
    <w:rsid w:val="00DD0BB1"/>
    <w:rsid w:val="00DD0EB4"/>
    <w:rsid w:val="00DD0EF0"/>
    <w:rsid w:val="00DD1268"/>
    <w:rsid w:val="00DD1410"/>
    <w:rsid w:val="00DD1427"/>
    <w:rsid w:val="00DD143B"/>
    <w:rsid w:val="00DD144A"/>
    <w:rsid w:val="00DD16A3"/>
    <w:rsid w:val="00DD16D7"/>
    <w:rsid w:val="00DD175E"/>
    <w:rsid w:val="00DD1B5E"/>
    <w:rsid w:val="00DD1DA5"/>
    <w:rsid w:val="00DD1FDD"/>
    <w:rsid w:val="00DD2004"/>
    <w:rsid w:val="00DD2029"/>
    <w:rsid w:val="00DD2063"/>
    <w:rsid w:val="00DD219F"/>
    <w:rsid w:val="00DD2349"/>
    <w:rsid w:val="00DD23E1"/>
    <w:rsid w:val="00DD24E4"/>
    <w:rsid w:val="00DD2655"/>
    <w:rsid w:val="00DD26BA"/>
    <w:rsid w:val="00DD2835"/>
    <w:rsid w:val="00DD291D"/>
    <w:rsid w:val="00DD2C85"/>
    <w:rsid w:val="00DD2D63"/>
    <w:rsid w:val="00DD2DCE"/>
    <w:rsid w:val="00DD307B"/>
    <w:rsid w:val="00DD30C2"/>
    <w:rsid w:val="00DD32BE"/>
    <w:rsid w:val="00DD340B"/>
    <w:rsid w:val="00DD3520"/>
    <w:rsid w:val="00DD3740"/>
    <w:rsid w:val="00DD3863"/>
    <w:rsid w:val="00DD39CC"/>
    <w:rsid w:val="00DD39E5"/>
    <w:rsid w:val="00DD3A75"/>
    <w:rsid w:val="00DD3B1F"/>
    <w:rsid w:val="00DD3B4D"/>
    <w:rsid w:val="00DD3DE6"/>
    <w:rsid w:val="00DD3E2C"/>
    <w:rsid w:val="00DD3EFB"/>
    <w:rsid w:val="00DD3F26"/>
    <w:rsid w:val="00DD3F5A"/>
    <w:rsid w:val="00DD3F77"/>
    <w:rsid w:val="00DD40BB"/>
    <w:rsid w:val="00DD4183"/>
    <w:rsid w:val="00DD4237"/>
    <w:rsid w:val="00DD42B6"/>
    <w:rsid w:val="00DD42F0"/>
    <w:rsid w:val="00DD457E"/>
    <w:rsid w:val="00DD45AC"/>
    <w:rsid w:val="00DD47FF"/>
    <w:rsid w:val="00DD488A"/>
    <w:rsid w:val="00DD491B"/>
    <w:rsid w:val="00DD49EF"/>
    <w:rsid w:val="00DD4A7D"/>
    <w:rsid w:val="00DD4BA2"/>
    <w:rsid w:val="00DD4BCB"/>
    <w:rsid w:val="00DD4C63"/>
    <w:rsid w:val="00DD4D83"/>
    <w:rsid w:val="00DD4E6B"/>
    <w:rsid w:val="00DD4E94"/>
    <w:rsid w:val="00DD4F2A"/>
    <w:rsid w:val="00DD4FD1"/>
    <w:rsid w:val="00DD5073"/>
    <w:rsid w:val="00DD50C5"/>
    <w:rsid w:val="00DD522B"/>
    <w:rsid w:val="00DD537D"/>
    <w:rsid w:val="00DD5386"/>
    <w:rsid w:val="00DD5399"/>
    <w:rsid w:val="00DD543A"/>
    <w:rsid w:val="00DD5592"/>
    <w:rsid w:val="00DD5646"/>
    <w:rsid w:val="00DD56DB"/>
    <w:rsid w:val="00DD577A"/>
    <w:rsid w:val="00DD5824"/>
    <w:rsid w:val="00DD584F"/>
    <w:rsid w:val="00DD586A"/>
    <w:rsid w:val="00DD58D0"/>
    <w:rsid w:val="00DD5BD0"/>
    <w:rsid w:val="00DD5C4D"/>
    <w:rsid w:val="00DD5D27"/>
    <w:rsid w:val="00DD5D3D"/>
    <w:rsid w:val="00DD5E3F"/>
    <w:rsid w:val="00DD5EE5"/>
    <w:rsid w:val="00DD5EE7"/>
    <w:rsid w:val="00DD5F0F"/>
    <w:rsid w:val="00DD604F"/>
    <w:rsid w:val="00DD60C1"/>
    <w:rsid w:val="00DD63B6"/>
    <w:rsid w:val="00DD675D"/>
    <w:rsid w:val="00DD68E1"/>
    <w:rsid w:val="00DD68F1"/>
    <w:rsid w:val="00DD6920"/>
    <w:rsid w:val="00DD6B98"/>
    <w:rsid w:val="00DD6BB3"/>
    <w:rsid w:val="00DD6C29"/>
    <w:rsid w:val="00DD6D4A"/>
    <w:rsid w:val="00DD6D8C"/>
    <w:rsid w:val="00DD6E03"/>
    <w:rsid w:val="00DD6ED1"/>
    <w:rsid w:val="00DD6F20"/>
    <w:rsid w:val="00DD6F2D"/>
    <w:rsid w:val="00DD6F9F"/>
    <w:rsid w:val="00DD7067"/>
    <w:rsid w:val="00DD708A"/>
    <w:rsid w:val="00DD70FB"/>
    <w:rsid w:val="00DD7272"/>
    <w:rsid w:val="00DD727C"/>
    <w:rsid w:val="00DD7475"/>
    <w:rsid w:val="00DD747E"/>
    <w:rsid w:val="00DD7717"/>
    <w:rsid w:val="00DD7822"/>
    <w:rsid w:val="00DD78AF"/>
    <w:rsid w:val="00DD78B7"/>
    <w:rsid w:val="00DD79E0"/>
    <w:rsid w:val="00DD7AE4"/>
    <w:rsid w:val="00DD7B2B"/>
    <w:rsid w:val="00DD7D31"/>
    <w:rsid w:val="00DD7E25"/>
    <w:rsid w:val="00DD7E33"/>
    <w:rsid w:val="00DD7FE1"/>
    <w:rsid w:val="00DE00E0"/>
    <w:rsid w:val="00DE01C0"/>
    <w:rsid w:val="00DE01EA"/>
    <w:rsid w:val="00DE027D"/>
    <w:rsid w:val="00DE02EF"/>
    <w:rsid w:val="00DE0376"/>
    <w:rsid w:val="00DE046F"/>
    <w:rsid w:val="00DE04FA"/>
    <w:rsid w:val="00DE058F"/>
    <w:rsid w:val="00DE06EE"/>
    <w:rsid w:val="00DE07C9"/>
    <w:rsid w:val="00DE08EB"/>
    <w:rsid w:val="00DE0937"/>
    <w:rsid w:val="00DE09A6"/>
    <w:rsid w:val="00DE0AFD"/>
    <w:rsid w:val="00DE0C8A"/>
    <w:rsid w:val="00DE0D02"/>
    <w:rsid w:val="00DE0D1C"/>
    <w:rsid w:val="00DE0D50"/>
    <w:rsid w:val="00DE0EAD"/>
    <w:rsid w:val="00DE0F9B"/>
    <w:rsid w:val="00DE0FAD"/>
    <w:rsid w:val="00DE0FEE"/>
    <w:rsid w:val="00DE1159"/>
    <w:rsid w:val="00DE118D"/>
    <w:rsid w:val="00DE11EE"/>
    <w:rsid w:val="00DE1426"/>
    <w:rsid w:val="00DE1431"/>
    <w:rsid w:val="00DE1520"/>
    <w:rsid w:val="00DE16BA"/>
    <w:rsid w:val="00DE19E6"/>
    <w:rsid w:val="00DE1A99"/>
    <w:rsid w:val="00DE1B5B"/>
    <w:rsid w:val="00DE1B7F"/>
    <w:rsid w:val="00DE1BF0"/>
    <w:rsid w:val="00DE1D00"/>
    <w:rsid w:val="00DE1F85"/>
    <w:rsid w:val="00DE1FB5"/>
    <w:rsid w:val="00DE2237"/>
    <w:rsid w:val="00DE2361"/>
    <w:rsid w:val="00DE23EB"/>
    <w:rsid w:val="00DE244B"/>
    <w:rsid w:val="00DE24BD"/>
    <w:rsid w:val="00DE2534"/>
    <w:rsid w:val="00DE25FF"/>
    <w:rsid w:val="00DE27F2"/>
    <w:rsid w:val="00DE2B20"/>
    <w:rsid w:val="00DE2B43"/>
    <w:rsid w:val="00DE2D2D"/>
    <w:rsid w:val="00DE2E99"/>
    <w:rsid w:val="00DE2ED6"/>
    <w:rsid w:val="00DE2F03"/>
    <w:rsid w:val="00DE2F27"/>
    <w:rsid w:val="00DE2FCB"/>
    <w:rsid w:val="00DE30F6"/>
    <w:rsid w:val="00DE31E9"/>
    <w:rsid w:val="00DE3281"/>
    <w:rsid w:val="00DE32CF"/>
    <w:rsid w:val="00DE340C"/>
    <w:rsid w:val="00DE3525"/>
    <w:rsid w:val="00DE3528"/>
    <w:rsid w:val="00DE358A"/>
    <w:rsid w:val="00DE360E"/>
    <w:rsid w:val="00DE366B"/>
    <w:rsid w:val="00DE36E2"/>
    <w:rsid w:val="00DE3708"/>
    <w:rsid w:val="00DE371E"/>
    <w:rsid w:val="00DE379A"/>
    <w:rsid w:val="00DE388A"/>
    <w:rsid w:val="00DE3896"/>
    <w:rsid w:val="00DE38BF"/>
    <w:rsid w:val="00DE3A01"/>
    <w:rsid w:val="00DE3ABE"/>
    <w:rsid w:val="00DE3B5F"/>
    <w:rsid w:val="00DE3B67"/>
    <w:rsid w:val="00DE3EE5"/>
    <w:rsid w:val="00DE41A4"/>
    <w:rsid w:val="00DE4342"/>
    <w:rsid w:val="00DE43ED"/>
    <w:rsid w:val="00DE45FB"/>
    <w:rsid w:val="00DE4664"/>
    <w:rsid w:val="00DE4697"/>
    <w:rsid w:val="00DE46C7"/>
    <w:rsid w:val="00DE4740"/>
    <w:rsid w:val="00DE476D"/>
    <w:rsid w:val="00DE4871"/>
    <w:rsid w:val="00DE487C"/>
    <w:rsid w:val="00DE490E"/>
    <w:rsid w:val="00DE4983"/>
    <w:rsid w:val="00DE4A1C"/>
    <w:rsid w:val="00DE4C58"/>
    <w:rsid w:val="00DE4D36"/>
    <w:rsid w:val="00DE4DEC"/>
    <w:rsid w:val="00DE4E36"/>
    <w:rsid w:val="00DE4E47"/>
    <w:rsid w:val="00DE4E80"/>
    <w:rsid w:val="00DE4F96"/>
    <w:rsid w:val="00DE519C"/>
    <w:rsid w:val="00DE51BF"/>
    <w:rsid w:val="00DE5384"/>
    <w:rsid w:val="00DE53EF"/>
    <w:rsid w:val="00DE5438"/>
    <w:rsid w:val="00DE5625"/>
    <w:rsid w:val="00DE5631"/>
    <w:rsid w:val="00DE5674"/>
    <w:rsid w:val="00DE5775"/>
    <w:rsid w:val="00DE5899"/>
    <w:rsid w:val="00DE58A0"/>
    <w:rsid w:val="00DE58D5"/>
    <w:rsid w:val="00DE5A85"/>
    <w:rsid w:val="00DE5B4C"/>
    <w:rsid w:val="00DE5C68"/>
    <w:rsid w:val="00DE5CDF"/>
    <w:rsid w:val="00DE5D44"/>
    <w:rsid w:val="00DE5FA4"/>
    <w:rsid w:val="00DE5FB3"/>
    <w:rsid w:val="00DE5FBD"/>
    <w:rsid w:val="00DE612B"/>
    <w:rsid w:val="00DE626B"/>
    <w:rsid w:val="00DE631C"/>
    <w:rsid w:val="00DE636D"/>
    <w:rsid w:val="00DE63E6"/>
    <w:rsid w:val="00DE656B"/>
    <w:rsid w:val="00DE6930"/>
    <w:rsid w:val="00DE69B3"/>
    <w:rsid w:val="00DE6A46"/>
    <w:rsid w:val="00DE6B36"/>
    <w:rsid w:val="00DE6B3C"/>
    <w:rsid w:val="00DE6B94"/>
    <w:rsid w:val="00DE6D76"/>
    <w:rsid w:val="00DE6DC1"/>
    <w:rsid w:val="00DE6E95"/>
    <w:rsid w:val="00DE6EF1"/>
    <w:rsid w:val="00DE6FF7"/>
    <w:rsid w:val="00DE7082"/>
    <w:rsid w:val="00DE71B4"/>
    <w:rsid w:val="00DE7232"/>
    <w:rsid w:val="00DE7376"/>
    <w:rsid w:val="00DE7445"/>
    <w:rsid w:val="00DE752A"/>
    <w:rsid w:val="00DE7570"/>
    <w:rsid w:val="00DE7598"/>
    <w:rsid w:val="00DE7642"/>
    <w:rsid w:val="00DE7711"/>
    <w:rsid w:val="00DE7717"/>
    <w:rsid w:val="00DE7811"/>
    <w:rsid w:val="00DE78FC"/>
    <w:rsid w:val="00DE790F"/>
    <w:rsid w:val="00DE7979"/>
    <w:rsid w:val="00DE7A7D"/>
    <w:rsid w:val="00DE7A91"/>
    <w:rsid w:val="00DE7AE3"/>
    <w:rsid w:val="00DE7CEB"/>
    <w:rsid w:val="00DE7F48"/>
    <w:rsid w:val="00DE7FD6"/>
    <w:rsid w:val="00DF00BD"/>
    <w:rsid w:val="00DF00D3"/>
    <w:rsid w:val="00DF05E9"/>
    <w:rsid w:val="00DF0692"/>
    <w:rsid w:val="00DF06E3"/>
    <w:rsid w:val="00DF077B"/>
    <w:rsid w:val="00DF07AA"/>
    <w:rsid w:val="00DF0982"/>
    <w:rsid w:val="00DF09F0"/>
    <w:rsid w:val="00DF0A95"/>
    <w:rsid w:val="00DF0AB5"/>
    <w:rsid w:val="00DF0CB5"/>
    <w:rsid w:val="00DF0DEF"/>
    <w:rsid w:val="00DF0E18"/>
    <w:rsid w:val="00DF0E7B"/>
    <w:rsid w:val="00DF0EF2"/>
    <w:rsid w:val="00DF0F1B"/>
    <w:rsid w:val="00DF11C7"/>
    <w:rsid w:val="00DF124D"/>
    <w:rsid w:val="00DF1285"/>
    <w:rsid w:val="00DF1557"/>
    <w:rsid w:val="00DF1590"/>
    <w:rsid w:val="00DF15E5"/>
    <w:rsid w:val="00DF1635"/>
    <w:rsid w:val="00DF171E"/>
    <w:rsid w:val="00DF1922"/>
    <w:rsid w:val="00DF1AAD"/>
    <w:rsid w:val="00DF1ADB"/>
    <w:rsid w:val="00DF1B06"/>
    <w:rsid w:val="00DF1BC2"/>
    <w:rsid w:val="00DF1C66"/>
    <w:rsid w:val="00DF1CFD"/>
    <w:rsid w:val="00DF1DA9"/>
    <w:rsid w:val="00DF1E9E"/>
    <w:rsid w:val="00DF1F5C"/>
    <w:rsid w:val="00DF20D0"/>
    <w:rsid w:val="00DF2196"/>
    <w:rsid w:val="00DF21A0"/>
    <w:rsid w:val="00DF21A3"/>
    <w:rsid w:val="00DF222B"/>
    <w:rsid w:val="00DF2311"/>
    <w:rsid w:val="00DF2315"/>
    <w:rsid w:val="00DF2355"/>
    <w:rsid w:val="00DF24FA"/>
    <w:rsid w:val="00DF2ACF"/>
    <w:rsid w:val="00DF2B0F"/>
    <w:rsid w:val="00DF2B3B"/>
    <w:rsid w:val="00DF2E22"/>
    <w:rsid w:val="00DF2EAD"/>
    <w:rsid w:val="00DF3063"/>
    <w:rsid w:val="00DF30DA"/>
    <w:rsid w:val="00DF31AC"/>
    <w:rsid w:val="00DF3299"/>
    <w:rsid w:val="00DF341E"/>
    <w:rsid w:val="00DF34C3"/>
    <w:rsid w:val="00DF35C6"/>
    <w:rsid w:val="00DF362C"/>
    <w:rsid w:val="00DF368E"/>
    <w:rsid w:val="00DF36A4"/>
    <w:rsid w:val="00DF3802"/>
    <w:rsid w:val="00DF38AF"/>
    <w:rsid w:val="00DF393D"/>
    <w:rsid w:val="00DF39E8"/>
    <w:rsid w:val="00DF3A0F"/>
    <w:rsid w:val="00DF3A1E"/>
    <w:rsid w:val="00DF3BDF"/>
    <w:rsid w:val="00DF3C58"/>
    <w:rsid w:val="00DF3DDA"/>
    <w:rsid w:val="00DF3F9B"/>
    <w:rsid w:val="00DF402B"/>
    <w:rsid w:val="00DF402C"/>
    <w:rsid w:val="00DF4098"/>
    <w:rsid w:val="00DF4131"/>
    <w:rsid w:val="00DF424E"/>
    <w:rsid w:val="00DF439E"/>
    <w:rsid w:val="00DF4471"/>
    <w:rsid w:val="00DF4777"/>
    <w:rsid w:val="00DF49F5"/>
    <w:rsid w:val="00DF49FB"/>
    <w:rsid w:val="00DF4AD6"/>
    <w:rsid w:val="00DF4B54"/>
    <w:rsid w:val="00DF4B8A"/>
    <w:rsid w:val="00DF4F56"/>
    <w:rsid w:val="00DF4FEB"/>
    <w:rsid w:val="00DF50DD"/>
    <w:rsid w:val="00DF50E1"/>
    <w:rsid w:val="00DF52FA"/>
    <w:rsid w:val="00DF5332"/>
    <w:rsid w:val="00DF5422"/>
    <w:rsid w:val="00DF54F5"/>
    <w:rsid w:val="00DF557F"/>
    <w:rsid w:val="00DF55F4"/>
    <w:rsid w:val="00DF5622"/>
    <w:rsid w:val="00DF564E"/>
    <w:rsid w:val="00DF5744"/>
    <w:rsid w:val="00DF5815"/>
    <w:rsid w:val="00DF5982"/>
    <w:rsid w:val="00DF5AB8"/>
    <w:rsid w:val="00DF5B1B"/>
    <w:rsid w:val="00DF5B49"/>
    <w:rsid w:val="00DF5B7B"/>
    <w:rsid w:val="00DF5C5D"/>
    <w:rsid w:val="00DF60EA"/>
    <w:rsid w:val="00DF6107"/>
    <w:rsid w:val="00DF6115"/>
    <w:rsid w:val="00DF62D1"/>
    <w:rsid w:val="00DF6306"/>
    <w:rsid w:val="00DF6366"/>
    <w:rsid w:val="00DF647D"/>
    <w:rsid w:val="00DF6586"/>
    <w:rsid w:val="00DF65F9"/>
    <w:rsid w:val="00DF660D"/>
    <w:rsid w:val="00DF668C"/>
    <w:rsid w:val="00DF66F4"/>
    <w:rsid w:val="00DF6737"/>
    <w:rsid w:val="00DF67F2"/>
    <w:rsid w:val="00DF6895"/>
    <w:rsid w:val="00DF69A2"/>
    <w:rsid w:val="00DF6B23"/>
    <w:rsid w:val="00DF6F67"/>
    <w:rsid w:val="00DF7045"/>
    <w:rsid w:val="00DF70FE"/>
    <w:rsid w:val="00DF7264"/>
    <w:rsid w:val="00DF7293"/>
    <w:rsid w:val="00DF7391"/>
    <w:rsid w:val="00DF73DC"/>
    <w:rsid w:val="00DF7454"/>
    <w:rsid w:val="00DF777E"/>
    <w:rsid w:val="00DF7849"/>
    <w:rsid w:val="00DF7931"/>
    <w:rsid w:val="00DF79A6"/>
    <w:rsid w:val="00DF7A2F"/>
    <w:rsid w:val="00DF7C8A"/>
    <w:rsid w:val="00DF7DE6"/>
    <w:rsid w:val="00DF7E63"/>
    <w:rsid w:val="00DF7F28"/>
    <w:rsid w:val="00DF7F76"/>
    <w:rsid w:val="00E00372"/>
    <w:rsid w:val="00E003AF"/>
    <w:rsid w:val="00E003C9"/>
    <w:rsid w:val="00E003E5"/>
    <w:rsid w:val="00E0041E"/>
    <w:rsid w:val="00E00425"/>
    <w:rsid w:val="00E00837"/>
    <w:rsid w:val="00E00AA9"/>
    <w:rsid w:val="00E00AF0"/>
    <w:rsid w:val="00E00AF1"/>
    <w:rsid w:val="00E00B36"/>
    <w:rsid w:val="00E00BDC"/>
    <w:rsid w:val="00E00CA8"/>
    <w:rsid w:val="00E01049"/>
    <w:rsid w:val="00E010AA"/>
    <w:rsid w:val="00E011D9"/>
    <w:rsid w:val="00E01289"/>
    <w:rsid w:val="00E012AC"/>
    <w:rsid w:val="00E013B3"/>
    <w:rsid w:val="00E01468"/>
    <w:rsid w:val="00E014C9"/>
    <w:rsid w:val="00E01684"/>
    <w:rsid w:val="00E0172D"/>
    <w:rsid w:val="00E01828"/>
    <w:rsid w:val="00E01896"/>
    <w:rsid w:val="00E0193C"/>
    <w:rsid w:val="00E0194C"/>
    <w:rsid w:val="00E019FF"/>
    <w:rsid w:val="00E01B2D"/>
    <w:rsid w:val="00E02024"/>
    <w:rsid w:val="00E02140"/>
    <w:rsid w:val="00E02303"/>
    <w:rsid w:val="00E0230B"/>
    <w:rsid w:val="00E02425"/>
    <w:rsid w:val="00E02472"/>
    <w:rsid w:val="00E024FA"/>
    <w:rsid w:val="00E02590"/>
    <w:rsid w:val="00E02A06"/>
    <w:rsid w:val="00E02AC0"/>
    <w:rsid w:val="00E02B26"/>
    <w:rsid w:val="00E02B93"/>
    <w:rsid w:val="00E02BB5"/>
    <w:rsid w:val="00E02BBB"/>
    <w:rsid w:val="00E02E20"/>
    <w:rsid w:val="00E02EF8"/>
    <w:rsid w:val="00E032A6"/>
    <w:rsid w:val="00E032C6"/>
    <w:rsid w:val="00E032F4"/>
    <w:rsid w:val="00E032FB"/>
    <w:rsid w:val="00E0333B"/>
    <w:rsid w:val="00E03382"/>
    <w:rsid w:val="00E033F1"/>
    <w:rsid w:val="00E034FD"/>
    <w:rsid w:val="00E03589"/>
    <w:rsid w:val="00E035DE"/>
    <w:rsid w:val="00E035FE"/>
    <w:rsid w:val="00E03785"/>
    <w:rsid w:val="00E037E6"/>
    <w:rsid w:val="00E037F7"/>
    <w:rsid w:val="00E03864"/>
    <w:rsid w:val="00E03901"/>
    <w:rsid w:val="00E03A4D"/>
    <w:rsid w:val="00E03AFB"/>
    <w:rsid w:val="00E03B0A"/>
    <w:rsid w:val="00E03C5C"/>
    <w:rsid w:val="00E03CC2"/>
    <w:rsid w:val="00E03D8E"/>
    <w:rsid w:val="00E03EFF"/>
    <w:rsid w:val="00E04055"/>
    <w:rsid w:val="00E04072"/>
    <w:rsid w:val="00E0415C"/>
    <w:rsid w:val="00E041BA"/>
    <w:rsid w:val="00E0426A"/>
    <w:rsid w:val="00E0436A"/>
    <w:rsid w:val="00E0446D"/>
    <w:rsid w:val="00E044EF"/>
    <w:rsid w:val="00E04550"/>
    <w:rsid w:val="00E04696"/>
    <w:rsid w:val="00E0471D"/>
    <w:rsid w:val="00E04771"/>
    <w:rsid w:val="00E0481F"/>
    <w:rsid w:val="00E048FD"/>
    <w:rsid w:val="00E04A9C"/>
    <w:rsid w:val="00E04ABE"/>
    <w:rsid w:val="00E04B95"/>
    <w:rsid w:val="00E04B9E"/>
    <w:rsid w:val="00E04BD9"/>
    <w:rsid w:val="00E04CAB"/>
    <w:rsid w:val="00E04FE5"/>
    <w:rsid w:val="00E050BB"/>
    <w:rsid w:val="00E0516D"/>
    <w:rsid w:val="00E05196"/>
    <w:rsid w:val="00E05328"/>
    <w:rsid w:val="00E053B0"/>
    <w:rsid w:val="00E05421"/>
    <w:rsid w:val="00E05516"/>
    <w:rsid w:val="00E0556F"/>
    <w:rsid w:val="00E05593"/>
    <w:rsid w:val="00E05A14"/>
    <w:rsid w:val="00E05A57"/>
    <w:rsid w:val="00E05ADE"/>
    <w:rsid w:val="00E05C45"/>
    <w:rsid w:val="00E05C48"/>
    <w:rsid w:val="00E05C75"/>
    <w:rsid w:val="00E05E3E"/>
    <w:rsid w:val="00E05E8E"/>
    <w:rsid w:val="00E05FD8"/>
    <w:rsid w:val="00E060E6"/>
    <w:rsid w:val="00E06239"/>
    <w:rsid w:val="00E0651A"/>
    <w:rsid w:val="00E06561"/>
    <w:rsid w:val="00E065BE"/>
    <w:rsid w:val="00E066B0"/>
    <w:rsid w:val="00E0693C"/>
    <w:rsid w:val="00E0695F"/>
    <w:rsid w:val="00E06A27"/>
    <w:rsid w:val="00E06AE1"/>
    <w:rsid w:val="00E06AE8"/>
    <w:rsid w:val="00E06AF9"/>
    <w:rsid w:val="00E06BBF"/>
    <w:rsid w:val="00E06D3B"/>
    <w:rsid w:val="00E06DDB"/>
    <w:rsid w:val="00E07005"/>
    <w:rsid w:val="00E0705E"/>
    <w:rsid w:val="00E070B7"/>
    <w:rsid w:val="00E07156"/>
    <w:rsid w:val="00E07291"/>
    <w:rsid w:val="00E072D1"/>
    <w:rsid w:val="00E072D9"/>
    <w:rsid w:val="00E0746B"/>
    <w:rsid w:val="00E0751F"/>
    <w:rsid w:val="00E07563"/>
    <w:rsid w:val="00E0759C"/>
    <w:rsid w:val="00E075DA"/>
    <w:rsid w:val="00E076CF"/>
    <w:rsid w:val="00E07750"/>
    <w:rsid w:val="00E077B9"/>
    <w:rsid w:val="00E0784C"/>
    <w:rsid w:val="00E078F0"/>
    <w:rsid w:val="00E07C2A"/>
    <w:rsid w:val="00E07D19"/>
    <w:rsid w:val="00E07DD2"/>
    <w:rsid w:val="00E07E24"/>
    <w:rsid w:val="00E07F32"/>
    <w:rsid w:val="00E100AB"/>
    <w:rsid w:val="00E100BC"/>
    <w:rsid w:val="00E10111"/>
    <w:rsid w:val="00E102E3"/>
    <w:rsid w:val="00E102FD"/>
    <w:rsid w:val="00E10319"/>
    <w:rsid w:val="00E104DD"/>
    <w:rsid w:val="00E104E1"/>
    <w:rsid w:val="00E10500"/>
    <w:rsid w:val="00E106F9"/>
    <w:rsid w:val="00E1070B"/>
    <w:rsid w:val="00E1071D"/>
    <w:rsid w:val="00E1073D"/>
    <w:rsid w:val="00E10745"/>
    <w:rsid w:val="00E108FA"/>
    <w:rsid w:val="00E1091C"/>
    <w:rsid w:val="00E1093E"/>
    <w:rsid w:val="00E10B28"/>
    <w:rsid w:val="00E10CCA"/>
    <w:rsid w:val="00E10D86"/>
    <w:rsid w:val="00E10FC9"/>
    <w:rsid w:val="00E1115D"/>
    <w:rsid w:val="00E11172"/>
    <w:rsid w:val="00E112A6"/>
    <w:rsid w:val="00E112B9"/>
    <w:rsid w:val="00E112C9"/>
    <w:rsid w:val="00E11407"/>
    <w:rsid w:val="00E11412"/>
    <w:rsid w:val="00E114D9"/>
    <w:rsid w:val="00E11534"/>
    <w:rsid w:val="00E115AD"/>
    <w:rsid w:val="00E11783"/>
    <w:rsid w:val="00E11856"/>
    <w:rsid w:val="00E11918"/>
    <w:rsid w:val="00E11A10"/>
    <w:rsid w:val="00E11BB6"/>
    <w:rsid w:val="00E11BF7"/>
    <w:rsid w:val="00E11C5F"/>
    <w:rsid w:val="00E11C98"/>
    <w:rsid w:val="00E11CA6"/>
    <w:rsid w:val="00E11D29"/>
    <w:rsid w:val="00E11D82"/>
    <w:rsid w:val="00E11FBB"/>
    <w:rsid w:val="00E12035"/>
    <w:rsid w:val="00E1203E"/>
    <w:rsid w:val="00E1205D"/>
    <w:rsid w:val="00E12069"/>
    <w:rsid w:val="00E121A5"/>
    <w:rsid w:val="00E121E5"/>
    <w:rsid w:val="00E12344"/>
    <w:rsid w:val="00E12583"/>
    <w:rsid w:val="00E12658"/>
    <w:rsid w:val="00E126FB"/>
    <w:rsid w:val="00E12763"/>
    <w:rsid w:val="00E127F3"/>
    <w:rsid w:val="00E128D3"/>
    <w:rsid w:val="00E12AD8"/>
    <w:rsid w:val="00E12BB1"/>
    <w:rsid w:val="00E12C93"/>
    <w:rsid w:val="00E12CCA"/>
    <w:rsid w:val="00E12CD9"/>
    <w:rsid w:val="00E12D3A"/>
    <w:rsid w:val="00E12ECB"/>
    <w:rsid w:val="00E12FF9"/>
    <w:rsid w:val="00E13114"/>
    <w:rsid w:val="00E133A0"/>
    <w:rsid w:val="00E133AE"/>
    <w:rsid w:val="00E134F7"/>
    <w:rsid w:val="00E1354C"/>
    <w:rsid w:val="00E13731"/>
    <w:rsid w:val="00E138AD"/>
    <w:rsid w:val="00E138FC"/>
    <w:rsid w:val="00E13937"/>
    <w:rsid w:val="00E13A2A"/>
    <w:rsid w:val="00E13B36"/>
    <w:rsid w:val="00E13BD4"/>
    <w:rsid w:val="00E13C95"/>
    <w:rsid w:val="00E13D1D"/>
    <w:rsid w:val="00E13E75"/>
    <w:rsid w:val="00E13E8C"/>
    <w:rsid w:val="00E13F22"/>
    <w:rsid w:val="00E13F99"/>
    <w:rsid w:val="00E14020"/>
    <w:rsid w:val="00E140ED"/>
    <w:rsid w:val="00E141B9"/>
    <w:rsid w:val="00E1435C"/>
    <w:rsid w:val="00E143E8"/>
    <w:rsid w:val="00E144F0"/>
    <w:rsid w:val="00E14622"/>
    <w:rsid w:val="00E1465D"/>
    <w:rsid w:val="00E147A9"/>
    <w:rsid w:val="00E1493F"/>
    <w:rsid w:val="00E149A6"/>
    <w:rsid w:val="00E14A3B"/>
    <w:rsid w:val="00E14AC7"/>
    <w:rsid w:val="00E14B35"/>
    <w:rsid w:val="00E14CB4"/>
    <w:rsid w:val="00E14D3E"/>
    <w:rsid w:val="00E1501E"/>
    <w:rsid w:val="00E15070"/>
    <w:rsid w:val="00E15154"/>
    <w:rsid w:val="00E151AE"/>
    <w:rsid w:val="00E154DE"/>
    <w:rsid w:val="00E154F3"/>
    <w:rsid w:val="00E15515"/>
    <w:rsid w:val="00E156D3"/>
    <w:rsid w:val="00E1572E"/>
    <w:rsid w:val="00E15815"/>
    <w:rsid w:val="00E15836"/>
    <w:rsid w:val="00E15841"/>
    <w:rsid w:val="00E15CC9"/>
    <w:rsid w:val="00E15F85"/>
    <w:rsid w:val="00E16157"/>
    <w:rsid w:val="00E161AB"/>
    <w:rsid w:val="00E161C4"/>
    <w:rsid w:val="00E16405"/>
    <w:rsid w:val="00E1641A"/>
    <w:rsid w:val="00E16475"/>
    <w:rsid w:val="00E164F5"/>
    <w:rsid w:val="00E16708"/>
    <w:rsid w:val="00E1674F"/>
    <w:rsid w:val="00E168DD"/>
    <w:rsid w:val="00E16943"/>
    <w:rsid w:val="00E169B1"/>
    <w:rsid w:val="00E16BF1"/>
    <w:rsid w:val="00E16C92"/>
    <w:rsid w:val="00E16D9E"/>
    <w:rsid w:val="00E16E32"/>
    <w:rsid w:val="00E16ED8"/>
    <w:rsid w:val="00E16F8E"/>
    <w:rsid w:val="00E17174"/>
    <w:rsid w:val="00E17219"/>
    <w:rsid w:val="00E172BB"/>
    <w:rsid w:val="00E17474"/>
    <w:rsid w:val="00E174A5"/>
    <w:rsid w:val="00E174FC"/>
    <w:rsid w:val="00E175DE"/>
    <w:rsid w:val="00E1765D"/>
    <w:rsid w:val="00E17675"/>
    <w:rsid w:val="00E17B3D"/>
    <w:rsid w:val="00E17BC8"/>
    <w:rsid w:val="00E17C52"/>
    <w:rsid w:val="00E17CF3"/>
    <w:rsid w:val="00E17D63"/>
    <w:rsid w:val="00E17F2D"/>
    <w:rsid w:val="00E17FA9"/>
    <w:rsid w:val="00E17FAF"/>
    <w:rsid w:val="00E20505"/>
    <w:rsid w:val="00E20512"/>
    <w:rsid w:val="00E2057B"/>
    <w:rsid w:val="00E205C6"/>
    <w:rsid w:val="00E2061E"/>
    <w:rsid w:val="00E20830"/>
    <w:rsid w:val="00E20849"/>
    <w:rsid w:val="00E2094F"/>
    <w:rsid w:val="00E20A41"/>
    <w:rsid w:val="00E20A72"/>
    <w:rsid w:val="00E20A7B"/>
    <w:rsid w:val="00E20A86"/>
    <w:rsid w:val="00E20C14"/>
    <w:rsid w:val="00E20C23"/>
    <w:rsid w:val="00E20D7B"/>
    <w:rsid w:val="00E20F6E"/>
    <w:rsid w:val="00E21027"/>
    <w:rsid w:val="00E21028"/>
    <w:rsid w:val="00E21090"/>
    <w:rsid w:val="00E210DE"/>
    <w:rsid w:val="00E2112F"/>
    <w:rsid w:val="00E21295"/>
    <w:rsid w:val="00E21315"/>
    <w:rsid w:val="00E21527"/>
    <w:rsid w:val="00E215F8"/>
    <w:rsid w:val="00E21629"/>
    <w:rsid w:val="00E21646"/>
    <w:rsid w:val="00E216FF"/>
    <w:rsid w:val="00E21702"/>
    <w:rsid w:val="00E21792"/>
    <w:rsid w:val="00E219C0"/>
    <w:rsid w:val="00E21A47"/>
    <w:rsid w:val="00E21AA8"/>
    <w:rsid w:val="00E21AB2"/>
    <w:rsid w:val="00E21B29"/>
    <w:rsid w:val="00E21BA8"/>
    <w:rsid w:val="00E21BF5"/>
    <w:rsid w:val="00E21CF0"/>
    <w:rsid w:val="00E21D87"/>
    <w:rsid w:val="00E21E60"/>
    <w:rsid w:val="00E21E7D"/>
    <w:rsid w:val="00E21F07"/>
    <w:rsid w:val="00E2201E"/>
    <w:rsid w:val="00E22025"/>
    <w:rsid w:val="00E22039"/>
    <w:rsid w:val="00E220AE"/>
    <w:rsid w:val="00E220B9"/>
    <w:rsid w:val="00E22295"/>
    <w:rsid w:val="00E22380"/>
    <w:rsid w:val="00E22494"/>
    <w:rsid w:val="00E224B7"/>
    <w:rsid w:val="00E226E6"/>
    <w:rsid w:val="00E2272E"/>
    <w:rsid w:val="00E2278D"/>
    <w:rsid w:val="00E228E2"/>
    <w:rsid w:val="00E2296C"/>
    <w:rsid w:val="00E22A17"/>
    <w:rsid w:val="00E22A26"/>
    <w:rsid w:val="00E22A3B"/>
    <w:rsid w:val="00E22ED6"/>
    <w:rsid w:val="00E22F37"/>
    <w:rsid w:val="00E2304E"/>
    <w:rsid w:val="00E230AB"/>
    <w:rsid w:val="00E231B9"/>
    <w:rsid w:val="00E233D8"/>
    <w:rsid w:val="00E235AC"/>
    <w:rsid w:val="00E23675"/>
    <w:rsid w:val="00E236D8"/>
    <w:rsid w:val="00E238E2"/>
    <w:rsid w:val="00E2398E"/>
    <w:rsid w:val="00E239F4"/>
    <w:rsid w:val="00E23A81"/>
    <w:rsid w:val="00E23AA0"/>
    <w:rsid w:val="00E23BA3"/>
    <w:rsid w:val="00E23C34"/>
    <w:rsid w:val="00E23E37"/>
    <w:rsid w:val="00E24336"/>
    <w:rsid w:val="00E24484"/>
    <w:rsid w:val="00E244A6"/>
    <w:rsid w:val="00E244AF"/>
    <w:rsid w:val="00E244FA"/>
    <w:rsid w:val="00E24505"/>
    <w:rsid w:val="00E249E7"/>
    <w:rsid w:val="00E24A8C"/>
    <w:rsid w:val="00E24C21"/>
    <w:rsid w:val="00E24CC4"/>
    <w:rsid w:val="00E24D93"/>
    <w:rsid w:val="00E24FA4"/>
    <w:rsid w:val="00E25023"/>
    <w:rsid w:val="00E25028"/>
    <w:rsid w:val="00E25087"/>
    <w:rsid w:val="00E250B0"/>
    <w:rsid w:val="00E251DC"/>
    <w:rsid w:val="00E2525C"/>
    <w:rsid w:val="00E253AA"/>
    <w:rsid w:val="00E253E1"/>
    <w:rsid w:val="00E25494"/>
    <w:rsid w:val="00E25564"/>
    <w:rsid w:val="00E255D1"/>
    <w:rsid w:val="00E256AC"/>
    <w:rsid w:val="00E256E6"/>
    <w:rsid w:val="00E25A2C"/>
    <w:rsid w:val="00E25A46"/>
    <w:rsid w:val="00E25AB1"/>
    <w:rsid w:val="00E25BF8"/>
    <w:rsid w:val="00E25D51"/>
    <w:rsid w:val="00E25D66"/>
    <w:rsid w:val="00E25D8A"/>
    <w:rsid w:val="00E25DE9"/>
    <w:rsid w:val="00E25F85"/>
    <w:rsid w:val="00E26068"/>
    <w:rsid w:val="00E2621F"/>
    <w:rsid w:val="00E26236"/>
    <w:rsid w:val="00E26351"/>
    <w:rsid w:val="00E26436"/>
    <w:rsid w:val="00E265BB"/>
    <w:rsid w:val="00E265E2"/>
    <w:rsid w:val="00E26705"/>
    <w:rsid w:val="00E26800"/>
    <w:rsid w:val="00E26925"/>
    <w:rsid w:val="00E26AFB"/>
    <w:rsid w:val="00E26CD0"/>
    <w:rsid w:val="00E27091"/>
    <w:rsid w:val="00E271C2"/>
    <w:rsid w:val="00E2725B"/>
    <w:rsid w:val="00E273B8"/>
    <w:rsid w:val="00E2756F"/>
    <w:rsid w:val="00E27598"/>
    <w:rsid w:val="00E2765D"/>
    <w:rsid w:val="00E276C2"/>
    <w:rsid w:val="00E276C6"/>
    <w:rsid w:val="00E27733"/>
    <w:rsid w:val="00E27787"/>
    <w:rsid w:val="00E2787D"/>
    <w:rsid w:val="00E279CC"/>
    <w:rsid w:val="00E279DE"/>
    <w:rsid w:val="00E27A78"/>
    <w:rsid w:val="00E27A8B"/>
    <w:rsid w:val="00E27AC7"/>
    <w:rsid w:val="00E27B47"/>
    <w:rsid w:val="00E27B5A"/>
    <w:rsid w:val="00E27C08"/>
    <w:rsid w:val="00E27C13"/>
    <w:rsid w:val="00E27C59"/>
    <w:rsid w:val="00E27C9D"/>
    <w:rsid w:val="00E27DF0"/>
    <w:rsid w:val="00E27E6C"/>
    <w:rsid w:val="00E27E8E"/>
    <w:rsid w:val="00E27EDC"/>
    <w:rsid w:val="00E30007"/>
    <w:rsid w:val="00E3003F"/>
    <w:rsid w:val="00E301FD"/>
    <w:rsid w:val="00E303B2"/>
    <w:rsid w:val="00E30471"/>
    <w:rsid w:val="00E3051D"/>
    <w:rsid w:val="00E30571"/>
    <w:rsid w:val="00E307D1"/>
    <w:rsid w:val="00E30827"/>
    <w:rsid w:val="00E30940"/>
    <w:rsid w:val="00E30952"/>
    <w:rsid w:val="00E30971"/>
    <w:rsid w:val="00E309FC"/>
    <w:rsid w:val="00E30A41"/>
    <w:rsid w:val="00E30AAE"/>
    <w:rsid w:val="00E30ABE"/>
    <w:rsid w:val="00E30C93"/>
    <w:rsid w:val="00E30CB2"/>
    <w:rsid w:val="00E30DD2"/>
    <w:rsid w:val="00E30E0D"/>
    <w:rsid w:val="00E31018"/>
    <w:rsid w:val="00E311F1"/>
    <w:rsid w:val="00E3124E"/>
    <w:rsid w:val="00E3134C"/>
    <w:rsid w:val="00E3194E"/>
    <w:rsid w:val="00E31956"/>
    <w:rsid w:val="00E31A88"/>
    <w:rsid w:val="00E31C8A"/>
    <w:rsid w:val="00E31CCA"/>
    <w:rsid w:val="00E31CD2"/>
    <w:rsid w:val="00E31D80"/>
    <w:rsid w:val="00E31F86"/>
    <w:rsid w:val="00E32018"/>
    <w:rsid w:val="00E32095"/>
    <w:rsid w:val="00E3230C"/>
    <w:rsid w:val="00E3231A"/>
    <w:rsid w:val="00E3234A"/>
    <w:rsid w:val="00E3238A"/>
    <w:rsid w:val="00E323D7"/>
    <w:rsid w:val="00E324F2"/>
    <w:rsid w:val="00E3250A"/>
    <w:rsid w:val="00E32527"/>
    <w:rsid w:val="00E32536"/>
    <w:rsid w:val="00E3268C"/>
    <w:rsid w:val="00E32716"/>
    <w:rsid w:val="00E32717"/>
    <w:rsid w:val="00E32805"/>
    <w:rsid w:val="00E32A6F"/>
    <w:rsid w:val="00E32AAA"/>
    <w:rsid w:val="00E32D9E"/>
    <w:rsid w:val="00E32DD2"/>
    <w:rsid w:val="00E32E62"/>
    <w:rsid w:val="00E32E7C"/>
    <w:rsid w:val="00E32F3E"/>
    <w:rsid w:val="00E33025"/>
    <w:rsid w:val="00E3309F"/>
    <w:rsid w:val="00E331AA"/>
    <w:rsid w:val="00E331AE"/>
    <w:rsid w:val="00E3341F"/>
    <w:rsid w:val="00E3358C"/>
    <w:rsid w:val="00E335E5"/>
    <w:rsid w:val="00E3361D"/>
    <w:rsid w:val="00E33685"/>
    <w:rsid w:val="00E33806"/>
    <w:rsid w:val="00E33894"/>
    <w:rsid w:val="00E338CD"/>
    <w:rsid w:val="00E33DA4"/>
    <w:rsid w:val="00E33E3D"/>
    <w:rsid w:val="00E341BB"/>
    <w:rsid w:val="00E341F9"/>
    <w:rsid w:val="00E341FA"/>
    <w:rsid w:val="00E345E5"/>
    <w:rsid w:val="00E3466B"/>
    <w:rsid w:val="00E34762"/>
    <w:rsid w:val="00E34893"/>
    <w:rsid w:val="00E348FF"/>
    <w:rsid w:val="00E34AB1"/>
    <w:rsid w:val="00E34AD8"/>
    <w:rsid w:val="00E34BC4"/>
    <w:rsid w:val="00E34D93"/>
    <w:rsid w:val="00E34DE7"/>
    <w:rsid w:val="00E34DF2"/>
    <w:rsid w:val="00E34E34"/>
    <w:rsid w:val="00E351D2"/>
    <w:rsid w:val="00E3520F"/>
    <w:rsid w:val="00E3521B"/>
    <w:rsid w:val="00E35387"/>
    <w:rsid w:val="00E35393"/>
    <w:rsid w:val="00E353FE"/>
    <w:rsid w:val="00E3556C"/>
    <w:rsid w:val="00E35606"/>
    <w:rsid w:val="00E356AB"/>
    <w:rsid w:val="00E357EF"/>
    <w:rsid w:val="00E35889"/>
    <w:rsid w:val="00E3588D"/>
    <w:rsid w:val="00E35934"/>
    <w:rsid w:val="00E3596B"/>
    <w:rsid w:val="00E35A18"/>
    <w:rsid w:val="00E35AB5"/>
    <w:rsid w:val="00E35BF7"/>
    <w:rsid w:val="00E35CC2"/>
    <w:rsid w:val="00E35DBA"/>
    <w:rsid w:val="00E35F01"/>
    <w:rsid w:val="00E35F3B"/>
    <w:rsid w:val="00E35FD3"/>
    <w:rsid w:val="00E36018"/>
    <w:rsid w:val="00E36079"/>
    <w:rsid w:val="00E3607E"/>
    <w:rsid w:val="00E36083"/>
    <w:rsid w:val="00E360C0"/>
    <w:rsid w:val="00E3627D"/>
    <w:rsid w:val="00E36363"/>
    <w:rsid w:val="00E36455"/>
    <w:rsid w:val="00E36478"/>
    <w:rsid w:val="00E366DF"/>
    <w:rsid w:val="00E366FB"/>
    <w:rsid w:val="00E367C1"/>
    <w:rsid w:val="00E369CC"/>
    <w:rsid w:val="00E36A06"/>
    <w:rsid w:val="00E36C24"/>
    <w:rsid w:val="00E36C83"/>
    <w:rsid w:val="00E36C9E"/>
    <w:rsid w:val="00E370A0"/>
    <w:rsid w:val="00E370E0"/>
    <w:rsid w:val="00E37358"/>
    <w:rsid w:val="00E3738A"/>
    <w:rsid w:val="00E378A9"/>
    <w:rsid w:val="00E37920"/>
    <w:rsid w:val="00E37B1D"/>
    <w:rsid w:val="00E37D9A"/>
    <w:rsid w:val="00E37E2A"/>
    <w:rsid w:val="00E37E61"/>
    <w:rsid w:val="00E4002F"/>
    <w:rsid w:val="00E400A3"/>
    <w:rsid w:val="00E4021A"/>
    <w:rsid w:val="00E40250"/>
    <w:rsid w:val="00E402F4"/>
    <w:rsid w:val="00E403DE"/>
    <w:rsid w:val="00E4047C"/>
    <w:rsid w:val="00E404A8"/>
    <w:rsid w:val="00E4055E"/>
    <w:rsid w:val="00E4065B"/>
    <w:rsid w:val="00E406A4"/>
    <w:rsid w:val="00E40708"/>
    <w:rsid w:val="00E409FD"/>
    <w:rsid w:val="00E40B5C"/>
    <w:rsid w:val="00E40E42"/>
    <w:rsid w:val="00E40E47"/>
    <w:rsid w:val="00E40E96"/>
    <w:rsid w:val="00E40EAD"/>
    <w:rsid w:val="00E4108D"/>
    <w:rsid w:val="00E4122F"/>
    <w:rsid w:val="00E41266"/>
    <w:rsid w:val="00E413FF"/>
    <w:rsid w:val="00E4143F"/>
    <w:rsid w:val="00E41496"/>
    <w:rsid w:val="00E41516"/>
    <w:rsid w:val="00E416FE"/>
    <w:rsid w:val="00E417EE"/>
    <w:rsid w:val="00E4184F"/>
    <w:rsid w:val="00E41C18"/>
    <w:rsid w:val="00E41D2A"/>
    <w:rsid w:val="00E41D83"/>
    <w:rsid w:val="00E41EA9"/>
    <w:rsid w:val="00E41F5E"/>
    <w:rsid w:val="00E420F1"/>
    <w:rsid w:val="00E42114"/>
    <w:rsid w:val="00E421A6"/>
    <w:rsid w:val="00E422A2"/>
    <w:rsid w:val="00E422FE"/>
    <w:rsid w:val="00E4233F"/>
    <w:rsid w:val="00E423CB"/>
    <w:rsid w:val="00E42406"/>
    <w:rsid w:val="00E4241B"/>
    <w:rsid w:val="00E424CE"/>
    <w:rsid w:val="00E42503"/>
    <w:rsid w:val="00E42553"/>
    <w:rsid w:val="00E4258D"/>
    <w:rsid w:val="00E425C7"/>
    <w:rsid w:val="00E42709"/>
    <w:rsid w:val="00E427E6"/>
    <w:rsid w:val="00E428A5"/>
    <w:rsid w:val="00E428CB"/>
    <w:rsid w:val="00E42AB5"/>
    <w:rsid w:val="00E42ABB"/>
    <w:rsid w:val="00E42BC5"/>
    <w:rsid w:val="00E42DDC"/>
    <w:rsid w:val="00E42F54"/>
    <w:rsid w:val="00E43458"/>
    <w:rsid w:val="00E434CE"/>
    <w:rsid w:val="00E435E3"/>
    <w:rsid w:val="00E43881"/>
    <w:rsid w:val="00E43980"/>
    <w:rsid w:val="00E439FF"/>
    <w:rsid w:val="00E43A11"/>
    <w:rsid w:val="00E43A65"/>
    <w:rsid w:val="00E43C4D"/>
    <w:rsid w:val="00E43CE1"/>
    <w:rsid w:val="00E43D51"/>
    <w:rsid w:val="00E44059"/>
    <w:rsid w:val="00E441C2"/>
    <w:rsid w:val="00E44243"/>
    <w:rsid w:val="00E442C9"/>
    <w:rsid w:val="00E442DB"/>
    <w:rsid w:val="00E443D5"/>
    <w:rsid w:val="00E44413"/>
    <w:rsid w:val="00E44451"/>
    <w:rsid w:val="00E44586"/>
    <w:rsid w:val="00E44651"/>
    <w:rsid w:val="00E44656"/>
    <w:rsid w:val="00E44665"/>
    <w:rsid w:val="00E446EF"/>
    <w:rsid w:val="00E447CC"/>
    <w:rsid w:val="00E44804"/>
    <w:rsid w:val="00E44857"/>
    <w:rsid w:val="00E44954"/>
    <w:rsid w:val="00E44AB1"/>
    <w:rsid w:val="00E44B44"/>
    <w:rsid w:val="00E44B81"/>
    <w:rsid w:val="00E44D06"/>
    <w:rsid w:val="00E44D2B"/>
    <w:rsid w:val="00E44D6B"/>
    <w:rsid w:val="00E44DBB"/>
    <w:rsid w:val="00E44DE3"/>
    <w:rsid w:val="00E44E04"/>
    <w:rsid w:val="00E44EA4"/>
    <w:rsid w:val="00E44EC8"/>
    <w:rsid w:val="00E45077"/>
    <w:rsid w:val="00E45090"/>
    <w:rsid w:val="00E45176"/>
    <w:rsid w:val="00E45241"/>
    <w:rsid w:val="00E45306"/>
    <w:rsid w:val="00E45337"/>
    <w:rsid w:val="00E45508"/>
    <w:rsid w:val="00E455DA"/>
    <w:rsid w:val="00E456D6"/>
    <w:rsid w:val="00E457E5"/>
    <w:rsid w:val="00E45906"/>
    <w:rsid w:val="00E4592E"/>
    <w:rsid w:val="00E459C0"/>
    <w:rsid w:val="00E45B17"/>
    <w:rsid w:val="00E45BEC"/>
    <w:rsid w:val="00E45C2D"/>
    <w:rsid w:val="00E45C31"/>
    <w:rsid w:val="00E45CB7"/>
    <w:rsid w:val="00E45DA5"/>
    <w:rsid w:val="00E461B7"/>
    <w:rsid w:val="00E461EF"/>
    <w:rsid w:val="00E46259"/>
    <w:rsid w:val="00E4629D"/>
    <w:rsid w:val="00E46434"/>
    <w:rsid w:val="00E4648D"/>
    <w:rsid w:val="00E464B0"/>
    <w:rsid w:val="00E4650D"/>
    <w:rsid w:val="00E4652D"/>
    <w:rsid w:val="00E46569"/>
    <w:rsid w:val="00E46620"/>
    <w:rsid w:val="00E46705"/>
    <w:rsid w:val="00E4672B"/>
    <w:rsid w:val="00E467A8"/>
    <w:rsid w:val="00E467AD"/>
    <w:rsid w:val="00E467DB"/>
    <w:rsid w:val="00E4682D"/>
    <w:rsid w:val="00E4689C"/>
    <w:rsid w:val="00E468AC"/>
    <w:rsid w:val="00E4694B"/>
    <w:rsid w:val="00E46974"/>
    <w:rsid w:val="00E46B75"/>
    <w:rsid w:val="00E46CED"/>
    <w:rsid w:val="00E46D00"/>
    <w:rsid w:val="00E46DB3"/>
    <w:rsid w:val="00E471F5"/>
    <w:rsid w:val="00E473EC"/>
    <w:rsid w:val="00E47476"/>
    <w:rsid w:val="00E47486"/>
    <w:rsid w:val="00E47572"/>
    <w:rsid w:val="00E47591"/>
    <w:rsid w:val="00E477D0"/>
    <w:rsid w:val="00E47966"/>
    <w:rsid w:val="00E47C43"/>
    <w:rsid w:val="00E47D50"/>
    <w:rsid w:val="00E47E87"/>
    <w:rsid w:val="00E47F2B"/>
    <w:rsid w:val="00E47F31"/>
    <w:rsid w:val="00E47F79"/>
    <w:rsid w:val="00E47FAB"/>
    <w:rsid w:val="00E500C0"/>
    <w:rsid w:val="00E502E8"/>
    <w:rsid w:val="00E50397"/>
    <w:rsid w:val="00E50415"/>
    <w:rsid w:val="00E5042C"/>
    <w:rsid w:val="00E5042D"/>
    <w:rsid w:val="00E50518"/>
    <w:rsid w:val="00E5054B"/>
    <w:rsid w:val="00E50589"/>
    <w:rsid w:val="00E505E3"/>
    <w:rsid w:val="00E5064D"/>
    <w:rsid w:val="00E506A9"/>
    <w:rsid w:val="00E5071B"/>
    <w:rsid w:val="00E5072C"/>
    <w:rsid w:val="00E50771"/>
    <w:rsid w:val="00E50AE3"/>
    <w:rsid w:val="00E50B54"/>
    <w:rsid w:val="00E50CE5"/>
    <w:rsid w:val="00E50D00"/>
    <w:rsid w:val="00E50D30"/>
    <w:rsid w:val="00E50D6D"/>
    <w:rsid w:val="00E50EA6"/>
    <w:rsid w:val="00E50EB6"/>
    <w:rsid w:val="00E50ECA"/>
    <w:rsid w:val="00E5114C"/>
    <w:rsid w:val="00E5115D"/>
    <w:rsid w:val="00E51164"/>
    <w:rsid w:val="00E5116B"/>
    <w:rsid w:val="00E5116C"/>
    <w:rsid w:val="00E51261"/>
    <w:rsid w:val="00E51443"/>
    <w:rsid w:val="00E51566"/>
    <w:rsid w:val="00E51716"/>
    <w:rsid w:val="00E5177A"/>
    <w:rsid w:val="00E51797"/>
    <w:rsid w:val="00E5194E"/>
    <w:rsid w:val="00E519E2"/>
    <w:rsid w:val="00E51A1A"/>
    <w:rsid w:val="00E51A89"/>
    <w:rsid w:val="00E51B13"/>
    <w:rsid w:val="00E51C6B"/>
    <w:rsid w:val="00E51D2D"/>
    <w:rsid w:val="00E51E9B"/>
    <w:rsid w:val="00E51F56"/>
    <w:rsid w:val="00E51F5D"/>
    <w:rsid w:val="00E522CE"/>
    <w:rsid w:val="00E52422"/>
    <w:rsid w:val="00E52448"/>
    <w:rsid w:val="00E52455"/>
    <w:rsid w:val="00E524D7"/>
    <w:rsid w:val="00E52545"/>
    <w:rsid w:val="00E525A6"/>
    <w:rsid w:val="00E525DD"/>
    <w:rsid w:val="00E52633"/>
    <w:rsid w:val="00E52B82"/>
    <w:rsid w:val="00E52DA3"/>
    <w:rsid w:val="00E53101"/>
    <w:rsid w:val="00E53248"/>
    <w:rsid w:val="00E5325A"/>
    <w:rsid w:val="00E534D0"/>
    <w:rsid w:val="00E5384E"/>
    <w:rsid w:val="00E539EE"/>
    <w:rsid w:val="00E53A2E"/>
    <w:rsid w:val="00E53B05"/>
    <w:rsid w:val="00E53B64"/>
    <w:rsid w:val="00E53B6E"/>
    <w:rsid w:val="00E53EA0"/>
    <w:rsid w:val="00E53F30"/>
    <w:rsid w:val="00E53F4A"/>
    <w:rsid w:val="00E54117"/>
    <w:rsid w:val="00E541D3"/>
    <w:rsid w:val="00E5422C"/>
    <w:rsid w:val="00E5433D"/>
    <w:rsid w:val="00E5436E"/>
    <w:rsid w:val="00E544A2"/>
    <w:rsid w:val="00E5475A"/>
    <w:rsid w:val="00E547E6"/>
    <w:rsid w:val="00E5483C"/>
    <w:rsid w:val="00E548EC"/>
    <w:rsid w:val="00E5490A"/>
    <w:rsid w:val="00E5498F"/>
    <w:rsid w:val="00E54A9E"/>
    <w:rsid w:val="00E54CAE"/>
    <w:rsid w:val="00E54CEF"/>
    <w:rsid w:val="00E54E13"/>
    <w:rsid w:val="00E54E2D"/>
    <w:rsid w:val="00E54EE1"/>
    <w:rsid w:val="00E55170"/>
    <w:rsid w:val="00E55287"/>
    <w:rsid w:val="00E5528B"/>
    <w:rsid w:val="00E5531B"/>
    <w:rsid w:val="00E5538D"/>
    <w:rsid w:val="00E55461"/>
    <w:rsid w:val="00E554FF"/>
    <w:rsid w:val="00E5557B"/>
    <w:rsid w:val="00E55616"/>
    <w:rsid w:val="00E558AF"/>
    <w:rsid w:val="00E559F3"/>
    <w:rsid w:val="00E55A9D"/>
    <w:rsid w:val="00E55C51"/>
    <w:rsid w:val="00E55CC4"/>
    <w:rsid w:val="00E55DB9"/>
    <w:rsid w:val="00E55E0E"/>
    <w:rsid w:val="00E55F77"/>
    <w:rsid w:val="00E5601E"/>
    <w:rsid w:val="00E56048"/>
    <w:rsid w:val="00E56172"/>
    <w:rsid w:val="00E56211"/>
    <w:rsid w:val="00E56277"/>
    <w:rsid w:val="00E56295"/>
    <w:rsid w:val="00E562AF"/>
    <w:rsid w:val="00E563A3"/>
    <w:rsid w:val="00E5640E"/>
    <w:rsid w:val="00E56470"/>
    <w:rsid w:val="00E564F8"/>
    <w:rsid w:val="00E5655D"/>
    <w:rsid w:val="00E5679A"/>
    <w:rsid w:val="00E567A6"/>
    <w:rsid w:val="00E5691C"/>
    <w:rsid w:val="00E569B2"/>
    <w:rsid w:val="00E56A0D"/>
    <w:rsid w:val="00E56AB0"/>
    <w:rsid w:val="00E56C6E"/>
    <w:rsid w:val="00E56D11"/>
    <w:rsid w:val="00E56D87"/>
    <w:rsid w:val="00E56EC3"/>
    <w:rsid w:val="00E56F37"/>
    <w:rsid w:val="00E56FE8"/>
    <w:rsid w:val="00E570BD"/>
    <w:rsid w:val="00E57339"/>
    <w:rsid w:val="00E5739F"/>
    <w:rsid w:val="00E575A0"/>
    <w:rsid w:val="00E575C6"/>
    <w:rsid w:val="00E575D9"/>
    <w:rsid w:val="00E57602"/>
    <w:rsid w:val="00E57635"/>
    <w:rsid w:val="00E576BC"/>
    <w:rsid w:val="00E5770A"/>
    <w:rsid w:val="00E5771E"/>
    <w:rsid w:val="00E577EA"/>
    <w:rsid w:val="00E578F9"/>
    <w:rsid w:val="00E5790F"/>
    <w:rsid w:val="00E57BD0"/>
    <w:rsid w:val="00E57D40"/>
    <w:rsid w:val="00E57D46"/>
    <w:rsid w:val="00E57D83"/>
    <w:rsid w:val="00E57F6A"/>
    <w:rsid w:val="00E60190"/>
    <w:rsid w:val="00E602A7"/>
    <w:rsid w:val="00E6035F"/>
    <w:rsid w:val="00E605A7"/>
    <w:rsid w:val="00E605A8"/>
    <w:rsid w:val="00E606D9"/>
    <w:rsid w:val="00E60735"/>
    <w:rsid w:val="00E60787"/>
    <w:rsid w:val="00E6087D"/>
    <w:rsid w:val="00E60968"/>
    <w:rsid w:val="00E60A24"/>
    <w:rsid w:val="00E60A98"/>
    <w:rsid w:val="00E60E12"/>
    <w:rsid w:val="00E60E71"/>
    <w:rsid w:val="00E60EDC"/>
    <w:rsid w:val="00E6106F"/>
    <w:rsid w:val="00E610DD"/>
    <w:rsid w:val="00E6115C"/>
    <w:rsid w:val="00E611B2"/>
    <w:rsid w:val="00E612B7"/>
    <w:rsid w:val="00E614C5"/>
    <w:rsid w:val="00E61558"/>
    <w:rsid w:val="00E616D0"/>
    <w:rsid w:val="00E6170D"/>
    <w:rsid w:val="00E618B3"/>
    <w:rsid w:val="00E61A88"/>
    <w:rsid w:val="00E61B52"/>
    <w:rsid w:val="00E61D36"/>
    <w:rsid w:val="00E61DA2"/>
    <w:rsid w:val="00E61E02"/>
    <w:rsid w:val="00E61E5C"/>
    <w:rsid w:val="00E61F03"/>
    <w:rsid w:val="00E61F65"/>
    <w:rsid w:val="00E620E9"/>
    <w:rsid w:val="00E62150"/>
    <w:rsid w:val="00E621D6"/>
    <w:rsid w:val="00E622B3"/>
    <w:rsid w:val="00E6231C"/>
    <w:rsid w:val="00E62466"/>
    <w:rsid w:val="00E62637"/>
    <w:rsid w:val="00E627CA"/>
    <w:rsid w:val="00E628BF"/>
    <w:rsid w:val="00E628F1"/>
    <w:rsid w:val="00E62AA3"/>
    <w:rsid w:val="00E62D4A"/>
    <w:rsid w:val="00E62E05"/>
    <w:rsid w:val="00E62EC4"/>
    <w:rsid w:val="00E62F58"/>
    <w:rsid w:val="00E63027"/>
    <w:rsid w:val="00E63054"/>
    <w:rsid w:val="00E635AC"/>
    <w:rsid w:val="00E636ED"/>
    <w:rsid w:val="00E63740"/>
    <w:rsid w:val="00E637C0"/>
    <w:rsid w:val="00E638B7"/>
    <w:rsid w:val="00E63B46"/>
    <w:rsid w:val="00E63C4C"/>
    <w:rsid w:val="00E63C97"/>
    <w:rsid w:val="00E63D3E"/>
    <w:rsid w:val="00E63F20"/>
    <w:rsid w:val="00E64052"/>
    <w:rsid w:val="00E641AE"/>
    <w:rsid w:val="00E641FE"/>
    <w:rsid w:val="00E6420C"/>
    <w:rsid w:val="00E64406"/>
    <w:rsid w:val="00E64432"/>
    <w:rsid w:val="00E64526"/>
    <w:rsid w:val="00E64539"/>
    <w:rsid w:val="00E646D9"/>
    <w:rsid w:val="00E647AC"/>
    <w:rsid w:val="00E64A24"/>
    <w:rsid w:val="00E64CF0"/>
    <w:rsid w:val="00E64CFB"/>
    <w:rsid w:val="00E64D54"/>
    <w:rsid w:val="00E64D6E"/>
    <w:rsid w:val="00E64E31"/>
    <w:rsid w:val="00E64E69"/>
    <w:rsid w:val="00E64EBE"/>
    <w:rsid w:val="00E65167"/>
    <w:rsid w:val="00E6533E"/>
    <w:rsid w:val="00E65360"/>
    <w:rsid w:val="00E65505"/>
    <w:rsid w:val="00E65553"/>
    <w:rsid w:val="00E65676"/>
    <w:rsid w:val="00E657DA"/>
    <w:rsid w:val="00E657E3"/>
    <w:rsid w:val="00E657E4"/>
    <w:rsid w:val="00E65904"/>
    <w:rsid w:val="00E65942"/>
    <w:rsid w:val="00E65970"/>
    <w:rsid w:val="00E659FA"/>
    <w:rsid w:val="00E65A33"/>
    <w:rsid w:val="00E65A5E"/>
    <w:rsid w:val="00E65B2F"/>
    <w:rsid w:val="00E65B6F"/>
    <w:rsid w:val="00E65B7D"/>
    <w:rsid w:val="00E65B89"/>
    <w:rsid w:val="00E65D5A"/>
    <w:rsid w:val="00E65D9E"/>
    <w:rsid w:val="00E65DE3"/>
    <w:rsid w:val="00E65E0D"/>
    <w:rsid w:val="00E65E10"/>
    <w:rsid w:val="00E65F4E"/>
    <w:rsid w:val="00E661E0"/>
    <w:rsid w:val="00E66264"/>
    <w:rsid w:val="00E663A1"/>
    <w:rsid w:val="00E663F3"/>
    <w:rsid w:val="00E6668A"/>
    <w:rsid w:val="00E667EC"/>
    <w:rsid w:val="00E667F7"/>
    <w:rsid w:val="00E668A7"/>
    <w:rsid w:val="00E66AE0"/>
    <w:rsid w:val="00E66C51"/>
    <w:rsid w:val="00E66CB5"/>
    <w:rsid w:val="00E66F4A"/>
    <w:rsid w:val="00E66F8B"/>
    <w:rsid w:val="00E66FDC"/>
    <w:rsid w:val="00E67071"/>
    <w:rsid w:val="00E6709C"/>
    <w:rsid w:val="00E670C5"/>
    <w:rsid w:val="00E67201"/>
    <w:rsid w:val="00E672B6"/>
    <w:rsid w:val="00E67473"/>
    <w:rsid w:val="00E67639"/>
    <w:rsid w:val="00E677B9"/>
    <w:rsid w:val="00E679F6"/>
    <w:rsid w:val="00E67AD0"/>
    <w:rsid w:val="00E67BFD"/>
    <w:rsid w:val="00E67D60"/>
    <w:rsid w:val="00E70171"/>
    <w:rsid w:val="00E70183"/>
    <w:rsid w:val="00E701B1"/>
    <w:rsid w:val="00E70234"/>
    <w:rsid w:val="00E70286"/>
    <w:rsid w:val="00E702BC"/>
    <w:rsid w:val="00E703E6"/>
    <w:rsid w:val="00E70447"/>
    <w:rsid w:val="00E70474"/>
    <w:rsid w:val="00E704F1"/>
    <w:rsid w:val="00E7051C"/>
    <w:rsid w:val="00E70526"/>
    <w:rsid w:val="00E70570"/>
    <w:rsid w:val="00E7069F"/>
    <w:rsid w:val="00E706AE"/>
    <w:rsid w:val="00E70782"/>
    <w:rsid w:val="00E708D7"/>
    <w:rsid w:val="00E70931"/>
    <w:rsid w:val="00E709B8"/>
    <w:rsid w:val="00E70DD4"/>
    <w:rsid w:val="00E70FAA"/>
    <w:rsid w:val="00E71157"/>
    <w:rsid w:val="00E7117B"/>
    <w:rsid w:val="00E7118A"/>
    <w:rsid w:val="00E711CD"/>
    <w:rsid w:val="00E712B0"/>
    <w:rsid w:val="00E7134E"/>
    <w:rsid w:val="00E71354"/>
    <w:rsid w:val="00E71390"/>
    <w:rsid w:val="00E7144D"/>
    <w:rsid w:val="00E7147E"/>
    <w:rsid w:val="00E71506"/>
    <w:rsid w:val="00E71519"/>
    <w:rsid w:val="00E715CB"/>
    <w:rsid w:val="00E715CD"/>
    <w:rsid w:val="00E71696"/>
    <w:rsid w:val="00E716C7"/>
    <w:rsid w:val="00E717EC"/>
    <w:rsid w:val="00E71AA0"/>
    <w:rsid w:val="00E71D30"/>
    <w:rsid w:val="00E71D36"/>
    <w:rsid w:val="00E71E45"/>
    <w:rsid w:val="00E71EDD"/>
    <w:rsid w:val="00E71F85"/>
    <w:rsid w:val="00E72123"/>
    <w:rsid w:val="00E721B1"/>
    <w:rsid w:val="00E72272"/>
    <w:rsid w:val="00E722C1"/>
    <w:rsid w:val="00E724B9"/>
    <w:rsid w:val="00E7253A"/>
    <w:rsid w:val="00E725A8"/>
    <w:rsid w:val="00E72644"/>
    <w:rsid w:val="00E72ADB"/>
    <w:rsid w:val="00E72B39"/>
    <w:rsid w:val="00E72C43"/>
    <w:rsid w:val="00E72CFC"/>
    <w:rsid w:val="00E72EB4"/>
    <w:rsid w:val="00E7300C"/>
    <w:rsid w:val="00E73038"/>
    <w:rsid w:val="00E730A0"/>
    <w:rsid w:val="00E73176"/>
    <w:rsid w:val="00E731AC"/>
    <w:rsid w:val="00E73210"/>
    <w:rsid w:val="00E7331C"/>
    <w:rsid w:val="00E73604"/>
    <w:rsid w:val="00E736CF"/>
    <w:rsid w:val="00E737B3"/>
    <w:rsid w:val="00E7385F"/>
    <w:rsid w:val="00E739AD"/>
    <w:rsid w:val="00E73B7A"/>
    <w:rsid w:val="00E73BC2"/>
    <w:rsid w:val="00E73CC8"/>
    <w:rsid w:val="00E73CDA"/>
    <w:rsid w:val="00E73D36"/>
    <w:rsid w:val="00E73D8C"/>
    <w:rsid w:val="00E73DF2"/>
    <w:rsid w:val="00E73E02"/>
    <w:rsid w:val="00E73F40"/>
    <w:rsid w:val="00E744FF"/>
    <w:rsid w:val="00E74786"/>
    <w:rsid w:val="00E747EA"/>
    <w:rsid w:val="00E7481D"/>
    <w:rsid w:val="00E7489D"/>
    <w:rsid w:val="00E74B10"/>
    <w:rsid w:val="00E74B19"/>
    <w:rsid w:val="00E74BE0"/>
    <w:rsid w:val="00E74DE1"/>
    <w:rsid w:val="00E74E9C"/>
    <w:rsid w:val="00E74FB7"/>
    <w:rsid w:val="00E74FF4"/>
    <w:rsid w:val="00E75107"/>
    <w:rsid w:val="00E755A7"/>
    <w:rsid w:val="00E75902"/>
    <w:rsid w:val="00E75B04"/>
    <w:rsid w:val="00E75B47"/>
    <w:rsid w:val="00E75B55"/>
    <w:rsid w:val="00E75BCA"/>
    <w:rsid w:val="00E75CAE"/>
    <w:rsid w:val="00E75EB6"/>
    <w:rsid w:val="00E75F7E"/>
    <w:rsid w:val="00E75FD5"/>
    <w:rsid w:val="00E76020"/>
    <w:rsid w:val="00E760C4"/>
    <w:rsid w:val="00E760EF"/>
    <w:rsid w:val="00E7615D"/>
    <w:rsid w:val="00E7615E"/>
    <w:rsid w:val="00E761EC"/>
    <w:rsid w:val="00E76340"/>
    <w:rsid w:val="00E7635B"/>
    <w:rsid w:val="00E76420"/>
    <w:rsid w:val="00E76505"/>
    <w:rsid w:val="00E7663D"/>
    <w:rsid w:val="00E76893"/>
    <w:rsid w:val="00E768A8"/>
    <w:rsid w:val="00E76AD1"/>
    <w:rsid w:val="00E76D88"/>
    <w:rsid w:val="00E76E48"/>
    <w:rsid w:val="00E76F24"/>
    <w:rsid w:val="00E76F6A"/>
    <w:rsid w:val="00E77127"/>
    <w:rsid w:val="00E77203"/>
    <w:rsid w:val="00E77221"/>
    <w:rsid w:val="00E7738A"/>
    <w:rsid w:val="00E77468"/>
    <w:rsid w:val="00E7748D"/>
    <w:rsid w:val="00E7754E"/>
    <w:rsid w:val="00E77594"/>
    <w:rsid w:val="00E77612"/>
    <w:rsid w:val="00E77961"/>
    <w:rsid w:val="00E779BC"/>
    <w:rsid w:val="00E77A83"/>
    <w:rsid w:val="00E77AA4"/>
    <w:rsid w:val="00E77AB5"/>
    <w:rsid w:val="00E77AE1"/>
    <w:rsid w:val="00E77C46"/>
    <w:rsid w:val="00E77E00"/>
    <w:rsid w:val="00E77E31"/>
    <w:rsid w:val="00E77E39"/>
    <w:rsid w:val="00E77E9C"/>
    <w:rsid w:val="00E77EDC"/>
    <w:rsid w:val="00E77F9F"/>
    <w:rsid w:val="00E800B4"/>
    <w:rsid w:val="00E8067A"/>
    <w:rsid w:val="00E806E1"/>
    <w:rsid w:val="00E8074C"/>
    <w:rsid w:val="00E8076B"/>
    <w:rsid w:val="00E807BF"/>
    <w:rsid w:val="00E808F2"/>
    <w:rsid w:val="00E8094F"/>
    <w:rsid w:val="00E80A17"/>
    <w:rsid w:val="00E80CDA"/>
    <w:rsid w:val="00E80D30"/>
    <w:rsid w:val="00E81083"/>
    <w:rsid w:val="00E810D7"/>
    <w:rsid w:val="00E81328"/>
    <w:rsid w:val="00E813C3"/>
    <w:rsid w:val="00E813F1"/>
    <w:rsid w:val="00E814D9"/>
    <w:rsid w:val="00E8156F"/>
    <w:rsid w:val="00E815C6"/>
    <w:rsid w:val="00E81713"/>
    <w:rsid w:val="00E8172C"/>
    <w:rsid w:val="00E81AF2"/>
    <w:rsid w:val="00E81AF6"/>
    <w:rsid w:val="00E81B54"/>
    <w:rsid w:val="00E81BF5"/>
    <w:rsid w:val="00E81C26"/>
    <w:rsid w:val="00E81D1D"/>
    <w:rsid w:val="00E81D50"/>
    <w:rsid w:val="00E81E9D"/>
    <w:rsid w:val="00E821DC"/>
    <w:rsid w:val="00E82331"/>
    <w:rsid w:val="00E82476"/>
    <w:rsid w:val="00E824A6"/>
    <w:rsid w:val="00E824B3"/>
    <w:rsid w:val="00E82558"/>
    <w:rsid w:val="00E8258A"/>
    <w:rsid w:val="00E825CA"/>
    <w:rsid w:val="00E82779"/>
    <w:rsid w:val="00E8282C"/>
    <w:rsid w:val="00E82905"/>
    <w:rsid w:val="00E82A39"/>
    <w:rsid w:val="00E82ADA"/>
    <w:rsid w:val="00E82AFA"/>
    <w:rsid w:val="00E82C26"/>
    <w:rsid w:val="00E82C52"/>
    <w:rsid w:val="00E82FA7"/>
    <w:rsid w:val="00E830EC"/>
    <w:rsid w:val="00E830FC"/>
    <w:rsid w:val="00E8339F"/>
    <w:rsid w:val="00E834DD"/>
    <w:rsid w:val="00E83704"/>
    <w:rsid w:val="00E83744"/>
    <w:rsid w:val="00E83817"/>
    <w:rsid w:val="00E8391C"/>
    <w:rsid w:val="00E83A14"/>
    <w:rsid w:val="00E83A31"/>
    <w:rsid w:val="00E83AAF"/>
    <w:rsid w:val="00E83AFA"/>
    <w:rsid w:val="00E83BC8"/>
    <w:rsid w:val="00E83CD5"/>
    <w:rsid w:val="00E83D5D"/>
    <w:rsid w:val="00E83DAC"/>
    <w:rsid w:val="00E83E0F"/>
    <w:rsid w:val="00E83E9A"/>
    <w:rsid w:val="00E83ED3"/>
    <w:rsid w:val="00E84146"/>
    <w:rsid w:val="00E841FC"/>
    <w:rsid w:val="00E84635"/>
    <w:rsid w:val="00E84763"/>
    <w:rsid w:val="00E84782"/>
    <w:rsid w:val="00E8478E"/>
    <w:rsid w:val="00E8495B"/>
    <w:rsid w:val="00E849E3"/>
    <w:rsid w:val="00E84B29"/>
    <w:rsid w:val="00E84C01"/>
    <w:rsid w:val="00E84C95"/>
    <w:rsid w:val="00E8502A"/>
    <w:rsid w:val="00E850A6"/>
    <w:rsid w:val="00E850F5"/>
    <w:rsid w:val="00E85208"/>
    <w:rsid w:val="00E8536F"/>
    <w:rsid w:val="00E8539F"/>
    <w:rsid w:val="00E85435"/>
    <w:rsid w:val="00E8546A"/>
    <w:rsid w:val="00E85485"/>
    <w:rsid w:val="00E854A2"/>
    <w:rsid w:val="00E854E4"/>
    <w:rsid w:val="00E855ED"/>
    <w:rsid w:val="00E85766"/>
    <w:rsid w:val="00E857AF"/>
    <w:rsid w:val="00E85855"/>
    <w:rsid w:val="00E859C7"/>
    <w:rsid w:val="00E85A3C"/>
    <w:rsid w:val="00E85B11"/>
    <w:rsid w:val="00E85B54"/>
    <w:rsid w:val="00E85BC4"/>
    <w:rsid w:val="00E85C17"/>
    <w:rsid w:val="00E85C1A"/>
    <w:rsid w:val="00E85C85"/>
    <w:rsid w:val="00E85DEE"/>
    <w:rsid w:val="00E85F5A"/>
    <w:rsid w:val="00E85F8D"/>
    <w:rsid w:val="00E86054"/>
    <w:rsid w:val="00E86241"/>
    <w:rsid w:val="00E864D5"/>
    <w:rsid w:val="00E8652C"/>
    <w:rsid w:val="00E86682"/>
    <w:rsid w:val="00E86845"/>
    <w:rsid w:val="00E868D1"/>
    <w:rsid w:val="00E86973"/>
    <w:rsid w:val="00E869A3"/>
    <w:rsid w:val="00E869D7"/>
    <w:rsid w:val="00E86A3D"/>
    <w:rsid w:val="00E86AF7"/>
    <w:rsid w:val="00E86BA4"/>
    <w:rsid w:val="00E86CC0"/>
    <w:rsid w:val="00E86D31"/>
    <w:rsid w:val="00E86D42"/>
    <w:rsid w:val="00E86E0A"/>
    <w:rsid w:val="00E86E0E"/>
    <w:rsid w:val="00E86EE1"/>
    <w:rsid w:val="00E86FA6"/>
    <w:rsid w:val="00E87050"/>
    <w:rsid w:val="00E871DD"/>
    <w:rsid w:val="00E8733C"/>
    <w:rsid w:val="00E87459"/>
    <w:rsid w:val="00E8759C"/>
    <w:rsid w:val="00E875E0"/>
    <w:rsid w:val="00E875F3"/>
    <w:rsid w:val="00E877C8"/>
    <w:rsid w:val="00E8798D"/>
    <w:rsid w:val="00E87A8A"/>
    <w:rsid w:val="00E87B20"/>
    <w:rsid w:val="00E87B46"/>
    <w:rsid w:val="00E87C5B"/>
    <w:rsid w:val="00E87CD3"/>
    <w:rsid w:val="00E87D41"/>
    <w:rsid w:val="00E87EB0"/>
    <w:rsid w:val="00E87F0A"/>
    <w:rsid w:val="00E9004A"/>
    <w:rsid w:val="00E901CA"/>
    <w:rsid w:val="00E904D3"/>
    <w:rsid w:val="00E90742"/>
    <w:rsid w:val="00E9074E"/>
    <w:rsid w:val="00E90856"/>
    <w:rsid w:val="00E90BB6"/>
    <w:rsid w:val="00E90F29"/>
    <w:rsid w:val="00E910DD"/>
    <w:rsid w:val="00E91158"/>
    <w:rsid w:val="00E91258"/>
    <w:rsid w:val="00E915A1"/>
    <w:rsid w:val="00E916FE"/>
    <w:rsid w:val="00E91732"/>
    <w:rsid w:val="00E91757"/>
    <w:rsid w:val="00E91769"/>
    <w:rsid w:val="00E917D8"/>
    <w:rsid w:val="00E9182A"/>
    <w:rsid w:val="00E919B3"/>
    <w:rsid w:val="00E91ACB"/>
    <w:rsid w:val="00E91D02"/>
    <w:rsid w:val="00E91D99"/>
    <w:rsid w:val="00E91DA8"/>
    <w:rsid w:val="00E91FAC"/>
    <w:rsid w:val="00E922E7"/>
    <w:rsid w:val="00E924D4"/>
    <w:rsid w:val="00E92574"/>
    <w:rsid w:val="00E92597"/>
    <w:rsid w:val="00E925DA"/>
    <w:rsid w:val="00E925EA"/>
    <w:rsid w:val="00E92602"/>
    <w:rsid w:val="00E9266E"/>
    <w:rsid w:val="00E926A7"/>
    <w:rsid w:val="00E9277E"/>
    <w:rsid w:val="00E927CC"/>
    <w:rsid w:val="00E92884"/>
    <w:rsid w:val="00E92894"/>
    <w:rsid w:val="00E928DD"/>
    <w:rsid w:val="00E9291D"/>
    <w:rsid w:val="00E92975"/>
    <w:rsid w:val="00E92978"/>
    <w:rsid w:val="00E929E0"/>
    <w:rsid w:val="00E92A79"/>
    <w:rsid w:val="00E92B35"/>
    <w:rsid w:val="00E92B4D"/>
    <w:rsid w:val="00E92B91"/>
    <w:rsid w:val="00E92C10"/>
    <w:rsid w:val="00E92CCE"/>
    <w:rsid w:val="00E932E0"/>
    <w:rsid w:val="00E93364"/>
    <w:rsid w:val="00E93541"/>
    <w:rsid w:val="00E935FB"/>
    <w:rsid w:val="00E93720"/>
    <w:rsid w:val="00E93851"/>
    <w:rsid w:val="00E938B3"/>
    <w:rsid w:val="00E938CC"/>
    <w:rsid w:val="00E93923"/>
    <w:rsid w:val="00E93977"/>
    <w:rsid w:val="00E93A8D"/>
    <w:rsid w:val="00E93B70"/>
    <w:rsid w:val="00E93B74"/>
    <w:rsid w:val="00E93FF0"/>
    <w:rsid w:val="00E9414D"/>
    <w:rsid w:val="00E9436A"/>
    <w:rsid w:val="00E943B9"/>
    <w:rsid w:val="00E9442A"/>
    <w:rsid w:val="00E94531"/>
    <w:rsid w:val="00E94598"/>
    <w:rsid w:val="00E9462D"/>
    <w:rsid w:val="00E94707"/>
    <w:rsid w:val="00E94774"/>
    <w:rsid w:val="00E94922"/>
    <w:rsid w:val="00E9496C"/>
    <w:rsid w:val="00E94A00"/>
    <w:rsid w:val="00E94A29"/>
    <w:rsid w:val="00E94ABA"/>
    <w:rsid w:val="00E94AE4"/>
    <w:rsid w:val="00E94C3D"/>
    <w:rsid w:val="00E94D59"/>
    <w:rsid w:val="00E94D64"/>
    <w:rsid w:val="00E94EDA"/>
    <w:rsid w:val="00E94EDF"/>
    <w:rsid w:val="00E94F8C"/>
    <w:rsid w:val="00E950DB"/>
    <w:rsid w:val="00E95160"/>
    <w:rsid w:val="00E951FD"/>
    <w:rsid w:val="00E95204"/>
    <w:rsid w:val="00E952E8"/>
    <w:rsid w:val="00E952EE"/>
    <w:rsid w:val="00E95409"/>
    <w:rsid w:val="00E95521"/>
    <w:rsid w:val="00E955A5"/>
    <w:rsid w:val="00E95608"/>
    <w:rsid w:val="00E956B3"/>
    <w:rsid w:val="00E956D8"/>
    <w:rsid w:val="00E95723"/>
    <w:rsid w:val="00E95797"/>
    <w:rsid w:val="00E9584E"/>
    <w:rsid w:val="00E95879"/>
    <w:rsid w:val="00E958E6"/>
    <w:rsid w:val="00E95AC0"/>
    <w:rsid w:val="00E95D00"/>
    <w:rsid w:val="00E95D88"/>
    <w:rsid w:val="00E95E9E"/>
    <w:rsid w:val="00E95EBC"/>
    <w:rsid w:val="00E96069"/>
    <w:rsid w:val="00E960A1"/>
    <w:rsid w:val="00E9629B"/>
    <w:rsid w:val="00E962FA"/>
    <w:rsid w:val="00E9633A"/>
    <w:rsid w:val="00E96405"/>
    <w:rsid w:val="00E96594"/>
    <w:rsid w:val="00E965A1"/>
    <w:rsid w:val="00E965B7"/>
    <w:rsid w:val="00E966CA"/>
    <w:rsid w:val="00E96844"/>
    <w:rsid w:val="00E9695B"/>
    <w:rsid w:val="00E96B00"/>
    <w:rsid w:val="00E96B4A"/>
    <w:rsid w:val="00E96B76"/>
    <w:rsid w:val="00E96CC8"/>
    <w:rsid w:val="00E96D5D"/>
    <w:rsid w:val="00E96D82"/>
    <w:rsid w:val="00E96E9F"/>
    <w:rsid w:val="00E96F00"/>
    <w:rsid w:val="00E970DD"/>
    <w:rsid w:val="00E970EE"/>
    <w:rsid w:val="00E97152"/>
    <w:rsid w:val="00E971B5"/>
    <w:rsid w:val="00E971F7"/>
    <w:rsid w:val="00E971FD"/>
    <w:rsid w:val="00E9723F"/>
    <w:rsid w:val="00E97253"/>
    <w:rsid w:val="00E97388"/>
    <w:rsid w:val="00E975A3"/>
    <w:rsid w:val="00E97669"/>
    <w:rsid w:val="00E9777D"/>
    <w:rsid w:val="00E97794"/>
    <w:rsid w:val="00E97808"/>
    <w:rsid w:val="00E97AC9"/>
    <w:rsid w:val="00E97B54"/>
    <w:rsid w:val="00E97B5C"/>
    <w:rsid w:val="00E97B75"/>
    <w:rsid w:val="00E97BDC"/>
    <w:rsid w:val="00E97C4E"/>
    <w:rsid w:val="00E97CCF"/>
    <w:rsid w:val="00E97DB9"/>
    <w:rsid w:val="00E97EB6"/>
    <w:rsid w:val="00E97FBC"/>
    <w:rsid w:val="00E97FEC"/>
    <w:rsid w:val="00EA01B6"/>
    <w:rsid w:val="00EA01FF"/>
    <w:rsid w:val="00EA024F"/>
    <w:rsid w:val="00EA0314"/>
    <w:rsid w:val="00EA056D"/>
    <w:rsid w:val="00EA058F"/>
    <w:rsid w:val="00EA063E"/>
    <w:rsid w:val="00EA069D"/>
    <w:rsid w:val="00EA0780"/>
    <w:rsid w:val="00EA0794"/>
    <w:rsid w:val="00EA094F"/>
    <w:rsid w:val="00EA0968"/>
    <w:rsid w:val="00EA099F"/>
    <w:rsid w:val="00EA0B62"/>
    <w:rsid w:val="00EA0BEE"/>
    <w:rsid w:val="00EA0C5A"/>
    <w:rsid w:val="00EA0DC1"/>
    <w:rsid w:val="00EA0E47"/>
    <w:rsid w:val="00EA0EB1"/>
    <w:rsid w:val="00EA0F20"/>
    <w:rsid w:val="00EA0F6C"/>
    <w:rsid w:val="00EA1108"/>
    <w:rsid w:val="00EA1124"/>
    <w:rsid w:val="00EA138C"/>
    <w:rsid w:val="00EA13E7"/>
    <w:rsid w:val="00EA152D"/>
    <w:rsid w:val="00EA1625"/>
    <w:rsid w:val="00EA166A"/>
    <w:rsid w:val="00EA170C"/>
    <w:rsid w:val="00EA1774"/>
    <w:rsid w:val="00EA1842"/>
    <w:rsid w:val="00EA1A28"/>
    <w:rsid w:val="00EA1ACD"/>
    <w:rsid w:val="00EA1B23"/>
    <w:rsid w:val="00EA1BAE"/>
    <w:rsid w:val="00EA1BB7"/>
    <w:rsid w:val="00EA1BD9"/>
    <w:rsid w:val="00EA1BF0"/>
    <w:rsid w:val="00EA1D25"/>
    <w:rsid w:val="00EA1D2A"/>
    <w:rsid w:val="00EA1D2F"/>
    <w:rsid w:val="00EA1D33"/>
    <w:rsid w:val="00EA1DC0"/>
    <w:rsid w:val="00EA1E76"/>
    <w:rsid w:val="00EA200F"/>
    <w:rsid w:val="00EA204F"/>
    <w:rsid w:val="00EA20C6"/>
    <w:rsid w:val="00EA20E2"/>
    <w:rsid w:val="00EA23DB"/>
    <w:rsid w:val="00EA242B"/>
    <w:rsid w:val="00EA2448"/>
    <w:rsid w:val="00EA2545"/>
    <w:rsid w:val="00EA25E5"/>
    <w:rsid w:val="00EA2779"/>
    <w:rsid w:val="00EA2847"/>
    <w:rsid w:val="00EA28AE"/>
    <w:rsid w:val="00EA28F8"/>
    <w:rsid w:val="00EA2944"/>
    <w:rsid w:val="00EA2A67"/>
    <w:rsid w:val="00EA2B2F"/>
    <w:rsid w:val="00EA2C37"/>
    <w:rsid w:val="00EA2CDA"/>
    <w:rsid w:val="00EA2D2C"/>
    <w:rsid w:val="00EA2FF8"/>
    <w:rsid w:val="00EA3114"/>
    <w:rsid w:val="00EA323B"/>
    <w:rsid w:val="00EA334E"/>
    <w:rsid w:val="00EA351D"/>
    <w:rsid w:val="00EA3523"/>
    <w:rsid w:val="00EA35F5"/>
    <w:rsid w:val="00EA3614"/>
    <w:rsid w:val="00EA3685"/>
    <w:rsid w:val="00EA388B"/>
    <w:rsid w:val="00EA3B0B"/>
    <w:rsid w:val="00EA3CBD"/>
    <w:rsid w:val="00EA3DE9"/>
    <w:rsid w:val="00EA3EA6"/>
    <w:rsid w:val="00EA3F31"/>
    <w:rsid w:val="00EA40D3"/>
    <w:rsid w:val="00EA42AF"/>
    <w:rsid w:val="00EA438B"/>
    <w:rsid w:val="00EA43C8"/>
    <w:rsid w:val="00EA441B"/>
    <w:rsid w:val="00EA449D"/>
    <w:rsid w:val="00EA47F5"/>
    <w:rsid w:val="00EA4885"/>
    <w:rsid w:val="00EA488A"/>
    <w:rsid w:val="00EA494D"/>
    <w:rsid w:val="00EA4D18"/>
    <w:rsid w:val="00EA4D9B"/>
    <w:rsid w:val="00EA4E3D"/>
    <w:rsid w:val="00EA4E59"/>
    <w:rsid w:val="00EA5116"/>
    <w:rsid w:val="00EA53B5"/>
    <w:rsid w:val="00EA53E6"/>
    <w:rsid w:val="00EA5526"/>
    <w:rsid w:val="00EA572A"/>
    <w:rsid w:val="00EA580C"/>
    <w:rsid w:val="00EA5862"/>
    <w:rsid w:val="00EA58FD"/>
    <w:rsid w:val="00EA5A2E"/>
    <w:rsid w:val="00EA5C48"/>
    <w:rsid w:val="00EA5CBF"/>
    <w:rsid w:val="00EA5EB6"/>
    <w:rsid w:val="00EA636A"/>
    <w:rsid w:val="00EA6384"/>
    <w:rsid w:val="00EA639A"/>
    <w:rsid w:val="00EA6417"/>
    <w:rsid w:val="00EA64CD"/>
    <w:rsid w:val="00EA6728"/>
    <w:rsid w:val="00EA680F"/>
    <w:rsid w:val="00EA6875"/>
    <w:rsid w:val="00EA6A36"/>
    <w:rsid w:val="00EA6A86"/>
    <w:rsid w:val="00EA6A9A"/>
    <w:rsid w:val="00EA6B42"/>
    <w:rsid w:val="00EA6B72"/>
    <w:rsid w:val="00EA6CB4"/>
    <w:rsid w:val="00EA6D11"/>
    <w:rsid w:val="00EA6D4D"/>
    <w:rsid w:val="00EA6D7F"/>
    <w:rsid w:val="00EA6D95"/>
    <w:rsid w:val="00EA6E00"/>
    <w:rsid w:val="00EA6F31"/>
    <w:rsid w:val="00EA700D"/>
    <w:rsid w:val="00EA70D9"/>
    <w:rsid w:val="00EA715E"/>
    <w:rsid w:val="00EA7198"/>
    <w:rsid w:val="00EA746D"/>
    <w:rsid w:val="00EA7542"/>
    <w:rsid w:val="00EA7669"/>
    <w:rsid w:val="00EA7681"/>
    <w:rsid w:val="00EA77BD"/>
    <w:rsid w:val="00EA782B"/>
    <w:rsid w:val="00EA7898"/>
    <w:rsid w:val="00EA7F56"/>
    <w:rsid w:val="00EB00B4"/>
    <w:rsid w:val="00EB011A"/>
    <w:rsid w:val="00EB01B8"/>
    <w:rsid w:val="00EB02AE"/>
    <w:rsid w:val="00EB02BE"/>
    <w:rsid w:val="00EB0440"/>
    <w:rsid w:val="00EB0455"/>
    <w:rsid w:val="00EB04EE"/>
    <w:rsid w:val="00EB1060"/>
    <w:rsid w:val="00EB11D8"/>
    <w:rsid w:val="00EB1222"/>
    <w:rsid w:val="00EB1283"/>
    <w:rsid w:val="00EB1292"/>
    <w:rsid w:val="00EB129B"/>
    <w:rsid w:val="00EB12BF"/>
    <w:rsid w:val="00EB132A"/>
    <w:rsid w:val="00EB139E"/>
    <w:rsid w:val="00EB1440"/>
    <w:rsid w:val="00EB15B0"/>
    <w:rsid w:val="00EB17BE"/>
    <w:rsid w:val="00EB1A73"/>
    <w:rsid w:val="00EB1A9F"/>
    <w:rsid w:val="00EB1ABF"/>
    <w:rsid w:val="00EB1AFF"/>
    <w:rsid w:val="00EB1B21"/>
    <w:rsid w:val="00EB1B9C"/>
    <w:rsid w:val="00EB1DF1"/>
    <w:rsid w:val="00EB1E37"/>
    <w:rsid w:val="00EB1E3B"/>
    <w:rsid w:val="00EB1E70"/>
    <w:rsid w:val="00EB1EAC"/>
    <w:rsid w:val="00EB1F15"/>
    <w:rsid w:val="00EB1F71"/>
    <w:rsid w:val="00EB1FA6"/>
    <w:rsid w:val="00EB2011"/>
    <w:rsid w:val="00EB20F5"/>
    <w:rsid w:val="00EB22ED"/>
    <w:rsid w:val="00EB233E"/>
    <w:rsid w:val="00EB2514"/>
    <w:rsid w:val="00EB265D"/>
    <w:rsid w:val="00EB266B"/>
    <w:rsid w:val="00EB27B7"/>
    <w:rsid w:val="00EB2859"/>
    <w:rsid w:val="00EB2A7F"/>
    <w:rsid w:val="00EB2B67"/>
    <w:rsid w:val="00EB2C4B"/>
    <w:rsid w:val="00EB2D7F"/>
    <w:rsid w:val="00EB3033"/>
    <w:rsid w:val="00EB3186"/>
    <w:rsid w:val="00EB3197"/>
    <w:rsid w:val="00EB322A"/>
    <w:rsid w:val="00EB32FC"/>
    <w:rsid w:val="00EB34A8"/>
    <w:rsid w:val="00EB35A6"/>
    <w:rsid w:val="00EB36C1"/>
    <w:rsid w:val="00EB3ADA"/>
    <w:rsid w:val="00EB3C0A"/>
    <w:rsid w:val="00EB3CB3"/>
    <w:rsid w:val="00EB3CC4"/>
    <w:rsid w:val="00EB3E12"/>
    <w:rsid w:val="00EB3EB0"/>
    <w:rsid w:val="00EB3EFD"/>
    <w:rsid w:val="00EB3FD3"/>
    <w:rsid w:val="00EB4072"/>
    <w:rsid w:val="00EB423B"/>
    <w:rsid w:val="00EB4331"/>
    <w:rsid w:val="00EB458E"/>
    <w:rsid w:val="00EB46D6"/>
    <w:rsid w:val="00EB48E7"/>
    <w:rsid w:val="00EB4AC8"/>
    <w:rsid w:val="00EB4B13"/>
    <w:rsid w:val="00EB4C21"/>
    <w:rsid w:val="00EB4C6D"/>
    <w:rsid w:val="00EB4CBC"/>
    <w:rsid w:val="00EB4E71"/>
    <w:rsid w:val="00EB4EC3"/>
    <w:rsid w:val="00EB4EE0"/>
    <w:rsid w:val="00EB507F"/>
    <w:rsid w:val="00EB50B3"/>
    <w:rsid w:val="00EB50BF"/>
    <w:rsid w:val="00EB514E"/>
    <w:rsid w:val="00EB5381"/>
    <w:rsid w:val="00EB53DF"/>
    <w:rsid w:val="00EB53F2"/>
    <w:rsid w:val="00EB5441"/>
    <w:rsid w:val="00EB55AA"/>
    <w:rsid w:val="00EB578C"/>
    <w:rsid w:val="00EB5852"/>
    <w:rsid w:val="00EB59CB"/>
    <w:rsid w:val="00EB5A85"/>
    <w:rsid w:val="00EB5AC8"/>
    <w:rsid w:val="00EB5CA8"/>
    <w:rsid w:val="00EB5EE5"/>
    <w:rsid w:val="00EB5F2F"/>
    <w:rsid w:val="00EB5FEC"/>
    <w:rsid w:val="00EB6007"/>
    <w:rsid w:val="00EB6038"/>
    <w:rsid w:val="00EB611E"/>
    <w:rsid w:val="00EB636B"/>
    <w:rsid w:val="00EB64A4"/>
    <w:rsid w:val="00EB655A"/>
    <w:rsid w:val="00EB6574"/>
    <w:rsid w:val="00EB65F8"/>
    <w:rsid w:val="00EB668C"/>
    <w:rsid w:val="00EB67B5"/>
    <w:rsid w:val="00EB68DC"/>
    <w:rsid w:val="00EB6B1B"/>
    <w:rsid w:val="00EB6B62"/>
    <w:rsid w:val="00EB6C0D"/>
    <w:rsid w:val="00EB6D68"/>
    <w:rsid w:val="00EB6EF7"/>
    <w:rsid w:val="00EB6F24"/>
    <w:rsid w:val="00EB6FA6"/>
    <w:rsid w:val="00EB6FBD"/>
    <w:rsid w:val="00EB7022"/>
    <w:rsid w:val="00EB7080"/>
    <w:rsid w:val="00EB739F"/>
    <w:rsid w:val="00EB7509"/>
    <w:rsid w:val="00EB75B7"/>
    <w:rsid w:val="00EB75CD"/>
    <w:rsid w:val="00EB75E2"/>
    <w:rsid w:val="00EB7897"/>
    <w:rsid w:val="00EB78AE"/>
    <w:rsid w:val="00EB7A1E"/>
    <w:rsid w:val="00EB7A20"/>
    <w:rsid w:val="00EB7A24"/>
    <w:rsid w:val="00EB7AB7"/>
    <w:rsid w:val="00EB7B44"/>
    <w:rsid w:val="00EB7DEF"/>
    <w:rsid w:val="00EB7EF4"/>
    <w:rsid w:val="00EC006E"/>
    <w:rsid w:val="00EC0295"/>
    <w:rsid w:val="00EC029C"/>
    <w:rsid w:val="00EC02DE"/>
    <w:rsid w:val="00EC03CA"/>
    <w:rsid w:val="00EC0433"/>
    <w:rsid w:val="00EC0472"/>
    <w:rsid w:val="00EC076A"/>
    <w:rsid w:val="00EC0850"/>
    <w:rsid w:val="00EC0947"/>
    <w:rsid w:val="00EC0A78"/>
    <w:rsid w:val="00EC0B93"/>
    <w:rsid w:val="00EC0BFA"/>
    <w:rsid w:val="00EC0D98"/>
    <w:rsid w:val="00EC0DA8"/>
    <w:rsid w:val="00EC0E34"/>
    <w:rsid w:val="00EC0EB9"/>
    <w:rsid w:val="00EC0EE9"/>
    <w:rsid w:val="00EC0F70"/>
    <w:rsid w:val="00EC112B"/>
    <w:rsid w:val="00EC1250"/>
    <w:rsid w:val="00EC13F4"/>
    <w:rsid w:val="00EC1459"/>
    <w:rsid w:val="00EC1472"/>
    <w:rsid w:val="00EC1508"/>
    <w:rsid w:val="00EC159F"/>
    <w:rsid w:val="00EC1687"/>
    <w:rsid w:val="00EC1692"/>
    <w:rsid w:val="00EC1993"/>
    <w:rsid w:val="00EC1A23"/>
    <w:rsid w:val="00EC1D16"/>
    <w:rsid w:val="00EC21A4"/>
    <w:rsid w:val="00EC21A5"/>
    <w:rsid w:val="00EC24A7"/>
    <w:rsid w:val="00EC256F"/>
    <w:rsid w:val="00EC25E5"/>
    <w:rsid w:val="00EC2603"/>
    <w:rsid w:val="00EC26BB"/>
    <w:rsid w:val="00EC2701"/>
    <w:rsid w:val="00EC2803"/>
    <w:rsid w:val="00EC282F"/>
    <w:rsid w:val="00EC28A5"/>
    <w:rsid w:val="00EC28FB"/>
    <w:rsid w:val="00EC2951"/>
    <w:rsid w:val="00EC29BC"/>
    <w:rsid w:val="00EC2BF8"/>
    <w:rsid w:val="00EC2C75"/>
    <w:rsid w:val="00EC2DA2"/>
    <w:rsid w:val="00EC2DE2"/>
    <w:rsid w:val="00EC3000"/>
    <w:rsid w:val="00EC3203"/>
    <w:rsid w:val="00EC338F"/>
    <w:rsid w:val="00EC3811"/>
    <w:rsid w:val="00EC38F8"/>
    <w:rsid w:val="00EC3A79"/>
    <w:rsid w:val="00EC3BA7"/>
    <w:rsid w:val="00EC3BB7"/>
    <w:rsid w:val="00EC3D15"/>
    <w:rsid w:val="00EC3E1E"/>
    <w:rsid w:val="00EC3EC9"/>
    <w:rsid w:val="00EC3F1A"/>
    <w:rsid w:val="00EC401C"/>
    <w:rsid w:val="00EC4037"/>
    <w:rsid w:val="00EC40BE"/>
    <w:rsid w:val="00EC4170"/>
    <w:rsid w:val="00EC4205"/>
    <w:rsid w:val="00EC4366"/>
    <w:rsid w:val="00EC43DC"/>
    <w:rsid w:val="00EC4434"/>
    <w:rsid w:val="00EC4491"/>
    <w:rsid w:val="00EC44A0"/>
    <w:rsid w:val="00EC4637"/>
    <w:rsid w:val="00EC4840"/>
    <w:rsid w:val="00EC48D0"/>
    <w:rsid w:val="00EC496F"/>
    <w:rsid w:val="00EC4C1A"/>
    <w:rsid w:val="00EC4C75"/>
    <w:rsid w:val="00EC4DD5"/>
    <w:rsid w:val="00EC4E45"/>
    <w:rsid w:val="00EC4FA6"/>
    <w:rsid w:val="00EC5036"/>
    <w:rsid w:val="00EC5045"/>
    <w:rsid w:val="00EC50E7"/>
    <w:rsid w:val="00EC513E"/>
    <w:rsid w:val="00EC5242"/>
    <w:rsid w:val="00EC54A3"/>
    <w:rsid w:val="00EC5532"/>
    <w:rsid w:val="00EC55B3"/>
    <w:rsid w:val="00EC582A"/>
    <w:rsid w:val="00EC588F"/>
    <w:rsid w:val="00EC5A2F"/>
    <w:rsid w:val="00EC5A5E"/>
    <w:rsid w:val="00EC5A82"/>
    <w:rsid w:val="00EC5B13"/>
    <w:rsid w:val="00EC5C30"/>
    <w:rsid w:val="00EC5C89"/>
    <w:rsid w:val="00EC5D9A"/>
    <w:rsid w:val="00EC5DCC"/>
    <w:rsid w:val="00EC5EB4"/>
    <w:rsid w:val="00EC5ED3"/>
    <w:rsid w:val="00EC5EF8"/>
    <w:rsid w:val="00EC61B5"/>
    <w:rsid w:val="00EC61E4"/>
    <w:rsid w:val="00EC6256"/>
    <w:rsid w:val="00EC6290"/>
    <w:rsid w:val="00EC62DE"/>
    <w:rsid w:val="00EC6372"/>
    <w:rsid w:val="00EC6376"/>
    <w:rsid w:val="00EC6435"/>
    <w:rsid w:val="00EC64DA"/>
    <w:rsid w:val="00EC66D5"/>
    <w:rsid w:val="00EC67C3"/>
    <w:rsid w:val="00EC67DF"/>
    <w:rsid w:val="00EC68F9"/>
    <w:rsid w:val="00EC692A"/>
    <w:rsid w:val="00EC6938"/>
    <w:rsid w:val="00EC6991"/>
    <w:rsid w:val="00EC69BE"/>
    <w:rsid w:val="00EC6A3A"/>
    <w:rsid w:val="00EC6C3F"/>
    <w:rsid w:val="00EC6C44"/>
    <w:rsid w:val="00EC6E68"/>
    <w:rsid w:val="00EC6F13"/>
    <w:rsid w:val="00EC6FC2"/>
    <w:rsid w:val="00EC709C"/>
    <w:rsid w:val="00EC71BC"/>
    <w:rsid w:val="00EC734D"/>
    <w:rsid w:val="00EC73C6"/>
    <w:rsid w:val="00EC73FE"/>
    <w:rsid w:val="00EC747D"/>
    <w:rsid w:val="00EC7593"/>
    <w:rsid w:val="00EC75B1"/>
    <w:rsid w:val="00EC7649"/>
    <w:rsid w:val="00EC7672"/>
    <w:rsid w:val="00EC7770"/>
    <w:rsid w:val="00EC7821"/>
    <w:rsid w:val="00EC78F2"/>
    <w:rsid w:val="00EC7B04"/>
    <w:rsid w:val="00EC7B14"/>
    <w:rsid w:val="00EC7B1A"/>
    <w:rsid w:val="00EC7C5C"/>
    <w:rsid w:val="00EC7D88"/>
    <w:rsid w:val="00EC7E76"/>
    <w:rsid w:val="00EC7FEC"/>
    <w:rsid w:val="00ED02B3"/>
    <w:rsid w:val="00ED036F"/>
    <w:rsid w:val="00ED0391"/>
    <w:rsid w:val="00ED0522"/>
    <w:rsid w:val="00ED0565"/>
    <w:rsid w:val="00ED0637"/>
    <w:rsid w:val="00ED06A0"/>
    <w:rsid w:val="00ED06A7"/>
    <w:rsid w:val="00ED09E8"/>
    <w:rsid w:val="00ED0B22"/>
    <w:rsid w:val="00ED0BCF"/>
    <w:rsid w:val="00ED0C81"/>
    <w:rsid w:val="00ED0C90"/>
    <w:rsid w:val="00ED0C95"/>
    <w:rsid w:val="00ED0CE6"/>
    <w:rsid w:val="00ED0D46"/>
    <w:rsid w:val="00ED0E67"/>
    <w:rsid w:val="00ED0E6A"/>
    <w:rsid w:val="00ED1019"/>
    <w:rsid w:val="00ED1078"/>
    <w:rsid w:val="00ED10C0"/>
    <w:rsid w:val="00ED1175"/>
    <w:rsid w:val="00ED119E"/>
    <w:rsid w:val="00ED1216"/>
    <w:rsid w:val="00ED132F"/>
    <w:rsid w:val="00ED1353"/>
    <w:rsid w:val="00ED153C"/>
    <w:rsid w:val="00ED15BF"/>
    <w:rsid w:val="00ED165C"/>
    <w:rsid w:val="00ED16FF"/>
    <w:rsid w:val="00ED17AC"/>
    <w:rsid w:val="00ED1897"/>
    <w:rsid w:val="00ED18D6"/>
    <w:rsid w:val="00ED1981"/>
    <w:rsid w:val="00ED1AC6"/>
    <w:rsid w:val="00ED1B0F"/>
    <w:rsid w:val="00ED1B10"/>
    <w:rsid w:val="00ED1CB7"/>
    <w:rsid w:val="00ED1CF4"/>
    <w:rsid w:val="00ED1D5A"/>
    <w:rsid w:val="00ED1E30"/>
    <w:rsid w:val="00ED1EF2"/>
    <w:rsid w:val="00ED2002"/>
    <w:rsid w:val="00ED2018"/>
    <w:rsid w:val="00ED212D"/>
    <w:rsid w:val="00ED2171"/>
    <w:rsid w:val="00ED2262"/>
    <w:rsid w:val="00ED22E8"/>
    <w:rsid w:val="00ED2426"/>
    <w:rsid w:val="00ED26FF"/>
    <w:rsid w:val="00ED2933"/>
    <w:rsid w:val="00ED2952"/>
    <w:rsid w:val="00ED2959"/>
    <w:rsid w:val="00ED2A4A"/>
    <w:rsid w:val="00ED2BDB"/>
    <w:rsid w:val="00ED2CCF"/>
    <w:rsid w:val="00ED2CFE"/>
    <w:rsid w:val="00ED2E52"/>
    <w:rsid w:val="00ED2EB1"/>
    <w:rsid w:val="00ED2ED5"/>
    <w:rsid w:val="00ED2EF4"/>
    <w:rsid w:val="00ED2FE1"/>
    <w:rsid w:val="00ED3039"/>
    <w:rsid w:val="00ED3071"/>
    <w:rsid w:val="00ED313B"/>
    <w:rsid w:val="00ED33BC"/>
    <w:rsid w:val="00ED3567"/>
    <w:rsid w:val="00ED3684"/>
    <w:rsid w:val="00ED372C"/>
    <w:rsid w:val="00ED38F8"/>
    <w:rsid w:val="00ED39C7"/>
    <w:rsid w:val="00ED3A1F"/>
    <w:rsid w:val="00ED3B05"/>
    <w:rsid w:val="00ED3B0C"/>
    <w:rsid w:val="00ED3B82"/>
    <w:rsid w:val="00ED3C03"/>
    <w:rsid w:val="00ED3D37"/>
    <w:rsid w:val="00ED3DCC"/>
    <w:rsid w:val="00ED3DEB"/>
    <w:rsid w:val="00ED3E32"/>
    <w:rsid w:val="00ED3F40"/>
    <w:rsid w:val="00ED3FD4"/>
    <w:rsid w:val="00ED401D"/>
    <w:rsid w:val="00ED408D"/>
    <w:rsid w:val="00ED4124"/>
    <w:rsid w:val="00ED4238"/>
    <w:rsid w:val="00ED426C"/>
    <w:rsid w:val="00ED4502"/>
    <w:rsid w:val="00ED4517"/>
    <w:rsid w:val="00ED453B"/>
    <w:rsid w:val="00ED4564"/>
    <w:rsid w:val="00ED45D8"/>
    <w:rsid w:val="00ED4686"/>
    <w:rsid w:val="00ED4785"/>
    <w:rsid w:val="00ED48DA"/>
    <w:rsid w:val="00ED49A9"/>
    <w:rsid w:val="00ED49F8"/>
    <w:rsid w:val="00ED4A98"/>
    <w:rsid w:val="00ED4B8F"/>
    <w:rsid w:val="00ED4DBF"/>
    <w:rsid w:val="00ED4EC8"/>
    <w:rsid w:val="00ED5028"/>
    <w:rsid w:val="00ED530D"/>
    <w:rsid w:val="00ED534A"/>
    <w:rsid w:val="00ED53EF"/>
    <w:rsid w:val="00ED55DD"/>
    <w:rsid w:val="00ED56B4"/>
    <w:rsid w:val="00ED56FD"/>
    <w:rsid w:val="00ED578F"/>
    <w:rsid w:val="00ED57DA"/>
    <w:rsid w:val="00ED57EA"/>
    <w:rsid w:val="00ED588E"/>
    <w:rsid w:val="00ED5AC0"/>
    <w:rsid w:val="00ED5B09"/>
    <w:rsid w:val="00ED5BC6"/>
    <w:rsid w:val="00ED5C5D"/>
    <w:rsid w:val="00ED5C94"/>
    <w:rsid w:val="00ED5DD8"/>
    <w:rsid w:val="00ED5FCF"/>
    <w:rsid w:val="00ED603C"/>
    <w:rsid w:val="00ED60C8"/>
    <w:rsid w:val="00ED615D"/>
    <w:rsid w:val="00ED6245"/>
    <w:rsid w:val="00ED6332"/>
    <w:rsid w:val="00ED637A"/>
    <w:rsid w:val="00ED6697"/>
    <w:rsid w:val="00ED68DA"/>
    <w:rsid w:val="00ED6A46"/>
    <w:rsid w:val="00ED6AE9"/>
    <w:rsid w:val="00ED6BE1"/>
    <w:rsid w:val="00ED6BE4"/>
    <w:rsid w:val="00ED6FAA"/>
    <w:rsid w:val="00ED7084"/>
    <w:rsid w:val="00ED70D8"/>
    <w:rsid w:val="00ED72E5"/>
    <w:rsid w:val="00ED7383"/>
    <w:rsid w:val="00ED738D"/>
    <w:rsid w:val="00ED73DC"/>
    <w:rsid w:val="00ED74AD"/>
    <w:rsid w:val="00ED7542"/>
    <w:rsid w:val="00ED7651"/>
    <w:rsid w:val="00ED7667"/>
    <w:rsid w:val="00ED76D7"/>
    <w:rsid w:val="00ED7718"/>
    <w:rsid w:val="00ED77D5"/>
    <w:rsid w:val="00ED77F3"/>
    <w:rsid w:val="00ED7911"/>
    <w:rsid w:val="00ED7A7C"/>
    <w:rsid w:val="00ED7AE2"/>
    <w:rsid w:val="00ED7C86"/>
    <w:rsid w:val="00ED7CFF"/>
    <w:rsid w:val="00ED7D61"/>
    <w:rsid w:val="00EE0008"/>
    <w:rsid w:val="00EE00CE"/>
    <w:rsid w:val="00EE023E"/>
    <w:rsid w:val="00EE041A"/>
    <w:rsid w:val="00EE0456"/>
    <w:rsid w:val="00EE04C0"/>
    <w:rsid w:val="00EE0555"/>
    <w:rsid w:val="00EE06B5"/>
    <w:rsid w:val="00EE08A9"/>
    <w:rsid w:val="00EE0A51"/>
    <w:rsid w:val="00EE0A55"/>
    <w:rsid w:val="00EE0BFA"/>
    <w:rsid w:val="00EE0C45"/>
    <w:rsid w:val="00EE0CBF"/>
    <w:rsid w:val="00EE0CCD"/>
    <w:rsid w:val="00EE0D6E"/>
    <w:rsid w:val="00EE0D7A"/>
    <w:rsid w:val="00EE0DA3"/>
    <w:rsid w:val="00EE0F29"/>
    <w:rsid w:val="00EE0FF5"/>
    <w:rsid w:val="00EE11E5"/>
    <w:rsid w:val="00EE1218"/>
    <w:rsid w:val="00EE1229"/>
    <w:rsid w:val="00EE125A"/>
    <w:rsid w:val="00EE12D2"/>
    <w:rsid w:val="00EE1333"/>
    <w:rsid w:val="00EE13A7"/>
    <w:rsid w:val="00EE14FF"/>
    <w:rsid w:val="00EE1515"/>
    <w:rsid w:val="00EE1583"/>
    <w:rsid w:val="00EE15B8"/>
    <w:rsid w:val="00EE1624"/>
    <w:rsid w:val="00EE171E"/>
    <w:rsid w:val="00EE172C"/>
    <w:rsid w:val="00EE17D2"/>
    <w:rsid w:val="00EE1995"/>
    <w:rsid w:val="00EE19E6"/>
    <w:rsid w:val="00EE1A0F"/>
    <w:rsid w:val="00EE1B26"/>
    <w:rsid w:val="00EE1B99"/>
    <w:rsid w:val="00EE1CA2"/>
    <w:rsid w:val="00EE1E75"/>
    <w:rsid w:val="00EE1F78"/>
    <w:rsid w:val="00EE2218"/>
    <w:rsid w:val="00EE2400"/>
    <w:rsid w:val="00EE2447"/>
    <w:rsid w:val="00EE24E8"/>
    <w:rsid w:val="00EE25FF"/>
    <w:rsid w:val="00EE2654"/>
    <w:rsid w:val="00EE2670"/>
    <w:rsid w:val="00EE277A"/>
    <w:rsid w:val="00EE278D"/>
    <w:rsid w:val="00EE27A5"/>
    <w:rsid w:val="00EE27E7"/>
    <w:rsid w:val="00EE281E"/>
    <w:rsid w:val="00EE28FE"/>
    <w:rsid w:val="00EE2937"/>
    <w:rsid w:val="00EE2983"/>
    <w:rsid w:val="00EE29A9"/>
    <w:rsid w:val="00EE29CB"/>
    <w:rsid w:val="00EE2B1D"/>
    <w:rsid w:val="00EE2D92"/>
    <w:rsid w:val="00EE2EEC"/>
    <w:rsid w:val="00EE2F34"/>
    <w:rsid w:val="00EE2F7D"/>
    <w:rsid w:val="00EE2F91"/>
    <w:rsid w:val="00EE3174"/>
    <w:rsid w:val="00EE31D4"/>
    <w:rsid w:val="00EE3283"/>
    <w:rsid w:val="00EE3307"/>
    <w:rsid w:val="00EE34EC"/>
    <w:rsid w:val="00EE35F1"/>
    <w:rsid w:val="00EE36C6"/>
    <w:rsid w:val="00EE3871"/>
    <w:rsid w:val="00EE38C8"/>
    <w:rsid w:val="00EE39C7"/>
    <w:rsid w:val="00EE3A38"/>
    <w:rsid w:val="00EE3AD5"/>
    <w:rsid w:val="00EE3EA3"/>
    <w:rsid w:val="00EE41FB"/>
    <w:rsid w:val="00EE4270"/>
    <w:rsid w:val="00EE4278"/>
    <w:rsid w:val="00EE4326"/>
    <w:rsid w:val="00EE436E"/>
    <w:rsid w:val="00EE446C"/>
    <w:rsid w:val="00EE44CF"/>
    <w:rsid w:val="00EE4686"/>
    <w:rsid w:val="00EE468C"/>
    <w:rsid w:val="00EE469D"/>
    <w:rsid w:val="00EE478B"/>
    <w:rsid w:val="00EE484A"/>
    <w:rsid w:val="00EE4969"/>
    <w:rsid w:val="00EE49CD"/>
    <w:rsid w:val="00EE4A4D"/>
    <w:rsid w:val="00EE4A81"/>
    <w:rsid w:val="00EE4B52"/>
    <w:rsid w:val="00EE4BC4"/>
    <w:rsid w:val="00EE4C11"/>
    <w:rsid w:val="00EE4C67"/>
    <w:rsid w:val="00EE4DF0"/>
    <w:rsid w:val="00EE4E65"/>
    <w:rsid w:val="00EE5066"/>
    <w:rsid w:val="00EE51CA"/>
    <w:rsid w:val="00EE51FD"/>
    <w:rsid w:val="00EE546E"/>
    <w:rsid w:val="00EE549A"/>
    <w:rsid w:val="00EE5622"/>
    <w:rsid w:val="00EE566B"/>
    <w:rsid w:val="00EE584E"/>
    <w:rsid w:val="00EE5907"/>
    <w:rsid w:val="00EE5A3B"/>
    <w:rsid w:val="00EE5AE2"/>
    <w:rsid w:val="00EE5BD1"/>
    <w:rsid w:val="00EE5D4F"/>
    <w:rsid w:val="00EE5DE5"/>
    <w:rsid w:val="00EE5DFE"/>
    <w:rsid w:val="00EE5E17"/>
    <w:rsid w:val="00EE5EFD"/>
    <w:rsid w:val="00EE601E"/>
    <w:rsid w:val="00EE6070"/>
    <w:rsid w:val="00EE60A7"/>
    <w:rsid w:val="00EE612D"/>
    <w:rsid w:val="00EE623F"/>
    <w:rsid w:val="00EE62CE"/>
    <w:rsid w:val="00EE62DA"/>
    <w:rsid w:val="00EE63B2"/>
    <w:rsid w:val="00EE65C1"/>
    <w:rsid w:val="00EE671D"/>
    <w:rsid w:val="00EE69BF"/>
    <w:rsid w:val="00EE69CD"/>
    <w:rsid w:val="00EE6A7A"/>
    <w:rsid w:val="00EE6C58"/>
    <w:rsid w:val="00EE6DD9"/>
    <w:rsid w:val="00EE6E18"/>
    <w:rsid w:val="00EE6E4F"/>
    <w:rsid w:val="00EE70B5"/>
    <w:rsid w:val="00EE712B"/>
    <w:rsid w:val="00EE748A"/>
    <w:rsid w:val="00EE748E"/>
    <w:rsid w:val="00EE74E1"/>
    <w:rsid w:val="00EE7574"/>
    <w:rsid w:val="00EE75D3"/>
    <w:rsid w:val="00EE761F"/>
    <w:rsid w:val="00EE76C0"/>
    <w:rsid w:val="00EE7962"/>
    <w:rsid w:val="00EE79A3"/>
    <w:rsid w:val="00EE79E1"/>
    <w:rsid w:val="00EE7A27"/>
    <w:rsid w:val="00EE7A6E"/>
    <w:rsid w:val="00EE7AD3"/>
    <w:rsid w:val="00EE7B54"/>
    <w:rsid w:val="00EE7BCC"/>
    <w:rsid w:val="00EE7BFB"/>
    <w:rsid w:val="00EE7C98"/>
    <w:rsid w:val="00EE7D74"/>
    <w:rsid w:val="00EE7D7D"/>
    <w:rsid w:val="00EE7E19"/>
    <w:rsid w:val="00EE7E3F"/>
    <w:rsid w:val="00EF0025"/>
    <w:rsid w:val="00EF00BE"/>
    <w:rsid w:val="00EF020A"/>
    <w:rsid w:val="00EF02F3"/>
    <w:rsid w:val="00EF0336"/>
    <w:rsid w:val="00EF04CD"/>
    <w:rsid w:val="00EF0699"/>
    <w:rsid w:val="00EF0747"/>
    <w:rsid w:val="00EF08B5"/>
    <w:rsid w:val="00EF0936"/>
    <w:rsid w:val="00EF0998"/>
    <w:rsid w:val="00EF0C66"/>
    <w:rsid w:val="00EF0C72"/>
    <w:rsid w:val="00EF0F21"/>
    <w:rsid w:val="00EF0F72"/>
    <w:rsid w:val="00EF0F95"/>
    <w:rsid w:val="00EF1063"/>
    <w:rsid w:val="00EF108F"/>
    <w:rsid w:val="00EF10A3"/>
    <w:rsid w:val="00EF12D4"/>
    <w:rsid w:val="00EF1331"/>
    <w:rsid w:val="00EF155A"/>
    <w:rsid w:val="00EF1646"/>
    <w:rsid w:val="00EF18D2"/>
    <w:rsid w:val="00EF18D4"/>
    <w:rsid w:val="00EF1980"/>
    <w:rsid w:val="00EF1ADD"/>
    <w:rsid w:val="00EF1B25"/>
    <w:rsid w:val="00EF1B65"/>
    <w:rsid w:val="00EF1B6B"/>
    <w:rsid w:val="00EF1D41"/>
    <w:rsid w:val="00EF1D62"/>
    <w:rsid w:val="00EF1E6C"/>
    <w:rsid w:val="00EF213B"/>
    <w:rsid w:val="00EF2293"/>
    <w:rsid w:val="00EF22CD"/>
    <w:rsid w:val="00EF22D7"/>
    <w:rsid w:val="00EF23C1"/>
    <w:rsid w:val="00EF2610"/>
    <w:rsid w:val="00EF26D9"/>
    <w:rsid w:val="00EF29B3"/>
    <w:rsid w:val="00EF29BA"/>
    <w:rsid w:val="00EF2B3C"/>
    <w:rsid w:val="00EF2C35"/>
    <w:rsid w:val="00EF311E"/>
    <w:rsid w:val="00EF32AA"/>
    <w:rsid w:val="00EF32D8"/>
    <w:rsid w:val="00EF3490"/>
    <w:rsid w:val="00EF34ED"/>
    <w:rsid w:val="00EF3560"/>
    <w:rsid w:val="00EF35AD"/>
    <w:rsid w:val="00EF35BA"/>
    <w:rsid w:val="00EF3618"/>
    <w:rsid w:val="00EF36F5"/>
    <w:rsid w:val="00EF3726"/>
    <w:rsid w:val="00EF38BE"/>
    <w:rsid w:val="00EF3A32"/>
    <w:rsid w:val="00EF3A3B"/>
    <w:rsid w:val="00EF3BF2"/>
    <w:rsid w:val="00EF3C62"/>
    <w:rsid w:val="00EF3CE3"/>
    <w:rsid w:val="00EF3D2F"/>
    <w:rsid w:val="00EF3E0B"/>
    <w:rsid w:val="00EF3EC3"/>
    <w:rsid w:val="00EF3F33"/>
    <w:rsid w:val="00EF3FD7"/>
    <w:rsid w:val="00EF40C0"/>
    <w:rsid w:val="00EF41BC"/>
    <w:rsid w:val="00EF4205"/>
    <w:rsid w:val="00EF4274"/>
    <w:rsid w:val="00EF42E9"/>
    <w:rsid w:val="00EF433B"/>
    <w:rsid w:val="00EF45DD"/>
    <w:rsid w:val="00EF45E5"/>
    <w:rsid w:val="00EF4608"/>
    <w:rsid w:val="00EF4690"/>
    <w:rsid w:val="00EF47D7"/>
    <w:rsid w:val="00EF47EA"/>
    <w:rsid w:val="00EF48CF"/>
    <w:rsid w:val="00EF48E0"/>
    <w:rsid w:val="00EF4913"/>
    <w:rsid w:val="00EF4951"/>
    <w:rsid w:val="00EF4984"/>
    <w:rsid w:val="00EF4A81"/>
    <w:rsid w:val="00EF4AEB"/>
    <w:rsid w:val="00EF4DC4"/>
    <w:rsid w:val="00EF4E9B"/>
    <w:rsid w:val="00EF50C4"/>
    <w:rsid w:val="00EF5347"/>
    <w:rsid w:val="00EF53A5"/>
    <w:rsid w:val="00EF54CE"/>
    <w:rsid w:val="00EF55C1"/>
    <w:rsid w:val="00EF55F0"/>
    <w:rsid w:val="00EF56DD"/>
    <w:rsid w:val="00EF5989"/>
    <w:rsid w:val="00EF5A78"/>
    <w:rsid w:val="00EF5D2B"/>
    <w:rsid w:val="00EF5EE2"/>
    <w:rsid w:val="00EF607C"/>
    <w:rsid w:val="00EF6222"/>
    <w:rsid w:val="00EF626B"/>
    <w:rsid w:val="00EF626E"/>
    <w:rsid w:val="00EF62CF"/>
    <w:rsid w:val="00EF63AE"/>
    <w:rsid w:val="00EF643E"/>
    <w:rsid w:val="00EF64D5"/>
    <w:rsid w:val="00EF64E3"/>
    <w:rsid w:val="00EF64F7"/>
    <w:rsid w:val="00EF6591"/>
    <w:rsid w:val="00EF6766"/>
    <w:rsid w:val="00EF67BB"/>
    <w:rsid w:val="00EF68A8"/>
    <w:rsid w:val="00EF69CB"/>
    <w:rsid w:val="00EF6B14"/>
    <w:rsid w:val="00EF6E1D"/>
    <w:rsid w:val="00EF6F13"/>
    <w:rsid w:val="00EF6FE2"/>
    <w:rsid w:val="00EF6FFD"/>
    <w:rsid w:val="00EF72BE"/>
    <w:rsid w:val="00EF73B5"/>
    <w:rsid w:val="00EF7420"/>
    <w:rsid w:val="00EF777D"/>
    <w:rsid w:val="00EF7B2D"/>
    <w:rsid w:val="00EF7BDF"/>
    <w:rsid w:val="00EF7C40"/>
    <w:rsid w:val="00EF7DC6"/>
    <w:rsid w:val="00EF7E44"/>
    <w:rsid w:val="00EF7EB1"/>
    <w:rsid w:val="00EF7F22"/>
    <w:rsid w:val="00EF7FB7"/>
    <w:rsid w:val="00F000AA"/>
    <w:rsid w:val="00F000AE"/>
    <w:rsid w:val="00F0013D"/>
    <w:rsid w:val="00F0025D"/>
    <w:rsid w:val="00F002EB"/>
    <w:rsid w:val="00F00337"/>
    <w:rsid w:val="00F003CA"/>
    <w:rsid w:val="00F004C5"/>
    <w:rsid w:val="00F0063F"/>
    <w:rsid w:val="00F00656"/>
    <w:rsid w:val="00F006E2"/>
    <w:rsid w:val="00F006FC"/>
    <w:rsid w:val="00F00757"/>
    <w:rsid w:val="00F0078D"/>
    <w:rsid w:val="00F00858"/>
    <w:rsid w:val="00F008D0"/>
    <w:rsid w:val="00F00B0B"/>
    <w:rsid w:val="00F00B59"/>
    <w:rsid w:val="00F00BAA"/>
    <w:rsid w:val="00F00D7E"/>
    <w:rsid w:val="00F00FC0"/>
    <w:rsid w:val="00F0120C"/>
    <w:rsid w:val="00F013F9"/>
    <w:rsid w:val="00F0153A"/>
    <w:rsid w:val="00F015A0"/>
    <w:rsid w:val="00F01603"/>
    <w:rsid w:val="00F0163E"/>
    <w:rsid w:val="00F018EC"/>
    <w:rsid w:val="00F01995"/>
    <w:rsid w:val="00F01AD8"/>
    <w:rsid w:val="00F01CDB"/>
    <w:rsid w:val="00F01D54"/>
    <w:rsid w:val="00F01DBA"/>
    <w:rsid w:val="00F01E06"/>
    <w:rsid w:val="00F02019"/>
    <w:rsid w:val="00F0203D"/>
    <w:rsid w:val="00F0223D"/>
    <w:rsid w:val="00F022FC"/>
    <w:rsid w:val="00F02473"/>
    <w:rsid w:val="00F024C5"/>
    <w:rsid w:val="00F024E4"/>
    <w:rsid w:val="00F02505"/>
    <w:rsid w:val="00F02619"/>
    <w:rsid w:val="00F0264E"/>
    <w:rsid w:val="00F02668"/>
    <w:rsid w:val="00F027B5"/>
    <w:rsid w:val="00F02A13"/>
    <w:rsid w:val="00F02B48"/>
    <w:rsid w:val="00F02B89"/>
    <w:rsid w:val="00F02E4A"/>
    <w:rsid w:val="00F02EDD"/>
    <w:rsid w:val="00F031C0"/>
    <w:rsid w:val="00F03252"/>
    <w:rsid w:val="00F0336D"/>
    <w:rsid w:val="00F0339D"/>
    <w:rsid w:val="00F035B7"/>
    <w:rsid w:val="00F0388B"/>
    <w:rsid w:val="00F039C2"/>
    <w:rsid w:val="00F039E0"/>
    <w:rsid w:val="00F03A06"/>
    <w:rsid w:val="00F03A4D"/>
    <w:rsid w:val="00F03ACC"/>
    <w:rsid w:val="00F03B4B"/>
    <w:rsid w:val="00F03C6A"/>
    <w:rsid w:val="00F03D12"/>
    <w:rsid w:val="00F03D8F"/>
    <w:rsid w:val="00F03DE9"/>
    <w:rsid w:val="00F03ED0"/>
    <w:rsid w:val="00F03EDD"/>
    <w:rsid w:val="00F04148"/>
    <w:rsid w:val="00F04232"/>
    <w:rsid w:val="00F04320"/>
    <w:rsid w:val="00F0435A"/>
    <w:rsid w:val="00F044DE"/>
    <w:rsid w:val="00F0450C"/>
    <w:rsid w:val="00F045D5"/>
    <w:rsid w:val="00F047EA"/>
    <w:rsid w:val="00F04844"/>
    <w:rsid w:val="00F04894"/>
    <w:rsid w:val="00F048BE"/>
    <w:rsid w:val="00F048D1"/>
    <w:rsid w:val="00F04B0A"/>
    <w:rsid w:val="00F04CA2"/>
    <w:rsid w:val="00F04DCC"/>
    <w:rsid w:val="00F04DD7"/>
    <w:rsid w:val="00F04EA4"/>
    <w:rsid w:val="00F04EF1"/>
    <w:rsid w:val="00F04F74"/>
    <w:rsid w:val="00F04FAB"/>
    <w:rsid w:val="00F04FD2"/>
    <w:rsid w:val="00F05161"/>
    <w:rsid w:val="00F051FD"/>
    <w:rsid w:val="00F05250"/>
    <w:rsid w:val="00F0529A"/>
    <w:rsid w:val="00F05716"/>
    <w:rsid w:val="00F05795"/>
    <w:rsid w:val="00F05950"/>
    <w:rsid w:val="00F059C5"/>
    <w:rsid w:val="00F05AAE"/>
    <w:rsid w:val="00F05BB0"/>
    <w:rsid w:val="00F05BCE"/>
    <w:rsid w:val="00F05BE8"/>
    <w:rsid w:val="00F05E3F"/>
    <w:rsid w:val="00F05F41"/>
    <w:rsid w:val="00F05FB5"/>
    <w:rsid w:val="00F060B8"/>
    <w:rsid w:val="00F06124"/>
    <w:rsid w:val="00F06135"/>
    <w:rsid w:val="00F061DD"/>
    <w:rsid w:val="00F062A8"/>
    <w:rsid w:val="00F06463"/>
    <w:rsid w:val="00F0648A"/>
    <w:rsid w:val="00F06497"/>
    <w:rsid w:val="00F0667C"/>
    <w:rsid w:val="00F06715"/>
    <w:rsid w:val="00F067D8"/>
    <w:rsid w:val="00F06869"/>
    <w:rsid w:val="00F068C4"/>
    <w:rsid w:val="00F069E6"/>
    <w:rsid w:val="00F06A39"/>
    <w:rsid w:val="00F06A88"/>
    <w:rsid w:val="00F06B47"/>
    <w:rsid w:val="00F06C48"/>
    <w:rsid w:val="00F07135"/>
    <w:rsid w:val="00F073E8"/>
    <w:rsid w:val="00F07420"/>
    <w:rsid w:val="00F07448"/>
    <w:rsid w:val="00F0744B"/>
    <w:rsid w:val="00F07457"/>
    <w:rsid w:val="00F0749A"/>
    <w:rsid w:val="00F07584"/>
    <w:rsid w:val="00F075B0"/>
    <w:rsid w:val="00F07830"/>
    <w:rsid w:val="00F0786E"/>
    <w:rsid w:val="00F07A66"/>
    <w:rsid w:val="00F07ADE"/>
    <w:rsid w:val="00F07C92"/>
    <w:rsid w:val="00F07CAF"/>
    <w:rsid w:val="00F07D52"/>
    <w:rsid w:val="00F07E62"/>
    <w:rsid w:val="00F07EE9"/>
    <w:rsid w:val="00F07F6E"/>
    <w:rsid w:val="00F1005B"/>
    <w:rsid w:val="00F100E2"/>
    <w:rsid w:val="00F1017E"/>
    <w:rsid w:val="00F102AD"/>
    <w:rsid w:val="00F102BE"/>
    <w:rsid w:val="00F103E4"/>
    <w:rsid w:val="00F10405"/>
    <w:rsid w:val="00F10534"/>
    <w:rsid w:val="00F1053C"/>
    <w:rsid w:val="00F10555"/>
    <w:rsid w:val="00F10686"/>
    <w:rsid w:val="00F10695"/>
    <w:rsid w:val="00F106E1"/>
    <w:rsid w:val="00F10918"/>
    <w:rsid w:val="00F10954"/>
    <w:rsid w:val="00F10A37"/>
    <w:rsid w:val="00F10AF6"/>
    <w:rsid w:val="00F10B5E"/>
    <w:rsid w:val="00F10C0A"/>
    <w:rsid w:val="00F10C0C"/>
    <w:rsid w:val="00F10D4E"/>
    <w:rsid w:val="00F10D8E"/>
    <w:rsid w:val="00F10E3C"/>
    <w:rsid w:val="00F10E95"/>
    <w:rsid w:val="00F10EC2"/>
    <w:rsid w:val="00F10F17"/>
    <w:rsid w:val="00F1104A"/>
    <w:rsid w:val="00F110A6"/>
    <w:rsid w:val="00F111F4"/>
    <w:rsid w:val="00F11242"/>
    <w:rsid w:val="00F11318"/>
    <w:rsid w:val="00F11399"/>
    <w:rsid w:val="00F1179F"/>
    <w:rsid w:val="00F119C9"/>
    <w:rsid w:val="00F11A2C"/>
    <w:rsid w:val="00F11BD9"/>
    <w:rsid w:val="00F11C7C"/>
    <w:rsid w:val="00F11C85"/>
    <w:rsid w:val="00F11EFC"/>
    <w:rsid w:val="00F11F67"/>
    <w:rsid w:val="00F12111"/>
    <w:rsid w:val="00F12117"/>
    <w:rsid w:val="00F123B6"/>
    <w:rsid w:val="00F127ED"/>
    <w:rsid w:val="00F1287B"/>
    <w:rsid w:val="00F1287C"/>
    <w:rsid w:val="00F128FD"/>
    <w:rsid w:val="00F12C51"/>
    <w:rsid w:val="00F12C5F"/>
    <w:rsid w:val="00F12D99"/>
    <w:rsid w:val="00F12EDB"/>
    <w:rsid w:val="00F12FC5"/>
    <w:rsid w:val="00F12FF7"/>
    <w:rsid w:val="00F13140"/>
    <w:rsid w:val="00F131BE"/>
    <w:rsid w:val="00F13279"/>
    <w:rsid w:val="00F132E2"/>
    <w:rsid w:val="00F1332E"/>
    <w:rsid w:val="00F133D2"/>
    <w:rsid w:val="00F133DC"/>
    <w:rsid w:val="00F134F8"/>
    <w:rsid w:val="00F13516"/>
    <w:rsid w:val="00F13535"/>
    <w:rsid w:val="00F13684"/>
    <w:rsid w:val="00F13723"/>
    <w:rsid w:val="00F13983"/>
    <w:rsid w:val="00F13991"/>
    <w:rsid w:val="00F13A1F"/>
    <w:rsid w:val="00F13BAA"/>
    <w:rsid w:val="00F13D77"/>
    <w:rsid w:val="00F13E0D"/>
    <w:rsid w:val="00F1415F"/>
    <w:rsid w:val="00F141B3"/>
    <w:rsid w:val="00F142B5"/>
    <w:rsid w:val="00F145AB"/>
    <w:rsid w:val="00F14756"/>
    <w:rsid w:val="00F147F1"/>
    <w:rsid w:val="00F14828"/>
    <w:rsid w:val="00F14870"/>
    <w:rsid w:val="00F14900"/>
    <w:rsid w:val="00F14A32"/>
    <w:rsid w:val="00F14A42"/>
    <w:rsid w:val="00F14B87"/>
    <w:rsid w:val="00F14CD9"/>
    <w:rsid w:val="00F14D03"/>
    <w:rsid w:val="00F14D0E"/>
    <w:rsid w:val="00F14D8C"/>
    <w:rsid w:val="00F14E22"/>
    <w:rsid w:val="00F14FA1"/>
    <w:rsid w:val="00F15007"/>
    <w:rsid w:val="00F15127"/>
    <w:rsid w:val="00F1515A"/>
    <w:rsid w:val="00F1522B"/>
    <w:rsid w:val="00F15295"/>
    <w:rsid w:val="00F15339"/>
    <w:rsid w:val="00F15567"/>
    <w:rsid w:val="00F155CC"/>
    <w:rsid w:val="00F15806"/>
    <w:rsid w:val="00F1584B"/>
    <w:rsid w:val="00F15925"/>
    <w:rsid w:val="00F159C9"/>
    <w:rsid w:val="00F15A79"/>
    <w:rsid w:val="00F15E51"/>
    <w:rsid w:val="00F15E5C"/>
    <w:rsid w:val="00F15EC2"/>
    <w:rsid w:val="00F15F8F"/>
    <w:rsid w:val="00F15F94"/>
    <w:rsid w:val="00F1607D"/>
    <w:rsid w:val="00F16112"/>
    <w:rsid w:val="00F16240"/>
    <w:rsid w:val="00F163EA"/>
    <w:rsid w:val="00F1653B"/>
    <w:rsid w:val="00F16574"/>
    <w:rsid w:val="00F1665A"/>
    <w:rsid w:val="00F16711"/>
    <w:rsid w:val="00F1671B"/>
    <w:rsid w:val="00F169E5"/>
    <w:rsid w:val="00F16C2F"/>
    <w:rsid w:val="00F16CC6"/>
    <w:rsid w:val="00F16CEF"/>
    <w:rsid w:val="00F16D0B"/>
    <w:rsid w:val="00F16D32"/>
    <w:rsid w:val="00F16D3E"/>
    <w:rsid w:val="00F16D7E"/>
    <w:rsid w:val="00F16EC1"/>
    <w:rsid w:val="00F16F5E"/>
    <w:rsid w:val="00F16FD3"/>
    <w:rsid w:val="00F1728A"/>
    <w:rsid w:val="00F1729C"/>
    <w:rsid w:val="00F17435"/>
    <w:rsid w:val="00F17469"/>
    <w:rsid w:val="00F174ED"/>
    <w:rsid w:val="00F17610"/>
    <w:rsid w:val="00F1780F"/>
    <w:rsid w:val="00F178C4"/>
    <w:rsid w:val="00F17A89"/>
    <w:rsid w:val="00F17ADF"/>
    <w:rsid w:val="00F17B31"/>
    <w:rsid w:val="00F17BD2"/>
    <w:rsid w:val="00F17BFC"/>
    <w:rsid w:val="00F17D8A"/>
    <w:rsid w:val="00F17E93"/>
    <w:rsid w:val="00F17EB4"/>
    <w:rsid w:val="00F17FEF"/>
    <w:rsid w:val="00F2000F"/>
    <w:rsid w:val="00F20027"/>
    <w:rsid w:val="00F200BA"/>
    <w:rsid w:val="00F20167"/>
    <w:rsid w:val="00F20289"/>
    <w:rsid w:val="00F2034F"/>
    <w:rsid w:val="00F20470"/>
    <w:rsid w:val="00F20566"/>
    <w:rsid w:val="00F205B7"/>
    <w:rsid w:val="00F20644"/>
    <w:rsid w:val="00F20792"/>
    <w:rsid w:val="00F207AC"/>
    <w:rsid w:val="00F2095A"/>
    <w:rsid w:val="00F20970"/>
    <w:rsid w:val="00F20B97"/>
    <w:rsid w:val="00F20CC5"/>
    <w:rsid w:val="00F20D72"/>
    <w:rsid w:val="00F20E1A"/>
    <w:rsid w:val="00F20F2B"/>
    <w:rsid w:val="00F2124D"/>
    <w:rsid w:val="00F21257"/>
    <w:rsid w:val="00F2125F"/>
    <w:rsid w:val="00F2141A"/>
    <w:rsid w:val="00F21511"/>
    <w:rsid w:val="00F215D8"/>
    <w:rsid w:val="00F21713"/>
    <w:rsid w:val="00F219A5"/>
    <w:rsid w:val="00F21A57"/>
    <w:rsid w:val="00F21AC6"/>
    <w:rsid w:val="00F21B53"/>
    <w:rsid w:val="00F21B6A"/>
    <w:rsid w:val="00F21B87"/>
    <w:rsid w:val="00F21CEA"/>
    <w:rsid w:val="00F21D2F"/>
    <w:rsid w:val="00F21D5C"/>
    <w:rsid w:val="00F21DE7"/>
    <w:rsid w:val="00F21ED1"/>
    <w:rsid w:val="00F21F9A"/>
    <w:rsid w:val="00F21FC1"/>
    <w:rsid w:val="00F2227D"/>
    <w:rsid w:val="00F223A6"/>
    <w:rsid w:val="00F225AF"/>
    <w:rsid w:val="00F225DB"/>
    <w:rsid w:val="00F22707"/>
    <w:rsid w:val="00F2279A"/>
    <w:rsid w:val="00F227D4"/>
    <w:rsid w:val="00F228E7"/>
    <w:rsid w:val="00F22AD3"/>
    <w:rsid w:val="00F22B0B"/>
    <w:rsid w:val="00F22CE7"/>
    <w:rsid w:val="00F22E7B"/>
    <w:rsid w:val="00F2315D"/>
    <w:rsid w:val="00F23319"/>
    <w:rsid w:val="00F2333F"/>
    <w:rsid w:val="00F2345C"/>
    <w:rsid w:val="00F2346D"/>
    <w:rsid w:val="00F235E0"/>
    <w:rsid w:val="00F2369A"/>
    <w:rsid w:val="00F23893"/>
    <w:rsid w:val="00F238EB"/>
    <w:rsid w:val="00F23A4E"/>
    <w:rsid w:val="00F23BC4"/>
    <w:rsid w:val="00F23D36"/>
    <w:rsid w:val="00F23F53"/>
    <w:rsid w:val="00F2405B"/>
    <w:rsid w:val="00F24067"/>
    <w:rsid w:val="00F241FF"/>
    <w:rsid w:val="00F24254"/>
    <w:rsid w:val="00F243DE"/>
    <w:rsid w:val="00F2441E"/>
    <w:rsid w:val="00F244C6"/>
    <w:rsid w:val="00F244CA"/>
    <w:rsid w:val="00F244D4"/>
    <w:rsid w:val="00F2464B"/>
    <w:rsid w:val="00F24672"/>
    <w:rsid w:val="00F247F6"/>
    <w:rsid w:val="00F248ED"/>
    <w:rsid w:val="00F24952"/>
    <w:rsid w:val="00F24A11"/>
    <w:rsid w:val="00F24A85"/>
    <w:rsid w:val="00F24B84"/>
    <w:rsid w:val="00F24C06"/>
    <w:rsid w:val="00F24D04"/>
    <w:rsid w:val="00F24D1E"/>
    <w:rsid w:val="00F24E60"/>
    <w:rsid w:val="00F24F51"/>
    <w:rsid w:val="00F24FCD"/>
    <w:rsid w:val="00F25258"/>
    <w:rsid w:val="00F252D4"/>
    <w:rsid w:val="00F25355"/>
    <w:rsid w:val="00F253B4"/>
    <w:rsid w:val="00F2544C"/>
    <w:rsid w:val="00F254F6"/>
    <w:rsid w:val="00F255A0"/>
    <w:rsid w:val="00F25926"/>
    <w:rsid w:val="00F25A64"/>
    <w:rsid w:val="00F25B06"/>
    <w:rsid w:val="00F25C95"/>
    <w:rsid w:val="00F25CB4"/>
    <w:rsid w:val="00F25CBC"/>
    <w:rsid w:val="00F25D4F"/>
    <w:rsid w:val="00F25DA5"/>
    <w:rsid w:val="00F25DFC"/>
    <w:rsid w:val="00F25E4B"/>
    <w:rsid w:val="00F25E9B"/>
    <w:rsid w:val="00F25F25"/>
    <w:rsid w:val="00F25F5C"/>
    <w:rsid w:val="00F260E0"/>
    <w:rsid w:val="00F2621F"/>
    <w:rsid w:val="00F26323"/>
    <w:rsid w:val="00F263DF"/>
    <w:rsid w:val="00F264DC"/>
    <w:rsid w:val="00F266CF"/>
    <w:rsid w:val="00F26812"/>
    <w:rsid w:val="00F26AD4"/>
    <w:rsid w:val="00F26B6B"/>
    <w:rsid w:val="00F26C35"/>
    <w:rsid w:val="00F26CF5"/>
    <w:rsid w:val="00F26D68"/>
    <w:rsid w:val="00F26E07"/>
    <w:rsid w:val="00F26E85"/>
    <w:rsid w:val="00F26F0D"/>
    <w:rsid w:val="00F26F33"/>
    <w:rsid w:val="00F26F4F"/>
    <w:rsid w:val="00F26F54"/>
    <w:rsid w:val="00F26FED"/>
    <w:rsid w:val="00F271AB"/>
    <w:rsid w:val="00F2722A"/>
    <w:rsid w:val="00F272DF"/>
    <w:rsid w:val="00F272E9"/>
    <w:rsid w:val="00F2734D"/>
    <w:rsid w:val="00F27434"/>
    <w:rsid w:val="00F274D0"/>
    <w:rsid w:val="00F27659"/>
    <w:rsid w:val="00F277CB"/>
    <w:rsid w:val="00F27899"/>
    <w:rsid w:val="00F279EA"/>
    <w:rsid w:val="00F27A24"/>
    <w:rsid w:val="00F27A9E"/>
    <w:rsid w:val="00F27C8E"/>
    <w:rsid w:val="00F27CA9"/>
    <w:rsid w:val="00F30037"/>
    <w:rsid w:val="00F3007C"/>
    <w:rsid w:val="00F300A5"/>
    <w:rsid w:val="00F3026F"/>
    <w:rsid w:val="00F3049A"/>
    <w:rsid w:val="00F305CC"/>
    <w:rsid w:val="00F30728"/>
    <w:rsid w:val="00F30770"/>
    <w:rsid w:val="00F307A7"/>
    <w:rsid w:val="00F30969"/>
    <w:rsid w:val="00F30A04"/>
    <w:rsid w:val="00F30AC2"/>
    <w:rsid w:val="00F30BEB"/>
    <w:rsid w:val="00F30D9B"/>
    <w:rsid w:val="00F30EC9"/>
    <w:rsid w:val="00F30F1C"/>
    <w:rsid w:val="00F31054"/>
    <w:rsid w:val="00F31111"/>
    <w:rsid w:val="00F3118D"/>
    <w:rsid w:val="00F31276"/>
    <w:rsid w:val="00F31508"/>
    <w:rsid w:val="00F3162B"/>
    <w:rsid w:val="00F316E2"/>
    <w:rsid w:val="00F31877"/>
    <w:rsid w:val="00F318A8"/>
    <w:rsid w:val="00F31986"/>
    <w:rsid w:val="00F31B03"/>
    <w:rsid w:val="00F31BAC"/>
    <w:rsid w:val="00F31BB9"/>
    <w:rsid w:val="00F31C9D"/>
    <w:rsid w:val="00F31D40"/>
    <w:rsid w:val="00F31D43"/>
    <w:rsid w:val="00F31DCB"/>
    <w:rsid w:val="00F31F37"/>
    <w:rsid w:val="00F31F75"/>
    <w:rsid w:val="00F32110"/>
    <w:rsid w:val="00F32194"/>
    <w:rsid w:val="00F32227"/>
    <w:rsid w:val="00F323F4"/>
    <w:rsid w:val="00F32406"/>
    <w:rsid w:val="00F32439"/>
    <w:rsid w:val="00F32449"/>
    <w:rsid w:val="00F327D3"/>
    <w:rsid w:val="00F32934"/>
    <w:rsid w:val="00F32B98"/>
    <w:rsid w:val="00F32CE9"/>
    <w:rsid w:val="00F32E02"/>
    <w:rsid w:val="00F32E2D"/>
    <w:rsid w:val="00F32FDD"/>
    <w:rsid w:val="00F33024"/>
    <w:rsid w:val="00F33044"/>
    <w:rsid w:val="00F33122"/>
    <w:rsid w:val="00F33203"/>
    <w:rsid w:val="00F332C4"/>
    <w:rsid w:val="00F3330B"/>
    <w:rsid w:val="00F3344D"/>
    <w:rsid w:val="00F3362F"/>
    <w:rsid w:val="00F336E9"/>
    <w:rsid w:val="00F33790"/>
    <w:rsid w:val="00F337ED"/>
    <w:rsid w:val="00F3390E"/>
    <w:rsid w:val="00F33A38"/>
    <w:rsid w:val="00F33AD3"/>
    <w:rsid w:val="00F33BAE"/>
    <w:rsid w:val="00F33DFD"/>
    <w:rsid w:val="00F33E2D"/>
    <w:rsid w:val="00F33E89"/>
    <w:rsid w:val="00F3404A"/>
    <w:rsid w:val="00F3408F"/>
    <w:rsid w:val="00F3412F"/>
    <w:rsid w:val="00F3426B"/>
    <w:rsid w:val="00F3429A"/>
    <w:rsid w:val="00F34400"/>
    <w:rsid w:val="00F34493"/>
    <w:rsid w:val="00F345AD"/>
    <w:rsid w:val="00F34642"/>
    <w:rsid w:val="00F347AD"/>
    <w:rsid w:val="00F34986"/>
    <w:rsid w:val="00F34A27"/>
    <w:rsid w:val="00F34B8F"/>
    <w:rsid w:val="00F34FAF"/>
    <w:rsid w:val="00F350D6"/>
    <w:rsid w:val="00F35318"/>
    <w:rsid w:val="00F35323"/>
    <w:rsid w:val="00F353FA"/>
    <w:rsid w:val="00F35408"/>
    <w:rsid w:val="00F35524"/>
    <w:rsid w:val="00F356B4"/>
    <w:rsid w:val="00F357EA"/>
    <w:rsid w:val="00F358D4"/>
    <w:rsid w:val="00F35957"/>
    <w:rsid w:val="00F35B80"/>
    <w:rsid w:val="00F35D54"/>
    <w:rsid w:val="00F35F77"/>
    <w:rsid w:val="00F36230"/>
    <w:rsid w:val="00F36373"/>
    <w:rsid w:val="00F36389"/>
    <w:rsid w:val="00F364F1"/>
    <w:rsid w:val="00F3670A"/>
    <w:rsid w:val="00F3670B"/>
    <w:rsid w:val="00F36738"/>
    <w:rsid w:val="00F36AB9"/>
    <w:rsid w:val="00F36AED"/>
    <w:rsid w:val="00F36C44"/>
    <w:rsid w:val="00F36CE1"/>
    <w:rsid w:val="00F36F1B"/>
    <w:rsid w:val="00F37047"/>
    <w:rsid w:val="00F3713D"/>
    <w:rsid w:val="00F3716E"/>
    <w:rsid w:val="00F372B3"/>
    <w:rsid w:val="00F37304"/>
    <w:rsid w:val="00F3748A"/>
    <w:rsid w:val="00F375AA"/>
    <w:rsid w:val="00F37614"/>
    <w:rsid w:val="00F376A0"/>
    <w:rsid w:val="00F37762"/>
    <w:rsid w:val="00F377B7"/>
    <w:rsid w:val="00F37890"/>
    <w:rsid w:val="00F378D1"/>
    <w:rsid w:val="00F37A91"/>
    <w:rsid w:val="00F37B26"/>
    <w:rsid w:val="00F37D16"/>
    <w:rsid w:val="00F37E32"/>
    <w:rsid w:val="00F37E40"/>
    <w:rsid w:val="00F37E55"/>
    <w:rsid w:val="00F37F32"/>
    <w:rsid w:val="00F37FF8"/>
    <w:rsid w:val="00F400A8"/>
    <w:rsid w:val="00F40254"/>
    <w:rsid w:val="00F4028E"/>
    <w:rsid w:val="00F40393"/>
    <w:rsid w:val="00F40513"/>
    <w:rsid w:val="00F40514"/>
    <w:rsid w:val="00F40538"/>
    <w:rsid w:val="00F40635"/>
    <w:rsid w:val="00F409F4"/>
    <w:rsid w:val="00F40B58"/>
    <w:rsid w:val="00F40CA3"/>
    <w:rsid w:val="00F40DF4"/>
    <w:rsid w:val="00F40E6B"/>
    <w:rsid w:val="00F40FC3"/>
    <w:rsid w:val="00F41070"/>
    <w:rsid w:val="00F41095"/>
    <w:rsid w:val="00F412D5"/>
    <w:rsid w:val="00F41318"/>
    <w:rsid w:val="00F4136E"/>
    <w:rsid w:val="00F415EC"/>
    <w:rsid w:val="00F41619"/>
    <w:rsid w:val="00F41661"/>
    <w:rsid w:val="00F4167D"/>
    <w:rsid w:val="00F4169C"/>
    <w:rsid w:val="00F416C8"/>
    <w:rsid w:val="00F4183C"/>
    <w:rsid w:val="00F41A32"/>
    <w:rsid w:val="00F41A34"/>
    <w:rsid w:val="00F41AD4"/>
    <w:rsid w:val="00F41B1B"/>
    <w:rsid w:val="00F41BA0"/>
    <w:rsid w:val="00F41C39"/>
    <w:rsid w:val="00F41CD3"/>
    <w:rsid w:val="00F41E86"/>
    <w:rsid w:val="00F41F53"/>
    <w:rsid w:val="00F41F57"/>
    <w:rsid w:val="00F42142"/>
    <w:rsid w:val="00F421D3"/>
    <w:rsid w:val="00F42218"/>
    <w:rsid w:val="00F422A8"/>
    <w:rsid w:val="00F423D8"/>
    <w:rsid w:val="00F423F4"/>
    <w:rsid w:val="00F42479"/>
    <w:rsid w:val="00F426F1"/>
    <w:rsid w:val="00F4273A"/>
    <w:rsid w:val="00F4276D"/>
    <w:rsid w:val="00F427C8"/>
    <w:rsid w:val="00F4282E"/>
    <w:rsid w:val="00F42972"/>
    <w:rsid w:val="00F42BD6"/>
    <w:rsid w:val="00F42D2B"/>
    <w:rsid w:val="00F42D75"/>
    <w:rsid w:val="00F42E50"/>
    <w:rsid w:val="00F42ED4"/>
    <w:rsid w:val="00F4301B"/>
    <w:rsid w:val="00F431DA"/>
    <w:rsid w:val="00F4322E"/>
    <w:rsid w:val="00F43393"/>
    <w:rsid w:val="00F4361D"/>
    <w:rsid w:val="00F436AA"/>
    <w:rsid w:val="00F43707"/>
    <w:rsid w:val="00F43ADA"/>
    <w:rsid w:val="00F43B39"/>
    <w:rsid w:val="00F43BC4"/>
    <w:rsid w:val="00F43BDA"/>
    <w:rsid w:val="00F43BFB"/>
    <w:rsid w:val="00F43C15"/>
    <w:rsid w:val="00F43D45"/>
    <w:rsid w:val="00F43DCD"/>
    <w:rsid w:val="00F43F51"/>
    <w:rsid w:val="00F44207"/>
    <w:rsid w:val="00F44233"/>
    <w:rsid w:val="00F442B5"/>
    <w:rsid w:val="00F44319"/>
    <w:rsid w:val="00F443B8"/>
    <w:rsid w:val="00F444AC"/>
    <w:rsid w:val="00F444B1"/>
    <w:rsid w:val="00F445A6"/>
    <w:rsid w:val="00F44619"/>
    <w:rsid w:val="00F44722"/>
    <w:rsid w:val="00F44984"/>
    <w:rsid w:val="00F44ADF"/>
    <w:rsid w:val="00F44D69"/>
    <w:rsid w:val="00F44E29"/>
    <w:rsid w:val="00F44E30"/>
    <w:rsid w:val="00F44F29"/>
    <w:rsid w:val="00F44F3A"/>
    <w:rsid w:val="00F44F56"/>
    <w:rsid w:val="00F4514A"/>
    <w:rsid w:val="00F45234"/>
    <w:rsid w:val="00F454A3"/>
    <w:rsid w:val="00F455AB"/>
    <w:rsid w:val="00F4581B"/>
    <w:rsid w:val="00F45833"/>
    <w:rsid w:val="00F45894"/>
    <w:rsid w:val="00F45903"/>
    <w:rsid w:val="00F4598A"/>
    <w:rsid w:val="00F45997"/>
    <w:rsid w:val="00F45C19"/>
    <w:rsid w:val="00F45CB7"/>
    <w:rsid w:val="00F45DD0"/>
    <w:rsid w:val="00F45EB9"/>
    <w:rsid w:val="00F46153"/>
    <w:rsid w:val="00F46193"/>
    <w:rsid w:val="00F461E0"/>
    <w:rsid w:val="00F46269"/>
    <w:rsid w:val="00F46279"/>
    <w:rsid w:val="00F462DA"/>
    <w:rsid w:val="00F464CC"/>
    <w:rsid w:val="00F46632"/>
    <w:rsid w:val="00F4674A"/>
    <w:rsid w:val="00F46921"/>
    <w:rsid w:val="00F4695F"/>
    <w:rsid w:val="00F46A2D"/>
    <w:rsid w:val="00F46C6B"/>
    <w:rsid w:val="00F46E47"/>
    <w:rsid w:val="00F46E74"/>
    <w:rsid w:val="00F470CA"/>
    <w:rsid w:val="00F47108"/>
    <w:rsid w:val="00F471A7"/>
    <w:rsid w:val="00F473B3"/>
    <w:rsid w:val="00F473CE"/>
    <w:rsid w:val="00F4748A"/>
    <w:rsid w:val="00F47517"/>
    <w:rsid w:val="00F475DE"/>
    <w:rsid w:val="00F4766B"/>
    <w:rsid w:val="00F476B1"/>
    <w:rsid w:val="00F477FE"/>
    <w:rsid w:val="00F47850"/>
    <w:rsid w:val="00F47AEF"/>
    <w:rsid w:val="00F47B77"/>
    <w:rsid w:val="00F47C7D"/>
    <w:rsid w:val="00F47E87"/>
    <w:rsid w:val="00F47EF5"/>
    <w:rsid w:val="00F47F08"/>
    <w:rsid w:val="00F50026"/>
    <w:rsid w:val="00F5014F"/>
    <w:rsid w:val="00F50281"/>
    <w:rsid w:val="00F502A8"/>
    <w:rsid w:val="00F502B0"/>
    <w:rsid w:val="00F50349"/>
    <w:rsid w:val="00F5036F"/>
    <w:rsid w:val="00F50404"/>
    <w:rsid w:val="00F5048A"/>
    <w:rsid w:val="00F50613"/>
    <w:rsid w:val="00F5070A"/>
    <w:rsid w:val="00F507F5"/>
    <w:rsid w:val="00F507F8"/>
    <w:rsid w:val="00F508B6"/>
    <w:rsid w:val="00F50BBD"/>
    <w:rsid w:val="00F50CCC"/>
    <w:rsid w:val="00F50D40"/>
    <w:rsid w:val="00F50D48"/>
    <w:rsid w:val="00F50DD5"/>
    <w:rsid w:val="00F50E3E"/>
    <w:rsid w:val="00F50ED2"/>
    <w:rsid w:val="00F51086"/>
    <w:rsid w:val="00F511FD"/>
    <w:rsid w:val="00F51265"/>
    <w:rsid w:val="00F5138F"/>
    <w:rsid w:val="00F513D8"/>
    <w:rsid w:val="00F51407"/>
    <w:rsid w:val="00F51476"/>
    <w:rsid w:val="00F514D4"/>
    <w:rsid w:val="00F5159D"/>
    <w:rsid w:val="00F515C8"/>
    <w:rsid w:val="00F515F9"/>
    <w:rsid w:val="00F517A4"/>
    <w:rsid w:val="00F517C8"/>
    <w:rsid w:val="00F519B1"/>
    <w:rsid w:val="00F51BC3"/>
    <w:rsid w:val="00F51BEC"/>
    <w:rsid w:val="00F51CE8"/>
    <w:rsid w:val="00F51D1F"/>
    <w:rsid w:val="00F51EDA"/>
    <w:rsid w:val="00F51FCE"/>
    <w:rsid w:val="00F51FF9"/>
    <w:rsid w:val="00F520C5"/>
    <w:rsid w:val="00F520F5"/>
    <w:rsid w:val="00F52147"/>
    <w:rsid w:val="00F52234"/>
    <w:rsid w:val="00F52286"/>
    <w:rsid w:val="00F522B4"/>
    <w:rsid w:val="00F52355"/>
    <w:rsid w:val="00F5239F"/>
    <w:rsid w:val="00F523A0"/>
    <w:rsid w:val="00F523E2"/>
    <w:rsid w:val="00F523FF"/>
    <w:rsid w:val="00F52440"/>
    <w:rsid w:val="00F5244F"/>
    <w:rsid w:val="00F52496"/>
    <w:rsid w:val="00F52670"/>
    <w:rsid w:val="00F52701"/>
    <w:rsid w:val="00F52751"/>
    <w:rsid w:val="00F528EF"/>
    <w:rsid w:val="00F52B5C"/>
    <w:rsid w:val="00F52B77"/>
    <w:rsid w:val="00F52C74"/>
    <w:rsid w:val="00F52DF5"/>
    <w:rsid w:val="00F52EFB"/>
    <w:rsid w:val="00F52FAB"/>
    <w:rsid w:val="00F52FFA"/>
    <w:rsid w:val="00F53071"/>
    <w:rsid w:val="00F530C4"/>
    <w:rsid w:val="00F5318F"/>
    <w:rsid w:val="00F5326D"/>
    <w:rsid w:val="00F532B3"/>
    <w:rsid w:val="00F532C3"/>
    <w:rsid w:val="00F53313"/>
    <w:rsid w:val="00F5335F"/>
    <w:rsid w:val="00F533F4"/>
    <w:rsid w:val="00F534E0"/>
    <w:rsid w:val="00F536C5"/>
    <w:rsid w:val="00F537D4"/>
    <w:rsid w:val="00F537DA"/>
    <w:rsid w:val="00F53861"/>
    <w:rsid w:val="00F53A5A"/>
    <w:rsid w:val="00F53D01"/>
    <w:rsid w:val="00F53E07"/>
    <w:rsid w:val="00F53E63"/>
    <w:rsid w:val="00F541FB"/>
    <w:rsid w:val="00F54389"/>
    <w:rsid w:val="00F544FC"/>
    <w:rsid w:val="00F544FE"/>
    <w:rsid w:val="00F54598"/>
    <w:rsid w:val="00F5469F"/>
    <w:rsid w:val="00F546FB"/>
    <w:rsid w:val="00F54732"/>
    <w:rsid w:val="00F5492B"/>
    <w:rsid w:val="00F54AD2"/>
    <w:rsid w:val="00F54E11"/>
    <w:rsid w:val="00F54EAF"/>
    <w:rsid w:val="00F54EFE"/>
    <w:rsid w:val="00F54F28"/>
    <w:rsid w:val="00F54F4B"/>
    <w:rsid w:val="00F55179"/>
    <w:rsid w:val="00F55186"/>
    <w:rsid w:val="00F5528E"/>
    <w:rsid w:val="00F552C7"/>
    <w:rsid w:val="00F5543D"/>
    <w:rsid w:val="00F555D8"/>
    <w:rsid w:val="00F55744"/>
    <w:rsid w:val="00F55798"/>
    <w:rsid w:val="00F55969"/>
    <w:rsid w:val="00F5599E"/>
    <w:rsid w:val="00F55B18"/>
    <w:rsid w:val="00F55BAF"/>
    <w:rsid w:val="00F55D63"/>
    <w:rsid w:val="00F55DB8"/>
    <w:rsid w:val="00F55EB3"/>
    <w:rsid w:val="00F55F85"/>
    <w:rsid w:val="00F560D8"/>
    <w:rsid w:val="00F5626C"/>
    <w:rsid w:val="00F56292"/>
    <w:rsid w:val="00F562CB"/>
    <w:rsid w:val="00F566E1"/>
    <w:rsid w:val="00F56715"/>
    <w:rsid w:val="00F56761"/>
    <w:rsid w:val="00F56787"/>
    <w:rsid w:val="00F5684F"/>
    <w:rsid w:val="00F56AA9"/>
    <w:rsid w:val="00F56C03"/>
    <w:rsid w:val="00F56C94"/>
    <w:rsid w:val="00F56CBF"/>
    <w:rsid w:val="00F56D16"/>
    <w:rsid w:val="00F56E87"/>
    <w:rsid w:val="00F57261"/>
    <w:rsid w:val="00F572A7"/>
    <w:rsid w:val="00F574A9"/>
    <w:rsid w:val="00F575A2"/>
    <w:rsid w:val="00F575C2"/>
    <w:rsid w:val="00F5777F"/>
    <w:rsid w:val="00F57BB9"/>
    <w:rsid w:val="00F57C4E"/>
    <w:rsid w:val="00F57CBB"/>
    <w:rsid w:val="00F6000D"/>
    <w:rsid w:val="00F60027"/>
    <w:rsid w:val="00F60036"/>
    <w:rsid w:val="00F600C8"/>
    <w:rsid w:val="00F602E8"/>
    <w:rsid w:val="00F6031F"/>
    <w:rsid w:val="00F6042A"/>
    <w:rsid w:val="00F60473"/>
    <w:rsid w:val="00F6047F"/>
    <w:rsid w:val="00F606DE"/>
    <w:rsid w:val="00F60794"/>
    <w:rsid w:val="00F60988"/>
    <w:rsid w:val="00F609EF"/>
    <w:rsid w:val="00F60A7B"/>
    <w:rsid w:val="00F60AF9"/>
    <w:rsid w:val="00F60C73"/>
    <w:rsid w:val="00F60DDD"/>
    <w:rsid w:val="00F610B4"/>
    <w:rsid w:val="00F610D9"/>
    <w:rsid w:val="00F61122"/>
    <w:rsid w:val="00F61248"/>
    <w:rsid w:val="00F61386"/>
    <w:rsid w:val="00F613DA"/>
    <w:rsid w:val="00F613FA"/>
    <w:rsid w:val="00F61400"/>
    <w:rsid w:val="00F614A0"/>
    <w:rsid w:val="00F61529"/>
    <w:rsid w:val="00F615DB"/>
    <w:rsid w:val="00F61787"/>
    <w:rsid w:val="00F6178C"/>
    <w:rsid w:val="00F6179D"/>
    <w:rsid w:val="00F617A9"/>
    <w:rsid w:val="00F61898"/>
    <w:rsid w:val="00F618B4"/>
    <w:rsid w:val="00F619D3"/>
    <w:rsid w:val="00F61A73"/>
    <w:rsid w:val="00F61A87"/>
    <w:rsid w:val="00F61D81"/>
    <w:rsid w:val="00F61DBE"/>
    <w:rsid w:val="00F61F34"/>
    <w:rsid w:val="00F61FA0"/>
    <w:rsid w:val="00F62082"/>
    <w:rsid w:val="00F620DF"/>
    <w:rsid w:val="00F622AB"/>
    <w:rsid w:val="00F62363"/>
    <w:rsid w:val="00F623B6"/>
    <w:rsid w:val="00F623D6"/>
    <w:rsid w:val="00F623E8"/>
    <w:rsid w:val="00F62663"/>
    <w:rsid w:val="00F627EF"/>
    <w:rsid w:val="00F627FA"/>
    <w:rsid w:val="00F629F2"/>
    <w:rsid w:val="00F62C08"/>
    <w:rsid w:val="00F62C61"/>
    <w:rsid w:val="00F62CAA"/>
    <w:rsid w:val="00F62D1A"/>
    <w:rsid w:val="00F62E59"/>
    <w:rsid w:val="00F62EBB"/>
    <w:rsid w:val="00F62FDE"/>
    <w:rsid w:val="00F63386"/>
    <w:rsid w:val="00F6344C"/>
    <w:rsid w:val="00F63706"/>
    <w:rsid w:val="00F638FC"/>
    <w:rsid w:val="00F63954"/>
    <w:rsid w:val="00F63A13"/>
    <w:rsid w:val="00F63B53"/>
    <w:rsid w:val="00F63B54"/>
    <w:rsid w:val="00F63C08"/>
    <w:rsid w:val="00F63E34"/>
    <w:rsid w:val="00F63E85"/>
    <w:rsid w:val="00F64079"/>
    <w:rsid w:val="00F640AB"/>
    <w:rsid w:val="00F642A7"/>
    <w:rsid w:val="00F64420"/>
    <w:rsid w:val="00F64459"/>
    <w:rsid w:val="00F64517"/>
    <w:rsid w:val="00F6453B"/>
    <w:rsid w:val="00F645F0"/>
    <w:rsid w:val="00F64708"/>
    <w:rsid w:val="00F647BF"/>
    <w:rsid w:val="00F6483E"/>
    <w:rsid w:val="00F649E7"/>
    <w:rsid w:val="00F64A20"/>
    <w:rsid w:val="00F64B14"/>
    <w:rsid w:val="00F64CD5"/>
    <w:rsid w:val="00F64D91"/>
    <w:rsid w:val="00F64E3A"/>
    <w:rsid w:val="00F652A4"/>
    <w:rsid w:val="00F652BE"/>
    <w:rsid w:val="00F653D7"/>
    <w:rsid w:val="00F65446"/>
    <w:rsid w:val="00F654B4"/>
    <w:rsid w:val="00F654CF"/>
    <w:rsid w:val="00F654D7"/>
    <w:rsid w:val="00F655C7"/>
    <w:rsid w:val="00F65743"/>
    <w:rsid w:val="00F65760"/>
    <w:rsid w:val="00F6589C"/>
    <w:rsid w:val="00F65A04"/>
    <w:rsid w:val="00F65BF0"/>
    <w:rsid w:val="00F661A4"/>
    <w:rsid w:val="00F661EC"/>
    <w:rsid w:val="00F66382"/>
    <w:rsid w:val="00F66387"/>
    <w:rsid w:val="00F66445"/>
    <w:rsid w:val="00F6658E"/>
    <w:rsid w:val="00F665ED"/>
    <w:rsid w:val="00F66608"/>
    <w:rsid w:val="00F6691C"/>
    <w:rsid w:val="00F66B23"/>
    <w:rsid w:val="00F66B63"/>
    <w:rsid w:val="00F66CB6"/>
    <w:rsid w:val="00F66CF5"/>
    <w:rsid w:val="00F66D8B"/>
    <w:rsid w:val="00F66E0A"/>
    <w:rsid w:val="00F67124"/>
    <w:rsid w:val="00F6712C"/>
    <w:rsid w:val="00F671F2"/>
    <w:rsid w:val="00F67254"/>
    <w:rsid w:val="00F6753A"/>
    <w:rsid w:val="00F67730"/>
    <w:rsid w:val="00F6776C"/>
    <w:rsid w:val="00F677B6"/>
    <w:rsid w:val="00F678E0"/>
    <w:rsid w:val="00F67900"/>
    <w:rsid w:val="00F679BB"/>
    <w:rsid w:val="00F67B13"/>
    <w:rsid w:val="00F67BEC"/>
    <w:rsid w:val="00F67C50"/>
    <w:rsid w:val="00F67DD6"/>
    <w:rsid w:val="00F67E0A"/>
    <w:rsid w:val="00F7006A"/>
    <w:rsid w:val="00F700C1"/>
    <w:rsid w:val="00F7015C"/>
    <w:rsid w:val="00F7022A"/>
    <w:rsid w:val="00F7027F"/>
    <w:rsid w:val="00F702E2"/>
    <w:rsid w:val="00F702E4"/>
    <w:rsid w:val="00F7046E"/>
    <w:rsid w:val="00F7054A"/>
    <w:rsid w:val="00F70564"/>
    <w:rsid w:val="00F70576"/>
    <w:rsid w:val="00F70609"/>
    <w:rsid w:val="00F706F8"/>
    <w:rsid w:val="00F70718"/>
    <w:rsid w:val="00F70783"/>
    <w:rsid w:val="00F70792"/>
    <w:rsid w:val="00F7093A"/>
    <w:rsid w:val="00F709B5"/>
    <w:rsid w:val="00F709F8"/>
    <w:rsid w:val="00F70AEF"/>
    <w:rsid w:val="00F70B5C"/>
    <w:rsid w:val="00F70DCB"/>
    <w:rsid w:val="00F70E58"/>
    <w:rsid w:val="00F70F7E"/>
    <w:rsid w:val="00F713D2"/>
    <w:rsid w:val="00F713FA"/>
    <w:rsid w:val="00F71570"/>
    <w:rsid w:val="00F71606"/>
    <w:rsid w:val="00F71679"/>
    <w:rsid w:val="00F71694"/>
    <w:rsid w:val="00F717C5"/>
    <w:rsid w:val="00F7184E"/>
    <w:rsid w:val="00F71955"/>
    <w:rsid w:val="00F719C3"/>
    <w:rsid w:val="00F71B14"/>
    <w:rsid w:val="00F71CAB"/>
    <w:rsid w:val="00F71D16"/>
    <w:rsid w:val="00F71D91"/>
    <w:rsid w:val="00F71DE9"/>
    <w:rsid w:val="00F71E0F"/>
    <w:rsid w:val="00F71E2B"/>
    <w:rsid w:val="00F71E69"/>
    <w:rsid w:val="00F71E6A"/>
    <w:rsid w:val="00F72052"/>
    <w:rsid w:val="00F720D4"/>
    <w:rsid w:val="00F720FC"/>
    <w:rsid w:val="00F7219F"/>
    <w:rsid w:val="00F72202"/>
    <w:rsid w:val="00F72607"/>
    <w:rsid w:val="00F726CB"/>
    <w:rsid w:val="00F726D3"/>
    <w:rsid w:val="00F7289C"/>
    <w:rsid w:val="00F72902"/>
    <w:rsid w:val="00F72906"/>
    <w:rsid w:val="00F72AA6"/>
    <w:rsid w:val="00F72C70"/>
    <w:rsid w:val="00F72D52"/>
    <w:rsid w:val="00F72DCB"/>
    <w:rsid w:val="00F72DEE"/>
    <w:rsid w:val="00F72F43"/>
    <w:rsid w:val="00F72FB1"/>
    <w:rsid w:val="00F7315C"/>
    <w:rsid w:val="00F73230"/>
    <w:rsid w:val="00F733BE"/>
    <w:rsid w:val="00F73579"/>
    <w:rsid w:val="00F73621"/>
    <w:rsid w:val="00F736C2"/>
    <w:rsid w:val="00F73717"/>
    <w:rsid w:val="00F7374C"/>
    <w:rsid w:val="00F7376D"/>
    <w:rsid w:val="00F73773"/>
    <w:rsid w:val="00F7378E"/>
    <w:rsid w:val="00F73799"/>
    <w:rsid w:val="00F7390D"/>
    <w:rsid w:val="00F73981"/>
    <w:rsid w:val="00F73AF9"/>
    <w:rsid w:val="00F73B04"/>
    <w:rsid w:val="00F73B63"/>
    <w:rsid w:val="00F73B93"/>
    <w:rsid w:val="00F73CBF"/>
    <w:rsid w:val="00F73D1F"/>
    <w:rsid w:val="00F73DEA"/>
    <w:rsid w:val="00F73F23"/>
    <w:rsid w:val="00F740D0"/>
    <w:rsid w:val="00F740FE"/>
    <w:rsid w:val="00F741D1"/>
    <w:rsid w:val="00F7421E"/>
    <w:rsid w:val="00F7424B"/>
    <w:rsid w:val="00F74267"/>
    <w:rsid w:val="00F74499"/>
    <w:rsid w:val="00F744FF"/>
    <w:rsid w:val="00F7451A"/>
    <w:rsid w:val="00F7460B"/>
    <w:rsid w:val="00F746C8"/>
    <w:rsid w:val="00F746D1"/>
    <w:rsid w:val="00F746E1"/>
    <w:rsid w:val="00F7488E"/>
    <w:rsid w:val="00F74AA5"/>
    <w:rsid w:val="00F74AB7"/>
    <w:rsid w:val="00F74E68"/>
    <w:rsid w:val="00F7504B"/>
    <w:rsid w:val="00F750E9"/>
    <w:rsid w:val="00F7518B"/>
    <w:rsid w:val="00F752DF"/>
    <w:rsid w:val="00F7537D"/>
    <w:rsid w:val="00F756AD"/>
    <w:rsid w:val="00F75720"/>
    <w:rsid w:val="00F75772"/>
    <w:rsid w:val="00F75799"/>
    <w:rsid w:val="00F758E8"/>
    <w:rsid w:val="00F758FD"/>
    <w:rsid w:val="00F7590B"/>
    <w:rsid w:val="00F75C3F"/>
    <w:rsid w:val="00F75D8C"/>
    <w:rsid w:val="00F75DEF"/>
    <w:rsid w:val="00F75E37"/>
    <w:rsid w:val="00F75ECA"/>
    <w:rsid w:val="00F75F92"/>
    <w:rsid w:val="00F75F9F"/>
    <w:rsid w:val="00F76023"/>
    <w:rsid w:val="00F760A6"/>
    <w:rsid w:val="00F7624E"/>
    <w:rsid w:val="00F7634B"/>
    <w:rsid w:val="00F76505"/>
    <w:rsid w:val="00F76663"/>
    <w:rsid w:val="00F76721"/>
    <w:rsid w:val="00F76774"/>
    <w:rsid w:val="00F76978"/>
    <w:rsid w:val="00F76A18"/>
    <w:rsid w:val="00F76AAB"/>
    <w:rsid w:val="00F76AD5"/>
    <w:rsid w:val="00F76B94"/>
    <w:rsid w:val="00F76BC4"/>
    <w:rsid w:val="00F76D90"/>
    <w:rsid w:val="00F76E8F"/>
    <w:rsid w:val="00F77207"/>
    <w:rsid w:val="00F773C5"/>
    <w:rsid w:val="00F7754A"/>
    <w:rsid w:val="00F7773F"/>
    <w:rsid w:val="00F77900"/>
    <w:rsid w:val="00F7791C"/>
    <w:rsid w:val="00F77A61"/>
    <w:rsid w:val="00F77B30"/>
    <w:rsid w:val="00F77B88"/>
    <w:rsid w:val="00F77BD2"/>
    <w:rsid w:val="00F77C7D"/>
    <w:rsid w:val="00F77DA3"/>
    <w:rsid w:val="00F77E34"/>
    <w:rsid w:val="00F77F9E"/>
    <w:rsid w:val="00F80109"/>
    <w:rsid w:val="00F80143"/>
    <w:rsid w:val="00F8018A"/>
    <w:rsid w:val="00F802F8"/>
    <w:rsid w:val="00F803D8"/>
    <w:rsid w:val="00F80418"/>
    <w:rsid w:val="00F80527"/>
    <w:rsid w:val="00F8062C"/>
    <w:rsid w:val="00F80694"/>
    <w:rsid w:val="00F80706"/>
    <w:rsid w:val="00F807DC"/>
    <w:rsid w:val="00F80866"/>
    <w:rsid w:val="00F8089A"/>
    <w:rsid w:val="00F80BB2"/>
    <w:rsid w:val="00F80D85"/>
    <w:rsid w:val="00F80DE0"/>
    <w:rsid w:val="00F80DF5"/>
    <w:rsid w:val="00F80F0C"/>
    <w:rsid w:val="00F8107E"/>
    <w:rsid w:val="00F81122"/>
    <w:rsid w:val="00F811D1"/>
    <w:rsid w:val="00F812CC"/>
    <w:rsid w:val="00F8133B"/>
    <w:rsid w:val="00F81352"/>
    <w:rsid w:val="00F814EF"/>
    <w:rsid w:val="00F8162B"/>
    <w:rsid w:val="00F81660"/>
    <w:rsid w:val="00F8174A"/>
    <w:rsid w:val="00F817DD"/>
    <w:rsid w:val="00F81830"/>
    <w:rsid w:val="00F818A9"/>
    <w:rsid w:val="00F81919"/>
    <w:rsid w:val="00F819B1"/>
    <w:rsid w:val="00F81CF7"/>
    <w:rsid w:val="00F81D74"/>
    <w:rsid w:val="00F81E0F"/>
    <w:rsid w:val="00F82080"/>
    <w:rsid w:val="00F820A3"/>
    <w:rsid w:val="00F8213F"/>
    <w:rsid w:val="00F822CE"/>
    <w:rsid w:val="00F82399"/>
    <w:rsid w:val="00F82480"/>
    <w:rsid w:val="00F82484"/>
    <w:rsid w:val="00F824E7"/>
    <w:rsid w:val="00F82722"/>
    <w:rsid w:val="00F82747"/>
    <w:rsid w:val="00F82749"/>
    <w:rsid w:val="00F82763"/>
    <w:rsid w:val="00F8287E"/>
    <w:rsid w:val="00F82AD2"/>
    <w:rsid w:val="00F82BB7"/>
    <w:rsid w:val="00F82D9D"/>
    <w:rsid w:val="00F82E31"/>
    <w:rsid w:val="00F82F2E"/>
    <w:rsid w:val="00F83048"/>
    <w:rsid w:val="00F830A1"/>
    <w:rsid w:val="00F83243"/>
    <w:rsid w:val="00F833B5"/>
    <w:rsid w:val="00F8352B"/>
    <w:rsid w:val="00F83726"/>
    <w:rsid w:val="00F839F3"/>
    <w:rsid w:val="00F83A4B"/>
    <w:rsid w:val="00F83AB9"/>
    <w:rsid w:val="00F83B9F"/>
    <w:rsid w:val="00F83BC7"/>
    <w:rsid w:val="00F83C97"/>
    <w:rsid w:val="00F83E28"/>
    <w:rsid w:val="00F8422E"/>
    <w:rsid w:val="00F84308"/>
    <w:rsid w:val="00F84508"/>
    <w:rsid w:val="00F84539"/>
    <w:rsid w:val="00F8460F"/>
    <w:rsid w:val="00F8473C"/>
    <w:rsid w:val="00F847B0"/>
    <w:rsid w:val="00F849D0"/>
    <w:rsid w:val="00F84AC0"/>
    <w:rsid w:val="00F84DD2"/>
    <w:rsid w:val="00F84E9F"/>
    <w:rsid w:val="00F84F77"/>
    <w:rsid w:val="00F84FFE"/>
    <w:rsid w:val="00F851FB"/>
    <w:rsid w:val="00F8547A"/>
    <w:rsid w:val="00F8560F"/>
    <w:rsid w:val="00F857A2"/>
    <w:rsid w:val="00F85A12"/>
    <w:rsid w:val="00F85AC7"/>
    <w:rsid w:val="00F85D3D"/>
    <w:rsid w:val="00F860C1"/>
    <w:rsid w:val="00F860FE"/>
    <w:rsid w:val="00F8610E"/>
    <w:rsid w:val="00F86180"/>
    <w:rsid w:val="00F86259"/>
    <w:rsid w:val="00F863AB"/>
    <w:rsid w:val="00F865FB"/>
    <w:rsid w:val="00F86605"/>
    <w:rsid w:val="00F8663E"/>
    <w:rsid w:val="00F8671E"/>
    <w:rsid w:val="00F867E4"/>
    <w:rsid w:val="00F868ED"/>
    <w:rsid w:val="00F868FC"/>
    <w:rsid w:val="00F86908"/>
    <w:rsid w:val="00F869C0"/>
    <w:rsid w:val="00F86BA0"/>
    <w:rsid w:val="00F86CD2"/>
    <w:rsid w:val="00F86E66"/>
    <w:rsid w:val="00F86EF7"/>
    <w:rsid w:val="00F86F5E"/>
    <w:rsid w:val="00F86FBE"/>
    <w:rsid w:val="00F871FD"/>
    <w:rsid w:val="00F87350"/>
    <w:rsid w:val="00F8742D"/>
    <w:rsid w:val="00F87455"/>
    <w:rsid w:val="00F8747F"/>
    <w:rsid w:val="00F87581"/>
    <w:rsid w:val="00F87583"/>
    <w:rsid w:val="00F876DC"/>
    <w:rsid w:val="00F8772F"/>
    <w:rsid w:val="00F878B9"/>
    <w:rsid w:val="00F878D2"/>
    <w:rsid w:val="00F87980"/>
    <w:rsid w:val="00F87A7B"/>
    <w:rsid w:val="00F87AB7"/>
    <w:rsid w:val="00F87AE6"/>
    <w:rsid w:val="00F87E4B"/>
    <w:rsid w:val="00F87EAD"/>
    <w:rsid w:val="00F87EBB"/>
    <w:rsid w:val="00F87EFC"/>
    <w:rsid w:val="00F87FDB"/>
    <w:rsid w:val="00F90039"/>
    <w:rsid w:val="00F9004A"/>
    <w:rsid w:val="00F90075"/>
    <w:rsid w:val="00F900D8"/>
    <w:rsid w:val="00F9016D"/>
    <w:rsid w:val="00F901D6"/>
    <w:rsid w:val="00F90394"/>
    <w:rsid w:val="00F90413"/>
    <w:rsid w:val="00F9046A"/>
    <w:rsid w:val="00F904C5"/>
    <w:rsid w:val="00F904D7"/>
    <w:rsid w:val="00F905AD"/>
    <w:rsid w:val="00F90674"/>
    <w:rsid w:val="00F907DD"/>
    <w:rsid w:val="00F90827"/>
    <w:rsid w:val="00F90857"/>
    <w:rsid w:val="00F90C8B"/>
    <w:rsid w:val="00F90DAA"/>
    <w:rsid w:val="00F90DBE"/>
    <w:rsid w:val="00F90DCF"/>
    <w:rsid w:val="00F90E3F"/>
    <w:rsid w:val="00F90F68"/>
    <w:rsid w:val="00F91007"/>
    <w:rsid w:val="00F9108B"/>
    <w:rsid w:val="00F91146"/>
    <w:rsid w:val="00F9116F"/>
    <w:rsid w:val="00F9130A"/>
    <w:rsid w:val="00F91357"/>
    <w:rsid w:val="00F913D2"/>
    <w:rsid w:val="00F913D8"/>
    <w:rsid w:val="00F914C1"/>
    <w:rsid w:val="00F914EB"/>
    <w:rsid w:val="00F9163B"/>
    <w:rsid w:val="00F917BC"/>
    <w:rsid w:val="00F9180C"/>
    <w:rsid w:val="00F918BE"/>
    <w:rsid w:val="00F919C6"/>
    <w:rsid w:val="00F91A1A"/>
    <w:rsid w:val="00F91A44"/>
    <w:rsid w:val="00F91A64"/>
    <w:rsid w:val="00F91AD7"/>
    <w:rsid w:val="00F91B31"/>
    <w:rsid w:val="00F91BA5"/>
    <w:rsid w:val="00F91CD0"/>
    <w:rsid w:val="00F91D01"/>
    <w:rsid w:val="00F91E3C"/>
    <w:rsid w:val="00F91EE7"/>
    <w:rsid w:val="00F91EF4"/>
    <w:rsid w:val="00F92094"/>
    <w:rsid w:val="00F920A8"/>
    <w:rsid w:val="00F9212B"/>
    <w:rsid w:val="00F92201"/>
    <w:rsid w:val="00F9221C"/>
    <w:rsid w:val="00F9233B"/>
    <w:rsid w:val="00F923D8"/>
    <w:rsid w:val="00F923EE"/>
    <w:rsid w:val="00F9240F"/>
    <w:rsid w:val="00F9248E"/>
    <w:rsid w:val="00F9254D"/>
    <w:rsid w:val="00F926FC"/>
    <w:rsid w:val="00F927F6"/>
    <w:rsid w:val="00F92936"/>
    <w:rsid w:val="00F92A66"/>
    <w:rsid w:val="00F92AD6"/>
    <w:rsid w:val="00F92B57"/>
    <w:rsid w:val="00F92BD3"/>
    <w:rsid w:val="00F92CB3"/>
    <w:rsid w:val="00F92D23"/>
    <w:rsid w:val="00F92E94"/>
    <w:rsid w:val="00F92FA1"/>
    <w:rsid w:val="00F92FBC"/>
    <w:rsid w:val="00F92FEE"/>
    <w:rsid w:val="00F93056"/>
    <w:rsid w:val="00F93272"/>
    <w:rsid w:val="00F93353"/>
    <w:rsid w:val="00F93414"/>
    <w:rsid w:val="00F9350F"/>
    <w:rsid w:val="00F9360D"/>
    <w:rsid w:val="00F936EB"/>
    <w:rsid w:val="00F93776"/>
    <w:rsid w:val="00F937BF"/>
    <w:rsid w:val="00F93911"/>
    <w:rsid w:val="00F939E0"/>
    <w:rsid w:val="00F93A95"/>
    <w:rsid w:val="00F93A98"/>
    <w:rsid w:val="00F93B46"/>
    <w:rsid w:val="00F93B59"/>
    <w:rsid w:val="00F93BC4"/>
    <w:rsid w:val="00F93CF8"/>
    <w:rsid w:val="00F93D6E"/>
    <w:rsid w:val="00F93E64"/>
    <w:rsid w:val="00F941BC"/>
    <w:rsid w:val="00F94225"/>
    <w:rsid w:val="00F94316"/>
    <w:rsid w:val="00F9441F"/>
    <w:rsid w:val="00F94480"/>
    <w:rsid w:val="00F9487C"/>
    <w:rsid w:val="00F94889"/>
    <w:rsid w:val="00F94897"/>
    <w:rsid w:val="00F948CF"/>
    <w:rsid w:val="00F94A97"/>
    <w:rsid w:val="00F94AC4"/>
    <w:rsid w:val="00F94C5A"/>
    <w:rsid w:val="00F94E09"/>
    <w:rsid w:val="00F94ECC"/>
    <w:rsid w:val="00F94F86"/>
    <w:rsid w:val="00F94F8A"/>
    <w:rsid w:val="00F95082"/>
    <w:rsid w:val="00F950AD"/>
    <w:rsid w:val="00F95198"/>
    <w:rsid w:val="00F951FA"/>
    <w:rsid w:val="00F952D1"/>
    <w:rsid w:val="00F9535A"/>
    <w:rsid w:val="00F95372"/>
    <w:rsid w:val="00F9549F"/>
    <w:rsid w:val="00F95550"/>
    <w:rsid w:val="00F9560A"/>
    <w:rsid w:val="00F9562B"/>
    <w:rsid w:val="00F958A5"/>
    <w:rsid w:val="00F958E4"/>
    <w:rsid w:val="00F95969"/>
    <w:rsid w:val="00F95AE1"/>
    <w:rsid w:val="00F95BE8"/>
    <w:rsid w:val="00F95CCF"/>
    <w:rsid w:val="00F95CF7"/>
    <w:rsid w:val="00F95DA5"/>
    <w:rsid w:val="00F95DDC"/>
    <w:rsid w:val="00F95E73"/>
    <w:rsid w:val="00F96052"/>
    <w:rsid w:val="00F960A7"/>
    <w:rsid w:val="00F9615D"/>
    <w:rsid w:val="00F964B6"/>
    <w:rsid w:val="00F9685E"/>
    <w:rsid w:val="00F968D5"/>
    <w:rsid w:val="00F9690C"/>
    <w:rsid w:val="00F969D3"/>
    <w:rsid w:val="00F96AF2"/>
    <w:rsid w:val="00F96B03"/>
    <w:rsid w:val="00F96BD5"/>
    <w:rsid w:val="00F96DB0"/>
    <w:rsid w:val="00F96EDE"/>
    <w:rsid w:val="00F96F3A"/>
    <w:rsid w:val="00F97078"/>
    <w:rsid w:val="00F970A3"/>
    <w:rsid w:val="00F97167"/>
    <w:rsid w:val="00F97298"/>
    <w:rsid w:val="00F9744A"/>
    <w:rsid w:val="00F974F9"/>
    <w:rsid w:val="00F97570"/>
    <w:rsid w:val="00F976CD"/>
    <w:rsid w:val="00F97793"/>
    <w:rsid w:val="00F97981"/>
    <w:rsid w:val="00F97AB1"/>
    <w:rsid w:val="00F97B79"/>
    <w:rsid w:val="00F97B81"/>
    <w:rsid w:val="00F97BFF"/>
    <w:rsid w:val="00F97C3F"/>
    <w:rsid w:val="00F97C6D"/>
    <w:rsid w:val="00F97D30"/>
    <w:rsid w:val="00FA0086"/>
    <w:rsid w:val="00FA008F"/>
    <w:rsid w:val="00FA0188"/>
    <w:rsid w:val="00FA01AF"/>
    <w:rsid w:val="00FA0285"/>
    <w:rsid w:val="00FA02D6"/>
    <w:rsid w:val="00FA04D3"/>
    <w:rsid w:val="00FA04E7"/>
    <w:rsid w:val="00FA066B"/>
    <w:rsid w:val="00FA0803"/>
    <w:rsid w:val="00FA083E"/>
    <w:rsid w:val="00FA09DF"/>
    <w:rsid w:val="00FA0A3D"/>
    <w:rsid w:val="00FA0AB1"/>
    <w:rsid w:val="00FA0AB8"/>
    <w:rsid w:val="00FA0AD1"/>
    <w:rsid w:val="00FA0AD8"/>
    <w:rsid w:val="00FA0AEA"/>
    <w:rsid w:val="00FA0B7E"/>
    <w:rsid w:val="00FA0B86"/>
    <w:rsid w:val="00FA0E00"/>
    <w:rsid w:val="00FA0E27"/>
    <w:rsid w:val="00FA0E4B"/>
    <w:rsid w:val="00FA0FD4"/>
    <w:rsid w:val="00FA1033"/>
    <w:rsid w:val="00FA1095"/>
    <w:rsid w:val="00FA1121"/>
    <w:rsid w:val="00FA11D9"/>
    <w:rsid w:val="00FA141F"/>
    <w:rsid w:val="00FA1436"/>
    <w:rsid w:val="00FA1440"/>
    <w:rsid w:val="00FA17BB"/>
    <w:rsid w:val="00FA19AB"/>
    <w:rsid w:val="00FA1AF0"/>
    <w:rsid w:val="00FA1B9A"/>
    <w:rsid w:val="00FA1DC4"/>
    <w:rsid w:val="00FA1E6D"/>
    <w:rsid w:val="00FA1E99"/>
    <w:rsid w:val="00FA1F21"/>
    <w:rsid w:val="00FA1F6F"/>
    <w:rsid w:val="00FA2070"/>
    <w:rsid w:val="00FA20F1"/>
    <w:rsid w:val="00FA22A2"/>
    <w:rsid w:val="00FA22D9"/>
    <w:rsid w:val="00FA237A"/>
    <w:rsid w:val="00FA2411"/>
    <w:rsid w:val="00FA245E"/>
    <w:rsid w:val="00FA25E7"/>
    <w:rsid w:val="00FA2728"/>
    <w:rsid w:val="00FA2793"/>
    <w:rsid w:val="00FA291F"/>
    <w:rsid w:val="00FA2A46"/>
    <w:rsid w:val="00FA2B4A"/>
    <w:rsid w:val="00FA2BBA"/>
    <w:rsid w:val="00FA2BD6"/>
    <w:rsid w:val="00FA2C5D"/>
    <w:rsid w:val="00FA2E07"/>
    <w:rsid w:val="00FA2E0D"/>
    <w:rsid w:val="00FA2E28"/>
    <w:rsid w:val="00FA2E65"/>
    <w:rsid w:val="00FA2FB6"/>
    <w:rsid w:val="00FA30D7"/>
    <w:rsid w:val="00FA30F6"/>
    <w:rsid w:val="00FA3189"/>
    <w:rsid w:val="00FA319A"/>
    <w:rsid w:val="00FA327B"/>
    <w:rsid w:val="00FA32A0"/>
    <w:rsid w:val="00FA32C7"/>
    <w:rsid w:val="00FA381C"/>
    <w:rsid w:val="00FA38CA"/>
    <w:rsid w:val="00FA38F0"/>
    <w:rsid w:val="00FA39A3"/>
    <w:rsid w:val="00FA39D8"/>
    <w:rsid w:val="00FA3A69"/>
    <w:rsid w:val="00FA3AD6"/>
    <w:rsid w:val="00FA3B01"/>
    <w:rsid w:val="00FA3B43"/>
    <w:rsid w:val="00FA3D63"/>
    <w:rsid w:val="00FA3E11"/>
    <w:rsid w:val="00FA3E30"/>
    <w:rsid w:val="00FA3E43"/>
    <w:rsid w:val="00FA3EDD"/>
    <w:rsid w:val="00FA3FFC"/>
    <w:rsid w:val="00FA4095"/>
    <w:rsid w:val="00FA410D"/>
    <w:rsid w:val="00FA411A"/>
    <w:rsid w:val="00FA41B9"/>
    <w:rsid w:val="00FA4265"/>
    <w:rsid w:val="00FA42A4"/>
    <w:rsid w:val="00FA4310"/>
    <w:rsid w:val="00FA44E3"/>
    <w:rsid w:val="00FA45CE"/>
    <w:rsid w:val="00FA45E3"/>
    <w:rsid w:val="00FA467A"/>
    <w:rsid w:val="00FA48BE"/>
    <w:rsid w:val="00FA497A"/>
    <w:rsid w:val="00FA4AED"/>
    <w:rsid w:val="00FA4B2C"/>
    <w:rsid w:val="00FA4BE8"/>
    <w:rsid w:val="00FA4D56"/>
    <w:rsid w:val="00FA4D8C"/>
    <w:rsid w:val="00FA4F64"/>
    <w:rsid w:val="00FA526E"/>
    <w:rsid w:val="00FA5333"/>
    <w:rsid w:val="00FA54C8"/>
    <w:rsid w:val="00FA5509"/>
    <w:rsid w:val="00FA567F"/>
    <w:rsid w:val="00FA56FD"/>
    <w:rsid w:val="00FA5817"/>
    <w:rsid w:val="00FA5961"/>
    <w:rsid w:val="00FA5A81"/>
    <w:rsid w:val="00FA5C92"/>
    <w:rsid w:val="00FA5D89"/>
    <w:rsid w:val="00FA5D91"/>
    <w:rsid w:val="00FA5F71"/>
    <w:rsid w:val="00FA6110"/>
    <w:rsid w:val="00FA6230"/>
    <w:rsid w:val="00FA6237"/>
    <w:rsid w:val="00FA6261"/>
    <w:rsid w:val="00FA6302"/>
    <w:rsid w:val="00FA6483"/>
    <w:rsid w:val="00FA64E5"/>
    <w:rsid w:val="00FA660D"/>
    <w:rsid w:val="00FA6650"/>
    <w:rsid w:val="00FA6665"/>
    <w:rsid w:val="00FA66AB"/>
    <w:rsid w:val="00FA66EE"/>
    <w:rsid w:val="00FA67F1"/>
    <w:rsid w:val="00FA6816"/>
    <w:rsid w:val="00FA699D"/>
    <w:rsid w:val="00FA6A06"/>
    <w:rsid w:val="00FA6BE1"/>
    <w:rsid w:val="00FA6C85"/>
    <w:rsid w:val="00FA6CD2"/>
    <w:rsid w:val="00FA6D7B"/>
    <w:rsid w:val="00FA6D95"/>
    <w:rsid w:val="00FA6DE0"/>
    <w:rsid w:val="00FA6E44"/>
    <w:rsid w:val="00FA6E6D"/>
    <w:rsid w:val="00FA6F72"/>
    <w:rsid w:val="00FA7067"/>
    <w:rsid w:val="00FA7172"/>
    <w:rsid w:val="00FA725F"/>
    <w:rsid w:val="00FA7373"/>
    <w:rsid w:val="00FA73B8"/>
    <w:rsid w:val="00FA7433"/>
    <w:rsid w:val="00FA743D"/>
    <w:rsid w:val="00FA7529"/>
    <w:rsid w:val="00FA75C7"/>
    <w:rsid w:val="00FA7820"/>
    <w:rsid w:val="00FA7A80"/>
    <w:rsid w:val="00FA7ABA"/>
    <w:rsid w:val="00FA7B07"/>
    <w:rsid w:val="00FA7C15"/>
    <w:rsid w:val="00FA7EAE"/>
    <w:rsid w:val="00FA7F1F"/>
    <w:rsid w:val="00FA7F26"/>
    <w:rsid w:val="00FA7F3F"/>
    <w:rsid w:val="00FA7F88"/>
    <w:rsid w:val="00FA7FAF"/>
    <w:rsid w:val="00FA7FDB"/>
    <w:rsid w:val="00FB0221"/>
    <w:rsid w:val="00FB02FA"/>
    <w:rsid w:val="00FB035E"/>
    <w:rsid w:val="00FB03AB"/>
    <w:rsid w:val="00FB0686"/>
    <w:rsid w:val="00FB0837"/>
    <w:rsid w:val="00FB08B8"/>
    <w:rsid w:val="00FB090C"/>
    <w:rsid w:val="00FB0A44"/>
    <w:rsid w:val="00FB0A99"/>
    <w:rsid w:val="00FB0B2A"/>
    <w:rsid w:val="00FB0B8E"/>
    <w:rsid w:val="00FB0C35"/>
    <w:rsid w:val="00FB0DE6"/>
    <w:rsid w:val="00FB0E1A"/>
    <w:rsid w:val="00FB0EF9"/>
    <w:rsid w:val="00FB0F0E"/>
    <w:rsid w:val="00FB0F5B"/>
    <w:rsid w:val="00FB0FF6"/>
    <w:rsid w:val="00FB1187"/>
    <w:rsid w:val="00FB1248"/>
    <w:rsid w:val="00FB135D"/>
    <w:rsid w:val="00FB142F"/>
    <w:rsid w:val="00FB1460"/>
    <w:rsid w:val="00FB1561"/>
    <w:rsid w:val="00FB1587"/>
    <w:rsid w:val="00FB162D"/>
    <w:rsid w:val="00FB16AA"/>
    <w:rsid w:val="00FB172F"/>
    <w:rsid w:val="00FB17F8"/>
    <w:rsid w:val="00FB1820"/>
    <w:rsid w:val="00FB18A7"/>
    <w:rsid w:val="00FB18F5"/>
    <w:rsid w:val="00FB1951"/>
    <w:rsid w:val="00FB1987"/>
    <w:rsid w:val="00FB198C"/>
    <w:rsid w:val="00FB199F"/>
    <w:rsid w:val="00FB19A4"/>
    <w:rsid w:val="00FB1A88"/>
    <w:rsid w:val="00FB1B78"/>
    <w:rsid w:val="00FB1C15"/>
    <w:rsid w:val="00FB1C97"/>
    <w:rsid w:val="00FB1DB2"/>
    <w:rsid w:val="00FB1DBD"/>
    <w:rsid w:val="00FB1FB8"/>
    <w:rsid w:val="00FB204B"/>
    <w:rsid w:val="00FB21B5"/>
    <w:rsid w:val="00FB2362"/>
    <w:rsid w:val="00FB23B0"/>
    <w:rsid w:val="00FB2453"/>
    <w:rsid w:val="00FB263B"/>
    <w:rsid w:val="00FB2699"/>
    <w:rsid w:val="00FB2706"/>
    <w:rsid w:val="00FB276E"/>
    <w:rsid w:val="00FB2830"/>
    <w:rsid w:val="00FB289A"/>
    <w:rsid w:val="00FB2935"/>
    <w:rsid w:val="00FB2AAF"/>
    <w:rsid w:val="00FB2B94"/>
    <w:rsid w:val="00FB2DF7"/>
    <w:rsid w:val="00FB2FB7"/>
    <w:rsid w:val="00FB3038"/>
    <w:rsid w:val="00FB3079"/>
    <w:rsid w:val="00FB3199"/>
    <w:rsid w:val="00FB3329"/>
    <w:rsid w:val="00FB34E9"/>
    <w:rsid w:val="00FB34FA"/>
    <w:rsid w:val="00FB364E"/>
    <w:rsid w:val="00FB3650"/>
    <w:rsid w:val="00FB36C7"/>
    <w:rsid w:val="00FB36E1"/>
    <w:rsid w:val="00FB37C7"/>
    <w:rsid w:val="00FB37D8"/>
    <w:rsid w:val="00FB3AAE"/>
    <w:rsid w:val="00FB3BBC"/>
    <w:rsid w:val="00FB3FB6"/>
    <w:rsid w:val="00FB3FC5"/>
    <w:rsid w:val="00FB4029"/>
    <w:rsid w:val="00FB4105"/>
    <w:rsid w:val="00FB4111"/>
    <w:rsid w:val="00FB4324"/>
    <w:rsid w:val="00FB43CE"/>
    <w:rsid w:val="00FB440E"/>
    <w:rsid w:val="00FB466F"/>
    <w:rsid w:val="00FB4678"/>
    <w:rsid w:val="00FB4961"/>
    <w:rsid w:val="00FB49C0"/>
    <w:rsid w:val="00FB4BCA"/>
    <w:rsid w:val="00FB4FC4"/>
    <w:rsid w:val="00FB51F5"/>
    <w:rsid w:val="00FB526A"/>
    <w:rsid w:val="00FB5286"/>
    <w:rsid w:val="00FB53ED"/>
    <w:rsid w:val="00FB5587"/>
    <w:rsid w:val="00FB56DF"/>
    <w:rsid w:val="00FB5751"/>
    <w:rsid w:val="00FB591B"/>
    <w:rsid w:val="00FB5973"/>
    <w:rsid w:val="00FB5AE1"/>
    <w:rsid w:val="00FB5B46"/>
    <w:rsid w:val="00FB5B57"/>
    <w:rsid w:val="00FB5B98"/>
    <w:rsid w:val="00FB5C18"/>
    <w:rsid w:val="00FB5CE4"/>
    <w:rsid w:val="00FB5D70"/>
    <w:rsid w:val="00FB5D9D"/>
    <w:rsid w:val="00FB5DBA"/>
    <w:rsid w:val="00FB5E18"/>
    <w:rsid w:val="00FB5E2A"/>
    <w:rsid w:val="00FB5E41"/>
    <w:rsid w:val="00FB5EF8"/>
    <w:rsid w:val="00FB605A"/>
    <w:rsid w:val="00FB6169"/>
    <w:rsid w:val="00FB6201"/>
    <w:rsid w:val="00FB62A7"/>
    <w:rsid w:val="00FB62D5"/>
    <w:rsid w:val="00FB637A"/>
    <w:rsid w:val="00FB63DB"/>
    <w:rsid w:val="00FB6560"/>
    <w:rsid w:val="00FB6751"/>
    <w:rsid w:val="00FB6754"/>
    <w:rsid w:val="00FB6794"/>
    <w:rsid w:val="00FB6A33"/>
    <w:rsid w:val="00FB6AF6"/>
    <w:rsid w:val="00FB6C1E"/>
    <w:rsid w:val="00FB6DD3"/>
    <w:rsid w:val="00FB6E5B"/>
    <w:rsid w:val="00FB6E5E"/>
    <w:rsid w:val="00FB720C"/>
    <w:rsid w:val="00FB7534"/>
    <w:rsid w:val="00FB75B8"/>
    <w:rsid w:val="00FB7631"/>
    <w:rsid w:val="00FB7679"/>
    <w:rsid w:val="00FB7693"/>
    <w:rsid w:val="00FB786F"/>
    <w:rsid w:val="00FB7989"/>
    <w:rsid w:val="00FB7A8F"/>
    <w:rsid w:val="00FB7B6A"/>
    <w:rsid w:val="00FB7BCE"/>
    <w:rsid w:val="00FB7BE0"/>
    <w:rsid w:val="00FB7C73"/>
    <w:rsid w:val="00FB7D11"/>
    <w:rsid w:val="00FB7E0A"/>
    <w:rsid w:val="00FB7EAE"/>
    <w:rsid w:val="00FC005E"/>
    <w:rsid w:val="00FC00FB"/>
    <w:rsid w:val="00FC039F"/>
    <w:rsid w:val="00FC059B"/>
    <w:rsid w:val="00FC059D"/>
    <w:rsid w:val="00FC07F4"/>
    <w:rsid w:val="00FC088E"/>
    <w:rsid w:val="00FC090D"/>
    <w:rsid w:val="00FC0A09"/>
    <w:rsid w:val="00FC0A1B"/>
    <w:rsid w:val="00FC0BD3"/>
    <w:rsid w:val="00FC0CED"/>
    <w:rsid w:val="00FC0F46"/>
    <w:rsid w:val="00FC0FB8"/>
    <w:rsid w:val="00FC1054"/>
    <w:rsid w:val="00FC11CE"/>
    <w:rsid w:val="00FC12C8"/>
    <w:rsid w:val="00FC14F0"/>
    <w:rsid w:val="00FC1727"/>
    <w:rsid w:val="00FC1783"/>
    <w:rsid w:val="00FC17F7"/>
    <w:rsid w:val="00FC183A"/>
    <w:rsid w:val="00FC1928"/>
    <w:rsid w:val="00FC1A92"/>
    <w:rsid w:val="00FC1BAB"/>
    <w:rsid w:val="00FC1CAE"/>
    <w:rsid w:val="00FC1D55"/>
    <w:rsid w:val="00FC1D97"/>
    <w:rsid w:val="00FC1DD8"/>
    <w:rsid w:val="00FC1FD5"/>
    <w:rsid w:val="00FC200B"/>
    <w:rsid w:val="00FC2043"/>
    <w:rsid w:val="00FC20E7"/>
    <w:rsid w:val="00FC2156"/>
    <w:rsid w:val="00FC2161"/>
    <w:rsid w:val="00FC21C4"/>
    <w:rsid w:val="00FC2288"/>
    <w:rsid w:val="00FC228E"/>
    <w:rsid w:val="00FC22B5"/>
    <w:rsid w:val="00FC2304"/>
    <w:rsid w:val="00FC247A"/>
    <w:rsid w:val="00FC2504"/>
    <w:rsid w:val="00FC25A6"/>
    <w:rsid w:val="00FC28C7"/>
    <w:rsid w:val="00FC28C8"/>
    <w:rsid w:val="00FC2BA6"/>
    <w:rsid w:val="00FC2C2A"/>
    <w:rsid w:val="00FC2CAA"/>
    <w:rsid w:val="00FC2D08"/>
    <w:rsid w:val="00FC2F7D"/>
    <w:rsid w:val="00FC3292"/>
    <w:rsid w:val="00FC32BD"/>
    <w:rsid w:val="00FC34B7"/>
    <w:rsid w:val="00FC3536"/>
    <w:rsid w:val="00FC354B"/>
    <w:rsid w:val="00FC357F"/>
    <w:rsid w:val="00FC3625"/>
    <w:rsid w:val="00FC36AB"/>
    <w:rsid w:val="00FC36CC"/>
    <w:rsid w:val="00FC3788"/>
    <w:rsid w:val="00FC3830"/>
    <w:rsid w:val="00FC3949"/>
    <w:rsid w:val="00FC396F"/>
    <w:rsid w:val="00FC399E"/>
    <w:rsid w:val="00FC3A94"/>
    <w:rsid w:val="00FC3BB1"/>
    <w:rsid w:val="00FC3BDC"/>
    <w:rsid w:val="00FC3BDF"/>
    <w:rsid w:val="00FC3D6F"/>
    <w:rsid w:val="00FC3D7C"/>
    <w:rsid w:val="00FC3F48"/>
    <w:rsid w:val="00FC3FD6"/>
    <w:rsid w:val="00FC4061"/>
    <w:rsid w:val="00FC4081"/>
    <w:rsid w:val="00FC409C"/>
    <w:rsid w:val="00FC414C"/>
    <w:rsid w:val="00FC41F8"/>
    <w:rsid w:val="00FC42E5"/>
    <w:rsid w:val="00FC4310"/>
    <w:rsid w:val="00FC454F"/>
    <w:rsid w:val="00FC4727"/>
    <w:rsid w:val="00FC478A"/>
    <w:rsid w:val="00FC4794"/>
    <w:rsid w:val="00FC4835"/>
    <w:rsid w:val="00FC4A2D"/>
    <w:rsid w:val="00FC4A4A"/>
    <w:rsid w:val="00FC4A8F"/>
    <w:rsid w:val="00FC4CE3"/>
    <w:rsid w:val="00FC4F4D"/>
    <w:rsid w:val="00FC517F"/>
    <w:rsid w:val="00FC5357"/>
    <w:rsid w:val="00FC5500"/>
    <w:rsid w:val="00FC5549"/>
    <w:rsid w:val="00FC5748"/>
    <w:rsid w:val="00FC5782"/>
    <w:rsid w:val="00FC5950"/>
    <w:rsid w:val="00FC5A8D"/>
    <w:rsid w:val="00FC5BDF"/>
    <w:rsid w:val="00FC5DEF"/>
    <w:rsid w:val="00FC5E2F"/>
    <w:rsid w:val="00FC5E8A"/>
    <w:rsid w:val="00FC5F48"/>
    <w:rsid w:val="00FC60BB"/>
    <w:rsid w:val="00FC6104"/>
    <w:rsid w:val="00FC6106"/>
    <w:rsid w:val="00FC6199"/>
    <w:rsid w:val="00FC621A"/>
    <w:rsid w:val="00FC6358"/>
    <w:rsid w:val="00FC636C"/>
    <w:rsid w:val="00FC63B2"/>
    <w:rsid w:val="00FC63E0"/>
    <w:rsid w:val="00FC6410"/>
    <w:rsid w:val="00FC6424"/>
    <w:rsid w:val="00FC64A2"/>
    <w:rsid w:val="00FC67D1"/>
    <w:rsid w:val="00FC6BBB"/>
    <w:rsid w:val="00FC6CA7"/>
    <w:rsid w:val="00FC6D7F"/>
    <w:rsid w:val="00FC6DA9"/>
    <w:rsid w:val="00FC6EE8"/>
    <w:rsid w:val="00FC700A"/>
    <w:rsid w:val="00FC7109"/>
    <w:rsid w:val="00FC7112"/>
    <w:rsid w:val="00FC715A"/>
    <w:rsid w:val="00FC71AD"/>
    <w:rsid w:val="00FC742B"/>
    <w:rsid w:val="00FC7450"/>
    <w:rsid w:val="00FC75C6"/>
    <w:rsid w:val="00FC760B"/>
    <w:rsid w:val="00FC7738"/>
    <w:rsid w:val="00FC7741"/>
    <w:rsid w:val="00FC7841"/>
    <w:rsid w:val="00FC78E0"/>
    <w:rsid w:val="00FC7976"/>
    <w:rsid w:val="00FC7A4C"/>
    <w:rsid w:val="00FC7CAE"/>
    <w:rsid w:val="00FC7D27"/>
    <w:rsid w:val="00FC7F07"/>
    <w:rsid w:val="00FD030D"/>
    <w:rsid w:val="00FD036B"/>
    <w:rsid w:val="00FD0384"/>
    <w:rsid w:val="00FD04EA"/>
    <w:rsid w:val="00FD0566"/>
    <w:rsid w:val="00FD06F7"/>
    <w:rsid w:val="00FD072C"/>
    <w:rsid w:val="00FD0768"/>
    <w:rsid w:val="00FD07B3"/>
    <w:rsid w:val="00FD07D8"/>
    <w:rsid w:val="00FD07FF"/>
    <w:rsid w:val="00FD088B"/>
    <w:rsid w:val="00FD08A4"/>
    <w:rsid w:val="00FD09EC"/>
    <w:rsid w:val="00FD0A40"/>
    <w:rsid w:val="00FD0CCA"/>
    <w:rsid w:val="00FD0D19"/>
    <w:rsid w:val="00FD0D48"/>
    <w:rsid w:val="00FD0F1F"/>
    <w:rsid w:val="00FD0F2B"/>
    <w:rsid w:val="00FD0F6E"/>
    <w:rsid w:val="00FD116B"/>
    <w:rsid w:val="00FD11C1"/>
    <w:rsid w:val="00FD12FC"/>
    <w:rsid w:val="00FD1366"/>
    <w:rsid w:val="00FD1406"/>
    <w:rsid w:val="00FD1441"/>
    <w:rsid w:val="00FD14FE"/>
    <w:rsid w:val="00FD15E6"/>
    <w:rsid w:val="00FD17CA"/>
    <w:rsid w:val="00FD17E1"/>
    <w:rsid w:val="00FD17ED"/>
    <w:rsid w:val="00FD17F6"/>
    <w:rsid w:val="00FD1A1D"/>
    <w:rsid w:val="00FD1A52"/>
    <w:rsid w:val="00FD1BFF"/>
    <w:rsid w:val="00FD1C2F"/>
    <w:rsid w:val="00FD1D20"/>
    <w:rsid w:val="00FD1FF8"/>
    <w:rsid w:val="00FD2037"/>
    <w:rsid w:val="00FD2170"/>
    <w:rsid w:val="00FD22AB"/>
    <w:rsid w:val="00FD2487"/>
    <w:rsid w:val="00FD25BD"/>
    <w:rsid w:val="00FD2603"/>
    <w:rsid w:val="00FD2641"/>
    <w:rsid w:val="00FD266A"/>
    <w:rsid w:val="00FD266D"/>
    <w:rsid w:val="00FD28B2"/>
    <w:rsid w:val="00FD28CE"/>
    <w:rsid w:val="00FD28FC"/>
    <w:rsid w:val="00FD2AFA"/>
    <w:rsid w:val="00FD2BDB"/>
    <w:rsid w:val="00FD2CE3"/>
    <w:rsid w:val="00FD2D37"/>
    <w:rsid w:val="00FD2F7B"/>
    <w:rsid w:val="00FD3373"/>
    <w:rsid w:val="00FD3396"/>
    <w:rsid w:val="00FD340E"/>
    <w:rsid w:val="00FD3437"/>
    <w:rsid w:val="00FD35E0"/>
    <w:rsid w:val="00FD3813"/>
    <w:rsid w:val="00FD38FB"/>
    <w:rsid w:val="00FD3933"/>
    <w:rsid w:val="00FD3B68"/>
    <w:rsid w:val="00FD3B7A"/>
    <w:rsid w:val="00FD3C20"/>
    <w:rsid w:val="00FD3C46"/>
    <w:rsid w:val="00FD3CFD"/>
    <w:rsid w:val="00FD400D"/>
    <w:rsid w:val="00FD4067"/>
    <w:rsid w:val="00FD428B"/>
    <w:rsid w:val="00FD433B"/>
    <w:rsid w:val="00FD440F"/>
    <w:rsid w:val="00FD4429"/>
    <w:rsid w:val="00FD45A1"/>
    <w:rsid w:val="00FD4798"/>
    <w:rsid w:val="00FD4801"/>
    <w:rsid w:val="00FD4875"/>
    <w:rsid w:val="00FD48E4"/>
    <w:rsid w:val="00FD4B51"/>
    <w:rsid w:val="00FD4BD8"/>
    <w:rsid w:val="00FD4BEA"/>
    <w:rsid w:val="00FD4FB0"/>
    <w:rsid w:val="00FD5015"/>
    <w:rsid w:val="00FD5017"/>
    <w:rsid w:val="00FD506A"/>
    <w:rsid w:val="00FD50EB"/>
    <w:rsid w:val="00FD51D8"/>
    <w:rsid w:val="00FD529B"/>
    <w:rsid w:val="00FD52E0"/>
    <w:rsid w:val="00FD54F0"/>
    <w:rsid w:val="00FD554B"/>
    <w:rsid w:val="00FD55B1"/>
    <w:rsid w:val="00FD55F9"/>
    <w:rsid w:val="00FD5751"/>
    <w:rsid w:val="00FD5766"/>
    <w:rsid w:val="00FD577D"/>
    <w:rsid w:val="00FD581F"/>
    <w:rsid w:val="00FD58C6"/>
    <w:rsid w:val="00FD58D0"/>
    <w:rsid w:val="00FD59A8"/>
    <w:rsid w:val="00FD59F9"/>
    <w:rsid w:val="00FD5B5C"/>
    <w:rsid w:val="00FD5B68"/>
    <w:rsid w:val="00FD5DF5"/>
    <w:rsid w:val="00FD5EA3"/>
    <w:rsid w:val="00FD5EFB"/>
    <w:rsid w:val="00FD639E"/>
    <w:rsid w:val="00FD63C8"/>
    <w:rsid w:val="00FD64A3"/>
    <w:rsid w:val="00FD6502"/>
    <w:rsid w:val="00FD653F"/>
    <w:rsid w:val="00FD6621"/>
    <w:rsid w:val="00FD6835"/>
    <w:rsid w:val="00FD6876"/>
    <w:rsid w:val="00FD68D5"/>
    <w:rsid w:val="00FD694D"/>
    <w:rsid w:val="00FD6C3F"/>
    <w:rsid w:val="00FD6D81"/>
    <w:rsid w:val="00FD6DAB"/>
    <w:rsid w:val="00FD6E25"/>
    <w:rsid w:val="00FD6EF2"/>
    <w:rsid w:val="00FD703E"/>
    <w:rsid w:val="00FD7083"/>
    <w:rsid w:val="00FD7212"/>
    <w:rsid w:val="00FD7269"/>
    <w:rsid w:val="00FD72BD"/>
    <w:rsid w:val="00FD73AB"/>
    <w:rsid w:val="00FD749A"/>
    <w:rsid w:val="00FD74AB"/>
    <w:rsid w:val="00FD753F"/>
    <w:rsid w:val="00FD75BC"/>
    <w:rsid w:val="00FD75F6"/>
    <w:rsid w:val="00FD7690"/>
    <w:rsid w:val="00FD7716"/>
    <w:rsid w:val="00FD78A4"/>
    <w:rsid w:val="00FD78DC"/>
    <w:rsid w:val="00FD7931"/>
    <w:rsid w:val="00FD79AE"/>
    <w:rsid w:val="00FD79D2"/>
    <w:rsid w:val="00FD7A5E"/>
    <w:rsid w:val="00FD7B40"/>
    <w:rsid w:val="00FD7B84"/>
    <w:rsid w:val="00FD7BE9"/>
    <w:rsid w:val="00FD7C0A"/>
    <w:rsid w:val="00FD7D8B"/>
    <w:rsid w:val="00FD7DE5"/>
    <w:rsid w:val="00FD7EF6"/>
    <w:rsid w:val="00FE0059"/>
    <w:rsid w:val="00FE0072"/>
    <w:rsid w:val="00FE00CD"/>
    <w:rsid w:val="00FE014E"/>
    <w:rsid w:val="00FE031E"/>
    <w:rsid w:val="00FE033C"/>
    <w:rsid w:val="00FE0341"/>
    <w:rsid w:val="00FE038E"/>
    <w:rsid w:val="00FE0519"/>
    <w:rsid w:val="00FE064E"/>
    <w:rsid w:val="00FE0856"/>
    <w:rsid w:val="00FE09AB"/>
    <w:rsid w:val="00FE09C6"/>
    <w:rsid w:val="00FE0A16"/>
    <w:rsid w:val="00FE0A2D"/>
    <w:rsid w:val="00FE0A38"/>
    <w:rsid w:val="00FE0A44"/>
    <w:rsid w:val="00FE0AA5"/>
    <w:rsid w:val="00FE0B18"/>
    <w:rsid w:val="00FE0D12"/>
    <w:rsid w:val="00FE0ED1"/>
    <w:rsid w:val="00FE0ED8"/>
    <w:rsid w:val="00FE10F8"/>
    <w:rsid w:val="00FE147D"/>
    <w:rsid w:val="00FE1581"/>
    <w:rsid w:val="00FE1624"/>
    <w:rsid w:val="00FE1686"/>
    <w:rsid w:val="00FE1753"/>
    <w:rsid w:val="00FE176B"/>
    <w:rsid w:val="00FE184E"/>
    <w:rsid w:val="00FE1927"/>
    <w:rsid w:val="00FE198B"/>
    <w:rsid w:val="00FE1AB0"/>
    <w:rsid w:val="00FE1C66"/>
    <w:rsid w:val="00FE1C9F"/>
    <w:rsid w:val="00FE200E"/>
    <w:rsid w:val="00FE2128"/>
    <w:rsid w:val="00FE21A5"/>
    <w:rsid w:val="00FE21A7"/>
    <w:rsid w:val="00FE22ED"/>
    <w:rsid w:val="00FE2365"/>
    <w:rsid w:val="00FE241C"/>
    <w:rsid w:val="00FE24E5"/>
    <w:rsid w:val="00FE24F7"/>
    <w:rsid w:val="00FE25A1"/>
    <w:rsid w:val="00FE263D"/>
    <w:rsid w:val="00FE2703"/>
    <w:rsid w:val="00FE2869"/>
    <w:rsid w:val="00FE2897"/>
    <w:rsid w:val="00FE289D"/>
    <w:rsid w:val="00FE28A6"/>
    <w:rsid w:val="00FE2B01"/>
    <w:rsid w:val="00FE2B1F"/>
    <w:rsid w:val="00FE2B95"/>
    <w:rsid w:val="00FE2D4C"/>
    <w:rsid w:val="00FE2FC1"/>
    <w:rsid w:val="00FE303B"/>
    <w:rsid w:val="00FE305F"/>
    <w:rsid w:val="00FE31DA"/>
    <w:rsid w:val="00FE31E0"/>
    <w:rsid w:val="00FE32F8"/>
    <w:rsid w:val="00FE3489"/>
    <w:rsid w:val="00FE363E"/>
    <w:rsid w:val="00FE37D4"/>
    <w:rsid w:val="00FE3978"/>
    <w:rsid w:val="00FE3C82"/>
    <w:rsid w:val="00FE3CD3"/>
    <w:rsid w:val="00FE3DC4"/>
    <w:rsid w:val="00FE3E73"/>
    <w:rsid w:val="00FE3F43"/>
    <w:rsid w:val="00FE3F7A"/>
    <w:rsid w:val="00FE419A"/>
    <w:rsid w:val="00FE4234"/>
    <w:rsid w:val="00FE429F"/>
    <w:rsid w:val="00FE42F4"/>
    <w:rsid w:val="00FE4416"/>
    <w:rsid w:val="00FE4478"/>
    <w:rsid w:val="00FE44AD"/>
    <w:rsid w:val="00FE44BC"/>
    <w:rsid w:val="00FE4545"/>
    <w:rsid w:val="00FE45CF"/>
    <w:rsid w:val="00FE462C"/>
    <w:rsid w:val="00FE49A7"/>
    <w:rsid w:val="00FE4A2A"/>
    <w:rsid w:val="00FE4B2C"/>
    <w:rsid w:val="00FE4B32"/>
    <w:rsid w:val="00FE4C37"/>
    <w:rsid w:val="00FE4CF7"/>
    <w:rsid w:val="00FE4D50"/>
    <w:rsid w:val="00FE4DBA"/>
    <w:rsid w:val="00FE4E04"/>
    <w:rsid w:val="00FE4EEB"/>
    <w:rsid w:val="00FE50F5"/>
    <w:rsid w:val="00FE5100"/>
    <w:rsid w:val="00FE51F4"/>
    <w:rsid w:val="00FE52D6"/>
    <w:rsid w:val="00FE5489"/>
    <w:rsid w:val="00FE5568"/>
    <w:rsid w:val="00FE5724"/>
    <w:rsid w:val="00FE57DE"/>
    <w:rsid w:val="00FE582D"/>
    <w:rsid w:val="00FE5842"/>
    <w:rsid w:val="00FE5D34"/>
    <w:rsid w:val="00FE5D68"/>
    <w:rsid w:val="00FE5D85"/>
    <w:rsid w:val="00FE5E07"/>
    <w:rsid w:val="00FE5E35"/>
    <w:rsid w:val="00FE5F18"/>
    <w:rsid w:val="00FE6021"/>
    <w:rsid w:val="00FE6119"/>
    <w:rsid w:val="00FE6154"/>
    <w:rsid w:val="00FE6361"/>
    <w:rsid w:val="00FE64B2"/>
    <w:rsid w:val="00FE64BE"/>
    <w:rsid w:val="00FE6617"/>
    <w:rsid w:val="00FE685B"/>
    <w:rsid w:val="00FE6AED"/>
    <w:rsid w:val="00FE6CDB"/>
    <w:rsid w:val="00FE6FA1"/>
    <w:rsid w:val="00FE6FF8"/>
    <w:rsid w:val="00FE70B4"/>
    <w:rsid w:val="00FE72BE"/>
    <w:rsid w:val="00FE7435"/>
    <w:rsid w:val="00FE75DA"/>
    <w:rsid w:val="00FE75FD"/>
    <w:rsid w:val="00FE7895"/>
    <w:rsid w:val="00FE7A10"/>
    <w:rsid w:val="00FE7A34"/>
    <w:rsid w:val="00FE7BB2"/>
    <w:rsid w:val="00FE7D40"/>
    <w:rsid w:val="00FE7ED3"/>
    <w:rsid w:val="00FE7ED8"/>
    <w:rsid w:val="00FE7F60"/>
    <w:rsid w:val="00FE7F77"/>
    <w:rsid w:val="00FE7FA9"/>
    <w:rsid w:val="00FF022F"/>
    <w:rsid w:val="00FF02E8"/>
    <w:rsid w:val="00FF0352"/>
    <w:rsid w:val="00FF03F9"/>
    <w:rsid w:val="00FF0490"/>
    <w:rsid w:val="00FF056F"/>
    <w:rsid w:val="00FF0612"/>
    <w:rsid w:val="00FF0657"/>
    <w:rsid w:val="00FF07A9"/>
    <w:rsid w:val="00FF0800"/>
    <w:rsid w:val="00FF0817"/>
    <w:rsid w:val="00FF08E1"/>
    <w:rsid w:val="00FF0A7F"/>
    <w:rsid w:val="00FF0A92"/>
    <w:rsid w:val="00FF0C4B"/>
    <w:rsid w:val="00FF0C53"/>
    <w:rsid w:val="00FF0E6E"/>
    <w:rsid w:val="00FF0E7D"/>
    <w:rsid w:val="00FF0EC6"/>
    <w:rsid w:val="00FF1130"/>
    <w:rsid w:val="00FF1149"/>
    <w:rsid w:val="00FF1177"/>
    <w:rsid w:val="00FF12E5"/>
    <w:rsid w:val="00FF14FF"/>
    <w:rsid w:val="00FF1551"/>
    <w:rsid w:val="00FF1642"/>
    <w:rsid w:val="00FF16EC"/>
    <w:rsid w:val="00FF1860"/>
    <w:rsid w:val="00FF18EF"/>
    <w:rsid w:val="00FF19D6"/>
    <w:rsid w:val="00FF1A02"/>
    <w:rsid w:val="00FF1AB4"/>
    <w:rsid w:val="00FF1B68"/>
    <w:rsid w:val="00FF1BC0"/>
    <w:rsid w:val="00FF1C06"/>
    <w:rsid w:val="00FF1CD8"/>
    <w:rsid w:val="00FF1CF5"/>
    <w:rsid w:val="00FF1E76"/>
    <w:rsid w:val="00FF1ECD"/>
    <w:rsid w:val="00FF1FC0"/>
    <w:rsid w:val="00FF2292"/>
    <w:rsid w:val="00FF233C"/>
    <w:rsid w:val="00FF239B"/>
    <w:rsid w:val="00FF247E"/>
    <w:rsid w:val="00FF24A7"/>
    <w:rsid w:val="00FF2535"/>
    <w:rsid w:val="00FF2631"/>
    <w:rsid w:val="00FF275C"/>
    <w:rsid w:val="00FF2CAA"/>
    <w:rsid w:val="00FF2CD3"/>
    <w:rsid w:val="00FF2CE3"/>
    <w:rsid w:val="00FF2D1E"/>
    <w:rsid w:val="00FF2D44"/>
    <w:rsid w:val="00FF2E1E"/>
    <w:rsid w:val="00FF3176"/>
    <w:rsid w:val="00FF3244"/>
    <w:rsid w:val="00FF333A"/>
    <w:rsid w:val="00FF3371"/>
    <w:rsid w:val="00FF3383"/>
    <w:rsid w:val="00FF3478"/>
    <w:rsid w:val="00FF36CC"/>
    <w:rsid w:val="00FF3711"/>
    <w:rsid w:val="00FF38EA"/>
    <w:rsid w:val="00FF3932"/>
    <w:rsid w:val="00FF3BB8"/>
    <w:rsid w:val="00FF3BFF"/>
    <w:rsid w:val="00FF3CD5"/>
    <w:rsid w:val="00FF3D5E"/>
    <w:rsid w:val="00FF3D64"/>
    <w:rsid w:val="00FF3D8F"/>
    <w:rsid w:val="00FF3EAC"/>
    <w:rsid w:val="00FF4108"/>
    <w:rsid w:val="00FF4191"/>
    <w:rsid w:val="00FF41DE"/>
    <w:rsid w:val="00FF42BF"/>
    <w:rsid w:val="00FF42DB"/>
    <w:rsid w:val="00FF4335"/>
    <w:rsid w:val="00FF43BE"/>
    <w:rsid w:val="00FF43DE"/>
    <w:rsid w:val="00FF4438"/>
    <w:rsid w:val="00FF44D1"/>
    <w:rsid w:val="00FF45E2"/>
    <w:rsid w:val="00FF45F3"/>
    <w:rsid w:val="00FF45FF"/>
    <w:rsid w:val="00FF4763"/>
    <w:rsid w:val="00FF4916"/>
    <w:rsid w:val="00FF494F"/>
    <w:rsid w:val="00FF49E3"/>
    <w:rsid w:val="00FF49F5"/>
    <w:rsid w:val="00FF4A4B"/>
    <w:rsid w:val="00FF4E9F"/>
    <w:rsid w:val="00FF4F7E"/>
    <w:rsid w:val="00FF4FDF"/>
    <w:rsid w:val="00FF50FD"/>
    <w:rsid w:val="00FF51A9"/>
    <w:rsid w:val="00FF522F"/>
    <w:rsid w:val="00FF56B9"/>
    <w:rsid w:val="00FF56D7"/>
    <w:rsid w:val="00FF59F9"/>
    <w:rsid w:val="00FF5BAF"/>
    <w:rsid w:val="00FF5BE9"/>
    <w:rsid w:val="00FF603D"/>
    <w:rsid w:val="00FF6042"/>
    <w:rsid w:val="00FF6062"/>
    <w:rsid w:val="00FF617F"/>
    <w:rsid w:val="00FF6260"/>
    <w:rsid w:val="00FF6330"/>
    <w:rsid w:val="00FF63D1"/>
    <w:rsid w:val="00FF6412"/>
    <w:rsid w:val="00FF644E"/>
    <w:rsid w:val="00FF66CA"/>
    <w:rsid w:val="00FF688E"/>
    <w:rsid w:val="00FF6959"/>
    <w:rsid w:val="00FF69F1"/>
    <w:rsid w:val="00FF6A09"/>
    <w:rsid w:val="00FF6A27"/>
    <w:rsid w:val="00FF6B56"/>
    <w:rsid w:val="00FF6BC6"/>
    <w:rsid w:val="00FF6C6A"/>
    <w:rsid w:val="00FF6C74"/>
    <w:rsid w:val="00FF6D26"/>
    <w:rsid w:val="00FF6F72"/>
    <w:rsid w:val="00FF7043"/>
    <w:rsid w:val="00FF70AE"/>
    <w:rsid w:val="00FF70F3"/>
    <w:rsid w:val="00FF716C"/>
    <w:rsid w:val="00FF7226"/>
    <w:rsid w:val="00FF744B"/>
    <w:rsid w:val="00FF747A"/>
    <w:rsid w:val="00FF771C"/>
    <w:rsid w:val="00FF78F6"/>
    <w:rsid w:val="00FF7A06"/>
    <w:rsid w:val="00FF7B02"/>
    <w:rsid w:val="00FF7D23"/>
    <w:rsid w:val="00FF7E0E"/>
    <w:rsid w:val="00FF7E63"/>
    <w:rsid w:val="00FF7EA1"/>
    <w:rsid w:val="012BF73A"/>
    <w:rsid w:val="0A65E318"/>
    <w:rsid w:val="0CC08533"/>
    <w:rsid w:val="0D2BB664"/>
    <w:rsid w:val="15604F70"/>
    <w:rsid w:val="16A8D7C9"/>
    <w:rsid w:val="17860A11"/>
    <w:rsid w:val="19CA995D"/>
    <w:rsid w:val="1D5A2D82"/>
    <w:rsid w:val="202A129B"/>
    <w:rsid w:val="208703A3"/>
    <w:rsid w:val="21E0719B"/>
    <w:rsid w:val="22C96E35"/>
    <w:rsid w:val="2699541F"/>
    <w:rsid w:val="2E9267E5"/>
    <w:rsid w:val="2F9828F7"/>
    <w:rsid w:val="37E47D91"/>
    <w:rsid w:val="3B69EA8E"/>
    <w:rsid w:val="3EDF342D"/>
    <w:rsid w:val="3F9C4EA2"/>
    <w:rsid w:val="3FE6027F"/>
    <w:rsid w:val="4188398C"/>
    <w:rsid w:val="470F2D2A"/>
    <w:rsid w:val="4F0116B2"/>
    <w:rsid w:val="513FC37C"/>
    <w:rsid w:val="5572A623"/>
    <w:rsid w:val="57CCD5C6"/>
    <w:rsid w:val="57E96CE8"/>
    <w:rsid w:val="5EB4CAAC"/>
    <w:rsid w:val="604E2F47"/>
    <w:rsid w:val="60DB68AD"/>
    <w:rsid w:val="630464E4"/>
    <w:rsid w:val="63D234BF"/>
    <w:rsid w:val="64C76A43"/>
    <w:rsid w:val="69D7D3FF"/>
    <w:rsid w:val="6C48E221"/>
    <w:rsid w:val="6D791705"/>
    <w:rsid w:val="735D341D"/>
    <w:rsid w:val="74EB5E15"/>
    <w:rsid w:val="756E1BAF"/>
    <w:rsid w:val="77175B43"/>
    <w:rsid w:val="7989B25A"/>
    <w:rsid w:val="7BD4B21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EB8A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sz w:val="24"/>
        <w:szCs w:val="24"/>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lsdException w:name="heading 6" w:locked="1"/>
    <w:lsdException w:name="heading 7" w:locked="1" w:semiHidden="1" w:unhideWhenUsed="1"/>
    <w:lsdException w:name="heading 8" w:locked="1" w:semiHidden="1" w:unhideWhenUsed="1"/>
    <w:lsdException w:name="heading 9" w:locked="1"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locked="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locked="1" w:uiPriority="22" w:qFormat="1"/>
    <w:lsdException w:name="Emphasis" w:locked="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B64991"/>
    <w:rPr>
      <w:rFonts w:ascii="Times New Roman" w:eastAsia="Times New Roman" w:hAnsi="Times New Roman"/>
    </w:rPr>
  </w:style>
  <w:style w:type="paragraph" w:styleId="Heading1">
    <w:name w:val="heading 1"/>
    <w:aliases w:val="h1"/>
    <w:basedOn w:val="Normal"/>
    <w:next w:val="BodyText"/>
    <w:link w:val="Heading1Char"/>
    <w:qFormat/>
    <w:rsid w:val="001F62EA"/>
    <w:pPr>
      <w:keepNext/>
      <w:numPr>
        <w:numId w:val="39"/>
      </w:numPr>
      <w:tabs>
        <w:tab w:val="left" w:pos="360"/>
      </w:tabs>
      <w:suppressAutoHyphens/>
      <w:spacing w:before="120" w:after="120"/>
      <w:jc w:val="center"/>
      <w:outlineLvl w:val="0"/>
    </w:pPr>
    <w:rPr>
      <w:rFonts w:ascii="Garamond Premr Pro Capt" w:hAnsi="Garamond Premr Pro Capt"/>
      <w:b/>
      <w:bCs/>
      <w:caps/>
      <w:lang w:eastAsia="ja-JP"/>
    </w:rPr>
  </w:style>
  <w:style w:type="paragraph" w:styleId="Heading2">
    <w:name w:val="heading 2"/>
    <w:aliases w:val="h2"/>
    <w:basedOn w:val="Normal"/>
    <w:next w:val="BodyText"/>
    <w:link w:val="Heading2Char"/>
    <w:qFormat/>
    <w:rsid w:val="00F515F9"/>
    <w:pPr>
      <w:keepNext/>
      <w:keepLines/>
      <w:numPr>
        <w:ilvl w:val="1"/>
        <w:numId w:val="39"/>
      </w:numPr>
      <w:suppressAutoHyphens/>
      <w:spacing w:before="120" w:after="120"/>
      <w:jc w:val="center"/>
      <w:outlineLvl w:val="1"/>
    </w:pPr>
    <w:rPr>
      <w:rFonts w:ascii="Garamond Premr Pro Capt" w:eastAsia="Cambria" w:hAnsi="Garamond Premr Pro Capt"/>
      <w:szCs w:val="26"/>
      <w:lang w:eastAsia="ja-JP"/>
    </w:rPr>
  </w:style>
  <w:style w:type="paragraph" w:styleId="Heading3">
    <w:name w:val="heading 3"/>
    <w:aliases w:val="h3"/>
    <w:basedOn w:val="Normal"/>
    <w:next w:val="BodyText"/>
    <w:link w:val="Heading3Char"/>
    <w:qFormat/>
    <w:rsid w:val="001336EE"/>
    <w:pPr>
      <w:keepNext/>
      <w:numPr>
        <w:ilvl w:val="2"/>
        <w:numId w:val="39"/>
      </w:numPr>
      <w:spacing w:before="120" w:after="120"/>
      <w:outlineLvl w:val="2"/>
    </w:pPr>
    <w:rPr>
      <w:rFonts w:ascii="Garamond Premr Pro Capt" w:eastAsia="Cambria" w:hAnsi="Garamond Premr Pro Capt"/>
      <w:i/>
      <w:iCs/>
      <w:lang w:eastAsia="ja-JP"/>
    </w:rPr>
  </w:style>
  <w:style w:type="paragraph" w:styleId="Heading4">
    <w:name w:val="heading 4"/>
    <w:basedOn w:val="Normal"/>
    <w:next w:val="BodyText"/>
    <w:link w:val="Heading4Char"/>
    <w:qFormat/>
    <w:rsid w:val="00191FD4"/>
    <w:pPr>
      <w:keepNext/>
      <w:numPr>
        <w:ilvl w:val="3"/>
        <w:numId w:val="39"/>
      </w:numPr>
      <w:spacing w:before="120" w:after="120"/>
      <w:outlineLvl w:val="3"/>
    </w:pPr>
    <w:rPr>
      <w:rFonts w:eastAsia="MS Mincho"/>
      <w:bCs/>
      <w:i/>
      <w:szCs w:val="28"/>
      <w:lang w:eastAsia="ja-JP"/>
    </w:rPr>
  </w:style>
  <w:style w:type="paragraph" w:styleId="Heading5">
    <w:name w:val="heading 5"/>
    <w:basedOn w:val="Normal"/>
    <w:next w:val="Normal"/>
    <w:link w:val="Heading5Char"/>
    <w:rsid w:val="0056282E"/>
    <w:pPr>
      <w:numPr>
        <w:ilvl w:val="4"/>
        <w:numId w:val="39"/>
      </w:numPr>
      <w:spacing w:before="240" w:after="60"/>
      <w:outlineLvl w:val="4"/>
    </w:pPr>
    <w:rPr>
      <w:rFonts w:eastAsia="MS Mincho"/>
      <w:b/>
      <w:bCs/>
      <w:i/>
      <w:iCs/>
      <w:szCs w:val="26"/>
      <w:lang w:eastAsia="ja-JP"/>
    </w:rPr>
  </w:style>
  <w:style w:type="paragraph" w:styleId="Heading6">
    <w:name w:val="heading 6"/>
    <w:basedOn w:val="Normal"/>
    <w:next w:val="Normal"/>
    <w:link w:val="Heading6Char"/>
    <w:rsid w:val="0056282E"/>
    <w:pPr>
      <w:numPr>
        <w:ilvl w:val="5"/>
        <w:numId w:val="39"/>
      </w:numPr>
      <w:spacing w:before="240" w:after="60"/>
      <w:outlineLvl w:val="5"/>
    </w:pPr>
    <w:rPr>
      <w:rFonts w:eastAsia="MS Mincho"/>
      <w:b/>
      <w:bCs/>
      <w:szCs w:val="22"/>
      <w:lang w:eastAsia="ja-JP"/>
    </w:rPr>
  </w:style>
  <w:style w:type="paragraph" w:styleId="Heading7">
    <w:name w:val="heading 7"/>
    <w:basedOn w:val="Normal"/>
    <w:next w:val="Normal"/>
    <w:link w:val="Heading7Char"/>
    <w:rsid w:val="0056282E"/>
    <w:pPr>
      <w:numPr>
        <w:ilvl w:val="6"/>
        <w:numId w:val="39"/>
      </w:numPr>
      <w:spacing w:before="240" w:after="60"/>
      <w:outlineLvl w:val="6"/>
    </w:pPr>
    <w:rPr>
      <w:rFonts w:ascii="Cambria" w:eastAsia="MS Mincho" w:hAnsi="Cambria"/>
      <w:lang w:eastAsia="ja-JP"/>
    </w:rPr>
  </w:style>
  <w:style w:type="paragraph" w:styleId="Heading8">
    <w:name w:val="heading 8"/>
    <w:basedOn w:val="Normal"/>
    <w:next w:val="Normal"/>
    <w:link w:val="Heading8Char"/>
    <w:rsid w:val="0056282E"/>
    <w:pPr>
      <w:numPr>
        <w:ilvl w:val="7"/>
        <w:numId w:val="39"/>
      </w:numPr>
      <w:spacing w:before="240" w:after="60"/>
      <w:outlineLvl w:val="7"/>
    </w:pPr>
    <w:rPr>
      <w:rFonts w:ascii="Cambria" w:eastAsia="MS Mincho" w:hAnsi="Cambria"/>
      <w:i/>
      <w:iCs/>
      <w:lang w:eastAsia="ja-JP"/>
    </w:rPr>
  </w:style>
  <w:style w:type="paragraph" w:styleId="Heading9">
    <w:name w:val="heading 9"/>
    <w:basedOn w:val="Normal"/>
    <w:next w:val="Normal"/>
    <w:link w:val="Heading9Char"/>
    <w:rsid w:val="0056282E"/>
    <w:pPr>
      <w:numPr>
        <w:ilvl w:val="8"/>
        <w:numId w:val="39"/>
      </w:numPr>
      <w:spacing w:before="240" w:after="60"/>
      <w:outlineLvl w:val="8"/>
    </w:pPr>
    <w:rPr>
      <w:rFonts w:ascii="Calibri" w:eastAsia="MS Gothic" w:hAnsi="Calibri"/>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t"/>
    <w:basedOn w:val="Normal"/>
    <w:link w:val="BodyTextChar"/>
    <w:qFormat/>
    <w:rsid w:val="00975081"/>
    <w:pPr>
      <w:ind w:firstLine="360"/>
    </w:pPr>
  </w:style>
  <w:style w:type="character" w:customStyle="1" w:styleId="BodyTextChar">
    <w:name w:val="Body Text Char"/>
    <w:aliases w:val="bt Char"/>
    <w:link w:val="BodyText"/>
    <w:locked/>
    <w:rsid w:val="00975081"/>
    <w:rPr>
      <w:rFonts w:ascii="OldStyle 7" w:eastAsia="Times New Roman" w:hAnsi="OldStyle 7"/>
      <w:sz w:val="22"/>
    </w:rPr>
  </w:style>
  <w:style w:type="character" w:customStyle="1" w:styleId="Heading1Char">
    <w:name w:val="Heading 1 Char"/>
    <w:aliases w:val="h1 Char"/>
    <w:link w:val="Heading1"/>
    <w:locked/>
    <w:rsid w:val="001F62EA"/>
    <w:rPr>
      <w:rFonts w:ascii="Garamond Premr Pro Capt" w:eastAsia="Times New Roman" w:hAnsi="Garamond Premr Pro Capt"/>
      <w:b/>
      <w:bCs/>
      <w:caps/>
      <w:lang w:eastAsia="ja-JP"/>
    </w:rPr>
  </w:style>
  <w:style w:type="character" w:customStyle="1" w:styleId="Heading2Char">
    <w:name w:val="Heading 2 Char"/>
    <w:aliases w:val="h2 Char"/>
    <w:link w:val="Heading2"/>
    <w:locked/>
    <w:rsid w:val="00F515F9"/>
    <w:rPr>
      <w:rFonts w:ascii="Garamond Premr Pro Capt" w:hAnsi="Garamond Premr Pro Capt"/>
      <w:szCs w:val="26"/>
      <w:lang w:eastAsia="ja-JP"/>
    </w:rPr>
  </w:style>
  <w:style w:type="character" w:customStyle="1" w:styleId="Heading3Char">
    <w:name w:val="Heading 3 Char"/>
    <w:aliases w:val="h3 Char"/>
    <w:link w:val="Heading3"/>
    <w:locked/>
    <w:rsid w:val="001336EE"/>
    <w:rPr>
      <w:rFonts w:ascii="Garamond Premr Pro Capt" w:hAnsi="Garamond Premr Pro Capt"/>
      <w:i/>
      <w:iCs/>
      <w:lang w:eastAsia="ja-JP"/>
    </w:rPr>
  </w:style>
  <w:style w:type="character" w:customStyle="1" w:styleId="Heading4Char">
    <w:name w:val="Heading 4 Char"/>
    <w:link w:val="Heading4"/>
    <w:locked/>
    <w:rsid w:val="0013307B"/>
    <w:rPr>
      <w:rFonts w:ascii="Times New Roman" w:eastAsia="MS Mincho" w:hAnsi="Times New Roman"/>
      <w:bCs/>
      <w:i/>
      <w:szCs w:val="28"/>
      <w:lang w:eastAsia="ja-JP"/>
    </w:rPr>
  </w:style>
  <w:style w:type="character" w:customStyle="1" w:styleId="Heading5Char">
    <w:name w:val="Heading 5 Char"/>
    <w:link w:val="Heading5"/>
    <w:locked/>
    <w:rsid w:val="0056282E"/>
    <w:rPr>
      <w:rFonts w:ascii="Times New Roman" w:eastAsia="MS Mincho" w:hAnsi="Times New Roman"/>
      <w:b/>
      <w:bCs/>
      <w:i/>
      <w:iCs/>
      <w:szCs w:val="26"/>
      <w:lang w:eastAsia="ja-JP"/>
    </w:rPr>
  </w:style>
  <w:style w:type="character" w:customStyle="1" w:styleId="Heading6Char">
    <w:name w:val="Heading 6 Char"/>
    <w:link w:val="Heading6"/>
    <w:locked/>
    <w:rsid w:val="0056282E"/>
    <w:rPr>
      <w:rFonts w:ascii="Times New Roman" w:eastAsia="MS Mincho" w:hAnsi="Times New Roman"/>
      <w:b/>
      <w:bCs/>
      <w:szCs w:val="22"/>
      <w:lang w:eastAsia="ja-JP"/>
    </w:rPr>
  </w:style>
  <w:style w:type="character" w:customStyle="1" w:styleId="Heading7Char">
    <w:name w:val="Heading 7 Char"/>
    <w:link w:val="Heading7"/>
    <w:locked/>
    <w:rsid w:val="0056282E"/>
    <w:rPr>
      <w:rFonts w:eastAsia="MS Mincho"/>
      <w:lang w:eastAsia="ja-JP"/>
    </w:rPr>
  </w:style>
  <w:style w:type="character" w:customStyle="1" w:styleId="Heading8Char">
    <w:name w:val="Heading 8 Char"/>
    <w:link w:val="Heading8"/>
    <w:locked/>
    <w:rsid w:val="0056282E"/>
    <w:rPr>
      <w:rFonts w:eastAsia="MS Mincho"/>
      <w:i/>
      <w:iCs/>
      <w:lang w:eastAsia="ja-JP"/>
    </w:rPr>
  </w:style>
  <w:style w:type="character" w:customStyle="1" w:styleId="Heading9Char">
    <w:name w:val="Heading 9 Char"/>
    <w:link w:val="Heading9"/>
    <w:locked/>
    <w:rsid w:val="0056282E"/>
    <w:rPr>
      <w:rFonts w:ascii="Calibri" w:eastAsia="MS Gothic" w:hAnsi="Calibri"/>
      <w:szCs w:val="22"/>
      <w:lang w:eastAsia="ja-JP"/>
    </w:rPr>
  </w:style>
  <w:style w:type="paragraph" w:styleId="FootnoteText">
    <w:name w:val="footnote text"/>
    <w:basedOn w:val="Normal"/>
    <w:link w:val="FootnoteTextChar1"/>
    <w:rsid w:val="00B66554"/>
    <w:pPr>
      <w:spacing w:after="40"/>
      <w:ind w:firstLine="288"/>
    </w:pPr>
    <w:rPr>
      <w:sz w:val="20"/>
      <w:lang w:eastAsia="ja-JP"/>
    </w:rPr>
  </w:style>
  <w:style w:type="character" w:customStyle="1" w:styleId="FootnoteTextChar1">
    <w:name w:val="Footnote Text Char1"/>
    <w:link w:val="FootnoteText"/>
    <w:locked/>
    <w:rsid w:val="00B66554"/>
    <w:rPr>
      <w:rFonts w:ascii="Baskerville" w:eastAsia="Times New Roman" w:hAnsi="Baskerville"/>
      <w:sz w:val="20"/>
      <w:lang w:eastAsia="ja-JP"/>
    </w:rPr>
  </w:style>
  <w:style w:type="character" w:styleId="FootnoteReference">
    <w:name w:val="footnote reference"/>
    <w:rsid w:val="009A3897"/>
    <w:rPr>
      <w:vertAlign w:val="superscript"/>
    </w:rPr>
  </w:style>
  <w:style w:type="paragraph" w:styleId="ListParagraph">
    <w:name w:val="List Paragraph"/>
    <w:basedOn w:val="Normal"/>
    <w:rsid w:val="009A3897"/>
    <w:pPr>
      <w:ind w:left="720"/>
      <w:contextualSpacing/>
    </w:pPr>
  </w:style>
  <w:style w:type="paragraph" w:customStyle="1" w:styleId="BlockQuote">
    <w:name w:val="Block Quote"/>
    <w:aliases w:val="bq"/>
    <w:basedOn w:val="BodyText"/>
    <w:next w:val="BodyText"/>
    <w:qFormat/>
    <w:rsid w:val="00116D0B"/>
    <w:pPr>
      <w:tabs>
        <w:tab w:val="left" w:pos="1080"/>
      </w:tabs>
      <w:spacing w:before="60" w:after="60"/>
      <w:ind w:left="720" w:right="720" w:firstLine="0"/>
      <w:contextualSpacing/>
    </w:pPr>
    <w:rPr>
      <w:sz w:val="20"/>
    </w:rPr>
  </w:style>
  <w:style w:type="paragraph" w:styleId="Header">
    <w:name w:val="header"/>
    <w:basedOn w:val="Normal"/>
    <w:link w:val="HeaderChar"/>
    <w:rsid w:val="004B0377"/>
    <w:pPr>
      <w:tabs>
        <w:tab w:val="center" w:pos="4320"/>
        <w:tab w:val="right" w:pos="8640"/>
      </w:tabs>
    </w:pPr>
    <w:rPr>
      <w:sz w:val="20"/>
      <w:szCs w:val="20"/>
      <w:lang w:eastAsia="ja-JP"/>
    </w:rPr>
  </w:style>
  <w:style w:type="character" w:customStyle="1" w:styleId="HeaderChar">
    <w:name w:val="Header Char"/>
    <w:link w:val="Header"/>
    <w:locked/>
    <w:rsid w:val="004B0377"/>
    <w:rPr>
      <w:rFonts w:ascii="Century Schoolbook" w:eastAsia="Times New Roman" w:hAnsi="Century Schoolbook"/>
      <w:lang w:eastAsia="ja-JP"/>
    </w:rPr>
  </w:style>
  <w:style w:type="paragraph" w:styleId="Footer">
    <w:name w:val="footer"/>
    <w:basedOn w:val="Normal"/>
    <w:link w:val="FooterChar"/>
    <w:rsid w:val="000321C5"/>
    <w:pPr>
      <w:tabs>
        <w:tab w:val="center" w:pos="4320"/>
        <w:tab w:val="right" w:pos="8640"/>
      </w:tabs>
    </w:pPr>
    <w:rPr>
      <w:sz w:val="20"/>
      <w:szCs w:val="20"/>
      <w:lang w:eastAsia="ja-JP"/>
    </w:rPr>
  </w:style>
  <w:style w:type="character" w:customStyle="1" w:styleId="FooterChar">
    <w:name w:val="Footer Char"/>
    <w:link w:val="Footer"/>
    <w:locked/>
    <w:rsid w:val="000321C5"/>
    <w:rPr>
      <w:rFonts w:ascii="Garamond Premr Pro" w:eastAsia="Times New Roman" w:hAnsi="Garamond Premr Pro"/>
      <w:sz w:val="20"/>
      <w:szCs w:val="20"/>
      <w:lang w:eastAsia="ja-JP"/>
    </w:rPr>
  </w:style>
  <w:style w:type="character" w:styleId="PageNumber">
    <w:name w:val="page number"/>
    <w:rsid w:val="00435E13"/>
    <w:rPr>
      <w:sz w:val="24"/>
    </w:rPr>
  </w:style>
  <w:style w:type="character" w:styleId="Hyperlink">
    <w:name w:val="Hyperlink"/>
    <w:uiPriority w:val="99"/>
    <w:rsid w:val="009A3897"/>
    <w:rPr>
      <w:color w:val="0000FF"/>
      <w:u w:val="single"/>
    </w:rPr>
  </w:style>
  <w:style w:type="paragraph" w:styleId="TOCHeading">
    <w:name w:val="TOC Heading"/>
    <w:basedOn w:val="Heading1"/>
    <w:next w:val="Normal"/>
    <w:rsid w:val="009A3897"/>
    <w:pPr>
      <w:keepLines/>
      <w:numPr>
        <w:numId w:val="0"/>
      </w:numPr>
      <w:spacing w:before="240" w:after="0" w:line="276" w:lineRule="auto"/>
      <w:outlineLvl w:val="9"/>
    </w:pPr>
    <w:rPr>
      <w:rFonts w:eastAsia="Cambria"/>
      <w:bCs w:val="0"/>
      <w:caps w:val="0"/>
      <w:smallCaps/>
      <w:szCs w:val="28"/>
    </w:rPr>
  </w:style>
  <w:style w:type="paragraph" w:styleId="TOC1">
    <w:name w:val="toc 1"/>
    <w:basedOn w:val="Normal"/>
    <w:next w:val="Normal"/>
    <w:autoRedefine/>
    <w:uiPriority w:val="39"/>
    <w:rsid w:val="009F5B14"/>
    <w:pPr>
      <w:tabs>
        <w:tab w:val="left" w:pos="515"/>
        <w:tab w:val="left" w:pos="630"/>
        <w:tab w:val="right" w:leader="dot" w:pos="7190"/>
      </w:tabs>
      <w:ind w:left="547" w:hanging="547"/>
    </w:pPr>
    <w:rPr>
      <w:caps/>
    </w:rPr>
  </w:style>
  <w:style w:type="paragraph" w:styleId="TOC2">
    <w:name w:val="toc 2"/>
    <w:basedOn w:val="Normal"/>
    <w:next w:val="Normal"/>
    <w:autoRedefine/>
    <w:uiPriority w:val="39"/>
    <w:rsid w:val="002F317A"/>
    <w:pPr>
      <w:tabs>
        <w:tab w:val="left" w:pos="1080"/>
        <w:tab w:val="right" w:leader="dot" w:pos="7190"/>
      </w:tabs>
      <w:ind w:left="1094" w:hanging="547"/>
    </w:pPr>
    <w:rPr>
      <w:noProof/>
      <w:szCs w:val="22"/>
    </w:rPr>
  </w:style>
  <w:style w:type="paragraph" w:styleId="TOC3">
    <w:name w:val="toc 3"/>
    <w:basedOn w:val="Normal"/>
    <w:next w:val="Normal"/>
    <w:autoRedefine/>
    <w:uiPriority w:val="39"/>
    <w:rsid w:val="00101129"/>
    <w:pPr>
      <w:tabs>
        <w:tab w:val="left" w:pos="1440"/>
        <w:tab w:val="left" w:pos="1471"/>
        <w:tab w:val="left" w:pos="1680"/>
        <w:tab w:val="right" w:leader="dot" w:pos="7190"/>
      </w:tabs>
      <w:ind w:left="1440" w:hanging="360"/>
    </w:pPr>
    <w:rPr>
      <w:szCs w:val="26"/>
    </w:rPr>
  </w:style>
  <w:style w:type="paragraph" w:styleId="TOC4">
    <w:name w:val="toc 4"/>
    <w:basedOn w:val="Normal"/>
    <w:next w:val="Normal"/>
    <w:autoRedefine/>
    <w:uiPriority w:val="39"/>
    <w:rsid w:val="00873F72"/>
    <w:pPr>
      <w:tabs>
        <w:tab w:val="right" w:leader="dot" w:pos="7186"/>
      </w:tabs>
      <w:ind w:left="1440"/>
    </w:pPr>
    <w:rPr>
      <w:szCs w:val="20"/>
    </w:rPr>
  </w:style>
  <w:style w:type="paragraph" w:styleId="TOC5">
    <w:name w:val="toc 5"/>
    <w:basedOn w:val="Normal"/>
    <w:next w:val="Normal"/>
    <w:autoRedefine/>
    <w:rsid w:val="009A3897"/>
    <w:pPr>
      <w:ind w:left="960"/>
    </w:pPr>
    <w:rPr>
      <w:rFonts w:ascii="Cambria" w:hAnsi="Cambria"/>
      <w:sz w:val="20"/>
      <w:szCs w:val="20"/>
    </w:rPr>
  </w:style>
  <w:style w:type="paragraph" w:styleId="TOC6">
    <w:name w:val="toc 6"/>
    <w:basedOn w:val="Normal"/>
    <w:next w:val="Normal"/>
    <w:autoRedefine/>
    <w:rsid w:val="009A3897"/>
    <w:pPr>
      <w:ind w:left="1200"/>
    </w:pPr>
    <w:rPr>
      <w:rFonts w:ascii="Cambria" w:hAnsi="Cambria"/>
      <w:sz w:val="20"/>
      <w:szCs w:val="20"/>
    </w:rPr>
  </w:style>
  <w:style w:type="paragraph" w:styleId="TOC7">
    <w:name w:val="toc 7"/>
    <w:basedOn w:val="Normal"/>
    <w:next w:val="Normal"/>
    <w:autoRedefine/>
    <w:rsid w:val="009A3897"/>
    <w:pPr>
      <w:ind w:left="1440"/>
    </w:pPr>
    <w:rPr>
      <w:rFonts w:ascii="Cambria" w:hAnsi="Cambria"/>
      <w:sz w:val="20"/>
      <w:szCs w:val="20"/>
    </w:rPr>
  </w:style>
  <w:style w:type="paragraph" w:styleId="TOC8">
    <w:name w:val="toc 8"/>
    <w:basedOn w:val="Normal"/>
    <w:next w:val="Normal"/>
    <w:autoRedefine/>
    <w:rsid w:val="009A3897"/>
    <w:pPr>
      <w:ind w:left="1680"/>
    </w:pPr>
    <w:rPr>
      <w:rFonts w:ascii="Cambria" w:hAnsi="Cambria"/>
      <w:sz w:val="20"/>
      <w:szCs w:val="20"/>
    </w:rPr>
  </w:style>
  <w:style w:type="paragraph" w:styleId="TOC9">
    <w:name w:val="toc 9"/>
    <w:basedOn w:val="Normal"/>
    <w:next w:val="Normal"/>
    <w:autoRedefine/>
    <w:rsid w:val="009A3897"/>
    <w:pPr>
      <w:ind w:left="1920"/>
    </w:pPr>
    <w:rPr>
      <w:rFonts w:ascii="Cambria" w:hAnsi="Cambria"/>
      <w:sz w:val="20"/>
      <w:szCs w:val="20"/>
    </w:rPr>
  </w:style>
  <w:style w:type="paragraph" w:styleId="Revision">
    <w:name w:val="Revision"/>
    <w:hidden/>
    <w:rsid w:val="009A3897"/>
    <w:rPr>
      <w:rFonts w:ascii="Century Schoolbook BT" w:eastAsia="Times New Roman" w:hAnsi="Century Schoolbook BT"/>
    </w:rPr>
  </w:style>
  <w:style w:type="paragraph" w:styleId="BalloonText">
    <w:name w:val="Balloon Text"/>
    <w:basedOn w:val="Normal"/>
    <w:link w:val="BalloonTextChar"/>
    <w:rsid w:val="008E7275"/>
    <w:rPr>
      <w:sz w:val="18"/>
      <w:szCs w:val="18"/>
      <w:lang w:eastAsia="ja-JP"/>
    </w:rPr>
  </w:style>
  <w:style w:type="character" w:customStyle="1" w:styleId="BalloonTextChar">
    <w:name w:val="Balloon Text Char"/>
    <w:link w:val="BalloonText"/>
    <w:locked/>
    <w:rsid w:val="008E7275"/>
    <w:rPr>
      <w:rFonts w:ascii="Garamond" w:eastAsia="Times New Roman" w:hAnsi="Garamond"/>
      <w:sz w:val="18"/>
      <w:szCs w:val="18"/>
      <w:lang w:eastAsia="ja-JP"/>
    </w:rPr>
  </w:style>
  <w:style w:type="paragraph" w:customStyle="1" w:styleId="BodyFirstIndent">
    <w:name w:val="Body First Indent"/>
    <w:basedOn w:val="Normal"/>
    <w:rsid w:val="009A3897"/>
    <w:pPr>
      <w:ind w:firstLine="720"/>
    </w:pPr>
  </w:style>
  <w:style w:type="paragraph" w:customStyle="1" w:styleId="Asterisks">
    <w:name w:val="Asterisks"/>
    <w:basedOn w:val="BodyText"/>
    <w:next w:val="BodyText"/>
    <w:rsid w:val="00AE2366"/>
    <w:pPr>
      <w:keepNext/>
      <w:spacing w:before="120" w:after="60"/>
      <w:ind w:firstLine="0"/>
      <w:jc w:val="center"/>
    </w:pPr>
  </w:style>
  <w:style w:type="paragraph" w:customStyle="1" w:styleId="FootnoteBlock">
    <w:name w:val="Footnote Block"/>
    <w:basedOn w:val="FootnoteText"/>
    <w:next w:val="FootnoteTextAfterBlock"/>
    <w:link w:val="FootnoteBlockChar"/>
    <w:rsid w:val="00EA3614"/>
    <w:pPr>
      <w:ind w:left="360" w:right="360" w:firstLine="0"/>
      <w:contextualSpacing/>
    </w:pPr>
    <w:rPr>
      <w:sz w:val="18"/>
    </w:rPr>
  </w:style>
  <w:style w:type="character" w:styleId="CommentReference">
    <w:name w:val="annotation reference"/>
    <w:rsid w:val="009A3897"/>
    <w:rPr>
      <w:sz w:val="18"/>
    </w:rPr>
  </w:style>
  <w:style w:type="paragraph" w:styleId="CommentText">
    <w:name w:val="annotation text"/>
    <w:basedOn w:val="Normal"/>
    <w:link w:val="CommentTextChar"/>
    <w:rsid w:val="009A3897"/>
    <w:rPr>
      <w:lang w:eastAsia="ja-JP"/>
    </w:rPr>
  </w:style>
  <w:style w:type="character" w:customStyle="1" w:styleId="CommentTextChar">
    <w:name w:val="Comment Text Char"/>
    <w:link w:val="CommentText"/>
    <w:locked/>
    <w:rsid w:val="009A3897"/>
    <w:rPr>
      <w:rFonts w:ascii="Old Style 7" w:hAnsi="Old Style 7"/>
      <w:sz w:val="24"/>
    </w:rPr>
  </w:style>
  <w:style w:type="paragraph" w:styleId="CommentSubject">
    <w:name w:val="annotation subject"/>
    <w:basedOn w:val="CommentText"/>
    <w:next w:val="CommentText"/>
    <w:link w:val="CommentSubjectChar"/>
    <w:rsid w:val="009A3897"/>
    <w:rPr>
      <w:b/>
      <w:bCs/>
    </w:rPr>
  </w:style>
  <w:style w:type="character" w:customStyle="1" w:styleId="CommentSubjectChar">
    <w:name w:val="Comment Subject Char"/>
    <w:link w:val="CommentSubject"/>
    <w:locked/>
    <w:rsid w:val="009A3897"/>
    <w:rPr>
      <w:rFonts w:ascii="Old Style 7" w:hAnsi="Old Style 7"/>
      <w:b/>
      <w:sz w:val="24"/>
    </w:rPr>
  </w:style>
  <w:style w:type="paragraph" w:styleId="ListBullet">
    <w:name w:val="List Bullet"/>
    <w:basedOn w:val="Normal"/>
    <w:rsid w:val="009A3897"/>
    <w:pPr>
      <w:numPr>
        <w:numId w:val="2"/>
      </w:numPr>
      <w:contextualSpacing/>
    </w:pPr>
  </w:style>
  <w:style w:type="paragraph" w:styleId="Title">
    <w:name w:val="Title"/>
    <w:basedOn w:val="Normal"/>
    <w:next w:val="Normal"/>
    <w:link w:val="TitleChar"/>
    <w:qFormat/>
    <w:rsid w:val="00200F4E"/>
    <w:pPr>
      <w:suppressAutoHyphens/>
      <w:spacing w:before="240" w:after="60"/>
      <w:jc w:val="center"/>
    </w:pPr>
    <w:rPr>
      <w:rFonts w:eastAsia="MS Gothic"/>
      <w:b/>
      <w:bCs/>
      <w:kern w:val="28"/>
      <w:sz w:val="30"/>
      <w:szCs w:val="32"/>
      <w:lang w:eastAsia="ja-JP"/>
    </w:rPr>
  </w:style>
  <w:style w:type="character" w:customStyle="1" w:styleId="TitleChar">
    <w:name w:val="Title Char"/>
    <w:link w:val="Title"/>
    <w:locked/>
    <w:rsid w:val="00200F4E"/>
    <w:rPr>
      <w:rFonts w:ascii="OldStyle 7" w:eastAsia="MS Gothic" w:hAnsi="OldStyle 7"/>
      <w:b/>
      <w:bCs/>
      <w:kern w:val="28"/>
      <w:sz w:val="30"/>
      <w:szCs w:val="32"/>
      <w:lang w:eastAsia="ja-JP"/>
    </w:rPr>
  </w:style>
  <w:style w:type="paragraph" w:customStyle="1" w:styleId="Author">
    <w:name w:val="Author"/>
    <w:basedOn w:val="Normal"/>
    <w:rsid w:val="00EB1A73"/>
    <w:pPr>
      <w:spacing w:before="240" w:after="240"/>
      <w:jc w:val="center"/>
    </w:pPr>
  </w:style>
  <w:style w:type="paragraph" w:customStyle="1" w:styleId="Heading1NoNumbering">
    <w:name w:val="Heading 1 (No Numbering)"/>
    <w:basedOn w:val="Heading1"/>
    <w:next w:val="BodyText"/>
    <w:rsid w:val="009A3897"/>
    <w:pPr>
      <w:numPr>
        <w:numId w:val="0"/>
      </w:numPr>
    </w:pPr>
  </w:style>
  <w:style w:type="paragraph" w:styleId="TOAHeading">
    <w:name w:val="toa heading"/>
    <w:basedOn w:val="Normal"/>
    <w:next w:val="Normal"/>
    <w:rsid w:val="009A3897"/>
    <w:pPr>
      <w:spacing w:before="120"/>
    </w:pPr>
    <w:rPr>
      <w:rFonts w:eastAsia="MS Gothic"/>
      <w:b/>
      <w:bCs/>
    </w:rPr>
  </w:style>
  <w:style w:type="paragraph" w:customStyle="1" w:styleId="BodyTextNoIndent">
    <w:name w:val="Body Text No Indent"/>
    <w:aliases w:val="btni"/>
    <w:basedOn w:val="BodyText"/>
    <w:rsid w:val="00B17F33"/>
    <w:pPr>
      <w:ind w:firstLine="0"/>
    </w:pPr>
  </w:style>
  <w:style w:type="paragraph" w:styleId="EndnoteText">
    <w:name w:val="endnote text"/>
    <w:basedOn w:val="Normal"/>
    <w:semiHidden/>
    <w:rsid w:val="00E0230B"/>
    <w:rPr>
      <w:sz w:val="20"/>
      <w:szCs w:val="20"/>
    </w:rPr>
  </w:style>
  <w:style w:type="character" w:styleId="EndnoteReference">
    <w:name w:val="endnote reference"/>
    <w:semiHidden/>
    <w:rsid w:val="00E0230B"/>
    <w:rPr>
      <w:vertAlign w:val="superscript"/>
    </w:rPr>
  </w:style>
  <w:style w:type="character" w:customStyle="1" w:styleId="FootnoteTextChar">
    <w:name w:val="Footnote Text Char"/>
    <w:uiPriority w:val="99"/>
    <w:locked/>
    <w:rsid w:val="00B668B4"/>
    <w:rPr>
      <w:rFonts w:ascii="Times" w:hAnsi="Times" w:cs="Times New Roman"/>
      <w:sz w:val="20"/>
    </w:rPr>
  </w:style>
  <w:style w:type="character" w:customStyle="1" w:styleId="FootnoteBlockChar">
    <w:name w:val="Footnote Block Char"/>
    <w:basedOn w:val="FootnoteTextChar1"/>
    <w:link w:val="FootnoteBlock"/>
    <w:rsid w:val="00EA3614"/>
    <w:rPr>
      <w:rFonts w:ascii="Garamond Premr Pro" w:eastAsia="Times New Roman" w:hAnsi="Garamond Premr Pro"/>
      <w:sz w:val="18"/>
      <w:lang w:eastAsia="ja-JP"/>
    </w:rPr>
  </w:style>
  <w:style w:type="character" w:styleId="Emphasis">
    <w:name w:val="Emphasis"/>
    <w:basedOn w:val="DefaultParagraphFont"/>
    <w:uiPriority w:val="20"/>
    <w:locked/>
    <w:rsid w:val="004B0377"/>
    <w:rPr>
      <w:i/>
      <w:iCs/>
    </w:rPr>
  </w:style>
  <w:style w:type="paragraph" w:customStyle="1" w:styleId="Epigraph">
    <w:name w:val="Epigraph"/>
    <w:basedOn w:val="BodyText"/>
    <w:rsid w:val="00AB08E7"/>
    <w:pPr>
      <w:spacing w:after="120"/>
      <w:ind w:left="360" w:right="360" w:firstLine="0"/>
    </w:pPr>
    <w:rPr>
      <w:lang w:eastAsia="ja-JP"/>
    </w:rPr>
  </w:style>
  <w:style w:type="paragraph" w:customStyle="1" w:styleId="EpigraphAuthor">
    <w:name w:val="Epigraph Author"/>
    <w:basedOn w:val="Epigraph"/>
    <w:rsid w:val="00051AD8"/>
    <w:pPr>
      <w:spacing w:after="240"/>
      <w:ind w:firstLine="360"/>
    </w:pPr>
  </w:style>
  <w:style w:type="paragraph" w:styleId="BodyTextFirstIndent">
    <w:name w:val="Body Text First Indent"/>
    <w:basedOn w:val="BodyText"/>
    <w:link w:val="BodyTextFirstIndentChar"/>
    <w:rsid w:val="001E0845"/>
  </w:style>
  <w:style w:type="character" w:customStyle="1" w:styleId="BodyTextFirstIndentChar">
    <w:name w:val="Body Text First Indent Char"/>
    <w:basedOn w:val="BodyTextChar"/>
    <w:link w:val="BodyTextFirstIndent"/>
    <w:rsid w:val="001E0845"/>
    <w:rPr>
      <w:rFonts w:ascii="OldStyle 7" w:eastAsia="Times New Roman" w:hAnsi="OldStyle 7"/>
      <w:sz w:val="26"/>
      <w:szCs w:val="24"/>
    </w:rPr>
  </w:style>
  <w:style w:type="paragraph" w:customStyle="1" w:styleId="FootnoteTextAfterBlock">
    <w:name w:val="Footnote Text After Block"/>
    <w:basedOn w:val="FootnoteText"/>
    <w:rsid w:val="00260D55"/>
    <w:pPr>
      <w:ind w:firstLine="0"/>
    </w:pPr>
  </w:style>
  <w:style w:type="paragraph" w:customStyle="1" w:styleId="Abstract">
    <w:name w:val="Abstract"/>
    <w:basedOn w:val="BodyText"/>
    <w:rsid w:val="00337D41"/>
    <w:pPr>
      <w:spacing w:before="120"/>
      <w:ind w:left="720" w:right="720" w:firstLine="0"/>
    </w:pPr>
    <w:rPr>
      <w:i/>
    </w:rPr>
  </w:style>
  <w:style w:type="paragraph" w:styleId="DocumentMap">
    <w:name w:val="Document Map"/>
    <w:basedOn w:val="Normal"/>
    <w:link w:val="DocumentMapChar"/>
    <w:rsid w:val="008E67D2"/>
    <w:rPr>
      <w:rFonts w:ascii="Lucida Grande" w:hAnsi="Lucida Grande" w:cs="Lucida Grande"/>
    </w:rPr>
  </w:style>
  <w:style w:type="character" w:customStyle="1" w:styleId="DocumentMapChar">
    <w:name w:val="Document Map Char"/>
    <w:basedOn w:val="DefaultParagraphFont"/>
    <w:link w:val="DocumentMap"/>
    <w:rsid w:val="008E67D2"/>
    <w:rPr>
      <w:rFonts w:ascii="Lucida Grande" w:eastAsia="Times New Roman" w:hAnsi="Lucida Grande" w:cs="Lucida Grande"/>
    </w:rPr>
  </w:style>
  <w:style w:type="paragraph" w:customStyle="1" w:styleId="IntroConclusion">
    <w:name w:val="Intro/Conclusion"/>
    <w:basedOn w:val="Heading1"/>
    <w:next w:val="BodyText"/>
    <w:rsid w:val="006E55CF"/>
    <w:pPr>
      <w:numPr>
        <w:numId w:val="0"/>
      </w:numPr>
    </w:pPr>
  </w:style>
  <w:style w:type="paragraph" w:styleId="NormalWeb">
    <w:name w:val="Normal (Web)"/>
    <w:basedOn w:val="Normal"/>
    <w:uiPriority w:val="99"/>
    <w:unhideWhenUsed/>
    <w:rsid w:val="0055692B"/>
  </w:style>
  <w:style w:type="character" w:styleId="Strong">
    <w:name w:val="Strong"/>
    <w:basedOn w:val="DefaultParagraphFont"/>
    <w:uiPriority w:val="22"/>
    <w:qFormat/>
    <w:locked/>
    <w:rsid w:val="0040666C"/>
    <w:rPr>
      <w:b/>
      <w:bCs/>
    </w:rPr>
  </w:style>
  <w:style w:type="character" w:customStyle="1" w:styleId="query">
    <w:name w:val="query"/>
    <w:basedOn w:val="DefaultParagraphFont"/>
    <w:rsid w:val="005106D9"/>
  </w:style>
  <w:style w:type="paragraph" w:styleId="NoSpacing">
    <w:name w:val="No Spacing"/>
    <w:uiPriority w:val="1"/>
    <w:rsid w:val="00C52803"/>
    <w:pPr>
      <w:jc w:val="both"/>
    </w:pPr>
    <w:rPr>
      <w:rFonts w:ascii="Garamond Premr Pro" w:eastAsia="Times New Roman" w:hAnsi="Garamond Premr Pro"/>
    </w:rPr>
  </w:style>
  <w:style w:type="character" w:customStyle="1" w:styleId="ssit">
    <w:name w:val="ss_it"/>
    <w:basedOn w:val="DefaultParagraphFont"/>
    <w:rsid w:val="00D84D06"/>
  </w:style>
  <w:style w:type="character" w:styleId="FollowedHyperlink">
    <w:name w:val="FollowedHyperlink"/>
    <w:basedOn w:val="DefaultParagraphFont"/>
    <w:rsid w:val="00C632F2"/>
    <w:rPr>
      <w:color w:val="800080" w:themeColor="followedHyperlink"/>
      <w:u w:val="single"/>
    </w:rPr>
  </w:style>
  <w:style w:type="character" w:customStyle="1" w:styleId="UnresolvedMention1">
    <w:name w:val="Unresolved Mention1"/>
    <w:basedOn w:val="DefaultParagraphFont"/>
    <w:rsid w:val="00691EBA"/>
    <w:rPr>
      <w:color w:val="605E5C"/>
      <w:shd w:val="clear" w:color="auto" w:fill="E1DFDD"/>
    </w:rPr>
  </w:style>
  <w:style w:type="paragraph" w:customStyle="1" w:styleId="coindentleft">
    <w:name w:val="co_indentleft"/>
    <w:basedOn w:val="Normal"/>
    <w:rsid w:val="001426F5"/>
    <w:pPr>
      <w:spacing w:before="100" w:beforeAutospacing="1" w:after="100" w:afterAutospacing="1"/>
    </w:pPr>
  </w:style>
  <w:style w:type="character" w:styleId="Mention">
    <w:name w:val="Mention"/>
    <w:basedOn w:val="DefaultParagraphFont"/>
    <w:uiPriority w:val="99"/>
    <w:unhideWhenUsed/>
    <w:rsid w:val="00A52D95"/>
    <w:rPr>
      <w:color w:val="2B579A"/>
      <w:shd w:val="clear" w:color="auto" w:fill="E1DFDD"/>
    </w:rPr>
  </w:style>
  <w:style w:type="character" w:customStyle="1" w:styleId="apple-converted-space">
    <w:name w:val="apple-converted-space"/>
    <w:basedOn w:val="DefaultParagraphFont"/>
    <w:rsid w:val="007211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sChild>
            <w:div w:id="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sChild>
            <w:div w:id="22">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sChild>
                <w:div w:id="66">
                  <w:marLeft w:val="0"/>
                  <w:marRight w:val="0"/>
                  <w:marTop w:val="0"/>
                  <w:marBottom w:val="0"/>
                  <w:divBdr>
                    <w:top w:val="none" w:sz="0" w:space="0" w:color="auto"/>
                    <w:left w:val="none" w:sz="0" w:space="0" w:color="auto"/>
                    <w:bottom w:val="none" w:sz="0" w:space="0" w:color="auto"/>
                    <w:right w:val="none" w:sz="0" w:space="0" w:color="auto"/>
                  </w:divBdr>
                </w:div>
              </w:divsChild>
            </w:div>
            <w:div w:id="63">
              <w:marLeft w:val="0"/>
              <w:marRight w:val="0"/>
              <w:marTop w:val="240"/>
              <w:marBottom w:val="0"/>
              <w:divBdr>
                <w:top w:val="none" w:sz="0" w:space="0" w:color="auto"/>
                <w:left w:val="none" w:sz="0" w:space="0" w:color="auto"/>
                <w:bottom w:val="none" w:sz="0" w:space="0" w:color="auto"/>
                <w:right w:val="none" w:sz="0" w:space="0" w:color="auto"/>
              </w:divBdr>
              <w:divsChild>
                <w:div w:id="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
      <w:marLeft w:val="0"/>
      <w:marRight w:val="0"/>
      <w:marTop w:val="0"/>
      <w:marBottom w:val="0"/>
      <w:divBdr>
        <w:top w:val="none" w:sz="0" w:space="0" w:color="auto"/>
        <w:left w:val="none" w:sz="0" w:space="0" w:color="auto"/>
        <w:bottom w:val="none" w:sz="0" w:space="0" w:color="auto"/>
        <w:right w:val="none" w:sz="0" w:space="0" w:color="auto"/>
      </w:divBdr>
      <w:divsChild>
        <w:div w:id="25">
          <w:marLeft w:val="0"/>
          <w:marRight w:val="0"/>
          <w:marTop w:val="0"/>
          <w:marBottom w:val="0"/>
          <w:divBdr>
            <w:top w:val="none" w:sz="0" w:space="0" w:color="auto"/>
            <w:left w:val="none" w:sz="0" w:space="0" w:color="auto"/>
            <w:bottom w:val="none" w:sz="0" w:space="0" w:color="auto"/>
            <w:right w:val="none" w:sz="0" w:space="0" w:color="auto"/>
          </w:divBdr>
          <w:divsChild>
            <w:div w:id="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
      <w:marLeft w:val="0"/>
      <w:marRight w:val="0"/>
      <w:marTop w:val="0"/>
      <w:marBottom w:val="0"/>
      <w:divBdr>
        <w:top w:val="none" w:sz="0" w:space="0" w:color="auto"/>
        <w:left w:val="none" w:sz="0" w:space="0" w:color="auto"/>
        <w:bottom w:val="none" w:sz="0" w:space="0" w:color="auto"/>
        <w:right w:val="none" w:sz="0" w:space="0" w:color="auto"/>
      </w:divBdr>
      <w:divsChild>
        <w:div w:id="13">
          <w:marLeft w:val="0"/>
          <w:marRight w:val="0"/>
          <w:marTop w:val="0"/>
          <w:marBottom w:val="0"/>
          <w:divBdr>
            <w:top w:val="none" w:sz="0" w:space="0" w:color="auto"/>
            <w:left w:val="none" w:sz="0" w:space="0" w:color="auto"/>
            <w:bottom w:val="none" w:sz="0" w:space="0" w:color="auto"/>
            <w:right w:val="none" w:sz="0" w:space="0" w:color="auto"/>
          </w:divBdr>
          <w:divsChild>
            <w:div w:id="84">
              <w:marLeft w:val="0"/>
              <w:marRight w:val="0"/>
              <w:marTop w:val="0"/>
              <w:marBottom w:val="0"/>
              <w:divBdr>
                <w:top w:val="none" w:sz="0" w:space="0" w:color="auto"/>
                <w:left w:val="none" w:sz="0" w:space="0" w:color="auto"/>
                <w:bottom w:val="none" w:sz="0" w:space="0" w:color="auto"/>
                <w:right w:val="none" w:sz="0" w:space="0" w:color="auto"/>
              </w:divBdr>
            </w:div>
          </w:divsChild>
        </w:div>
        <w:div w:id="37">
          <w:marLeft w:val="0"/>
          <w:marRight w:val="0"/>
          <w:marTop w:val="0"/>
          <w:marBottom w:val="0"/>
          <w:divBdr>
            <w:top w:val="none" w:sz="0" w:space="0" w:color="auto"/>
            <w:left w:val="none" w:sz="0" w:space="0" w:color="auto"/>
            <w:bottom w:val="none" w:sz="0" w:space="0" w:color="auto"/>
            <w:right w:val="none" w:sz="0" w:space="0" w:color="auto"/>
          </w:divBdr>
          <w:divsChild>
            <w:div w:id="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sChild>
        <w:div w:id="48">
          <w:marLeft w:val="0"/>
          <w:marRight w:val="0"/>
          <w:marTop w:val="0"/>
          <w:marBottom w:val="0"/>
          <w:divBdr>
            <w:top w:val="none" w:sz="0" w:space="0" w:color="auto"/>
            <w:left w:val="none" w:sz="0" w:space="0" w:color="auto"/>
            <w:bottom w:val="none" w:sz="0" w:space="0" w:color="auto"/>
            <w:right w:val="none" w:sz="0" w:space="0" w:color="auto"/>
          </w:divBdr>
          <w:divsChild>
            <w:div w:id="9">
              <w:marLeft w:val="0"/>
              <w:marRight w:val="0"/>
              <w:marTop w:val="0"/>
              <w:marBottom w:val="0"/>
              <w:divBdr>
                <w:top w:val="none" w:sz="0" w:space="0" w:color="auto"/>
                <w:left w:val="none" w:sz="0" w:space="0" w:color="auto"/>
                <w:bottom w:val="none" w:sz="0" w:space="0" w:color="auto"/>
                <w:right w:val="none" w:sz="0" w:space="0" w:color="auto"/>
              </w:divBdr>
              <w:divsChild>
                <w:div w:id="16">
                  <w:marLeft w:val="0"/>
                  <w:marRight w:val="0"/>
                  <w:marTop w:val="0"/>
                  <w:marBottom w:val="0"/>
                  <w:divBdr>
                    <w:top w:val="none" w:sz="0" w:space="0" w:color="auto"/>
                    <w:left w:val="none" w:sz="0" w:space="0" w:color="auto"/>
                    <w:bottom w:val="none" w:sz="0" w:space="0" w:color="auto"/>
                    <w:right w:val="none" w:sz="0" w:space="0" w:color="auto"/>
                  </w:divBdr>
                </w:div>
              </w:divsChild>
            </w:div>
            <w:div w:id="47">
              <w:marLeft w:val="0"/>
              <w:marRight w:val="0"/>
              <w:marTop w:val="0"/>
              <w:marBottom w:val="0"/>
              <w:divBdr>
                <w:top w:val="none" w:sz="0" w:space="0" w:color="auto"/>
                <w:left w:val="none" w:sz="0" w:space="0" w:color="auto"/>
                <w:bottom w:val="none" w:sz="0" w:space="0" w:color="auto"/>
                <w:right w:val="none" w:sz="0" w:space="0" w:color="auto"/>
              </w:divBdr>
            </w:div>
            <w:div w:id="65">
              <w:marLeft w:val="0"/>
              <w:marRight w:val="0"/>
              <w:marTop w:val="24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
      <w:marLeft w:val="0"/>
      <w:marRight w:val="0"/>
      <w:marTop w:val="0"/>
      <w:marBottom w:val="0"/>
      <w:divBdr>
        <w:top w:val="none" w:sz="0" w:space="0" w:color="auto"/>
        <w:left w:val="none" w:sz="0" w:space="0" w:color="auto"/>
        <w:bottom w:val="none" w:sz="0" w:space="0" w:color="auto"/>
        <w:right w:val="none" w:sz="0" w:space="0" w:color="auto"/>
      </w:divBdr>
      <w:divsChild>
        <w:div w:id="61">
          <w:marLeft w:val="0"/>
          <w:marRight w:val="0"/>
          <w:marTop w:val="0"/>
          <w:marBottom w:val="0"/>
          <w:divBdr>
            <w:top w:val="none" w:sz="0" w:space="0" w:color="auto"/>
            <w:left w:val="none" w:sz="0" w:space="0" w:color="auto"/>
            <w:bottom w:val="none" w:sz="0" w:space="0" w:color="auto"/>
            <w:right w:val="none" w:sz="0" w:space="0" w:color="auto"/>
          </w:divBdr>
          <w:divsChild>
            <w:div w:id="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sChild>
            <w:div w:id="29">
              <w:marLeft w:val="0"/>
              <w:marRight w:val="0"/>
              <w:marTop w:val="240"/>
              <w:marBottom w:val="0"/>
              <w:divBdr>
                <w:top w:val="none" w:sz="0" w:space="0" w:color="auto"/>
                <w:left w:val="none" w:sz="0" w:space="0" w:color="auto"/>
                <w:bottom w:val="none" w:sz="0" w:space="0" w:color="auto"/>
                <w:right w:val="none" w:sz="0" w:space="0" w:color="auto"/>
              </w:divBdr>
              <w:divsChild>
                <w:div w:id="6">
                  <w:marLeft w:val="0"/>
                  <w:marRight w:val="0"/>
                  <w:marTop w:val="0"/>
                  <w:marBottom w:val="0"/>
                  <w:divBdr>
                    <w:top w:val="none" w:sz="0" w:space="0" w:color="auto"/>
                    <w:left w:val="none" w:sz="0" w:space="0" w:color="auto"/>
                    <w:bottom w:val="none" w:sz="0" w:space="0" w:color="auto"/>
                    <w:right w:val="none" w:sz="0" w:space="0" w:color="auto"/>
                  </w:divBdr>
                </w:div>
              </w:divsChild>
            </w:div>
            <w:div w:id="62">
              <w:marLeft w:val="0"/>
              <w:marRight w:val="0"/>
              <w:marTop w:val="0"/>
              <w:marBottom w:val="0"/>
              <w:divBdr>
                <w:top w:val="none" w:sz="0" w:space="0" w:color="auto"/>
                <w:left w:val="none" w:sz="0" w:space="0" w:color="auto"/>
                <w:bottom w:val="none" w:sz="0" w:space="0" w:color="auto"/>
                <w:right w:val="none" w:sz="0" w:space="0" w:color="auto"/>
              </w:divBdr>
              <w:divsChild>
                <w:div w:id="77">
                  <w:marLeft w:val="0"/>
                  <w:marRight w:val="0"/>
                  <w:marTop w:val="0"/>
                  <w:marBottom w:val="0"/>
                  <w:divBdr>
                    <w:top w:val="none" w:sz="0" w:space="0" w:color="auto"/>
                    <w:left w:val="none" w:sz="0" w:space="0" w:color="auto"/>
                    <w:bottom w:val="none" w:sz="0" w:space="0" w:color="auto"/>
                    <w:right w:val="none" w:sz="0" w:space="0" w:color="auto"/>
                  </w:divBdr>
                </w:div>
              </w:divsChild>
            </w:div>
            <w:div w:id="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
      <w:marLeft w:val="0"/>
      <w:marRight w:val="0"/>
      <w:marTop w:val="0"/>
      <w:marBottom w:val="0"/>
      <w:divBdr>
        <w:top w:val="none" w:sz="0" w:space="0" w:color="auto"/>
        <w:left w:val="none" w:sz="0" w:space="0" w:color="auto"/>
        <w:bottom w:val="none" w:sz="0" w:space="0" w:color="auto"/>
        <w:right w:val="none" w:sz="0" w:space="0" w:color="auto"/>
      </w:divBdr>
      <w:divsChild>
        <w:div w:id="15">
          <w:marLeft w:val="0"/>
          <w:marRight w:val="0"/>
          <w:marTop w:val="0"/>
          <w:marBottom w:val="0"/>
          <w:divBdr>
            <w:top w:val="none" w:sz="0" w:space="0" w:color="auto"/>
            <w:left w:val="none" w:sz="0" w:space="0" w:color="auto"/>
            <w:bottom w:val="none" w:sz="0" w:space="0" w:color="auto"/>
            <w:right w:val="none" w:sz="0" w:space="0" w:color="auto"/>
          </w:divBdr>
          <w:divsChild>
            <w:div w:id="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
      <w:marLeft w:val="0"/>
      <w:marRight w:val="0"/>
      <w:marTop w:val="0"/>
      <w:marBottom w:val="0"/>
      <w:divBdr>
        <w:top w:val="none" w:sz="0" w:space="0" w:color="auto"/>
        <w:left w:val="none" w:sz="0" w:space="0" w:color="auto"/>
        <w:bottom w:val="none" w:sz="0" w:space="0" w:color="auto"/>
        <w:right w:val="none" w:sz="0" w:space="0" w:color="auto"/>
      </w:divBdr>
      <w:divsChild>
        <w:div w:id="52">
          <w:marLeft w:val="0"/>
          <w:marRight w:val="0"/>
          <w:marTop w:val="0"/>
          <w:marBottom w:val="0"/>
          <w:divBdr>
            <w:top w:val="none" w:sz="0" w:space="0" w:color="auto"/>
            <w:left w:val="none" w:sz="0" w:space="0" w:color="auto"/>
            <w:bottom w:val="none" w:sz="0" w:space="0" w:color="auto"/>
            <w:right w:val="none" w:sz="0" w:space="0" w:color="auto"/>
          </w:divBdr>
          <w:divsChild>
            <w:div w:id="51">
              <w:marLeft w:val="0"/>
              <w:marRight w:val="0"/>
              <w:marTop w:val="0"/>
              <w:marBottom w:val="0"/>
              <w:divBdr>
                <w:top w:val="none" w:sz="0" w:space="0" w:color="auto"/>
                <w:left w:val="none" w:sz="0" w:space="0" w:color="auto"/>
                <w:bottom w:val="none" w:sz="0" w:space="0" w:color="auto"/>
                <w:right w:val="none" w:sz="0" w:space="0" w:color="auto"/>
              </w:divBdr>
              <w:divsChild>
                <w:div w:id="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
      <w:marLeft w:val="0"/>
      <w:marRight w:val="0"/>
      <w:marTop w:val="0"/>
      <w:marBottom w:val="0"/>
      <w:divBdr>
        <w:top w:val="none" w:sz="0" w:space="0" w:color="auto"/>
        <w:left w:val="none" w:sz="0" w:space="0" w:color="auto"/>
        <w:bottom w:val="none" w:sz="0" w:space="0" w:color="auto"/>
        <w:right w:val="none" w:sz="0" w:space="0" w:color="auto"/>
      </w:divBdr>
    </w:div>
    <w:div w:id="41">
      <w:marLeft w:val="0"/>
      <w:marRight w:val="0"/>
      <w:marTop w:val="0"/>
      <w:marBottom w:val="0"/>
      <w:divBdr>
        <w:top w:val="none" w:sz="0" w:space="0" w:color="auto"/>
        <w:left w:val="none" w:sz="0" w:space="0" w:color="auto"/>
        <w:bottom w:val="none" w:sz="0" w:space="0" w:color="auto"/>
        <w:right w:val="none" w:sz="0" w:space="0" w:color="auto"/>
      </w:divBdr>
      <w:divsChild>
        <w:div w:id="80">
          <w:marLeft w:val="0"/>
          <w:marRight w:val="0"/>
          <w:marTop w:val="0"/>
          <w:marBottom w:val="0"/>
          <w:divBdr>
            <w:top w:val="none" w:sz="0" w:space="0" w:color="auto"/>
            <w:left w:val="none" w:sz="0" w:space="0" w:color="auto"/>
            <w:bottom w:val="none" w:sz="0" w:space="0" w:color="auto"/>
            <w:right w:val="none" w:sz="0" w:space="0" w:color="auto"/>
          </w:divBdr>
          <w:divsChild>
            <w:div w:id="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
      <w:marLeft w:val="0"/>
      <w:marRight w:val="0"/>
      <w:marTop w:val="0"/>
      <w:marBottom w:val="0"/>
      <w:divBdr>
        <w:top w:val="none" w:sz="0" w:space="0" w:color="auto"/>
        <w:left w:val="none" w:sz="0" w:space="0" w:color="auto"/>
        <w:bottom w:val="none" w:sz="0" w:space="0" w:color="auto"/>
        <w:right w:val="none" w:sz="0" w:space="0" w:color="auto"/>
      </w:divBdr>
    </w:div>
    <w:div w:id="53">
      <w:marLeft w:val="0"/>
      <w:marRight w:val="0"/>
      <w:marTop w:val="0"/>
      <w:marBottom w:val="0"/>
      <w:divBdr>
        <w:top w:val="none" w:sz="0" w:space="0" w:color="auto"/>
        <w:left w:val="none" w:sz="0" w:space="0" w:color="auto"/>
        <w:bottom w:val="none" w:sz="0" w:space="0" w:color="auto"/>
        <w:right w:val="none" w:sz="0" w:space="0" w:color="auto"/>
      </w:divBdr>
    </w:div>
    <w:div w:id="57">
      <w:marLeft w:val="0"/>
      <w:marRight w:val="0"/>
      <w:marTop w:val="0"/>
      <w:marBottom w:val="0"/>
      <w:divBdr>
        <w:top w:val="none" w:sz="0" w:space="0" w:color="auto"/>
        <w:left w:val="none" w:sz="0" w:space="0" w:color="auto"/>
        <w:bottom w:val="none" w:sz="0" w:space="0" w:color="auto"/>
        <w:right w:val="none" w:sz="0" w:space="0" w:color="auto"/>
      </w:divBdr>
      <w:divsChild>
        <w:div w:id="83">
          <w:marLeft w:val="0"/>
          <w:marRight w:val="0"/>
          <w:marTop w:val="0"/>
          <w:marBottom w:val="0"/>
          <w:divBdr>
            <w:top w:val="none" w:sz="0" w:space="0" w:color="auto"/>
            <w:left w:val="none" w:sz="0" w:space="0" w:color="auto"/>
            <w:bottom w:val="none" w:sz="0" w:space="0" w:color="auto"/>
            <w:right w:val="none" w:sz="0" w:space="0" w:color="auto"/>
          </w:divBdr>
          <w:divsChild>
            <w:div w:id="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
      <w:marLeft w:val="0"/>
      <w:marRight w:val="0"/>
      <w:marTop w:val="0"/>
      <w:marBottom w:val="0"/>
      <w:divBdr>
        <w:top w:val="none" w:sz="0" w:space="0" w:color="auto"/>
        <w:left w:val="none" w:sz="0" w:space="0" w:color="auto"/>
        <w:bottom w:val="none" w:sz="0" w:space="0" w:color="auto"/>
        <w:right w:val="none" w:sz="0" w:space="0" w:color="auto"/>
      </w:divBdr>
    </w:div>
    <w:div w:id="59">
      <w:marLeft w:val="0"/>
      <w:marRight w:val="0"/>
      <w:marTop w:val="0"/>
      <w:marBottom w:val="0"/>
      <w:divBdr>
        <w:top w:val="none" w:sz="0" w:space="0" w:color="auto"/>
        <w:left w:val="none" w:sz="0" w:space="0" w:color="auto"/>
        <w:bottom w:val="none" w:sz="0" w:space="0" w:color="auto"/>
        <w:right w:val="none" w:sz="0" w:space="0" w:color="auto"/>
      </w:divBdr>
      <w:divsChild>
        <w:div w:id="45">
          <w:marLeft w:val="0"/>
          <w:marRight w:val="0"/>
          <w:marTop w:val="0"/>
          <w:marBottom w:val="0"/>
          <w:divBdr>
            <w:top w:val="none" w:sz="0" w:space="0" w:color="auto"/>
            <w:left w:val="none" w:sz="0" w:space="0" w:color="auto"/>
            <w:bottom w:val="none" w:sz="0" w:space="0" w:color="auto"/>
            <w:right w:val="none" w:sz="0" w:space="0" w:color="auto"/>
          </w:divBdr>
          <w:divsChild>
            <w:div w:id="23">
              <w:marLeft w:val="0"/>
              <w:marRight w:val="0"/>
              <w:marTop w:val="240"/>
              <w:marBottom w:val="0"/>
              <w:divBdr>
                <w:top w:val="none" w:sz="0" w:space="0" w:color="auto"/>
                <w:left w:val="none" w:sz="0" w:space="0" w:color="auto"/>
                <w:bottom w:val="none" w:sz="0" w:space="0" w:color="auto"/>
                <w:right w:val="none" w:sz="0" w:space="0" w:color="auto"/>
              </w:divBdr>
              <w:divsChild>
                <w:div w:id="50">
                  <w:marLeft w:val="0"/>
                  <w:marRight w:val="0"/>
                  <w:marTop w:val="0"/>
                  <w:marBottom w:val="0"/>
                  <w:divBdr>
                    <w:top w:val="none" w:sz="0" w:space="0" w:color="auto"/>
                    <w:left w:val="none" w:sz="0" w:space="0" w:color="auto"/>
                    <w:bottom w:val="none" w:sz="0" w:space="0" w:color="auto"/>
                    <w:right w:val="none" w:sz="0" w:space="0" w:color="auto"/>
                  </w:divBdr>
                </w:div>
              </w:divsChild>
            </w:div>
            <w:div w:id="33">
              <w:marLeft w:val="0"/>
              <w:marRight w:val="0"/>
              <w:marTop w:val="0"/>
              <w:marBottom w:val="0"/>
              <w:divBdr>
                <w:top w:val="none" w:sz="0" w:space="0" w:color="auto"/>
                <w:left w:val="none" w:sz="0" w:space="0" w:color="auto"/>
                <w:bottom w:val="none" w:sz="0" w:space="0" w:color="auto"/>
                <w:right w:val="none" w:sz="0" w:space="0" w:color="auto"/>
              </w:divBdr>
              <w:divsChild>
                <w:div w:id="49">
                  <w:marLeft w:val="0"/>
                  <w:marRight w:val="0"/>
                  <w:marTop w:val="0"/>
                  <w:marBottom w:val="0"/>
                  <w:divBdr>
                    <w:top w:val="none" w:sz="0" w:space="0" w:color="auto"/>
                    <w:left w:val="none" w:sz="0" w:space="0" w:color="auto"/>
                    <w:bottom w:val="none" w:sz="0" w:space="0" w:color="auto"/>
                    <w:right w:val="none" w:sz="0" w:space="0" w:color="auto"/>
                  </w:divBdr>
                </w:div>
              </w:divsChild>
            </w:div>
            <w:div w:id="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
      <w:marLeft w:val="0"/>
      <w:marRight w:val="0"/>
      <w:marTop w:val="0"/>
      <w:marBottom w:val="0"/>
      <w:divBdr>
        <w:top w:val="none" w:sz="0" w:space="0" w:color="auto"/>
        <w:left w:val="none" w:sz="0" w:space="0" w:color="auto"/>
        <w:bottom w:val="none" w:sz="0" w:space="0" w:color="auto"/>
        <w:right w:val="none" w:sz="0" w:space="0" w:color="auto"/>
      </w:divBdr>
      <w:divsChild>
        <w:div w:id="40">
          <w:marLeft w:val="0"/>
          <w:marRight w:val="0"/>
          <w:marTop w:val="0"/>
          <w:marBottom w:val="0"/>
          <w:divBdr>
            <w:top w:val="none" w:sz="0" w:space="0" w:color="auto"/>
            <w:left w:val="none" w:sz="0" w:space="0" w:color="auto"/>
            <w:bottom w:val="none" w:sz="0" w:space="0" w:color="auto"/>
            <w:right w:val="none" w:sz="0" w:space="0" w:color="auto"/>
          </w:divBdr>
          <w:divsChild>
            <w:div w:id="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
      <w:marLeft w:val="0"/>
      <w:marRight w:val="0"/>
      <w:marTop w:val="0"/>
      <w:marBottom w:val="0"/>
      <w:divBdr>
        <w:top w:val="none" w:sz="0" w:space="0" w:color="auto"/>
        <w:left w:val="none" w:sz="0" w:space="0" w:color="auto"/>
        <w:bottom w:val="none" w:sz="0" w:space="0" w:color="auto"/>
        <w:right w:val="none" w:sz="0" w:space="0" w:color="auto"/>
      </w:divBdr>
      <w:divsChild>
        <w:div w:id="39">
          <w:marLeft w:val="0"/>
          <w:marRight w:val="0"/>
          <w:marTop w:val="0"/>
          <w:marBottom w:val="0"/>
          <w:divBdr>
            <w:top w:val="none" w:sz="0" w:space="0" w:color="auto"/>
            <w:left w:val="none" w:sz="0" w:space="0" w:color="auto"/>
            <w:bottom w:val="none" w:sz="0" w:space="0" w:color="auto"/>
            <w:right w:val="none" w:sz="0" w:space="0" w:color="auto"/>
          </w:divBdr>
          <w:divsChild>
            <w:div w:id="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
      <w:marLeft w:val="0"/>
      <w:marRight w:val="0"/>
      <w:marTop w:val="0"/>
      <w:marBottom w:val="0"/>
      <w:divBdr>
        <w:top w:val="none" w:sz="0" w:space="0" w:color="auto"/>
        <w:left w:val="none" w:sz="0" w:space="0" w:color="auto"/>
        <w:bottom w:val="none" w:sz="0" w:space="0" w:color="auto"/>
        <w:right w:val="none" w:sz="0" w:space="0" w:color="auto"/>
      </w:divBdr>
    </w:div>
    <w:div w:id="70">
      <w:marLeft w:val="0"/>
      <w:marRight w:val="0"/>
      <w:marTop w:val="0"/>
      <w:marBottom w:val="0"/>
      <w:divBdr>
        <w:top w:val="none" w:sz="0" w:space="0" w:color="auto"/>
        <w:left w:val="none" w:sz="0" w:space="0" w:color="auto"/>
        <w:bottom w:val="none" w:sz="0" w:space="0" w:color="auto"/>
        <w:right w:val="none" w:sz="0" w:space="0" w:color="auto"/>
      </w:divBdr>
      <w:divsChild>
        <w:div w:id="36">
          <w:marLeft w:val="0"/>
          <w:marRight w:val="0"/>
          <w:marTop w:val="0"/>
          <w:marBottom w:val="0"/>
          <w:divBdr>
            <w:top w:val="none" w:sz="0" w:space="0" w:color="auto"/>
            <w:left w:val="none" w:sz="0" w:space="0" w:color="auto"/>
            <w:bottom w:val="none" w:sz="0" w:space="0" w:color="auto"/>
            <w:right w:val="none" w:sz="0" w:space="0" w:color="auto"/>
          </w:divBdr>
          <w:divsChild>
            <w:div w:id="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
      <w:marLeft w:val="0"/>
      <w:marRight w:val="0"/>
      <w:marTop w:val="0"/>
      <w:marBottom w:val="0"/>
      <w:divBdr>
        <w:top w:val="none" w:sz="0" w:space="0" w:color="auto"/>
        <w:left w:val="none" w:sz="0" w:space="0" w:color="auto"/>
        <w:bottom w:val="none" w:sz="0" w:space="0" w:color="auto"/>
        <w:right w:val="none" w:sz="0" w:space="0" w:color="auto"/>
      </w:divBdr>
    </w:div>
    <w:div w:id="76">
      <w:marLeft w:val="0"/>
      <w:marRight w:val="0"/>
      <w:marTop w:val="0"/>
      <w:marBottom w:val="0"/>
      <w:divBdr>
        <w:top w:val="none" w:sz="0" w:space="0" w:color="auto"/>
        <w:left w:val="none" w:sz="0" w:space="0" w:color="auto"/>
        <w:bottom w:val="none" w:sz="0" w:space="0" w:color="auto"/>
        <w:right w:val="none" w:sz="0" w:space="0" w:color="auto"/>
      </w:divBdr>
    </w:div>
    <w:div w:id="79">
      <w:marLeft w:val="0"/>
      <w:marRight w:val="0"/>
      <w:marTop w:val="0"/>
      <w:marBottom w:val="0"/>
      <w:divBdr>
        <w:top w:val="none" w:sz="0" w:space="0" w:color="auto"/>
        <w:left w:val="none" w:sz="0" w:space="0" w:color="auto"/>
        <w:bottom w:val="none" w:sz="0" w:space="0" w:color="auto"/>
        <w:right w:val="none" w:sz="0" w:space="0" w:color="auto"/>
      </w:divBdr>
      <w:divsChild>
        <w:div w:id="7">
          <w:marLeft w:val="0"/>
          <w:marRight w:val="0"/>
          <w:marTop w:val="0"/>
          <w:marBottom w:val="0"/>
          <w:divBdr>
            <w:top w:val="none" w:sz="0" w:space="0" w:color="auto"/>
            <w:left w:val="none" w:sz="0" w:space="0" w:color="auto"/>
            <w:bottom w:val="none" w:sz="0" w:space="0" w:color="auto"/>
            <w:right w:val="none" w:sz="0" w:space="0" w:color="auto"/>
          </w:divBdr>
          <w:divsChild>
            <w:div w:id="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
      <w:marLeft w:val="0"/>
      <w:marRight w:val="0"/>
      <w:marTop w:val="0"/>
      <w:marBottom w:val="0"/>
      <w:divBdr>
        <w:top w:val="none" w:sz="0" w:space="0" w:color="auto"/>
        <w:left w:val="none" w:sz="0" w:space="0" w:color="auto"/>
        <w:bottom w:val="none" w:sz="0" w:space="0" w:color="auto"/>
        <w:right w:val="none" w:sz="0" w:space="0" w:color="auto"/>
      </w:divBdr>
      <w:divsChild>
        <w:div w:id="30">
          <w:marLeft w:val="0"/>
          <w:marRight w:val="0"/>
          <w:marTop w:val="0"/>
          <w:marBottom w:val="0"/>
          <w:divBdr>
            <w:top w:val="none" w:sz="0" w:space="0" w:color="auto"/>
            <w:left w:val="none" w:sz="0" w:space="0" w:color="auto"/>
            <w:bottom w:val="none" w:sz="0" w:space="0" w:color="auto"/>
            <w:right w:val="none" w:sz="0" w:space="0" w:color="auto"/>
          </w:divBdr>
          <w:divsChild>
            <w:div w:id="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
      <w:marLeft w:val="0"/>
      <w:marRight w:val="0"/>
      <w:marTop w:val="0"/>
      <w:marBottom w:val="0"/>
      <w:divBdr>
        <w:top w:val="none" w:sz="0" w:space="0" w:color="auto"/>
        <w:left w:val="none" w:sz="0" w:space="0" w:color="auto"/>
        <w:bottom w:val="none" w:sz="0" w:space="0" w:color="auto"/>
        <w:right w:val="none" w:sz="0" w:space="0" w:color="auto"/>
      </w:divBdr>
    </w:div>
    <w:div w:id="86">
      <w:marLeft w:val="0"/>
      <w:marRight w:val="0"/>
      <w:marTop w:val="0"/>
      <w:marBottom w:val="0"/>
      <w:divBdr>
        <w:top w:val="none" w:sz="0" w:space="0" w:color="auto"/>
        <w:left w:val="none" w:sz="0" w:space="0" w:color="auto"/>
        <w:bottom w:val="none" w:sz="0" w:space="0" w:color="auto"/>
        <w:right w:val="none" w:sz="0" w:space="0" w:color="auto"/>
      </w:divBdr>
      <w:divsChild>
        <w:div w:id="71">
          <w:marLeft w:val="0"/>
          <w:marRight w:val="0"/>
          <w:marTop w:val="0"/>
          <w:marBottom w:val="0"/>
          <w:divBdr>
            <w:top w:val="none" w:sz="0" w:space="0" w:color="auto"/>
            <w:left w:val="none" w:sz="0" w:space="0" w:color="auto"/>
            <w:bottom w:val="none" w:sz="0" w:space="0" w:color="auto"/>
            <w:right w:val="none" w:sz="0" w:space="0" w:color="auto"/>
          </w:divBdr>
          <w:divsChild>
            <w:div w:id="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
      <w:marLeft w:val="0"/>
      <w:marRight w:val="0"/>
      <w:marTop w:val="0"/>
      <w:marBottom w:val="0"/>
      <w:divBdr>
        <w:top w:val="none" w:sz="0" w:space="0" w:color="auto"/>
        <w:left w:val="none" w:sz="0" w:space="0" w:color="auto"/>
        <w:bottom w:val="none" w:sz="0" w:space="0" w:color="auto"/>
        <w:right w:val="none" w:sz="0" w:space="0" w:color="auto"/>
      </w:divBdr>
    </w:div>
    <w:div w:id="595980">
      <w:bodyDiv w:val="1"/>
      <w:marLeft w:val="0"/>
      <w:marRight w:val="0"/>
      <w:marTop w:val="0"/>
      <w:marBottom w:val="0"/>
      <w:divBdr>
        <w:top w:val="none" w:sz="0" w:space="0" w:color="auto"/>
        <w:left w:val="none" w:sz="0" w:space="0" w:color="auto"/>
        <w:bottom w:val="none" w:sz="0" w:space="0" w:color="auto"/>
        <w:right w:val="none" w:sz="0" w:space="0" w:color="auto"/>
      </w:divBdr>
      <w:divsChild>
        <w:div w:id="902375086">
          <w:marLeft w:val="0"/>
          <w:marRight w:val="0"/>
          <w:marTop w:val="0"/>
          <w:marBottom w:val="0"/>
          <w:divBdr>
            <w:top w:val="none" w:sz="0" w:space="0" w:color="auto"/>
            <w:left w:val="none" w:sz="0" w:space="0" w:color="auto"/>
            <w:bottom w:val="none" w:sz="0" w:space="0" w:color="auto"/>
            <w:right w:val="none" w:sz="0" w:space="0" w:color="auto"/>
          </w:divBdr>
          <w:divsChild>
            <w:div w:id="188517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118">
      <w:bodyDiv w:val="1"/>
      <w:marLeft w:val="0"/>
      <w:marRight w:val="0"/>
      <w:marTop w:val="0"/>
      <w:marBottom w:val="0"/>
      <w:divBdr>
        <w:top w:val="none" w:sz="0" w:space="0" w:color="auto"/>
        <w:left w:val="none" w:sz="0" w:space="0" w:color="auto"/>
        <w:bottom w:val="none" w:sz="0" w:space="0" w:color="auto"/>
        <w:right w:val="none" w:sz="0" w:space="0" w:color="auto"/>
      </w:divBdr>
    </w:div>
    <w:div w:id="8147401">
      <w:bodyDiv w:val="1"/>
      <w:marLeft w:val="0"/>
      <w:marRight w:val="0"/>
      <w:marTop w:val="0"/>
      <w:marBottom w:val="0"/>
      <w:divBdr>
        <w:top w:val="none" w:sz="0" w:space="0" w:color="auto"/>
        <w:left w:val="none" w:sz="0" w:space="0" w:color="auto"/>
        <w:bottom w:val="none" w:sz="0" w:space="0" w:color="auto"/>
        <w:right w:val="none" w:sz="0" w:space="0" w:color="auto"/>
      </w:divBdr>
      <w:divsChild>
        <w:div w:id="512182751">
          <w:marLeft w:val="0"/>
          <w:marRight w:val="0"/>
          <w:marTop w:val="0"/>
          <w:marBottom w:val="0"/>
          <w:divBdr>
            <w:top w:val="none" w:sz="0" w:space="0" w:color="auto"/>
            <w:left w:val="none" w:sz="0" w:space="0" w:color="auto"/>
            <w:bottom w:val="none" w:sz="0" w:space="0" w:color="auto"/>
            <w:right w:val="none" w:sz="0" w:space="0" w:color="auto"/>
          </w:divBdr>
          <w:divsChild>
            <w:div w:id="159424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248">
      <w:bodyDiv w:val="1"/>
      <w:marLeft w:val="0"/>
      <w:marRight w:val="0"/>
      <w:marTop w:val="0"/>
      <w:marBottom w:val="0"/>
      <w:divBdr>
        <w:top w:val="none" w:sz="0" w:space="0" w:color="auto"/>
        <w:left w:val="none" w:sz="0" w:space="0" w:color="auto"/>
        <w:bottom w:val="none" w:sz="0" w:space="0" w:color="auto"/>
        <w:right w:val="none" w:sz="0" w:space="0" w:color="auto"/>
      </w:divBdr>
      <w:divsChild>
        <w:div w:id="1940941234">
          <w:marLeft w:val="0"/>
          <w:marRight w:val="0"/>
          <w:marTop w:val="0"/>
          <w:marBottom w:val="0"/>
          <w:divBdr>
            <w:top w:val="none" w:sz="0" w:space="0" w:color="auto"/>
            <w:left w:val="none" w:sz="0" w:space="0" w:color="auto"/>
            <w:bottom w:val="none" w:sz="0" w:space="0" w:color="auto"/>
            <w:right w:val="none" w:sz="0" w:space="0" w:color="auto"/>
          </w:divBdr>
          <w:divsChild>
            <w:div w:id="127074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8432">
      <w:bodyDiv w:val="1"/>
      <w:marLeft w:val="0"/>
      <w:marRight w:val="0"/>
      <w:marTop w:val="0"/>
      <w:marBottom w:val="0"/>
      <w:divBdr>
        <w:top w:val="none" w:sz="0" w:space="0" w:color="auto"/>
        <w:left w:val="none" w:sz="0" w:space="0" w:color="auto"/>
        <w:bottom w:val="none" w:sz="0" w:space="0" w:color="auto"/>
        <w:right w:val="none" w:sz="0" w:space="0" w:color="auto"/>
      </w:divBdr>
      <w:divsChild>
        <w:div w:id="824248304">
          <w:marLeft w:val="0"/>
          <w:marRight w:val="0"/>
          <w:marTop w:val="0"/>
          <w:marBottom w:val="0"/>
          <w:divBdr>
            <w:top w:val="none" w:sz="0" w:space="0" w:color="auto"/>
            <w:left w:val="none" w:sz="0" w:space="0" w:color="auto"/>
            <w:bottom w:val="none" w:sz="0" w:space="0" w:color="auto"/>
            <w:right w:val="none" w:sz="0" w:space="0" w:color="auto"/>
          </w:divBdr>
          <w:divsChild>
            <w:div w:id="57581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726">
      <w:bodyDiv w:val="1"/>
      <w:marLeft w:val="0"/>
      <w:marRight w:val="0"/>
      <w:marTop w:val="0"/>
      <w:marBottom w:val="0"/>
      <w:divBdr>
        <w:top w:val="none" w:sz="0" w:space="0" w:color="auto"/>
        <w:left w:val="none" w:sz="0" w:space="0" w:color="auto"/>
        <w:bottom w:val="none" w:sz="0" w:space="0" w:color="auto"/>
        <w:right w:val="none" w:sz="0" w:space="0" w:color="auto"/>
      </w:divBdr>
    </w:div>
    <w:div w:id="17705645">
      <w:bodyDiv w:val="1"/>
      <w:marLeft w:val="0"/>
      <w:marRight w:val="0"/>
      <w:marTop w:val="0"/>
      <w:marBottom w:val="0"/>
      <w:divBdr>
        <w:top w:val="none" w:sz="0" w:space="0" w:color="auto"/>
        <w:left w:val="none" w:sz="0" w:space="0" w:color="auto"/>
        <w:bottom w:val="none" w:sz="0" w:space="0" w:color="auto"/>
        <w:right w:val="none" w:sz="0" w:space="0" w:color="auto"/>
      </w:divBdr>
      <w:divsChild>
        <w:div w:id="1078751033">
          <w:marLeft w:val="0"/>
          <w:marRight w:val="0"/>
          <w:marTop w:val="0"/>
          <w:marBottom w:val="0"/>
          <w:divBdr>
            <w:top w:val="none" w:sz="0" w:space="0" w:color="auto"/>
            <w:left w:val="none" w:sz="0" w:space="0" w:color="auto"/>
            <w:bottom w:val="none" w:sz="0" w:space="0" w:color="auto"/>
            <w:right w:val="none" w:sz="0" w:space="0" w:color="auto"/>
          </w:divBdr>
        </w:div>
      </w:divsChild>
    </w:div>
    <w:div w:id="18317197">
      <w:bodyDiv w:val="1"/>
      <w:marLeft w:val="0"/>
      <w:marRight w:val="0"/>
      <w:marTop w:val="0"/>
      <w:marBottom w:val="0"/>
      <w:divBdr>
        <w:top w:val="none" w:sz="0" w:space="0" w:color="auto"/>
        <w:left w:val="none" w:sz="0" w:space="0" w:color="auto"/>
        <w:bottom w:val="none" w:sz="0" w:space="0" w:color="auto"/>
        <w:right w:val="none" w:sz="0" w:space="0" w:color="auto"/>
      </w:divBdr>
    </w:div>
    <w:div w:id="19665927">
      <w:bodyDiv w:val="1"/>
      <w:marLeft w:val="0"/>
      <w:marRight w:val="0"/>
      <w:marTop w:val="0"/>
      <w:marBottom w:val="0"/>
      <w:divBdr>
        <w:top w:val="none" w:sz="0" w:space="0" w:color="auto"/>
        <w:left w:val="none" w:sz="0" w:space="0" w:color="auto"/>
        <w:bottom w:val="none" w:sz="0" w:space="0" w:color="auto"/>
        <w:right w:val="none" w:sz="0" w:space="0" w:color="auto"/>
      </w:divBdr>
    </w:div>
    <w:div w:id="26369566">
      <w:bodyDiv w:val="1"/>
      <w:marLeft w:val="0"/>
      <w:marRight w:val="0"/>
      <w:marTop w:val="0"/>
      <w:marBottom w:val="0"/>
      <w:divBdr>
        <w:top w:val="none" w:sz="0" w:space="0" w:color="auto"/>
        <w:left w:val="none" w:sz="0" w:space="0" w:color="auto"/>
        <w:bottom w:val="none" w:sz="0" w:space="0" w:color="auto"/>
        <w:right w:val="none" w:sz="0" w:space="0" w:color="auto"/>
      </w:divBdr>
      <w:divsChild>
        <w:div w:id="1526480867">
          <w:marLeft w:val="0"/>
          <w:marRight w:val="0"/>
          <w:marTop w:val="0"/>
          <w:marBottom w:val="0"/>
          <w:divBdr>
            <w:top w:val="none" w:sz="0" w:space="0" w:color="auto"/>
            <w:left w:val="none" w:sz="0" w:space="0" w:color="auto"/>
            <w:bottom w:val="none" w:sz="0" w:space="0" w:color="auto"/>
            <w:right w:val="none" w:sz="0" w:space="0" w:color="auto"/>
          </w:divBdr>
          <w:divsChild>
            <w:div w:id="181891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5788">
      <w:bodyDiv w:val="1"/>
      <w:marLeft w:val="0"/>
      <w:marRight w:val="0"/>
      <w:marTop w:val="0"/>
      <w:marBottom w:val="0"/>
      <w:divBdr>
        <w:top w:val="none" w:sz="0" w:space="0" w:color="auto"/>
        <w:left w:val="none" w:sz="0" w:space="0" w:color="auto"/>
        <w:bottom w:val="none" w:sz="0" w:space="0" w:color="auto"/>
        <w:right w:val="none" w:sz="0" w:space="0" w:color="auto"/>
      </w:divBdr>
    </w:div>
    <w:div w:id="32273522">
      <w:bodyDiv w:val="1"/>
      <w:marLeft w:val="0"/>
      <w:marRight w:val="0"/>
      <w:marTop w:val="0"/>
      <w:marBottom w:val="0"/>
      <w:divBdr>
        <w:top w:val="none" w:sz="0" w:space="0" w:color="auto"/>
        <w:left w:val="none" w:sz="0" w:space="0" w:color="auto"/>
        <w:bottom w:val="none" w:sz="0" w:space="0" w:color="auto"/>
        <w:right w:val="none" w:sz="0" w:space="0" w:color="auto"/>
      </w:divBdr>
    </w:div>
    <w:div w:id="39794818">
      <w:bodyDiv w:val="1"/>
      <w:marLeft w:val="0"/>
      <w:marRight w:val="0"/>
      <w:marTop w:val="0"/>
      <w:marBottom w:val="0"/>
      <w:divBdr>
        <w:top w:val="none" w:sz="0" w:space="0" w:color="auto"/>
        <w:left w:val="none" w:sz="0" w:space="0" w:color="auto"/>
        <w:bottom w:val="none" w:sz="0" w:space="0" w:color="auto"/>
        <w:right w:val="none" w:sz="0" w:space="0" w:color="auto"/>
      </w:divBdr>
      <w:divsChild>
        <w:div w:id="1550604394">
          <w:marLeft w:val="0"/>
          <w:marRight w:val="0"/>
          <w:marTop w:val="0"/>
          <w:marBottom w:val="0"/>
          <w:divBdr>
            <w:top w:val="none" w:sz="0" w:space="0" w:color="auto"/>
            <w:left w:val="none" w:sz="0" w:space="0" w:color="auto"/>
            <w:bottom w:val="none" w:sz="0" w:space="0" w:color="auto"/>
            <w:right w:val="none" w:sz="0" w:space="0" w:color="auto"/>
          </w:divBdr>
          <w:divsChild>
            <w:div w:id="862089616">
              <w:marLeft w:val="0"/>
              <w:marRight w:val="0"/>
              <w:marTop w:val="0"/>
              <w:marBottom w:val="0"/>
              <w:divBdr>
                <w:top w:val="none" w:sz="0" w:space="0" w:color="auto"/>
                <w:left w:val="none" w:sz="0" w:space="0" w:color="auto"/>
                <w:bottom w:val="none" w:sz="0" w:space="0" w:color="auto"/>
                <w:right w:val="none" w:sz="0" w:space="0" w:color="auto"/>
              </w:divBdr>
              <w:divsChild>
                <w:div w:id="36983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21735">
      <w:bodyDiv w:val="1"/>
      <w:marLeft w:val="0"/>
      <w:marRight w:val="0"/>
      <w:marTop w:val="0"/>
      <w:marBottom w:val="0"/>
      <w:divBdr>
        <w:top w:val="none" w:sz="0" w:space="0" w:color="auto"/>
        <w:left w:val="none" w:sz="0" w:space="0" w:color="auto"/>
        <w:bottom w:val="none" w:sz="0" w:space="0" w:color="auto"/>
        <w:right w:val="none" w:sz="0" w:space="0" w:color="auto"/>
      </w:divBdr>
      <w:divsChild>
        <w:div w:id="1837187380">
          <w:marLeft w:val="0"/>
          <w:marRight w:val="0"/>
          <w:marTop w:val="0"/>
          <w:marBottom w:val="0"/>
          <w:divBdr>
            <w:top w:val="none" w:sz="0" w:space="0" w:color="auto"/>
            <w:left w:val="none" w:sz="0" w:space="0" w:color="auto"/>
            <w:bottom w:val="none" w:sz="0" w:space="0" w:color="auto"/>
            <w:right w:val="none" w:sz="0" w:space="0" w:color="auto"/>
          </w:divBdr>
        </w:div>
      </w:divsChild>
    </w:div>
    <w:div w:id="47186834">
      <w:bodyDiv w:val="1"/>
      <w:marLeft w:val="0"/>
      <w:marRight w:val="0"/>
      <w:marTop w:val="0"/>
      <w:marBottom w:val="0"/>
      <w:divBdr>
        <w:top w:val="none" w:sz="0" w:space="0" w:color="auto"/>
        <w:left w:val="none" w:sz="0" w:space="0" w:color="auto"/>
        <w:bottom w:val="none" w:sz="0" w:space="0" w:color="auto"/>
        <w:right w:val="none" w:sz="0" w:space="0" w:color="auto"/>
      </w:divBdr>
    </w:div>
    <w:div w:id="50929384">
      <w:bodyDiv w:val="1"/>
      <w:marLeft w:val="0"/>
      <w:marRight w:val="0"/>
      <w:marTop w:val="0"/>
      <w:marBottom w:val="0"/>
      <w:divBdr>
        <w:top w:val="none" w:sz="0" w:space="0" w:color="auto"/>
        <w:left w:val="none" w:sz="0" w:space="0" w:color="auto"/>
        <w:bottom w:val="none" w:sz="0" w:space="0" w:color="auto"/>
        <w:right w:val="none" w:sz="0" w:space="0" w:color="auto"/>
      </w:divBdr>
    </w:div>
    <w:div w:id="53818587">
      <w:bodyDiv w:val="1"/>
      <w:marLeft w:val="0"/>
      <w:marRight w:val="0"/>
      <w:marTop w:val="0"/>
      <w:marBottom w:val="0"/>
      <w:divBdr>
        <w:top w:val="none" w:sz="0" w:space="0" w:color="auto"/>
        <w:left w:val="none" w:sz="0" w:space="0" w:color="auto"/>
        <w:bottom w:val="none" w:sz="0" w:space="0" w:color="auto"/>
        <w:right w:val="none" w:sz="0" w:space="0" w:color="auto"/>
      </w:divBdr>
    </w:div>
    <w:div w:id="65224843">
      <w:bodyDiv w:val="1"/>
      <w:marLeft w:val="0"/>
      <w:marRight w:val="0"/>
      <w:marTop w:val="0"/>
      <w:marBottom w:val="0"/>
      <w:divBdr>
        <w:top w:val="none" w:sz="0" w:space="0" w:color="auto"/>
        <w:left w:val="none" w:sz="0" w:space="0" w:color="auto"/>
        <w:bottom w:val="none" w:sz="0" w:space="0" w:color="auto"/>
        <w:right w:val="none" w:sz="0" w:space="0" w:color="auto"/>
      </w:divBdr>
      <w:divsChild>
        <w:div w:id="15036894">
          <w:marLeft w:val="0"/>
          <w:marRight w:val="0"/>
          <w:marTop w:val="0"/>
          <w:marBottom w:val="0"/>
          <w:divBdr>
            <w:top w:val="none" w:sz="0" w:space="0" w:color="auto"/>
            <w:left w:val="none" w:sz="0" w:space="0" w:color="auto"/>
            <w:bottom w:val="none" w:sz="0" w:space="0" w:color="auto"/>
            <w:right w:val="none" w:sz="0" w:space="0" w:color="auto"/>
          </w:divBdr>
          <w:divsChild>
            <w:div w:id="5571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1458">
      <w:bodyDiv w:val="1"/>
      <w:marLeft w:val="0"/>
      <w:marRight w:val="0"/>
      <w:marTop w:val="0"/>
      <w:marBottom w:val="0"/>
      <w:divBdr>
        <w:top w:val="none" w:sz="0" w:space="0" w:color="auto"/>
        <w:left w:val="none" w:sz="0" w:space="0" w:color="auto"/>
        <w:bottom w:val="none" w:sz="0" w:space="0" w:color="auto"/>
        <w:right w:val="none" w:sz="0" w:space="0" w:color="auto"/>
      </w:divBdr>
      <w:divsChild>
        <w:div w:id="1127119153">
          <w:marLeft w:val="0"/>
          <w:marRight w:val="0"/>
          <w:marTop w:val="0"/>
          <w:marBottom w:val="0"/>
          <w:divBdr>
            <w:top w:val="none" w:sz="0" w:space="0" w:color="auto"/>
            <w:left w:val="none" w:sz="0" w:space="0" w:color="auto"/>
            <w:bottom w:val="none" w:sz="0" w:space="0" w:color="auto"/>
            <w:right w:val="none" w:sz="0" w:space="0" w:color="auto"/>
          </w:divBdr>
          <w:divsChild>
            <w:div w:id="77564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6793">
      <w:bodyDiv w:val="1"/>
      <w:marLeft w:val="0"/>
      <w:marRight w:val="0"/>
      <w:marTop w:val="0"/>
      <w:marBottom w:val="0"/>
      <w:divBdr>
        <w:top w:val="none" w:sz="0" w:space="0" w:color="auto"/>
        <w:left w:val="none" w:sz="0" w:space="0" w:color="auto"/>
        <w:bottom w:val="none" w:sz="0" w:space="0" w:color="auto"/>
        <w:right w:val="none" w:sz="0" w:space="0" w:color="auto"/>
      </w:divBdr>
      <w:divsChild>
        <w:div w:id="2031102475">
          <w:marLeft w:val="0"/>
          <w:marRight w:val="0"/>
          <w:marTop w:val="0"/>
          <w:marBottom w:val="0"/>
          <w:divBdr>
            <w:top w:val="none" w:sz="0" w:space="0" w:color="auto"/>
            <w:left w:val="none" w:sz="0" w:space="0" w:color="auto"/>
            <w:bottom w:val="none" w:sz="0" w:space="0" w:color="auto"/>
            <w:right w:val="none" w:sz="0" w:space="0" w:color="auto"/>
          </w:divBdr>
          <w:divsChild>
            <w:div w:id="193417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2881">
      <w:bodyDiv w:val="1"/>
      <w:marLeft w:val="0"/>
      <w:marRight w:val="0"/>
      <w:marTop w:val="0"/>
      <w:marBottom w:val="0"/>
      <w:divBdr>
        <w:top w:val="none" w:sz="0" w:space="0" w:color="auto"/>
        <w:left w:val="none" w:sz="0" w:space="0" w:color="auto"/>
        <w:bottom w:val="none" w:sz="0" w:space="0" w:color="auto"/>
        <w:right w:val="none" w:sz="0" w:space="0" w:color="auto"/>
      </w:divBdr>
    </w:div>
    <w:div w:id="81729087">
      <w:bodyDiv w:val="1"/>
      <w:marLeft w:val="0"/>
      <w:marRight w:val="0"/>
      <w:marTop w:val="0"/>
      <w:marBottom w:val="0"/>
      <w:divBdr>
        <w:top w:val="none" w:sz="0" w:space="0" w:color="auto"/>
        <w:left w:val="none" w:sz="0" w:space="0" w:color="auto"/>
        <w:bottom w:val="none" w:sz="0" w:space="0" w:color="auto"/>
        <w:right w:val="none" w:sz="0" w:space="0" w:color="auto"/>
      </w:divBdr>
      <w:divsChild>
        <w:div w:id="1997803808">
          <w:marLeft w:val="0"/>
          <w:marRight w:val="0"/>
          <w:marTop w:val="0"/>
          <w:marBottom w:val="0"/>
          <w:divBdr>
            <w:top w:val="none" w:sz="0" w:space="0" w:color="auto"/>
            <w:left w:val="none" w:sz="0" w:space="0" w:color="auto"/>
            <w:bottom w:val="none" w:sz="0" w:space="0" w:color="auto"/>
            <w:right w:val="none" w:sz="0" w:space="0" w:color="auto"/>
          </w:divBdr>
        </w:div>
      </w:divsChild>
    </w:div>
    <w:div w:id="83379280">
      <w:bodyDiv w:val="1"/>
      <w:marLeft w:val="0"/>
      <w:marRight w:val="0"/>
      <w:marTop w:val="0"/>
      <w:marBottom w:val="0"/>
      <w:divBdr>
        <w:top w:val="none" w:sz="0" w:space="0" w:color="auto"/>
        <w:left w:val="none" w:sz="0" w:space="0" w:color="auto"/>
        <w:bottom w:val="none" w:sz="0" w:space="0" w:color="auto"/>
        <w:right w:val="none" w:sz="0" w:space="0" w:color="auto"/>
      </w:divBdr>
      <w:divsChild>
        <w:div w:id="82142796">
          <w:marLeft w:val="0"/>
          <w:marRight w:val="0"/>
          <w:marTop w:val="0"/>
          <w:marBottom w:val="0"/>
          <w:divBdr>
            <w:top w:val="none" w:sz="0" w:space="0" w:color="auto"/>
            <w:left w:val="none" w:sz="0" w:space="0" w:color="auto"/>
            <w:bottom w:val="none" w:sz="0" w:space="0" w:color="auto"/>
            <w:right w:val="none" w:sz="0" w:space="0" w:color="auto"/>
          </w:divBdr>
          <w:divsChild>
            <w:div w:id="203275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697">
      <w:bodyDiv w:val="1"/>
      <w:marLeft w:val="0"/>
      <w:marRight w:val="0"/>
      <w:marTop w:val="0"/>
      <w:marBottom w:val="0"/>
      <w:divBdr>
        <w:top w:val="none" w:sz="0" w:space="0" w:color="auto"/>
        <w:left w:val="none" w:sz="0" w:space="0" w:color="auto"/>
        <w:bottom w:val="none" w:sz="0" w:space="0" w:color="auto"/>
        <w:right w:val="none" w:sz="0" w:space="0" w:color="auto"/>
      </w:divBdr>
      <w:divsChild>
        <w:div w:id="1830171021">
          <w:marLeft w:val="0"/>
          <w:marRight w:val="0"/>
          <w:marTop w:val="0"/>
          <w:marBottom w:val="0"/>
          <w:divBdr>
            <w:top w:val="none" w:sz="0" w:space="0" w:color="auto"/>
            <w:left w:val="none" w:sz="0" w:space="0" w:color="auto"/>
            <w:bottom w:val="none" w:sz="0" w:space="0" w:color="auto"/>
            <w:right w:val="none" w:sz="0" w:space="0" w:color="auto"/>
          </w:divBdr>
          <w:divsChild>
            <w:div w:id="65191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3711">
      <w:bodyDiv w:val="1"/>
      <w:marLeft w:val="0"/>
      <w:marRight w:val="0"/>
      <w:marTop w:val="0"/>
      <w:marBottom w:val="0"/>
      <w:divBdr>
        <w:top w:val="none" w:sz="0" w:space="0" w:color="auto"/>
        <w:left w:val="none" w:sz="0" w:space="0" w:color="auto"/>
        <w:bottom w:val="none" w:sz="0" w:space="0" w:color="auto"/>
        <w:right w:val="none" w:sz="0" w:space="0" w:color="auto"/>
      </w:divBdr>
      <w:divsChild>
        <w:div w:id="1405839200">
          <w:marLeft w:val="0"/>
          <w:marRight w:val="0"/>
          <w:marTop w:val="0"/>
          <w:marBottom w:val="0"/>
          <w:divBdr>
            <w:top w:val="none" w:sz="0" w:space="0" w:color="auto"/>
            <w:left w:val="none" w:sz="0" w:space="0" w:color="auto"/>
            <w:bottom w:val="none" w:sz="0" w:space="0" w:color="auto"/>
            <w:right w:val="none" w:sz="0" w:space="0" w:color="auto"/>
          </w:divBdr>
          <w:divsChild>
            <w:div w:id="183298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3002">
      <w:bodyDiv w:val="1"/>
      <w:marLeft w:val="0"/>
      <w:marRight w:val="0"/>
      <w:marTop w:val="0"/>
      <w:marBottom w:val="0"/>
      <w:divBdr>
        <w:top w:val="none" w:sz="0" w:space="0" w:color="auto"/>
        <w:left w:val="none" w:sz="0" w:space="0" w:color="auto"/>
        <w:bottom w:val="none" w:sz="0" w:space="0" w:color="auto"/>
        <w:right w:val="none" w:sz="0" w:space="0" w:color="auto"/>
      </w:divBdr>
      <w:divsChild>
        <w:div w:id="102264176">
          <w:marLeft w:val="0"/>
          <w:marRight w:val="0"/>
          <w:marTop w:val="0"/>
          <w:marBottom w:val="0"/>
          <w:divBdr>
            <w:top w:val="none" w:sz="0" w:space="0" w:color="auto"/>
            <w:left w:val="none" w:sz="0" w:space="0" w:color="auto"/>
            <w:bottom w:val="none" w:sz="0" w:space="0" w:color="auto"/>
            <w:right w:val="none" w:sz="0" w:space="0" w:color="auto"/>
          </w:divBdr>
          <w:divsChild>
            <w:div w:id="124625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3435">
      <w:bodyDiv w:val="1"/>
      <w:marLeft w:val="0"/>
      <w:marRight w:val="0"/>
      <w:marTop w:val="0"/>
      <w:marBottom w:val="0"/>
      <w:divBdr>
        <w:top w:val="none" w:sz="0" w:space="0" w:color="auto"/>
        <w:left w:val="none" w:sz="0" w:space="0" w:color="auto"/>
        <w:bottom w:val="none" w:sz="0" w:space="0" w:color="auto"/>
        <w:right w:val="none" w:sz="0" w:space="0" w:color="auto"/>
      </w:divBdr>
    </w:div>
    <w:div w:id="96365203">
      <w:bodyDiv w:val="1"/>
      <w:marLeft w:val="0"/>
      <w:marRight w:val="0"/>
      <w:marTop w:val="0"/>
      <w:marBottom w:val="0"/>
      <w:divBdr>
        <w:top w:val="none" w:sz="0" w:space="0" w:color="auto"/>
        <w:left w:val="none" w:sz="0" w:space="0" w:color="auto"/>
        <w:bottom w:val="none" w:sz="0" w:space="0" w:color="auto"/>
        <w:right w:val="none" w:sz="0" w:space="0" w:color="auto"/>
      </w:divBdr>
      <w:divsChild>
        <w:div w:id="1744596216">
          <w:marLeft w:val="0"/>
          <w:marRight w:val="0"/>
          <w:marTop w:val="0"/>
          <w:marBottom w:val="0"/>
          <w:divBdr>
            <w:top w:val="none" w:sz="0" w:space="0" w:color="auto"/>
            <w:left w:val="none" w:sz="0" w:space="0" w:color="auto"/>
            <w:bottom w:val="none" w:sz="0" w:space="0" w:color="auto"/>
            <w:right w:val="none" w:sz="0" w:space="0" w:color="auto"/>
          </w:divBdr>
        </w:div>
      </w:divsChild>
    </w:div>
    <w:div w:id="97793728">
      <w:bodyDiv w:val="1"/>
      <w:marLeft w:val="0"/>
      <w:marRight w:val="0"/>
      <w:marTop w:val="0"/>
      <w:marBottom w:val="0"/>
      <w:divBdr>
        <w:top w:val="none" w:sz="0" w:space="0" w:color="auto"/>
        <w:left w:val="none" w:sz="0" w:space="0" w:color="auto"/>
        <w:bottom w:val="none" w:sz="0" w:space="0" w:color="auto"/>
        <w:right w:val="none" w:sz="0" w:space="0" w:color="auto"/>
      </w:divBdr>
    </w:div>
    <w:div w:id="97795593">
      <w:bodyDiv w:val="1"/>
      <w:marLeft w:val="0"/>
      <w:marRight w:val="0"/>
      <w:marTop w:val="0"/>
      <w:marBottom w:val="0"/>
      <w:divBdr>
        <w:top w:val="none" w:sz="0" w:space="0" w:color="auto"/>
        <w:left w:val="none" w:sz="0" w:space="0" w:color="auto"/>
        <w:bottom w:val="none" w:sz="0" w:space="0" w:color="auto"/>
        <w:right w:val="none" w:sz="0" w:space="0" w:color="auto"/>
      </w:divBdr>
    </w:div>
    <w:div w:id="108595496">
      <w:bodyDiv w:val="1"/>
      <w:marLeft w:val="0"/>
      <w:marRight w:val="0"/>
      <w:marTop w:val="0"/>
      <w:marBottom w:val="0"/>
      <w:divBdr>
        <w:top w:val="none" w:sz="0" w:space="0" w:color="auto"/>
        <w:left w:val="none" w:sz="0" w:space="0" w:color="auto"/>
        <w:bottom w:val="none" w:sz="0" w:space="0" w:color="auto"/>
        <w:right w:val="none" w:sz="0" w:space="0" w:color="auto"/>
      </w:divBdr>
    </w:div>
    <w:div w:id="116916940">
      <w:bodyDiv w:val="1"/>
      <w:marLeft w:val="0"/>
      <w:marRight w:val="0"/>
      <w:marTop w:val="0"/>
      <w:marBottom w:val="0"/>
      <w:divBdr>
        <w:top w:val="none" w:sz="0" w:space="0" w:color="auto"/>
        <w:left w:val="none" w:sz="0" w:space="0" w:color="auto"/>
        <w:bottom w:val="none" w:sz="0" w:space="0" w:color="auto"/>
        <w:right w:val="none" w:sz="0" w:space="0" w:color="auto"/>
      </w:divBdr>
      <w:divsChild>
        <w:div w:id="1675568661">
          <w:marLeft w:val="0"/>
          <w:marRight w:val="0"/>
          <w:marTop w:val="0"/>
          <w:marBottom w:val="0"/>
          <w:divBdr>
            <w:top w:val="none" w:sz="0" w:space="0" w:color="auto"/>
            <w:left w:val="none" w:sz="0" w:space="0" w:color="auto"/>
            <w:bottom w:val="none" w:sz="0" w:space="0" w:color="auto"/>
            <w:right w:val="none" w:sz="0" w:space="0" w:color="auto"/>
          </w:divBdr>
          <w:divsChild>
            <w:div w:id="47260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6882">
      <w:bodyDiv w:val="1"/>
      <w:marLeft w:val="0"/>
      <w:marRight w:val="0"/>
      <w:marTop w:val="0"/>
      <w:marBottom w:val="0"/>
      <w:divBdr>
        <w:top w:val="none" w:sz="0" w:space="0" w:color="auto"/>
        <w:left w:val="none" w:sz="0" w:space="0" w:color="auto"/>
        <w:bottom w:val="none" w:sz="0" w:space="0" w:color="auto"/>
        <w:right w:val="none" w:sz="0" w:space="0" w:color="auto"/>
      </w:divBdr>
      <w:divsChild>
        <w:div w:id="1895694483">
          <w:marLeft w:val="0"/>
          <w:marRight w:val="0"/>
          <w:marTop w:val="0"/>
          <w:marBottom w:val="0"/>
          <w:divBdr>
            <w:top w:val="none" w:sz="0" w:space="0" w:color="auto"/>
            <w:left w:val="none" w:sz="0" w:space="0" w:color="auto"/>
            <w:bottom w:val="none" w:sz="0" w:space="0" w:color="auto"/>
            <w:right w:val="none" w:sz="0" w:space="0" w:color="auto"/>
          </w:divBdr>
          <w:divsChild>
            <w:div w:id="1370761629">
              <w:marLeft w:val="0"/>
              <w:marRight w:val="0"/>
              <w:marTop w:val="0"/>
              <w:marBottom w:val="0"/>
              <w:divBdr>
                <w:top w:val="none" w:sz="0" w:space="0" w:color="auto"/>
                <w:left w:val="none" w:sz="0" w:space="0" w:color="auto"/>
                <w:bottom w:val="none" w:sz="0" w:space="0" w:color="auto"/>
                <w:right w:val="none" w:sz="0" w:space="0" w:color="auto"/>
              </w:divBdr>
              <w:divsChild>
                <w:div w:id="75991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79155">
      <w:bodyDiv w:val="1"/>
      <w:marLeft w:val="0"/>
      <w:marRight w:val="0"/>
      <w:marTop w:val="0"/>
      <w:marBottom w:val="0"/>
      <w:divBdr>
        <w:top w:val="none" w:sz="0" w:space="0" w:color="auto"/>
        <w:left w:val="none" w:sz="0" w:space="0" w:color="auto"/>
        <w:bottom w:val="none" w:sz="0" w:space="0" w:color="auto"/>
        <w:right w:val="none" w:sz="0" w:space="0" w:color="auto"/>
      </w:divBdr>
    </w:div>
    <w:div w:id="129716824">
      <w:bodyDiv w:val="1"/>
      <w:marLeft w:val="0"/>
      <w:marRight w:val="0"/>
      <w:marTop w:val="0"/>
      <w:marBottom w:val="0"/>
      <w:divBdr>
        <w:top w:val="none" w:sz="0" w:space="0" w:color="auto"/>
        <w:left w:val="none" w:sz="0" w:space="0" w:color="auto"/>
        <w:bottom w:val="none" w:sz="0" w:space="0" w:color="auto"/>
        <w:right w:val="none" w:sz="0" w:space="0" w:color="auto"/>
      </w:divBdr>
    </w:div>
    <w:div w:id="137841214">
      <w:bodyDiv w:val="1"/>
      <w:marLeft w:val="0"/>
      <w:marRight w:val="0"/>
      <w:marTop w:val="0"/>
      <w:marBottom w:val="0"/>
      <w:divBdr>
        <w:top w:val="none" w:sz="0" w:space="0" w:color="auto"/>
        <w:left w:val="none" w:sz="0" w:space="0" w:color="auto"/>
        <w:bottom w:val="none" w:sz="0" w:space="0" w:color="auto"/>
        <w:right w:val="none" w:sz="0" w:space="0" w:color="auto"/>
      </w:divBdr>
    </w:div>
    <w:div w:id="138038724">
      <w:bodyDiv w:val="1"/>
      <w:marLeft w:val="0"/>
      <w:marRight w:val="0"/>
      <w:marTop w:val="0"/>
      <w:marBottom w:val="0"/>
      <w:divBdr>
        <w:top w:val="none" w:sz="0" w:space="0" w:color="auto"/>
        <w:left w:val="none" w:sz="0" w:space="0" w:color="auto"/>
        <w:bottom w:val="none" w:sz="0" w:space="0" w:color="auto"/>
        <w:right w:val="none" w:sz="0" w:space="0" w:color="auto"/>
      </w:divBdr>
      <w:divsChild>
        <w:div w:id="262223969">
          <w:marLeft w:val="0"/>
          <w:marRight w:val="0"/>
          <w:marTop w:val="0"/>
          <w:marBottom w:val="0"/>
          <w:divBdr>
            <w:top w:val="none" w:sz="0" w:space="0" w:color="auto"/>
            <w:left w:val="none" w:sz="0" w:space="0" w:color="auto"/>
            <w:bottom w:val="none" w:sz="0" w:space="0" w:color="auto"/>
            <w:right w:val="none" w:sz="0" w:space="0" w:color="auto"/>
          </w:divBdr>
          <w:divsChild>
            <w:div w:id="347218143">
              <w:marLeft w:val="0"/>
              <w:marRight w:val="0"/>
              <w:marTop w:val="0"/>
              <w:marBottom w:val="0"/>
              <w:divBdr>
                <w:top w:val="none" w:sz="0" w:space="0" w:color="auto"/>
                <w:left w:val="none" w:sz="0" w:space="0" w:color="auto"/>
                <w:bottom w:val="none" w:sz="0" w:space="0" w:color="auto"/>
                <w:right w:val="none" w:sz="0" w:space="0" w:color="auto"/>
              </w:divBdr>
              <w:divsChild>
                <w:div w:id="94577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25252">
      <w:bodyDiv w:val="1"/>
      <w:marLeft w:val="0"/>
      <w:marRight w:val="0"/>
      <w:marTop w:val="0"/>
      <w:marBottom w:val="0"/>
      <w:divBdr>
        <w:top w:val="none" w:sz="0" w:space="0" w:color="auto"/>
        <w:left w:val="none" w:sz="0" w:space="0" w:color="auto"/>
        <w:bottom w:val="none" w:sz="0" w:space="0" w:color="auto"/>
        <w:right w:val="none" w:sz="0" w:space="0" w:color="auto"/>
      </w:divBdr>
      <w:divsChild>
        <w:div w:id="1723669419">
          <w:marLeft w:val="0"/>
          <w:marRight w:val="0"/>
          <w:marTop w:val="0"/>
          <w:marBottom w:val="0"/>
          <w:divBdr>
            <w:top w:val="none" w:sz="0" w:space="0" w:color="auto"/>
            <w:left w:val="none" w:sz="0" w:space="0" w:color="auto"/>
            <w:bottom w:val="none" w:sz="0" w:space="0" w:color="auto"/>
            <w:right w:val="none" w:sz="0" w:space="0" w:color="auto"/>
          </w:divBdr>
          <w:divsChild>
            <w:div w:id="208136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4984">
      <w:bodyDiv w:val="1"/>
      <w:marLeft w:val="0"/>
      <w:marRight w:val="0"/>
      <w:marTop w:val="0"/>
      <w:marBottom w:val="0"/>
      <w:divBdr>
        <w:top w:val="none" w:sz="0" w:space="0" w:color="auto"/>
        <w:left w:val="none" w:sz="0" w:space="0" w:color="auto"/>
        <w:bottom w:val="none" w:sz="0" w:space="0" w:color="auto"/>
        <w:right w:val="none" w:sz="0" w:space="0" w:color="auto"/>
      </w:divBdr>
      <w:divsChild>
        <w:div w:id="368408995">
          <w:marLeft w:val="0"/>
          <w:marRight w:val="0"/>
          <w:marTop w:val="0"/>
          <w:marBottom w:val="0"/>
          <w:divBdr>
            <w:top w:val="none" w:sz="0" w:space="0" w:color="auto"/>
            <w:left w:val="none" w:sz="0" w:space="0" w:color="auto"/>
            <w:bottom w:val="none" w:sz="0" w:space="0" w:color="auto"/>
            <w:right w:val="none" w:sz="0" w:space="0" w:color="auto"/>
          </w:divBdr>
          <w:divsChild>
            <w:div w:id="15403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8576">
      <w:bodyDiv w:val="1"/>
      <w:marLeft w:val="0"/>
      <w:marRight w:val="0"/>
      <w:marTop w:val="0"/>
      <w:marBottom w:val="0"/>
      <w:divBdr>
        <w:top w:val="none" w:sz="0" w:space="0" w:color="auto"/>
        <w:left w:val="none" w:sz="0" w:space="0" w:color="auto"/>
        <w:bottom w:val="none" w:sz="0" w:space="0" w:color="auto"/>
        <w:right w:val="none" w:sz="0" w:space="0" w:color="auto"/>
      </w:divBdr>
      <w:divsChild>
        <w:div w:id="1918703735">
          <w:marLeft w:val="0"/>
          <w:marRight w:val="0"/>
          <w:marTop w:val="0"/>
          <w:marBottom w:val="0"/>
          <w:divBdr>
            <w:top w:val="none" w:sz="0" w:space="0" w:color="auto"/>
            <w:left w:val="none" w:sz="0" w:space="0" w:color="auto"/>
            <w:bottom w:val="none" w:sz="0" w:space="0" w:color="auto"/>
            <w:right w:val="none" w:sz="0" w:space="0" w:color="auto"/>
          </w:divBdr>
          <w:divsChild>
            <w:div w:id="196210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2230">
      <w:bodyDiv w:val="1"/>
      <w:marLeft w:val="0"/>
      <w:marRight w:val="0"/>
      <w:marTop w:val="0"/>
      <w:marBottom w:val="0"/>
      <w:divBdr>
        <w:top w:val="none" w:sz="0" w:space="0" w:color="auto"/>
        <w:left w:val="none" w:sz="0" w:space="0" w:color="auto"/>
        <w:bottom w:val="none" w:sz="0" w:space="0" w:color="auto"/>
        <w:right w:val="none" w:sz="0" w:space="0" w:color="auto"/>
      </w:divBdr>
      <w:divsChild>
        <w:div w:id="2141801174">
          <w:marLeft w:val="0"/>
          <w:marRight w:val="0"/>
          <w:marTop w:val="0"/>
          <w:marBottom w:val="0"/>
          <w:divBdr>
            <w:top w:val="none" w:sz="0" w:space="0" w:color="auto"/>
            <w:left w:val="none" w:sz="0" w:space="0" w:color="auto"/>
            <w:bottom w:val="none" w:sz="0" w:space="0" w:color="auto"/>
            <w:right w:val="none" w:sz="0" w:space="0" w:color="auto"/>
          </w:divBdr>
          <w:divsChild>
            <w:div w:id="112238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76080">
      <w:bodyDiv w:val="1"/>
      <w:marLeft w:val="0"/>
      <w:marRight w:val="0"/>
      <w:marTop w:val="0"/>
      <w:marBottom w:val="0"/>
      <w:divBdr>
        <w:top w:val="none" w:sz="0" w:space="0" w:color="auto"/>
        <w:left w:val="none" w:sz="0" w:space="0" w:color="auto"/>
        <w:bottom w:val="none" w:sz="0" w:space="0" w:color="auto"/>
        <w:right w:val="none" w:sz="0" w:space="0" w:color="auto"/>
      </w:divBdr>
      <w:divsChild>
        <w:div w:id="564687473">
          <w:marLeft w:val="0"/>
          <w:marRight w:val="0"/>
          <w:marTop w:val="0"/>
          <w:marBottom w:val="0"/>
          <w:divBdr>
            <w:top w:val="none" w:sz="0" w:space="0" w:color="auto"/>
            <w:left w:val="none" w:sz="0" w:space="0" w:color="auto"/>
            <w:bottom w:val="none" w:sz="0" w:space="0" w:color="auto"/>
            <w:right w:val="none" w:sz="0" w:space="0" w:color="auto"/>
          </w:divBdr>
          <w:divsChild>
            <w:div w:id="84898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4981">
      <w:bodyDiv w:val="1"/>
      <w:marLeft w:val="0"/>
      <w:marRight w:val="0"/>
      <w:marTop w:val="0"/>
      <w:marBottom w:val="0"/>
      <w:divBdr>
        <w:top w:val="none" w:sz="0" w:space="0" w:color="auto"/>
        <w:left w:val="none" w:sz="0" w:space="0" w:color="auto"/>
        <w:bottom w:val="none" w:sz="0" w:space="0" w:color="auto"/>
        <w:right w:val="none" w:sz="0" w:space="0" w:color="auto"/>
      </w:divBdr>
    </w:div>
    <w:div w:id="170605902">
      <w:bodyDiv w:val="1"/>
      <w:marLeft w:val="0"/>
      <w:marRight w:val="0"/>
      <w:marTop w:val="0"/>
      <w:marBottom w:val="0"/>
      <w:divBdr>
        <w:top w:val="none" w:sz="0" w:space="0" w:color="auto"/>
        <w:left w:val="none" w:sz="0" w:space="0" w:color="auto"/>
        <w:bottom w:val="none" w:sz="0" w:space="0" w:color="auto"/>
        <w:right w:val="none" w:sz="0" w:space="0" w:color="auto"/>
      </w:divBdr>
      <w:divsChild>
        <w:div w:id="529882239">
          <w:marLeft w:val="0"/>
          <w:marRight w:val="0"/>
          <w:marTop w:val="0"/>
          <w:marBottom w:val="0"/>
          <w:divBdr>
            <w:top w:val="none" w:sz="0" w:space="0" w:color="auto"/>
            <w:left w:val="none" w:sz="0" w:space="0" w:color="auto"/>
            <w:bottom w:val="none" w:sz="0" w:space="0" w:color="auto"/>
            <w:right w:val="none" w:sz="0" w:space="0" w:color="auto"/>
          </w:divBdr>
          <w:divsChild>
            <w:div w:id="50196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67940">
      <w:bodyDiv w:val="1"/>
      <w:marLeft w:val="0"/>
      <w:marRight w:val="0"/>
      <w:marTop w:val="0"/>
      <w:marBottom w:val="0"/>
      <w:divBdr>
        <w:top w:val="none" w:sz="0" w:space="0" w:color="auto"/>
        <w:left w:val="none" w:sz="0" w:space="0" w:color="auto"/>
        <w:bottom w:val="none" w:sz="0" w:space="0" w:color="auto"/>
        <w:right w:val="none" w:sz="0" w:space="0" w:color="auto"/>
      </w:divBdr>
    </w:div>
    <w:div w:id="181406410">
      <w:bodyDiv w:val="1"/>
      <w:marLeft w:val="0"/>
      <w:marRight w:val="0"/>
      <w:marTop w:val="0"/>
      <w:marBottom w:val="0"/>
      <w:divBdr>
        <w:top w:val="none" w:sz="0" w:space="0" w:color="auto"/>
        <w:left w:val="none" w:sz="0" w:space="0" w:color="auto"/>
        <w:bottom w:val="none" w:sz="0" w:space="0" w:color="auto"/>
        <w:right w:val="none" w:sz="0" w:space="0" w:color="auto"/>
      </w:divBdr>
      <w:divsChild>
        <w:div w:id="1812672739">
          <w:marLeft w:val="0"/>
          <w:marRight w:val="0"/>
          <w:marTop w:val="0"/>
          <w:marBottom w:val="0"/>
          <w:divBdr>
            <w:top w:val="none" w:sz="0" w:space="0" w:color="auto"/>
            <w:left w:val="none" w:sz="0" w:space="0" w:color="auto"/>
            <w:bottom w:val="none" w:sz="0" w:space="0" w:color="auto"/>
            <w:right w:val="none" w:sz="0" w:space="0" w:color="auto"/>
          </w:divBdr>
          <w:divsChild>
            <w:div w:id="3069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9335">
      <w:bodyDiv w:val="1"/>
      <w:marLeft w:val="0"/>
      <w:marRight w:val="0"/>
      <w:marTop w:val="0"/>
      <w:marBottom w:val="0"/>
      <w:divBdr>
        <w:top w:val="none" w:sz="0" w:space="0" w:color="auto"/>
        <w:left w:val="none" w:sz="0" w:space="0" w:color="auto"/>
        <w:bottom w:val="none" w:sz="0" w:space="0" w:color="auto"/>
        <w:right w:val="none" w:sz="0" w:space="0" w:color="auto"/>
      </w:divBdr>
    </w:div>
    <w:div w:id="194732461">
      <w:bodyDiv w:val="1"/>
      <w:marLeft w:val="0"/>
      <w:marRight w:val="0"/>
      <w:marTop w:val="0"/>
      <w:marBottom w:val="0"/>
      <w:divBdr>
        <w:top w:val="none" w:sz="0" w:space="0" w:color="auto"/>
        <w:left w:val="none" w:sz="0" w:space="0" w:color="auto"/>
        <w:bottom w:val="none" w:sz="0" w:space="0" w:color="auto"/>
        <w:right w:val="none" w:sz="0" w:space="0" w:color="auto"/>
      </w:divBdr>
    </w:div>
    <w:div w:id="196236432">
      <w:bodyDiv w:val="1"/>
      <w:marLeft w:val="0"/>
      <w:marRight w:val="0"/>
      <w:marTop w:val="0"/>
      <w:marBottom w:val="0"/>
      <w:divBdr>
        <w:top w:val="none" w:sz="0" w:space="0" w:color="auto"/>
        <w:left w:val="none" w:sz="0" w:space="0" w:color="auto"/>
        <w:bottom w:val="none" w:sz="0" w:space="0" w:color="auto"/>
        <w:right w:val="none" w:sz="0" w:space="0" w:color="auto"/>
      </w:divBdr>
    </w:div>
    <w:div w:id="197553881">
      <w:bodyDiv w:val="1"/>
      <w:marLeft w:val="0"/>
      <w:marRight w:val="0"/>
      <w:marTop w:val="0"/>
      <w:marBottom w:val="0"/>
      <w:divBdr>
        <w:top w:val="none" w:sz="0" w:space="0" w:color="auto"/>
        <w:left w:val="none" w:sz="0" w:space="0" w:color="auto"/>
        <w:bottom w:val="none" w:sz="0" w:space="0" w:color="auto"/>
        <w:right w:val="none" w:sz="0" w:space="0" w:color="auto"/>
      </w:divBdr>
      <w:divsChild>
        <w:div w:id="796723418">
          <w:marLeft w:val="0"/>
          <w:marRight w:val="0"/>
          <w:marTop w:val="0"/>
          <w:marBottom w:val="0"/>
          <w:divBdr>
            <w:top w:val="none" w:sz="0" w:space="0" w:color="auto"/>
            <w:left w:val="none" w:sz="0" w:space="0" w:color="auto"/>
            <w:bottom w:val="none" w:sz="0" w:space="0" w:color="auto"/>
            <w:right w:val="none" w:sz="0" w:space="0" w:color="auto"/>
          </w:divBdr>
          <w:divsChild>
            <w:div w:id="22429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9559">
      <w:bodyDiv w:val="1"/>
      <w:marLeft w:val="0"/>
      <w:marRight w:val="0"/>
      <w:marTop w:val="0"/>
      <w:marBottom w:val="0"/>
      <w:divBdr>
        <w:top w:val="none" w:sz="0" w:space="0" w:color="auto"/>
        <w:left w:val="none" w:sz="0" w:space="0" w:color="auto"/>
        <w:bottom w:val="none" w:sz="0" w:space="0" w:color="auto"/>
        <w:right w:val="none" w:sz="0" w:space="0" w:color="auto"/>
      </w:divBdr>
    </w:div>
    <w:div w:id="201941294">
      <w:bodyDiv w:val="1"/>
      <w:marLeft w:val="0"/>
      <w:marRight w:val="0"/>
      <w:marTop w:val="0"/>
      <w:marBottom w:val="0"/>
      <w:divBdr>
        <w:top w:val="none" w:sz="0" w:space="0" w:color="auto"/>
        <w:left w:val="none" w:sz="0" w:space="0" w:color="auto"/>
        <w:bottom w:val="none" w:sz="0" w:space="0" w:color="auto"/>
        <w:right w:val="none" w:sz="0" w:space="0" w:color="auto"/>
      </w:divBdr>
    </w:div>
    <w:div w:id="202062098">
      <w:bodyDiv w:val="1"/>
      <w:marLeft w:val="0"/>
      <w:marRight w:val="0"/>
      <w:marTop w:val="0"/>
      <w:marBottom w:val="0"/>
      <w:divBdr>
        <w:top w:val="none" w:sz="0" w:space="0" w:color="auto"/>
        <w:left w:val="none" w:sz="0" w:space="0" w:color="auto"/>
        <w:bottom w:val="none" w:sz="0" w:space="0" w:color="auto"/>
        <w:right w:val="none" w:sz="0" w:space="0" w:color="auto"/>
      </w:divBdr>
    </w:div>
    <w:div w:id="206380060">
      <w:bodyDiv w:val="1"/>
      <w:marLeft w:val="0"/>
      <w:marRight w:val="0"/>
      <w:marTop w:val="0"/>
      <w:marBottom w:val="0"/>
      <w:divBdr>
        <w:top w:val="none" w:sz="0" w:space="0" w:color="auto"/>
        <w:left w:val="none" w:sz="0" w:space="0" w:color="auto"/>
        <w:bottom w:val="none" w:sz="0" w:space="0" w:color="auto"/>
        <w:right w:val="none" w:sz="0" w:space="0" w:color="auto"/>
      </w:divBdr>
      <w:divsChild>
        <w:div w:id="1951618047">
          <w:marLeft w:val="0"/>
          <w:marRight w:val="0"/>
          <w:marTop w:val="0"/>
          <w:marBottom w:val="0"/>
          <w:divBdr>
            <w:top w:val="none" w:sz="0" w:space="0" w:color="auto"/>
            <w:left w:val="none" w:sz="0" w:space="0" w:color="auto"/>
            <w:bottom w:val="none" w:sz="0" w:space="0" w:color="auto"/>
            <w:right w:val="none" w:sz="0" w:space="0" w:color="auto"/>
          </w:divBdr>
          <w:divsChild>
            <w:div w:id="85138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1149">
      <w:bodyDiv w:val="1"/>
      <w:marLeft w:val="0"/>
      <w:marRight w:val="0"/>
      <w:marTop w:val="0"/>
      <w:marBottom w:val="0"/>
      <w:divBdr>
        <w:top w:val="none" w:sz="0" w:space="0" w:color="auto"/>
        <w:left w:val="none" w:sz="0" w:space="0" w:color="auto"/>
        <w:bottom w:val="none" w:sz="0" w:space="0" w:color="auto"/>
        <w:right w:val="none" w:sz="0" w:space="0" w:color="auto"/>
      </w:divBdr>
    </w:div>
    <w:div w:id="213783841">
      <w:bodyDiv w:val="1"/>
      <w:marLeft w:val="0"/>
      <w:marRight w:val="0"/>
      <w:marTop w:val="0"/>
      <w:marBottom w:val="0"/>
      <w:divBdr>
        <w:top w:val="none" w:sz="0" w:space="0" w:color="auto"/>
        <w:left w:val="none" w:sz="0" w:space="0" w:color="auto"/>
        <w:bottom w:val="none" w:sz="0" w:space="0" w:color="auto"/>
        <w:right w:val="none" w:sz="0" w:space="0" w:color="auto"/>
      </w:divBdr>
    </w:div>
    <w:div w:id="214393376">
      <w:bodyDiv w:val="1"/>
      <w:marLeft w:val="0"/>
      <w:marRight w:val="0"/>
      <w:marTop w:val="0"/>
      <w:marBottom w:val="0"/>
      <w:divBdr>
        <w:top w:val="none" w:sz="0" w:space="0" w:color="auto"/>
        <w:left w:val="none" w:sz="0" w:space="0" w:color="auto"/>
        <w:bottom w:val="none" w:sz="0" w:space="0" w:color="auto"/>
        <w:right w:val="none" w:sz="0" w:space="0" w:color="auto"/>
      </w:divBdr>
      <w:divsChild>
        <w:div w:id="905652357">
          <w:marLeft w:val="0"/>
          <w:marRight w:val="0"/>
          <w:marTop w:val="0"/>
          <w:marBottom w:val="0"/>
          <w:divBdr>
            <w:top w:val="none" w:sz="0" w:space="0" w:color="auto"/>
            <w:left w:val="none" w:sz="0" w:space="0" w:color="auto"/>
            <w:bottom w:val="none" w:sz="0" w:space="0" w:color="auto"/>
            <w:right w:val="none" w:sz="0" w:space="0" w:color="auto"/>
          </w:divBdr>
        </w:div>
      </w:divsChild>
    </w:div>
    <w:div w:id="217325707">
      <w:bodyDiv w:val="1"/>
      <w:marLeft w:val="0"/>
      <w:marRight w:val="0"/>
      <w:marTop w:val="0"/>
      <w:marBottom w:val="0"/>
      <w:divBdr>
        <w:top w:val="none" w:sz="0" w:space="0" w:color="auto"/>
        <w:left w:val="none" w:sz="0" w:space="0" w:color="auto"/>
        <w:bottom w:val="none" w:sz="0" w:space="0" w:color="auto"/>
        <w:right w:val="none" w:sz="0" w:space="0" w:color="auto"/>
      </w:divBdr>
      <w:divsChild>
        <w:div w:id="1060442343">
          <w:marLeft w:val="0"/>
          <w:marRight w:val="0"/>
          <w:marTop w:val="0"/>
          <w:marBottom w:val="0"/>
          <w:divBdr>
            <w:top w:val="none" w:sz="0" w:space="0" w:color="auto"/>
            <w:left w:val="none" w:sz="0" w:space="0" w:color="auto"/>
            <w:bottom w:val="none" w:sz="0" w:space="0" w:color="auto"/>
            <w:right w:val="none" w:sz="0" w:space="0" w:color="auto"/>
          </w:divBdr>
          <w:divsChild>
            <w:div w:id="161358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405159">
      <w:bodyDiv w:val="1"/>
      <w:marLeft w:val="0"/>
      <w:marRight w:val="0"/>
      <w:marTop w:val="0"/>
      <w:marBottom w:val="0"/>
      <w:divBdr>
        <w:top w:val="none" w:sz="0" w:space="0" w:color="auto"/>
        <w:left w:val="none" w:sz="0" w:space="0" w:color="auto"/>
        <w:bottom w:val="none" w:sz="0" w:space="0" w:color="auto"/>
        <w:right w:val="none" w:sz="0" w:space="0" w:color="auto"/>
      </w:divBdr>
    </w:div>
    <w:div w:id="220219807">
      <w:bodyDiv w:val="1"/>
      <w:marLeft w:val="0"/>
      <w:marRight w:val="0"/>
      <w:marTop w:val="0"/>
      <w:marBottom w:val="0"/>
      <w:divBdr>
        <w:top w:val="none" w:sz="0" w:space="0" w:color="auto"/>
        <w:left w:val="none" w:sz="0" w:space="0" w:color="auto"/>
        <w:bottom w:val="none" w:sz="0" w:space="0" w:color="auto"/>
        <w:right w:val="none" w:sz="0" w:space="0" w:color="auto"/>
      </w:divBdr>
      <w:divsChild>
        <w:div w:id="893851830">
          <w:marLeft w:val="0"/>
          <w:marRight w:val="0"/>
          <w:marTop w:val="0"/>
          <w:marBottom w:val="0"/>
          <w:divBdr>
            <w:top w:val="none" w:sz="0" w:space="0" w:color="auto"/>
            <w:left w:val="none" w:sz="0" w:space="0" w:color="auto"/>
            <w:bottom w:val="none" w:sz="0" w:space="0" w:color="auto"/>
            <w:right w:val="none" w:sz="0" w:space="0" w:color="auto"/>
          </w:divBdr>
        </w:div>
      </w:divsChild>
    </w:div>
    <w:div w:id="224296039">
      <w:bodyDiv w:val="1"/>
      <w:marLeft w:val="0"/>
      <w:marRight w:val="0"/>
      <w:marTop w:val="0"/>
      <w:marBottom w:val="0"/>
      <w:divBdr>
        <w:top w:val="none" w:sz="0" w:space="0" w:color="auto"/>
        <w:left w:val="none" w:sz="0" w:space="0" w:color="auto"/>
        <w:bottom w:val="none" w:sz="0" w:space="0" w:color="auto"/>
        <w:right w:val="none" w:sz="0" w:space="0" w:color="auto"/>
      </w:divBdr>
    </w:div>
    <w:div w:id="224948872">
      <w:bodyDiv w:val="1"/>
      <w:marLeft w:val="0"/>
      <w:marRight w:val="0"/>
      <w:marTop w:val="0"/>
      <w:marBottom w:val="0"/>
      <w:divBdr>
        <w:top w:val="none" w:sz="0" w:space="0" w:color="auto"/>
        <w:left w:val="none" w:sz="0" w:space="0" w:color="auto"/>
        <w:bottom w:val="none" w:sz="0" w:space="0" w:color="auto"/>
        <w:right w:val="none" w:sz="0" w:space="0" w:color="auto"/>
      </w:divBdr>
      <w:divsChild>
        <w:div w:id="346759280">
          <w:marLeft w:val="0"/>
          <w:marRight w:val="0"/>
          <w:marTop w:val="0"/>
          <w:marBottom w:val="0"/>
          <w:divBdr>
            <w:top w:val="none" w:sz="0" w:space="0" w:color="auto"/>
            <w:left w:val="none" w:sz="0" w:space="0" w:color="auto"/>
            <w:bottom w:val="none" w:sz="0" w:space="0" w:color="auto"/>
            <w:right w:val="none" w:sz="0" w:space="0" w:color="auto"/>
          </w:divBdr>
          <w:divsChild>
            <w:div w:id="1884292667">
              <w:marLeft w:val="0"/>
              <w:marRight w:val="0"/>
              <w:marTop w:val="0"/>
              <w:marBottom w:val="0"/>
              <w:divBdr>
                <w:top w:val="none" w:sz="0" w:space="0" w:color="auto"/>
                <w:left w:val="none" w:sz="0" w:space="0" w:color="auto"/>
                <w:bottom w:val="none" w:sz="0" w:space="0" w:color="auto"/>
                <w:right w:val="none" w:sz="0" w:space="0" w:color="auto"/>
              </w:divBdr>
              <w:divsChild>
                <w:div w:id="213421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576486">
      <w:bodyDiv w:val="1"/>
      <w:marLeft w:val="0"/>
      <w:marRight w:val="0"/>
      <w:marTop w:val="0"/>
      <w:marBottom w:val="0"/>
      <w:divBdr>
        <w:top w:val="none" w:sz="0" w:space="0" w:color="auto"/>
        <w:left w:val="none" w:sz="0" w:space="0" w:color="auto"/>
        <w:bottom w:val="none" w:sz="0" w:space="0" w:color="auto"/>
        <w:right w:val="none" w:sz="0" w:space="0" w:color="auto"/>
      </w:divBdr>
      <w:divsChild>
        <w:div w:id="623656751">
          <w:marLeft w:val="0"/>
          <w:marRight w:val="0"/>
          <w:marTop w:val="0"/>
          <w:marBottom w:val="0"/>
          <w:divBdr>
            <w:top w:val="none" w:sz="0" w:space="0" w:color="auto"/>
            <w:left w:val="none" w:sz="0" w:space="0" w:color="auto"/>
            <w:bottom w:val="none" w:sz="0" w:space="0" w:color="auto"/>
            <w:right w:val="none" w:sz="0" w:space="0" w:color="auto"/>
          </w:divBdr>
          <w:divsChild>
            <w:div w:id="1174032807">
              <w:marLeft w:val="0"/>
              <w:marRight w:val="0"/>
              <w:marTop w:val="0"/>
              <w:marBottom w:val="0"/>
              <w:divBdr>
                <w:top w:val="none" w:sz="0" w:space="0" w:color="auto"/>
                <w:left w:val="none" w:sz="0" w:space="0" w:color="auto"/>
                <w:bottom w:val="none" w:sz="0" w:space="0" w:color="auto"/>
                <w:right w:val="none" w:sz="0" w:space="0" w:color="auto"/>
              </w:divBdr>
              <w:divsChild>
                <w:div w:id="136054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859949">
      <w:bodyDiv w:val="1"/>
      <w:marLeft w:val="0"/>
      <w:marRight w:val="0"/>
      <w:marTop w:val="0"/>
      <w:marBottom w:val="0"/>
      <w:divBdr>
        <w:top w:val="none" w:sz="0" w:space="0" w:color="auto"/>
        <w:left w:val="none" w:sz="0" w:space="0" w:color="auto"/>
        <w:bottom w:val="none" w:sz="0" w:space="0" w:color="auto"/>
        <w:right w:val="none" w:sz="0" w:space="0" w:color="auto"/>
      </w:divBdr>
      <w:divsChild>
        <w:div w:id="1687172971">
          <w:marLeft w:val="0"/>
          <w:marRight w:val="0"/>
          <w:marTop w:val="0"/>
          <w:marBottom w:val="0"/>
          <w:divBdr>
            <w:top w:val="none" w:sz="0" w:space="0" w:color="auto"/>
            <w:left w:val="none" w:sz="0" w:space="0" w:color="auto"/>
            <w:bottom w:val="none" w:sz="0" w:space="0" w:color="auto"/>
            <w:right w:val="none" w:sz="0" w:space="0" w:color="auto"/>
          </w:divBdr>
        </w:div>
      </w:divsChild>
    </w:div>
    <w:div w:id="236093292">
      <w:bodyDiv w:val="1"/>
      <w:marLeft w:val="0"/>
      <w:marRight w:val="0"/>
      <w:marTop w:val="0"/>
      <w:marBottom w:val="0"/>
      <w:divBdr>
        <w:top w:val="none" w:sz="0" w:space="0" w:color="auto"/>
        <w:left w:val="none" w:sz="0" w:space="0" w:color="auto"/>
        <w:bottom w:val="none" w:sz="0" w:space="0" w:color="auto"/>
        <w:right w:val="none" w:sz="0" w:space="0" w:color="auto"/>
      </w:divBdr>
    </w:div>
    <w:div w:id="237180726">
      <w:bodyDiv w:val="1"/>
      <w:marLeft w:val="0"/>
      <w:marRight w:val="0"/>
      <w:marTop w:val="0"/>
      <w:marBottom w:val="0"/>
      <w:divBdr>
        <w:top w:val="none" w:sz="0" w:space="0" w:color="auto"/>
        <w:left w:val="none" w:sz="0" w:space="0" w:color="auto"/>
        <w:bottom w:val="none" w:sz="0" w:space="0" w:color="auto"/>
        <w:right w:val="none" w:sz="0" w:space="0" w:color="auto"/>
      </w:divBdr>
      <w:divsChild>
        <w:div w:id="1141269351">
          <w:marLeft w:val="0"/>
          <w:marRight w:val="0"/>
          <w:marTop w:val="0"/>
          <w:marBottom w:val="0"/>
          <w:divBdr>
            <w:top w:val="none" w:sz="0" w:space="0" w:color="auto"/>
            <w:left w:val="none" w:sz="0" w:space="0" w:color="auto"/>
            <w:bottom w:val="none" w:sz="0" w:space="0" w:color="auto"/>
            <w:right w:val="none" w:sz="0" w:space="0" w:color="auto"/>
          </w:divBdr>
          <w:divsChild>
            <w:div w:id="10658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79961">
      <w:bodyDiv w:val="1"/>
      <w:marLeft w:val="0"/>
      <w:marRight w:val="0"/>
      <w:marTop w:val="0"/>
      <w:marBottom w:val="0"/>
      <w:divBdr>
        <w:top w:val="none" w:sz="0" w:space="0" w:color="auto"/>
        <w:left w:val="none" w:sz="0" w:space="0" w:color="auto"/>
        <w:bottom w:val="none" w:sz="0" w:space="0" w:color="auto"/>
        <w:right w:val="none" w:sz="0" w:space="0" w:color="auto"/>
      </w:divBdr>
    </w:div>
    <w:div w:id="245309078">
      <w:bodyDiv w:val="1"/>
      <w:marLeft w:val="0"/>
      <w:marRight w:val="0"/>
      <w:marTop w:val="0"/>
      <w:marBottom w:val="0"/>
      <w:divBdr>
        <w:top w:val="none" w:sz="0" w:space="0" w:color="auto"/>
        <w:left w:val="none" w:sz="0" w:space="0" w:color="auto"/>
        <w:bottom w:val="none" w:sz="0" w:space="0" w:color="auto"/>
        <w:right w:val="none" w:sz="0" w:space="0" w:color="auto"/>
      </w:divBdr>
    </w:div>
    <w:div w:id="253783097">
      <w:bodyDiv w:val="1"/>
      <w:marLeft w:val="0"/>
      <w:marRight w:val="0"/>
      <w:marTop w:val="0"/>
      <w:marBottom w:val="0"/>
      <w:divBdr>
        <w:top w:val="none" w:sz="0" w:space="0" w:color="auto"/>
        <w:left w:val="none" w:sz="0" w:space="0" w:color="auto"/>
        <w:bottom w:val="none" w:sz="0" w:space="0" w:color="auto"/>
        <w:right w:val="none" w:sz="0" w:space="0" w:color="auto"/>
      </w:divBdr>
      <w:divsChild>
        <w:div w:id="923489059">
          <w:marLeft w:val="0"/>
          <w:marRight w:val="0"/>
          <w:marTop w:val="0"/>
          <w:marBottom w:val="0"/>
          <w:divBdr>
            <w:top w:val="none" w:sz="0" w:space="0" w:color="auto"/>
            <w:left w:val="none" w:sz="0" w:space="0" w:color="auto"/>
            <w:bottom w:val="none" w:sz="0" w:space="0" w:color="auto"/>
            <w:right w:val="none" w:sz="0" w:space="0" w:color="auto"/>
          </w:divBdr>
          <w:divsChild>
            <w:div w:id="145405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871501">
      <w:bodyDiv w:val="1"/>
      <w:marLeft w:val="0"/>
      <w:marRight w:val="0"/>
      <w:marTop w:val="0"/>
      <w:marBottom w:val="0"/>
      <w:divBdr>
        <w:top w:val="none" w:sz="0" w:space="0" w:color="auto"/>
        <w:left w:val="none" w:sz="0" w:space="0" w:color="auto"/>
        <w:bottom w:val="none" w:sz="0" w:space="0" w:color="auto"/>
        <w:right w:val="none" w:sz="0" w:space="0" w:color="auto"/>
      </w:divBdr>
    </w:div>
    <w:div w:id="258753020">
      <w:bodyDiv w:val="1"/>
      <w:marLeft w:val="0"/>
      <w:marRight w:val="0"/>
      <w:marTop w:val="0"/>
      <w:marBottom w:val="0"/>
      <w:divBdr>
        <w:top w:val="none" w:sz="0" w:space="0" w:color="auto"/>
        <w:left w:val="none" w:sz="0" w:space="0" w:color="auto"/>
        <w:bottom w:val="none" w:sz="0" w:space="0" w:color="auto"/>
        <w:right w:val="none" w:sz="0" w:space="0" w:color="auto"/>
      </w:divBdr>
    </w:div>
    <w:div w:id="261647352">
      <w:bodyDiv w:val="1"/>
      <w:marLeft w:val="0"/>
      <w:marRight w:val="0"/>
      <w:marTop w:val="0"/>
      <w:marBottom w:val="0"/>
      <w:divBdr>
        <w:top w:val="none" w:sz="0" w:space="0" w:color="auto"/>
        <w:left w:val="none" w:sz="0" w:space="0" w:color="auto"/>
        <w:bottom w:val="none" w:sz="0" w:space="0" w:color="auto"/>
        <w:right w:val="none" w:sz="0" w:space="0" w:color="auto"/>
      </w:divBdr>
    </w:div>
    <w:div w:id="270281666">
      <w:bodyDiv w:val="1"/>
      <w:marLeft w:val="0"/>
      <w:marRight w:val="0"/>
      <w:marTop w:val="0"/>
      <w:marBottom w:val="0"/>
      <w:divBdr>
        <w:top w:val="none" w:sz="0" w:space="0" w:color="auto"/>
        <w:left w:val="none" w:sz="0" w:space="0" w:color="auto"/>
        <w:bottom w:val="none" w:sz="0" w:space="0" w:color="auto"/>
        <w:right w:val="none" w:sz="0" w:space="0" w:color="auto"/>
      </w:divBdr>
    </w:div>
    <w:div w:id="270624786">
      <w:bodyDiv w:val="1"/>
      <w:marLeft w:val="0"/>
      <w:marRight w:val="0"/>
      <w:marTop w:val="0"/>
      <w:marBottom w:val="0"/>
      <w:divBdr>
        <w:top w:val="none" w:sz="0" w:space="0" w:color="auto"/>
        <w:left w:val="none" w:sz="0" w:space="0" w:color="auto"/>
        <w:bottom w:val="none" w:sz="0" w:space="0" w:color="auto"/>
        <w:right w:val="none" w:sz="0" w:space="0" w:color="auto"/>
      </w:divBdr>
    </w:div>
    <w:div w:id="271208205">
      <w:bodyDiv w:val="1"/>
      <w:marLeft w:val="0"/>
      <w:marRight w:val="0"/>
      <w:marTop w:val="0"/>
      <w:marBottom w:val="0"/>
      <w:divBdr>
        <w:top w:val="none" w:sz="0" w:space="0" w:color="auto"/>
        <w:left w:val="none" w:sz="0" w:space="0" w:color="auto"/>
        <w:bottom w:val="none" w:sz="0" w:space="0" w:color="auto"/>
        <w:right w:val="none" w:sz="0" w:space="0" w:color="auto"/>
      </w:divBdr>
    </w:div>
    <w:div w:id="273563930">
      <w:bodyDiv w:val="1"/>
      <w:marLeft w:val="0"/>
      <w:marRight w:val="0"/>
      <w:marTop w:val="0"/>
      <w:marBottom w:val="0"/>
      <w:divBdr>
        <w:top w:val="none" w:sz="0" w:space="0" w:color="auto"/>
        <w:left w:val="none" w:sz="0" w:space="0" w:color="auto"/>
        <w:bottom w:val="none" w:sz="0" w:space="0" w:color="auto"/>
        <w:right w:val="none" w:sz="0" w:space="0" w:color="auto"/>
      </w:divBdr>
      <w:divsChild>
        <w:div w:id="901909168">
          <w:marLeft w:val="0"/>
          <w:marRight w:val="0"/>
          <w:marTop w:val="0"/>
          <w:marBottom w:val="0"/>
          <w:divBdr>
            <w:top w:val="none" w:sz="0" w:space="0" w:color="auto"/>
            <w:left w:val="none" w:sz="0" w:space="0" w:color="auto"/>
            <w:bottom w:val="none" w:sz="0" w:space="0" w:color="auto"/>
            <w:right w:val="none" w:sz="0" w:space="0" w:color="auto"/>
          </w:divBdr>
          <w:divsChild>
            <w:div w:id="72359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25510">
      <w:bodyDiv w:val="1"/>
      <w:marLeft w:val="0"/>
      <w:marRight w:val="0"/>
      <w:marTop w:val="0"/>
      <w:marBottom w:val="0"/>
      <w:divBdr>
        <w:top w:val="none" w:sz="0" w:space="0" w:color="auto"/>
        <w:left w:val="none" w:sz="0" w:space="0" w:color="auto"/>
        <w:bottom w:val="none" w:sz="0" w:space="0" w:color="auto"/>
        <w:right w:val="none" w:sz="0" w:space="0" w:color="auto"/>
      </w:divBdr>
      <w:divsChild>
        <w:div w:id="2001275008">
          <w:marLeft w:val="0"/>
          <w:marRight w:val="0"/>
          <w:marTop w:val="0"/>
          <w:marBottom w:val="0"/>
          <w:divBdr>
            <w:top w:val="none" w:sz="0" w:space="0" w:color="auto"/>
            <w:left w:val="none" w:sz="0" w:space="0" w:color="auto"/>
            <w:bottom w:val="none" w:sz="0" w:space="0" w:color="auto"/>
            <w:right w:val="none" w:sz="0" w:space="0" w:color="auto"/>
          </w:divBdr>
        </w:div>
      </w:divsChild>
    </w:div>
    <w:div w:id="277612911">
      <w:bodyDiv w:val="1"/>
      <w:marLeft w:val="0"/>
      <w:marRight w:val="0"/>
      <w:marTop w:val="0"/>
      <w:marBottom w:val="0"/>
      <w:divBdr>
        <w:top w:val="none" w:sz="0" w:space="0" w:color="auto"/>
        <w:left w:val="none" w:sz="0" w:space="0" w:color="auto"/>
        <w:bottom w:val="none" w:sz="0" w:space="0" w:color="auto"/>
        <w:right w:val="none" w:sz="0" w:space="0" w:color="auto"/>
      </w:divBdr>
    </w:div>
    <w:div w:id="278222149">
      <w:bodyDiv w:val="1"/>
      <w:marLeft w:val="0"/>
      <w:marRight w:val="0"/>
      <w:marTop w:val="0"/>
      <w:marBottom w:val="0"/>
      <w:divBdr>
        <w:top w:val="none" w:sz="0" w:space="0" w:color="auto"/>
        <w:left w:val="none" w:sz="0" w:space="0" w:color="auto"/>
        <w:bottom w:val="none" w:sz="0" w:space="0" w:color="auto"/>
        <w:right w:val="none" w:sz="0" w:space="0" w:color="auto"/>
      </w:divBdr>
    </w:div>
    <w:div w:id="283194126">
      <w:bodyDiv w:val="1"/>
      <w:marLeft w:val="0"/>
      <w:marRight w:val="0"/>
      <w:marTop w:val="0"/>
      <w:marBottom w:val="0"/>
      <w:divBdr>
        <w:top w:val="none" w:sz="0" w:space="0" w:color="auto"/>
        <w:left w:val="none" w:sz="0" w:space="0" w:color="auto"/>
        <w:bottom w:val="none" w:sz="0" w:space="0" w:color="auto"/>
        <w:right w:val="none" w:sz="0" w:space="0" w:color="auto"/>
      </w:divBdr>
    </w:div>
    <w:div w:id="284502297">
      <w:bodyDiv w:val="1"/>
      <w:marLeft w:val="0"/>
      <w:marRight w:val="0"/>
      <w:marTop w:val="0"/>
      <w:marBottom w:val="0"/>
      <w:divBdr>
        <w:top w:val="none" w:sz="0" w:space="0" w:color="auto"/>
        <w:left w:val="none" w:sz="0" w:space="0" w:color="auto"/>
        <w:bottom w:val="none" w:sz="0" w:space="0" w:color="auto"/>
        <w:right w:val="none" w:sz="0" w:space="0" w:color="auto"/>
      </w:divBdr>
      <w:divsChild>
        <w:div w:id="630787076">
          <w:marLeft w:val="0"/>
          <w:marRight w:val="0"/>
          <w:marTop w:val="0"/>
          <w:marBottom w:val="0"/>
          <w:divBdr>
            <w:top w:val="none" w:sz="0" w:space="0" w:color="auto"/>
            <w:left w:val="none" w:sz="0" w:space="0" w:color="auto"/>
            <w:bottom w:val="none" w:sz="0" w:space="0" w:color="auto"/>
            <w:right w:val="none" w:sz="0" w:space="0" w:color="auto"/>
          </w:divBdr>
          <w:divsChild>
            <w:div w:id="209728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134348">
      <w:bodyDiv w:val="1"/>
      <w:marLeft w:val="0"/>
      <w:marRight w:val="0"/>
      <w:marTop w:val="0"/>
      <w:marBottom w:val="0"/>
      <w:divBdr>
        <w:top w:val="none" w:sz="0" w:space="0" w:color="auto"/>
        <w:left w:val="none" w:sz="0" w:space="0" w:color="auto"/>
        <w:bottom w:val="none" w:sz="0" w:space="0" w:color="auto"/>
        <w:right w:val="none" w:sz="0" w:space="0" w:color="auto"/>
      </w:divBdr>
    </w:div>
    <w:div w:id="295525967">
      <w:bodyDiv w:val="1"/>
      <w:marLeft w:val="0"/>
      <w:marRight w:val="0"/>
      <w:marTop w:val="0"/>
      <w:marBottom w:val="0"/>
      <w:divBdr>
        <w:top w:val="none" w:sz="0" w:space="0" w:color="auto"/>
        <w:left w:val="none" w:sz="0" w:space="0" w:color="auto"/>
        <w:bottom w:val="none" w:sz="0" w:space="0" w:color="auto"/>
        <w:right w:val="none" w:sz="0" w:space="0" w:color="auto"/>
      </w:divBdr>
      <w:divsChild>
        <w:div w:id="421688669">
          <w:marLeft w:val="0"/>
          <w:marRight w:val="0"/>
          <w:marTop w:val="0"/>
          <w:marBottom w:val="0"/>
          <w:divBdr>
            <w:top w:val="none" w:sz="0" w:space="0" w:color="auto"/>
            <w:left w:val="none" w:sz="0" w:space="0" w:color="auto"/>
            <w:bottom w:val="none" w:sz="0" w:space="0" w:color="auto"/>
            <w:right w:val="none" w:sz="0" w:space="0" w:color="auto"/>
          </w:divBdr>
          <w:divsChild>
            <w:div w:id="28011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02454">
      <w:bodyDiv w:val="1"/>
      <w:marLeft w:val="0"/>
      <w:marRight w:val="0"/>
      <w:marTop w:val="0"/>
      <w:marBottom w:val="0"/>
      <w:divBdr>
        <w:top w:val="none" w:sz="0" w:space="0" w:color="auto"/>
        <w:left w:val="none" w:sz="0" w:space="0" w:color="auto"/>
        <w:bottom w:val="none" w:sz="0" w:space="0" w:color="auto"/>
        <w:right w:val="none" w:sz="0" w:space="0" w:color="auto"/>
      </w:divBdr>
      <w:divsChild>
        <w:div w:id="1678459756">
          <w:marLeft w:val="0"/>
          <w:marRight w:val="0"/>
          <w:marTop w:val="0"/>
          <w:marBottom w:val="0"/>
          <w:divBdr>
            <w:top w:val="none" w:sz="0" w:space="0" w:color="auto"/>
            <w:left w:val="none" w:sz="0" w:space="0" w:color="auto"/>
            <w:bottom w:val="none" w:sz="0" w:space="0" w:color="auto"/>
            <w:right w:val="none" w:sz="0" w:space="0" w:color="auto"/>
          </w:divBdr>
          <w:divsChild>
            <w:div w:id="52035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83704">
      <w:bodyDiv w:val="1"/>
      <w:marLeft w:val="0"/>
      <w:marRight w:val="0"/>
      <w:marTop w:val="0"/>
      <w:marBottom w:val="0"/>
      <w:divBdr>
        <w:top w:val="none" w:sz="0" w:space="0" w:color="auto"/>
        <w:left w:val="none" w:sz="0" w:space="0" w:color="auto"/>
        <w:bottom w:val="none" w:sz="0" w:space="0" w:color="auto"/>
        <w:right w:val="none" w:sz="0" w:space="0" w:color="auto"/>
      </w:divBdr>
      <w:divsChild>
        <w:div w:id="561327625">
          <w:marLeft w:val="0"/>
          <w:marRight w:val="0"/>
          <w:marTop w:val="0"/>
          <w:marBottom w:val="0"/>
          <w:divBdr>
            <w:top w:val="none" w:sz="0" w:space="0" w:color="auto"/>
            <w:left w:val="none" w:sz="0" w:space="0" w:color="auto"/>
            <w:bottom w:val="none" w:sz="0" w:space="0" w:color="auto"/>
            <w:right w:val="none" w:sz="0" w:space="0" w:color="auto"/>
          </w:divBdr>
          <w:divsChild>
            <w:div w:id="160295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14326">
      <w:bodyDiv w:val="1"/>
      <w:marLeft w:val="0"/>
      <w:marRight w:val="0"/>
      <w:marTop w:val="0"/>
      <w:marBottom w:val="0"/>
      <w:divBdr>
        <w:top w:val="none" w:sz="0" w:space="0" w:color="auto"/>
        <w:left w:val="none" w:sz="0" w:space="0" w:color="auto"/>
        <w:bottom w:val="none" w:sz="0" w:space="0" w:color="auto"/>
        <w:right w:val="none" w:sz="0" w:space="0" w:color="auto"/>
      </w:divBdr>
      <w:divsChild>
        <w:div w:id="1159006609">
          <w:marLeft w:val="0"/>
          <w:marRight w:val="0"/>
          <w:marTop w:val="0"/>
          <w:marBottom w:val="0"/>
          <w:divBdr>
            <w:top w:val="none" w:sz="0" w:space="0" w:color="auto"/>
            <w:left w:val="none" w:sz="0" w:space="0" w:color="auto"/>
            <w:bottom w:val="none" w:sz="0" w:space="0" w:color="auto"/>
            <w:right w:val="none" w:sz="0" w:space="0" w:color="auto"/>
          </w:divBdr>
        </w:div>
      </w:divsChild>
    </w:div>
    <w:div w:id="316033091">
      <w:bodyDiv w:val="1"/>
      <w:marLeft w:val="0"/>
      <w:marRight w:val="0"/>
      <w:marTop w:val="0"/>
      <w:marBottom w:val="0"/>
      <w:divBdr>
        <w:top w:val="none" w:sz="0" w:space="0" w:color="auto"/>
        <w:left w:val="none" w:sz="0" w:space="0" w:color="auto"/>
        <w:bottom w:val="none" w:sz="0" w:space="0" w:color="auto"/>
        <w:right w:val="none" w:sz="0" w:space="0" w:color="auto"/>
      </w:divBdr>
    </w:div>
    <w:div w:id="317615672">
      <w:bodyDiv w:val="1"/>
      <w:marLeft w:val="0"/>
      <w:marRight w:val="0"/>
      <w:marTop w:val="0"/>
      <w:marBottom w:val="0"/>
      <w:divBdr>
        <w:top w:val="none" w:sz="0" w:space="0" w:color="auto"/>
        <w:left w:val="none" w:sz="0" w:space="0" w:color="auto"/>
        <w:bottom w:val="none" w:sz="0" w:space="0" w:color="auto"/>
        <w:right w:val="none" w:sz="0" w:space="0" w:color="auto"/>
      </w:divBdr>
    </w:div>
    <w:div w:id="330526935">
      <w:bodyDiv w:val="1"/>
      <w:marLeft w:val="0"/>
      <w:marRight w:val="0"/>
      <w:marTop w:val="0"/>
      <w:marBottom w:val="0"/>
      <w:divBdr>
        <w:top w:val="none" w:sz="0" w:space="0" w:color="auto"/>
        <w:left w:val="none" w:sz="0" w:space="0" w:color="auto"/>
        <w:bottom w:val="none" w:sz="0" w:space="0" w:color="auto"/>
        <w:right w:val="none" w:sz="0" w:space="0" w:color="auto"/>
      </w:divBdr>
    </w:div>
    <w:div w:id="332730358">
      <w:bodyDiv w:val="1"/>
      <w:marLeft w:val="0"/>
      <w:marRight w:val="0"/>
      <w:marTop w:val="0"/>
      <w:marBottom w:val="0"/>
      <w:divBdr>
        <w:top w:val="none" w:sz="0" w:space="0" w:color="auto"/>
        <w:left w:val="none" w:sz="0" w:space="0" w:color="auto"/>
        <w:bottom w:val="none" w:sz="0" w:space="0" w:color="auto"/>
        <w:right w:val="none" w:sz="0" w:space="0" w:color="auto"/>
      </w:divBdr>
      <w:divsChild>
        <w:div w:id="2022930558">
          <w:marLeft w:val="0"/>
          <w:marRight w:val="0"/>
          <w:marTop w:val="0"/>
          <w:marBottom w:val="0"/>
          <w:divBdr>
            <w:top w:val="none" w:sz="0" w:space="0" w:color="auto"/>
            <w:left w:val="none" w:sz="0" w:space="0" w:color="auto"/>
            <w:bottom w:val="none" w:sz="0" w:space="0" w:color="auto"/>
            <w:right w:val="none" w:sz="0" w:space="0" w:color="auto"/>
          </w:divBdr>
          <w:divsChild>
            <w:div w:id="533036758">
              <w:marLeft w:val="0"/>
              <w:marRight w:val="0"/>
              <w:marTop w:val="0"/>
              <w:marBottom w:val="0"/>
              <w:divBdr>
                <w:top w:val="none" w:sz="0" w:space="0" w:color="auto"/>
                <w:left w:val="none" w:sz="0" w:space="0" w:color="auto"/>
                <w:bottom w:val="none" w:sz="0" w:space="0" w:color="auto"/>
                <w:right w:val="none" w:sz="0" w:space="0" w:color="auto"/>
              </w:divBdr>
              <w:divsChild>
                <w:div w:id="54194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770876">
      <w:bodyDiv w:val="1"/>
      <w:marLeft w:val="0"/>
      <w:marRight w:val="0"/>
      <w:marTop w:val="0"/>
      <w:marBottom w:val="0"/>
      <w:divBdr>
        <w:top w:val="none" w:sz="0" w:space="0" w:color="auto"/>
        <w:left w:val="none" w:sz="0" w:space="0" w:color="auto"/>
        <w:bottom w:val="none" w:sz="0" w:space="0" w:color="auto"/>
        <w:right w:val="none" w:sz="0" w:space="0" w:color="auto"/>
      </w:divBdr>
      <w:divsChild>
        <w:div w:id="708148740">
          <w:marLeft w:val="0"/>
          <w:marRight w:val="0"/>
          <w:marTop w:val="0"/>
          <w:marBottom w:val="0"/>
          <w:divBdr>
            <w:top w:val="none" w:sz="0" w:space="0" w:color="auto"/>
            <w:left w:val="none" w:sz="0" w:space="0" w:color="auto"/>
            <w:bottom w:val="none" w:sz="0" w:space="0" w:color="auto"/>
            <w:right w:val="none" w:sz="0" w:space="0" w:color="auto"/>
          </w:divBdr>
          <w:divsChild>
            <w:div w:id="51527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663594">
      <w:bodyDiv w:val="1"/>
      <w:marLeft w:val="0"/>
      <w:marRight w:val="0"/>
      <w:marTop w:val="0"/>
      <w:marBottom w:val="0"/>
      <w:divBdr>
        <w:top w:val="none" w:sz="0" w:space="0" w:color="auto"/>
        <w:left w:val="none" w:sz="0" w:space="0" w:color="auto"/>
        <w:bottom w:val="none" w:sz="0" w:space="0" w:color="auto"/>
        <w:right w:val="none" w:sz="0" w:space="0" w:color="auto"/>
      </w:divBdr>
    </w:div>
    <w:div w:id="346256005">
      <w:bodyDiv w:val="1"/>
      <w:marLeft w:val="0"/>
      <w:marRight w:val="0"/>
      <w:marTop w:val="0"/>
      <w:marBottom w:val="0"/>
      <w:divBdr>
        <w:top w:val="none" w:sz="0" w:space="0" w:color="auto"/>
        <w:left w:val="none" w:sz="0" w:space="0" w:color="auto"/>
        <w:bottom w:val="none" w:sz="0" w:space="0" w:color="auto"/>
        <w:right w:val="none" w:sz="0" w:space="0" w:color="auto"/>
      </w:divBdr>
    </w:div>
    <w:div w:id="350768529">
      <w:bodyDiv w:val="1"/>
      <w:marLeft w:val="0"/>
      <w:marRight w:val="0"/>
      <w:marTop w:val="0"/>
      <w:marBottom w:val="0"/>
      <w:divBdr>
        <w:top w:val="none" w:sz="0" w:space="0" w:color="auto"/>
        <w:left w:val="none" w:sz="0" w:space="0" w:color="auto"/>
        <w:bottom w:val="none" w:sz="0" w:space="0" w:color="auto"/>
        <w:right w:val="none" w:sz="0" w:space="0" w:color="auto"/>
      </w:divBdr>
    </w:div>
    <w:div w:id="355473048">
      <w:bodyDiv w:val="1"/>
      <w:marLeft w:val="0"/>
      <w:marRight w:val="0"/>
      <w:marTop w:val="0"/>
      <w:marBottom w:val="0"/>
      <w:divBdr>
        <w:top w:val="none" w:sz="0" w:space="0" w:color="auto"/>
        <w:left w:val="none" w:sz="0" w:space="0" w:color="auto"/>
        <w:bottom w:val="none" w:sz="0" w:space="0" w:color="auto"/>
        <w:right w:val="none" w:sz="0" w:space="0" w:color="auto"/>
      </w:divBdr>
      <w:divsChild>
        <w:div w:id="1769690155">
          <w:marLeft w:val="0"/>
          <w:marRight w:val="0"/>
          <w:marTop w:val="0"/>
          <w:marBottom w:val="0"/>
          <w:divBdr>
            <w:top w:val="none" w:sz="0" w:space="0" w:color="auto"/>
            <w:left w:val="none" w:sz="0" w:space="0" w:color="auto"/>
            <w:bottom w:val="none" w:sz="0" w:space="0" w:color="auto"/>
            <w:right w:val="none" w:sz="0" w:space="0" w:color="auto"/>
          </w:divBdr>
          <w:divsChild>
            <w:div w:id="10821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82556">
      <w:bodyDiv w:val="1"/>
      <w:marLeft w:val="0"/>
      <w:marRight w:val="0"/>
      <w:marTop w:val="0"/>
      <w:marBottom w:val="0"/>
      <w:divBdr>
        <w:top w:val="none" w:sz="0" w:space="0" w:color="auto"/>
        <w:left w:val="none" w:sz="0" w:space="0" w:color="auto"/>
        <w:bottom w:val="none" w:sz="0" w:space="0" w:color="auto"/>
        <w:right w:val="none" w:sz="0" w:space="0" w:color="auto"/>
      </w:divBdr>
    </w:div>
    <w:div w:id="362902235">
      <w:bodyDiv w:val="1"/>
      <w:marLeft w:val="0"/>
      <w:marRight w:val="0"/>
      <w:marTop w:val="0"/>
      <w:marBottom w:val="0"/>
      <w:divBdr>
        <w:top w:val="none" w:sz="0" w:space="0" w:color="auto"/>
        <w:left w:val="none" w:sz="0" w:space="0" w:color="auto"/>
        <w:bottom w:val="none" w:sz="0" w:space="0" w:color="auto"/>
        <w:right w:val="none" w:sz="0" w:space="0" w:color="auto"/>
      </w:divBdr>
      <w:divsChild>
        <w:div w:id="1800878511">
          <w:marLeft w:val="0"/>
          <w:marRight w:val="0"/>
          <w:marTop w:val="0"/>
          <w:marBottom w:val="0"/>
          <w:divBdr>
            <w:top w:val="none" w:sz="0" w:space="0" w:color="auto"/>
            <w:left w:val="none" w:sz="0" w:space="0" w:color="auto"/>
            <w:bottom w:val="none" w:sz="0" w:space="0" w:color="auto"/>
            <w:right w:val="none" w:sz="0" w:space="0" w:color="auto"/>
          </w:divBdr>
        </w:div>
      </w:divsChild>
    </w:div>
    <w:div w:id="367679486">
      <w:bodyDiv w:val="1"/>
      <w:marLeft w:val="0"/>
      <w:marRight w:val="0"/>
      <w:marTop w:val="0"/>
      <w:marBottom w:val="0"/>
      <w:divBdr>
        <w:top w:val="none" w:sz="0" w:space="0" w:color="auto"/>
        <w:left w:val="none" w:sz="0" w:space="0" w:color="auto"/>
        <w:bottom w:val="none" w:sz="0" w:space="0" w:color="auto"/>
        <w:right w:val="none" w:sz="0" w:space="0" w:color="auto"/>
      </w:divBdr>
    </w:div>
    <w:div w:id="368802533">
      <w:bodyDiv w:val="1"/>
      <w:marLeft w:val="0"/>
      <w:marRight w:val="0"/>
      <w:marTop w:val="0"/>
      <w:marBottom w:val="0"/>
      <w:divBdr>
        <w:top w:val="none" w:sz="0" w:space="0" w:color="auto"/>
        <w:left w:val="none" w:sz="0" w:space="0" w:color="auto"/>
        <w:bottom w:val="none" w:sz="0" w:space="0" w:color="auto"/>
        <w:right w:val="none" w:sz="0" w:space="0" w:color="auto"/>
      </w:divBdr>
    </w:div>
    <w:div w:id="370419227">
      <w:bodyDiv w:val="1"/>
      <w:marLeft w:val="0"/>
      <w:marRight w:val="0"/>
      <w:marTop w:val="0"/>
      <w:marBottom w:val="0"/>
      <w:divBdr>
        <w:top w:val="none" w:sz="0" w:space="0" w:color="auto"/>
        <w:left w:val="none" w:sz="0" w:space="0" w:color="auto"/>
        <w:bottom w:val="none" w:sz="0" w:space="0" w:color="auto"/>
        <w:right w:val="none" w:sz="0" w:space="0" w:color="auto"/>
      </w:divBdr>
      <w:divsChild>
        <w:div w:id="355735721">
          <w:marLeft w:val="0"/>
          <w:marRight w:val="0"/>
          <w:marTop w:val="0"/>
          <w:marBottom w:val="0"/>
          <w:divBdr>
            <w:top w:val="none" w:sz="0" w:space="0" w:color="auto"/>
            <w:left w:val="none" w:sz="0" w:space="0" w:color="auto"/>
            <w:bottom w:val="none" w:sz="0" w:space="0" w:color="auto"/>
            <w:right w:val="none" w:sz="0" w:space="0" w:color="auto"/>
          </w:divBdr>
        </w:div>
      </w:divsChild>
    </w:div>
    <w:div w:id="370573259">
      <w:bodyDiv w:val="1"/>
      <w:marLeft w:val="0"/>
      <w:marRight w:val="0"/>
      <w:marTop w:val="0"/>
      <w:marBottom w:val="0"/>
      <w:divBdr>
        <w:top w:val="none" w:sz="0" w:space="0" w:color="auto"/>
        <w:left w:val="none" w:sz="0" w:space="0" w:color="auto"/>
        <w:bottom w:val="none" w:sz="0" w:space="0" w:color="auto"/>
        <w:right w:val="none" w:sz="0" w:space="0" w:color="auto"/>
      </w:divBdr>
      <w:divsChild>
        <w:div w:id="813760773">
          <w:marLeft w:val="0"/>
          <w:marRight w:val="0"/>
          <w:marTop w:val="0"/>
          <w:marBottom w:val="0"/>
          <w:divBdr>
            <w:top w:val="none" w:sz="0" w:space="0" w:color="auto"/>
            <w:left w:val="none" w:sz="0" w:space="0" w:color="auto"/>
            <w:bottom w:val="none" w:sz="0" w:space="0" w:color="auto"/>
            <w:right w:val="none" w:sz="0" w:space="0" w:color="auto"/>
          </w:divBdr>
          <w:divsChild>
            <w:div w:id="14667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90156">
      <w:bodyDiv w:val="1"/>
      <w:marLeft w:val="0"/>
      <w:marRight w:val="0"/>
      <w:marTop w:val="0"/>
      <w:marBottom w:val="0"/>
      <w:divBdr>
        <w:top w:val="none" w:sz="0" w:space="0" w:color="auto"/>
        <w:left w:val="none" w:sz="0" w:space="0" w:color="auto"/>
        <w:bottom w:val="none" w:sz="0" w:space="0" w:color="auto"/>
        <w:right w:val="none" w:sz="0" w:space="0" w:color="auto"/>
      </w:divBdr>
      <w:divsChild>
        <w:div w:id="1801070652">
          <w:marLeft w:val="0"/>
          <w:marRight w:val="0"/>
          <w:marTop w:val="0"/>
          <w:marBottom w:val="0"/>
          <w:divBdr>
            <w:top w:val="none" w:sz="0" w:space="0" w:color="auto"/>
            <w:left w:val="none" w:sz="0" w:space="0" w:color="auto"/>
            <w:bottom w:val="none" w:sz="0" w:space="0" w:color="auto"/>
            <w:right w:val="none" w:sz="0" w:space="0" w:color="auto"/>
          </w:divBdr>
        </w:div>
      </w:divsChild>
    </w:div>
    <w:div w:id="374087595">
      <w:bodyDiv w:val="1"/>
      <w:marLeft w:val="0"/>
      <w:marRight w:val="0"/>
      <w:marTop w:val="0"/>
      <w:marBottom w:val="0"/>
      <w:divBdr>
        <w:top w:val="none" w:sz="0" w:space="0" w:color="auto"/>
        <w:left w:val="none" w:sz="0" w:space="0" w:color="auto"/>
        <w:bottom w:val="none" w:sz="0" w:space="0" w:color="auto"/>
        <w:right w:val="none" w:sz="0" w:space="0" w:color="auto"/>
      </w:divBdr>
      <w:divsChild>
        <w:div w:id="123254336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95780">
      <w:bodyDiv w:val="1"/>
      <w:marLeft w:val="0"/>
      <w:marRight w:val="0"/>
      <w:marTop w:val="0"/>
      <w:marBottom w:val="0"/>
      <w:divBdr>
        <w:top w:val="none" w:sz="0" w:space="0" w:color="auto"/>
        <w:left w:val="none" w:sz="0" w:space="0" w:color="auto"/>
        <w:bottom w:val="none" w:sz="0" w:space="0" w:color="auto"/>
        <w:right w:val="none" w:sz="0" w:space="0" w:color="auto"/>
      </w:divBdr>
      <w:divsChild>
        <w:div w:id="347370771">
          <w:marLeft w:val="0"/>
          <w:marRight w:val="0"/>
          <w:marTop w:val="0"/>
          <w:marBottom w:val="0"/>
          <w:divBdr>
            <w:top w:val="none" w:sz="0" w:space="0" w:color="auto"/>
            <w:left w:val="none" w:sz="0" w:space="0" w:color="auto"/>
            <w:bottom w:val="none" w:sz="0" w:space="0" w:color="auto"/>
            <w:right w:val="none" w:sz="0" w:space="0" w:color="auto"/>
          </w:divBdr>
          <w:divsChild>
            <w:div w:id="2037535573">
              <w:marLeft w:val="0"/>
              <w:marRight w:val="0"/>
              <w:marTop w:val="0"/>
              <w:marBottom w:val="0"/>
              <w:divBdr>
                <w:top w:val="none" w:sz="0" w:space="0" w:color="auto"/>
                <w:left w:val="none" w:sz="0" w:space="0" w:color="auto"/>
                <w:bottom w:val="none" w:sz="0" w:space="0" w:color="auto"/>
                <w:right w:val="none" w:sz="0" w:space="0" w:color="auto"/>
              </w:divBdr>
              <w:divsChild>
                <w:div w:id="1609315468">
                  <w:marLeft w:val="0"/>
                  <w:marRight w:val="0"/>
                  <w:marTop w:val="0"/>
                  <w:marBottom w:val="0"/>
                  <w:divBdr>
                    <w:top w:val="none" w:sz="0" w:space="0" w:color="auto"/>
                    <w:left w:val="none" w:sz="0" w:space="0" w:color="auto"/>
                    <w:bottom w:val="none" w:sz="0" w:space="0" w:color="auto"/>
                    <w:right w:val="none" w:sz="0" w:space="0" w:color="auto"/>
                  </w:divBdr>
                  <w:divsChild>
                    <w:div w:id="96654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941831">
      <w:bodyDiv w:val="1"/>
      <w:marLeft w:val="0"/>
      <w:marRight w:val="0"/>
      <w:marTop w:val="0"/>
      <w:marBottom w:val="0"/>
      <w:divBdr>
        <w:top w:val="none" w:sz="0" w:space="0" w:color="auto"/>
        <w:left w:val="none" w:sz="0" w:space="0" w:color="auto"/>
        <w:bottom w:val="none" w:sz="0" w:space="0" w:color="auto"/>
        <w:right w:val="none" w:sz="0" w:space="0" w:color="auto"/>
      </w:divBdr>
    </w:div>
    <w:div w:id="395593934">
      <w:bodyDiv w:val="1"/>
      <w:marLeft w:val="0"/>
      <w:marRight w:val="0"/>
      <w:marTop w:val="0"/>
      <w:marBottom w:val="0"/>
      <w:divBdr>
        <w:top w:val="none" w:sz="0" w:space="0" w:color="auto"/>
        <w:left w:val="none" w:sz="0" w:space="0" w:color="auto"/>
        <w:bottom w:val="none" w:sz="0" w:space="0" w:color="auto"/>
        <w:right w:val="none" w:sz="0" w:space="0" w:color="auto"/>
      </w:divBdr>
      <w:divsChild>
        <w:div w:id="1620867271">
          <w:marLeft w:val="0"/>
          <w:marRight w:val="0"/>
          <w:marTop w:val="0"/>
          <w:marBottom w:val="0"/>
          <w:divBdr>
            <w:top w:val="none" w:sz="0" w:space="0" w:color="auto"/>
            <w:left w:val="none" w:sz="0" w:space="0" w:color="auto"/>
            <w:bottom w:val="none" w:sz="0" w:space="0" w:color="auto"/>
            <w:right w:val="none" w:sz="0" w:space="0" w:color="auto"/>
          </w:divBdr>
          <w:divsChild>
            <w:div w:id="1562138326">
              <w:marLeft w:val="0"/>
              <w:marRight w:val="0"/>
              <w:marTop w:val="0"/>
              <w:marBottom w:val="0"/>
              <w:divBdr>
                <w:top w:val="none" w:sz="0" w:space="0" w:color="auto"/>
                <w:left w:val="none" w:sz="0" w:space="0" w:color="auto"/>
                <w:bottom w:val="none" w:sz="0" w:space="0" w:color="auto"/>
                <w:right w:val="none" w:sz="0" w:space="0" w:color="auto"/>
              </w:divBdr>
              <w:divsChild>
                <w:div w:id="79819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479040">
      <w:bodyDiv w:val="1"/>
      <w:marLeft w:val="0"/>
      <w:marRight w:val="0"/>
      <w:marTop w:val="0"/>
      <w:marBottom w:val="0"/>
      <w:divBdr>
        <w:top w:val="none" w:sz="0" w:space="0" w:color="auto"/>
        <w:left w:val="none" w:sz="0" w:space="0" w:color="auto"/>
        <w:bottom w:val="none" w:sz="0" w:space="0" w:color="auto"/>
        <w:right w:val="none" w:sz="0" w:space="0" w:color="auto"/>
      </w:divBdr>
      <w:divsChild>
        <w:div w:id="601375939">
          <w:marLeft w:val="0"/>
          <w:marRight w:val="0"/>
          <w:marTop w:val="0"/>
          <w:marBottom w:val="0"/>
          <w:divBdr>
            <w:top w:val="none" w:sz="0" w:space="0" w:color="auto"/>
            <w:left w:val="none" w:sz="0" w:space="0" w:color="auto"/>
            <w:bottom w:val="none" w:sz="0" w:space="0" w:color="auto"/>
            <w:right w:val="none" w:sz="0" w:space="0" w:color="auto"/>
          </w:divBdr>
          <w:divsChild>
            <w:div w:id="8540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24231">
      <w:bodyDiv w:val="1"/>
      <w:marLeft w:val="0"/>
      <w:marRight w:val="0"/>
      <w:marTop w:val="0"/>
      <w:marBottom w:val="0"/>
      <w:divBdr>
        <w:top w:val="none" w:sz="0" w:space="0" w:color="auto"/>
        <w:left w:val="none" w:sz="0" w:space="0" w:color="auto"/>
        <w:bottom w:val="none" w:sz="0" w:space="0" w:color="auto"/>
        <w:right w:val="none" w:sz="0" w:space="0" w:color="auto"/>
      </w:divBdr>
      <w:divsChild>
        <w:div w:id="778179069">
          <w:marLeft w:val="0"/>
          <w:marRight w:val="0"/>
          <w:marTop w:val="0"/>
          <w:marBottom w:val="0"/>
          <w:divBdr>
            <w:top w:val="none" w:sz="0" w:space="0" w:color="auto"/>
            <w:left w:val="none" w:sz="0" w:space="0" w:color="auto"/>
            <w:bottom w:val="none" w:sz="0" w:space="0" w:color="auto"/>
            <w:right w:val="none" w:sz="0" w:space="0" w:color="auto"/>
          </w:divBdr>
        </w:div>
      </w:divsChild>
    </w:div>
    <w:div w:id="425730549">
      <w:bodyDiv w:val="1"/>
      <w:marLeft w:val="0"/>
      <w:marRight w:val="0"/>
      <w:marTop w:val="0"/>
      <w:marBottom w:val="0"/>
      <w:divBdr>
        <w:top w:val="none" w:sz="0" w:space="0" w:color="auto"/>
        <w:left w:val="none" w:sz="0" w:space="0" w:color="auto"/>
        <w:bottom w:val="none" w:sz="0" w:space="0" w:color="auto"/>
        <w:right w:val="none" w:sz="0" w:space="0" w:color="auto"/>
      </w:divBdr>
      <w:divsChild>
        <w:div w:id="336807588">
          <w:marLeft w:val="0"/>
          <w:marRight w:val="0"/>
          <w:marTop w:val="0"/>
          <w:marBottom w:val="0"/>
          <w:divBdr>
            <w:top w:val="none" w:sz="0" w:space="0" w:color="auto"/>
            <w:left w:val="none" w:sz="0" w:space="0" w:color="auto"/>
            <w:bottom w:val="none" w:sz="0" w:space="0" w:color="auto"/>
            <w:right w:val="none" w:sz="0" w:space="0" w:color="auto"/>
          </w:divBdr>
          <w:divsChild>
            <w:div w:id="108233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76391">
      <w:bodyDiv w:val="1"/>
      <w:marLeft w:val="0"/>
      <w:marRight w:val="0"/>
      <w:marTop w:val="0"/>
      <w:marBottom w:val="0"/>
      <w:divBdr>
        <w:top w:val="none" w:sz="0" w:space="0" w:color="auto"/>
        <w:left w:val="none" w:sz="0" w:space="0" w:color="auto"/>
        <w:bottom w:val="none" w:sz="0" w:space="0" w:color="auto"/>
        <w:right w:val="none" w:sz="0" w:space="0" w:color="auto"/>
      </w:divBdr>
      <w:divsChild>
        <w:div w:id="102119332">
          <w:marLeft w:val="0"/>
          <w:marRight w:val="0"/>
          <w:marTop w:val="0"/>
          <w:marBottom w:val="0"/>
          <w:divBdr>
            <w:top w:val="none" w:sz="0" w:space="0" w:color="auto"/>
            <w:left w:val="none" w:sz="0" w:space="0" w:color="auto"/>
            <w:bottom w:val="none" w:sz="0" w:space="0" w:color="auto"/>
            <w:right w:val="none" w:sz="0" w:space="0" w:color="auto"/>
          </w:divBdr>
          <w:divsChild>
            <w:div w:id="126958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936009">
      <w:bodyDiv w:val="1"/>
      <w:marLeft w:val="0"/>
      <w:marRight w:val="0"/>
      <w:marTop w:val="0"/>
      <w:marBottom w:val="0"/>
      <w:divBdr>
        <w:top w:val="none" w:sz="0" w:space="0" w:color="auto"/>
        <w:left w:val="none" w:sz="0" w:space="0" w:color="auto"/>
        <w:bottom w:val="none" w:sz="0" w:space="0" w:color="auto"/>
        <w:right w:val="none" w:sz="0" w:space="0" w:color="auto"/>
      </w:divBdr>
      <w:divsChild>
        <w:div w:id="1963686204">
          <w:marLeft w:val="0"/>
          <w:marRight w:val="0"/>
          <w:marTop w:val="0"/>
          <w:marBottom w:val="0"/>
          <w:divBdr>
            <w:top w:val="none" w:sz="0" w:space="0" w:color="auto"/>
            <w:left w:val="none" w:sz="0" w:space="0" w:color="auto"/>
            <w:bottom w:val="none" w:sz="0" w:space="0" w:color="auto"/>
            <w:right w:val="none" w:sz="0" w:space="0" w:color="auto"/>
          </w:divBdr>
          <w:divsChild>
            <w:div w:id="63668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473936">
      <w:bodyDiv w:val="1"/>
      <w:marLeft w:val="0"/>
      <w:marRight w:val="0"/>
      <w:marTop w:val="0"/>
      <w:marBottom w:val="0"/>
      <w:divBdr>
        <w:top w:val="none" w:sz="0" w:space="0" w:color="auto"/>
        <w:left w:val="none" w:sz="0" w:space="0" w:color="auto"/>
        <w:bottom w:val="none" w:sz="0" w:space="0" w:color="auto"/>
        <w:right w:val="none" w:sz="0" w:space="0" w:color="auto"/>
      </w:divBdr>
      <w:divsChild>
        <w:div w:id="791290696">
          <w:marLeft w:val="0"/>
          <w:marRight w:val="0"/>
          <w:marTop w:val="0"/>
          <w:marBottom w:val="0"/>
          <w:divBdr>
            <w:top w:val="none" w:sz="0" w:space="0" w:color="auto"/>
            <w:left w:val="none" w:sz="0" w:space="0" w:color="auto"/>
            <w:bottom w:val="none" w:sz="0" w:space="0" w:color="auto"/>
            <w:right w:val="none" w:sz="0" w:space="0" w:color="auto"/>
          </w:divBdr>
          <w:divsChild>
            <w:div w:id="99164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14316">
      <w:bodyDiv w:val="1"/>
      <w:marLeft w:val="0"/>
      <w:marRight w:val="0"/>
      <w:marTop w:val="0"/>
      <w:marBottom w:val="0"/>
      <w:divBdr>
        <w:top w:val="none" w:sz="0" w:space="0" w:color="auto"/>
        <w:left w:val="none" w:sz="0" w:space="0" w:color="auto"/>
        <w:bottom w:val="none" w:sz="0" w:space="0" w:color="auto"/>
        <w:right w:val="none" w:sz="0" w:space="0" w:color="auto"/>
      </w:divBdr>
      <w:divsChild>
        <w:div w:id="253902996">
          <w:marLeft w:val="0"/>
          <w:marRight w:val="0"/>
          <w:marTop w:val="0"/>
          <w:marBottom w:val="0"/>
          <w:divBdr>
            <w:top w:val="none" w:sz="0" w:space="0" w:color="auto"/>
            <w:left w:val="none" w:sz="0" w:space="0" w:color="auto"/>
            <w:bottom w:val="none" w:sz="0" w:space="0" w:color="auto"/>
            <w:right w:val="none" w:sz="0" w:space="0" w:color="auto"/>
          </w:divBdr>
          <w:divsChild>
            <w:div w:id="179706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499204">
      <w:bodyDiv w:val="1"/>
      <w:marLeft w:val="0"/>
      <w:marRight w:val="0"/>
      <w:marTop w:val="0"/>
      <w:marBottom w:val="0"/>
      <w:divBdr>
        <w:top w:val="none" w:sz="0" w:space="0" w:color="auto"/>
        <w:left w:val="none" w:sz="0" w:space="0" w:color="auto"/>
        <w:bottom w:val="none" w:sz="0" w:space="0" w:color="auto"/>
        <w:right w:val="none" w:sz="0" w:space="0" w:color="auto"/>
      </w:divBdr>
      <w:divsChild>
        <w:div w:id="1665160035">
          <w:marLeft w:val="0"/>
          <w:marRight w:val="0"/>
          <w:marTop w:val="0"/>
          <w:marBottom w:val="0"/>
          <w:divBdr>
            <w:top w:val="none" w:sz="0" w:space="0" w:color="auto"/>
            <w:left w:val="none" w:sz="0" w:space="0" w:color="auto"/>
            <w:bottom w:val="none" w:sz="0" w:space="0" w:color="auto"/>
            <w:right w:val="none" w:sz="0" w:space="0" w:color="auto"/>
          </w:divBdr>
          <w:divsChild>
            <w:div w:id="70583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76724">
      <w:bodyDiv w:val="1"/>
      <w:marLeft w:val="0"/>
      <w:marRight w:val="0"/>
      <w:marTop w:val="0"/>
      <w:marBottom w:val="0"/>
      <w:divBdr>
        <w:top w:val="none" w:sz="0" w:space="0" w:color="auto"/>
        <w:left w:val="none" w:sz="0" w:space="0" w:color="auto"/>
        <w:bottom w:val="none" w:sz="0" w:space="0" w:color="auto"/>
        <w:right w:val="none" w:sz="0" w:space="0" w:color="auto"/>
      </w:divBdr>
    </w:div>
    <w:div w:id="455760814">
      <w:bodyDiv w:val="1"/>
      <w:marLeft w:val="0"/>
      <w:marRight w:val="0"/>
      <w:marTop w:val="0"/>
      <w:marBottom w:val="0"/>
      <w:divBdr>
        <w:top w:val="none" w:sz="0" w:space="0" w:color="auto"/>
        <w:left w:val="none" w:sz="0" w:space="0" w:color="auto"/>
        <w:bottom w:val="none" w:sz="0" w:space="0" w:color="auto"/>
        <w:right w:val="none" w:sz="0" w:space="0" w:color="auto"/>
      </w:divBdr>
      <w:divsChild>
        <w:div w:id="1779763301">
          <w:marLeft w:val="0"/>
          <w:marRight w:val="0"/>
          <w:marTop w:val="0"/>
          <w:marBottom w:val="0"/>
          <w:divBdr>
            <w:top w:val="none" w:sz="0" w:space="0" w:color="auto"/>
            <w:left w:val="none" w:sz="0" w:space="0" w:color="auto"/>
            <w:bottom w:val="none" w:sz="0" w:space="0" w:color="auto"/>
            <w:right w:val="none" w:sz="0" w:space="0" w:color="auto"/>
          </w:divBdr>
          <w:divsChild>
            <w:div w:id="183988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81943">
      <w:bodyDiv w:val="1"/>
      <w:marLeft w:val="0"/>
      <w:marRight w:val="0"/>
      <w:marTop w:val="0"/>
      <w:marBottom w:val="0"/>
      <w:divBdr>
        <w:top w:val="none" w:sz="0" w:space="0" w:color="auto"/>
        <w:left w:val="none" w:sz="0" w:space="0" w:color="auto"/>
        <w:bottom w:val="none" w:sz="0" w:space="0" w:color="auto"/>
        <w:right w:val="none" w:sz="0" w:space="0" w:color="auto"/>
      </w:divBdr>
    </w:div>
    <w:div w:id="459805711">
      <w:bodyDiv w:val="1"/>
      <w:marLeft w:val="0"/>
      <w:marRight w:val="0"/>
      <w:marTop w:val="0"/>
      <w:marBottom w:val="0"/>
      <w:divBdr>
        <w:top w:val="none" w:sz="0" w:space="0" w:color="auto"/>
        <w:left w:val="none" w:sz="0" w:space="0" w:color="auto"/>
        <w:bottom w:val="none" w:sz="0" w:space="0" w:color="auto"/>
        <w:right w:val="none" w:sz="0" w:space="0" w:color="auto"/>
      </w:divBdr>
    </w:div>
    <w:div w:id="461072284">
      <w:bodyDiv w:val="1"/>
      <w:marLeft w:val="0"/>
      <w:marRight w:val="0"/>
      <w:marTop w:val="0"/>
      <w:marBottom w:val="0"/>
      <w:divBdr>
        <w:top w:val="none" w:sz="0" w:space="0" w:color="auto"/>
        <w:left w:val="none" w:sz="0" w:space="0" w:color="auto"/>
        <w:bottom w:val="none" w:sz="0" w:space="0" w:color="auto"/>
        <w:right w:val="none" w:sz="0" w:space="0" w:color="auto"/>
      </w:divBdr>
      <w:divsChild>
        <w:div w:id="2102942624">
          <w:marLeft w:val="0"/>
          <w:marRight w:val="0"/>
          <w:marTop w:val="0"/>
          <w:marBottom w:val="0"/>
          <w:divBdr>
            <w:top w:val="none" w:sz="0" w:space="0" w:color="auto"/>
            <w:left w:val="none" w:sz="0" w:space="0" w:color="auto"/>
            <w:bottom w:val="none" w:sz="0" w:space="0" w:color="auto"/>
            <w:right w:val="none" w:sz="0" w:space="0" w:color="auto"/>
          </w:divBdr>
        </w:div>
      </w:divsChild>
    </w:div>
    <w:div w:id="468209984">
      <w:bodyDiv w:val="1"/>
      <w:marLeft w:val="0"/>
      <w:marRight w:val="0"/>
      <w:marTop w:val="0"/>
      <w:marBottom w:val="0"/>
      <w:divBdr>
        <w:top w:val="none" w:sz="0" w:space="0" w:color="auto"/>
        <w:left w:val="none" w:sz="0" w:space="0" w:color="auto"/>
        <w:bottom w:val="none" w:sz="0" w:space="0" w:color="auto"/>
        <w:right w:val="none" w:sz="0" w:space="0" w:color="auto"/>
      </w:divBdr>
    </w:div>
    <w:div w:id="469172800">
      <w:bodyDiv w:val="1"/>
      <w:marLeft w:val="0"/>
      <w:marRight w:val="0"/>
      <w:marTop w:val="0"/>
      <w:marBottom w:val="0"/>
      <w:divBdr>
        <w:top w:val="none" w:sz="0" w:space="0" w:color="auto"/>
        <w:left w:val="none" w:sz="0" w:space="0" w:color="auto"/>
        <w:bottom w:val="none" w:sz="0" w:space="0" w:color="auto"/>
        <w:right w:val="none" w:sz="0" w:space="0" w:color="auto"/>
      </w:divBdr>
    </w:div>
    <w:div w:id="472908239">
      <w:bodyDiv w:val="1"/>
      <w:marLeft w:val="0"/>
      <w:marRight w:val="0"/>
      <w:marTop w:val="0"/>
      <w:marBottom w:val="0"/>
      <w:divBdr>
        <w:top w:val="none" w:sz="0" w:space="0" w:color="auto"/>
        <w:left w:val="none" w:sz="0" w:space="0" w:color="auto"/>
        <w:bottom w:val="none" w:sz="0" w:space="0" w:color="auto"/>
        <w:right w:val="none" w:sz="0" w:space="0" w:color="auto"/>
      </w:divBdr>
    </w:div>
    <w:div w:id="473184134">
      <w:bodyDiv w:val="1"/>
      <w:marLeft w:val="0"/>
      <w:marRight w:val="0"/>
      <w:marTop w:val="0"/>
      <w:marBottom w:val="0"/>
      <w:divBdr>
        <w:top w:val="none" w:sz="0" w:space="0" w:color="auto"/>
        <w:left w:val="none" w:sz="0" w:space="0" w:color="auto"/>
        <w:bottom w:val="none" w:sz="0" w:space="0" w:color="auto"/>
        <w:right w:val="none" w:sz="0" w:space="0" w:color="auto"/>
      </w:divBdr>
      <w:divsChild>
        <w:div w:id="824662153">
          <w:marLeft w:val="0"/>
          <w:marRight w:val="0"/>
          <w:marTop w:val="0"/>
          <w:marBottom w:val="0"/>
          <w:divBdr>
            <w:top w:val="none" w:sz="0" w:space="0" w:color="auto"/>
            <w:left w:val="none" w:sz="0" w:space="0" w:color="auto"/>
            <w:bottom w:val="none" w:sz="0" w:space="0" w:color="auto"/>
            <w:right w:val="none" w:sz="0" w:space="0" w:color="auto"/>
          </w:divBdr>
          <w:divsChild>
            <w:div w:id="48601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94540">
      <w:bodyDiv w:val="1"/>
      <w:marLeft w:val="0"/>
      <w:marRight w:val="0"/>
      <w:marTop w:val="0"/>
      <w:marBottom w:val="0"/>
      <w:divBdr>
        <w:top w:val="none" w:sz="0" w:space="0" w:color="auto"/>
        <w:left w:val="none" w:sz="0" w:space="0" w:color="auto"/>
        <w:bottom w:val="none" w:sz="0" w:space="0" w:color="auto"/>
        <w:right w:val="none" w:sz="0" w:space="0" w:color="auto"/>
      </w:divBdr>
    </w:div>
    <w:div w:id="476580307">
      <w:bodyDiv w:val="1"/>
      <w:marLeft w:val="0"/>
      <w:marRight w:val="0"/>
      <w:marTop w:val="0"/>
      <w:marBottom w:val="0"/>
      <w:divBdr>
        <w:top w:val="none" w:sz="0" w:space="0" w:color="auto"/>
        <w:left w:val="none" w:sz="0" w:space="0" w:color="auto"/>
        <w:bottom w:val="none" w:sz="0" w:space="0" w:color="auto"/>
        <w:right w:val="none" w:sz="0" w:space="0" w:color="auto"/>
      </w:divBdr>
    </w:div>
    <w:div w:id="478112660">
      <w:bodyDiv w:val="1"/>
      <w:marLeft w:val="0"/>
      <w:marRight w:val="0"/>
      <w:marTop w:val="0"/>
      <w:marBottom w:val="0"/>
      <w:divBdr>
        <w:top w:val="none" w:sz="0" w:space="0" w:color="auto"/>
        <w:left w:val="none" w:sz="0" w:space="0" w:color="auto"/>
        <w:bottom w:val="none" w:sz="0" w:space="0" w:color="auto"/>
        <w:right w:val="none" w:sz="0" w:space="0" w:color="auto"/>
      </w:divBdr>
      <w:divsChild>
        <w:div w:id="482696453">
          <w:marLeft w:val="0"/>
          <w:marRight w:val="0"/>
          <w:marTop w:val="0"/>
          <w:marBottom w:val="0"/>
          <w:divBdr>
            <w:top w:val="none" w:sz="0" w:space="0" w:color="auto"/>
            <w:left w:val="none" w:sz="0" w:space="0" w:color="auto"/>
            <w:bottom w:val="none" w:sz="0" w:space="0" w:color="auto"/>
            <w:right w:val="none" w:sz="0" w:space="0" w:color="auto"/>
          </w:divBdr>
          <w:divsChild>
            <w:div w:id="171634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06934">
      <w:bodyDiv w:val="1"/>
      <w:marLeft w:val="0"/>
      <w:marRight w:val="0"/>
      <w:marTop w:val="0"/>
      <w:marBottom w:val="0"/>
      <w:divBdr>
        <w:top w:val="none" w:sz="0" w:space="0" w:color="auto"/>
        <w:left w:val="none" w:sz="0" w:space="0" w:color="auto"/>
        <w:bottom w:val="none" w:sz="0" w:space="0" w:color="auto"/>
        <w:right w:val="none" w:sz="0" w:space="0" w:color="auto"/>
      </w:divBdr>
    </w:div>
    <w:div w:id="484704646">
      <w:bodyDiv w:val="1"/>
      <w:marLeft w:val="0"/>
      <w:marRight w:val="0"/>
      <w:marTop w:val="0"/>
      <w:marBottom w:val="0"/>
      <w:divBdr>
        <w:top w:val="none" w:sz="0" w:space="0" w:color="auto"/>
        <w:left w:val="none" w:sz="0" w:space="0" w:color="auto"/>
        <w:bottom w:val="none" w:sz="0" w:space="0" w:color="auto"/>
        <w:right w:val="none" w:sz="0" w:space="0" w:color="auto"/>
      </w:divBdr>
    </w:div>
    <w:div w:id="500586774">
      <w:bodyDiv w:val="1"/>
      <w:marLeft w:val="0"/>
      <w:marRight w:val="0"/>
      <w:marTop w:val="0"/>
      <w:marBottom w:val="0"/>
      <w:divBdr>
        <w:top w:val="none" w:sz="0" w:space="0" w:color="auto"/>
        <w:left w:val="none" w:sz="0" w:space="0" w:color="auto"/>
        <w:bottom w:val="none" w:sz="0" w:space="0" w:color="auto"/>
        <w:right w:val="none" w:sz="0" w:space="0" w:color="auto"/>
      </w:divBdr>
      <w:divsChild>
        <w:div w:id="2121366054">
          <w:marLeft w:val="0"/>
          <w:marRight w:val="0"/>
          <w:marTop w:val="0"/>
          <w:marBottom w:val="0"/>
          <w:divBdr>
            <w:top w:val="none" w:sz="0" w:space="0" w:color="auto"/>
            <w:left w:val="none" w:sz="0" w:space="0" w:color="auto"/>
            <w:bottom w:val="none" w:sz="0" w:space="0" w:color="auto"/>
            <w:right w:val="none" w:sz="0" w:space="0" w:color="auto"/>
          </w:divBdr>
          <w:divsChild>
            <w:div w:id="31634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289132">
      <w:bodyDiv w:val="1"/>
      <w:marLeft w:val="0"/>
      <w:marRight w:val="0"/>
      <w:marTop w:val="0"/>
      <w:marBottom w:val="0"/>
      <w:divBdr>
        <w:top w:val="none" w:sz="0" w:space="0" w:color="auto"/>
        <w:left w:val="none" w:sz="0" w:space="0" w:color="auto"/>
        <w:bottom w:val="none" w:sz="0" w:space="0" w:color="auto"/>
        <w:right w:val="none" w:sz="0" w:space="0" w:color="auto"/>
      </w:divBdr>
      <w:divsChild>
        <w:div w:id="567619434">
          <w:marLeft w:val="0"/>
          <w:marRight w:val="0"/>
          <w:marTop w:val="0"/>
          <w:marBottom w:val="0"/>
          <w:divBdr>
            <w:top w:val="none" w:sz="0" w:space="0" w:color="auto"/>
            <w:left w:val="none" w:sz="0" w:space="0" w:color="auto"/>
            <w:bottom w:val="none" w:sz="0" w:space="0" w:color="auto"/>
            <w:right w:val="none" w:sz="0" w:space="0" w:color="auto"/>
          </w:divBdr>
          <w:divsChild>
            <w:div w:id="138505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56585">
      <w:bodyDiv w:val="1"/>
      <w:marLeft w:val="0"/>
      <w:marRight w:val="0"/>
      <w:marTop w:val="0"/>
      <w:marBottom w:val="0"/>
      <w:divBdr>
        <w:top w:val="none" w:sz="0" w:space="0" w:color="auto"/>
        <w:left w:val="none" w:sz="0" w:space="0" w:color="auto"/>
        <w:bottom w:val="none" w:sz="0" w:space="0" w:color="auto"/>
        <w:right w:val="none" w:sz="0" w:space="0" w:color="auto"/>
      </w:divBdr>
    </w:div>
    <w:div w:id="507403548">
      <w:bodyDiv w:val="1"/>
      <w:marLeft w:val="0"/>
      <w:marRight w:val="0"/>
      <w:marTop w:val="0"/>
      <w:marBottom w:val="0"/>
      <w:divBdr>
        <w:top w:val="none" w:sz="0" w:space="0" w:color="auto"/>
        <w:left w:val="none" w:sz="0" w:space="0" w:color="auto"/>
        <w:bottom w:val="none" w:sz="0" w:space="0" w:color="auto"/>
        <w:right w:val="none" w:sz="0" w:space="0" w:color="auto"/>
      </w:divBdr>
      <w:divsChild>
        <w:div w:id="1855654723">
          <w:marLeft w:val="0"/>
          <w:marRight w:val="0"/>
          <w:marTop w:val="0"/>
          <w:marBottom w:val="0"/>
          <w:divBdr>
            <w:top w:val="none" w:sz="0" w:space="0" w:color="auto"/>
            <w:left w:val="none" w:sz="0" w:space="0" w:color="auto"/>
            <w:bottom w:val="none" w:sz="0" w:space="0" w:color="auto"/>
            <w:right w:val="none" w:sz="0" w:space="0" w:color="auto"/>
          </w:divBdr>
          <w:divsChild>
            <w:div w:id="188147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552837">
      <w:bodyDiv w:val="1"/>
      <w:marLeft w:val="0"/>
      <w:marRight w:val="0"/>
      <w:marTop w:val="0"/>
      <w:marBottom w:val="0"/>
      <w:divBdr>
        <w:top w:val="none" w:sz="0" w:space="0" w:color="auto"/>
        <w:left w:val="none" w:sz="0" w:space="0" w:color="auto"/>
        <w:bottom w:val="none" w:sz="0" w:space="0" w:color="auto"/>
        <w:right w:val="none" w:sz="0" w:space="0" w:color="auto"/>
      </w:divBdr>
    </w:div>
    <w:div w:id="522548906">
      <w:bodyDiv w:val="1"/>
      <w:marLeft w:val="0"/>
      <w:marRight w:val="0"/>
      <w:marTop w:val="0"/>
      <w:marBottom w:val="0"/>
      <w:divBdr>
        <w:top w:val="none" w:sz="0" w:space="0" w:color="auto"/>
        <w:left w:val="none" w:sz="0" w:space="0" w:color="auto"/>
        <w:bottom w:val="none" w:sz="0" w:space="0" w:color="auto"/>
        <w:right w:val="none" w:sz="0" w:space="0" w:color="auto"/>
      </w:divBdr>
      <w:divsChild>
        <w:div w:id="1183319802">
          <w:marLeft w:val="0"/>
          <w:marRight w:val="0"/>
          <w:marTop w:val="0"/>
          <w:marBottom w:val="0"/>
          <w:divBdr>
            <w:top w:val="none" w:sz="0" w:space="0" w:color="auto"/>
            <w:left w:val="none" w:sz="0" w:space="0" w:color="auto"/>
            <w:bottom w:val="none" w:sz="0" w:space="0" w:color="auto"/>
            <w:right w:val="none" w:sz="0" w:space="0" w:color="auto"/>
          </w:divBdr>
          <w:divsChild>
            <w:div w:id="48335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75454">
      <w:bodyDiv w:val="1"/>
      <w:marLeft w:val="0"/>
      <w:marRight w:val="0"/>
      <w:marTop w:val="0"/>
      <w:marBottom w:val="0"/>
      <w:divBdr>
        <w:top w:val="none" w:sz="0" w:space="0" w:color="auto"/>
        <w:left w:val="none" w:sz="0" w:space="0" w:color="auto"/>
        <w:bottom w:val="none" w:sz="0" w:space="0" w:color="auto"/>
        <w:right w:val="none" w:sz="0" w:space="0" w:color="auto"/>
      </w:divBdr>
    </w:div>
    <w:div w:id="536359764">
      <w:bodyDiv w:val="1"/>
      <w:marLeft w:val="0"/>
      <w:marRight w:val="0"/>
      <w:marTop w:val="0"/>
      <w:marBottom w:val="0"/>
      <w:divBdr>
        <w:top w:val="none" w:sz="0" w:space="0" w:color="auto"/>
        <w:left w:val="none" w:sz="0" w:space="0" w:color="auto"/>
        <w:bottom w:val="none" w:sz="0" w:space="0" w:color="auto"/>
        <w:right w:val="none" w:sz="0" w:space="0" w:color="auto"/>
      </w:divBdr>
    </w:div>
    <w:div w:id="537204493">
      <w:bodyDiv w:val="1"/>
      <w:marLeft w:val="0"/>
      <w:marRight w:val="0"/>
      <w:marTop w:val="0"/>
      <w:marBottom w:val="0"/>
      <w:divBdr>
        <w:top w:val="none" w:sz="0" w:space="0" w:color="auto"/>
        <w:left w:val="none" w:sz="0" w:space="0" w:color="auto"/>
        <w:bottom w:val="none" w:sz="0" w:space="0" w:color="auto"/>
        <w:right w:val="none" w:sz="0" w:space="0" w:color="auto"/>
      </w:divBdr>
      <w:divsChild>
        <w:div w:id="1770658035">
          <w:marLeft w:val="0"/>
          <w:marRight w:val="0"/>
          <w:marTop w:val="0"/>
          <w:marBottom w:val="0"/>
          <w:divBdr>
            <w:top w:val="none" w:sz="0" w:space="0" w:color="auto"/>
            <w:left w:val="none" w:sz="0" w:space="0" w:color="auto"/>
            <w:bottom w:val="none" w:sz="0" w:space="0" w:color="auto"/>
            <w:right w:val="none" w:sz="0" w:space="0" w:color="auto"/>
          </w:divBdr>
          <w:divsChild>
            <w:div w:id="12335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702360">
      <w:bodyDiv w:val="1"/>
      <w:marLeft w:val="0"/>
      <w:marRight w:val="0"/>
      <w:marTop w:val="0"/>
      <w:marBottom w:val="0"/>
      <w:divBdr>
        <w:top w:val="none" w:sz="0" w:space="0" w:color="auto"/>
        <w:left w:val="none" w:sz="0" w:space="0" w:color="auto"/>
        <w:bottom w:val="none" w:sz="0" w:space="0" w:color="auto"/>
        <w:right w:val="none" w:sz="0" w:space="0" w:color="auto"/>
      </w:divBdr>
    </w:div>
    <w:div w:id="544761157">
      <w:bodyDiv w:val="1"/>
      <w:marLeft w:val="0"/>
      <w:marRight w:val="0"/>
      <w:marTop w:val="0"/>
      <w:marBottom w:val="0"/>
      <w:divBdr>
        <w:top w:val="none" w:sz="0" w:space="0" w:color="auto"/>
        <w:left w:val="none" w:sz="0" w:space="0" w:color="auto"/>
        <w:bottom w:val="none" w:sz="0" w:space="0" w:color="auto"/>
        <w:right w:val="none" w:sz="0" w:space="0" w:color="auto"/>
      </w:divBdr>
      <w:divsChild>
        <w:div w:id="375858550">
          <w:marLeft w:val="0"/>
          <w:marRight w:val="0"/>
          <w:marTop w:val="0"/>
          <w:marBottom w:val="0"/>
          <w:divBdr>
            <w:top w:val="none" w:sz="0" w:space="0" w:color="auto"/>
            <w:left w:val="none" w:sz="0" w:space="0" w:color="auto"/>
            <w:bottom w:val="none" w:sz="0" w:space="0" w:color="auto"/>
            <w:right w:val="none" w:sz="0" w:space="0" w:color="auto"/>
          </w:divBdr>
          <w:divsChild>
            <w:div w:id="161652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42803">
      <w:bodyDiv w:val="1"/>
      <w:marLeft w:val="0"/>
      <w:marRight w:val="0"/>
      <w:marTop w:val="0"/>
      <w:marBottom w:val="0"/>
      <w:divBdr>
        <w:top w:val="none" w:sz="0" w:space="0" w:color="auto"/>
        <w:left w:val="none" w:sz="0" w:space="0" w:color="auto"/>
        <w:bottom w:val="none" w:sz="0" w:space="0" w:color="auto"/>
        <w:right w:val="none" w:sz="0" w:space="0" w:color="auto"/>
      </w:divBdr>
      <w:divsChild>
        <w:div w:id="705953836">
          <w:marLeft w:val="0"/>
          <w:marRight w:val="0"/>
          <w:marTop w:val="0"/>
          <w:marBottom w:val="0"/>
          <w:divBdr>
            <w:top w:val="none" w:sz="0" w:space="0" w:color="auto"/>
            <w:left w:val="none" w:sz="0" w:space="0" w:color="auto"/>
            <w:bottom w:val="none" w:sz="0" w:space="0" w:color="auto"/>
            <w:right w:val="none" w:sz="0" w:space="0" w:color="auto"/>
          </w:divBdr>
          <w:divsChild>
            <w:div w:id="36860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12452">
      <w:bodyDiv w:val="1"/>
      <w:marLeft w:val="0"/>
      <w:marRight w:val="0"/>
      <w:marTop w:val="0"/>
      <w:marBottom w:val="0"/>
      <w:divBdr>
        <w:top w:val="none" w:sz="0" w:space="0" w:color="auto"/>
        <w:left w:val="none" w:sz="0" w:space="0" w:color="auto"/>
        <w:bottom w:val="none" w:sz="0" w:space="0" w:color="auto"/>
        <w:right w:val="none" w:sz="0" w:space="0" w:color="auto"/>
      </w:divBdr>
      <w:divsChild>
        <w:div w:id="1938515359">
          <w:marLeft w:val="0"/>
          <w:marRight w:val="0"/>
          <w:marTop w:val="0"/>
          <w:marBottom w:val="0"/>
          <w:divBdr>
            <w:top w:val="none" w:sz="0" w:space="0" w:color="auto"/>
            <w:left w:val="none" w:sz="0" w:space="0" w:color="auto"/>
            <w:bottom w:val="none" w:sz="0" w:space="0" w:color="auto"/>
            <w:right w:val="none" w:sz="0" w:space="0" w:color="auto"/>
          </w:divBdr>
          <w:divsChild>
            <w:div w:id="161829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90810">
      <w:bodyDiv w:val="1"/>
      <w:marLeft w:val="0"/>
      <w:marRight w:val="0"/>
      <w:marTop w:val="0"/>
      <w:marBottom w:val="0"/>
      <w:divBdr>
        <w:top w:val="none" w:sz="0" w:space="0" w:color="auto"/>
        <w:left w:val="none" w:sz="0" w:space="0" w:color="auto"/>
        <w:bottom w:val="none" w:sz="0" w:space="0" w:color="auto"/>
        <w:right w:val="none" w:sz="0" w:space="0" w:color="auto"/>
      </w:divBdr>
    </w:div>
    <w:div w:id="562369269">
      <w:bodyDiv w:val="1"/>
      <w:marLeft w:val="0"/>
      <w:marRight w:val="0"/>
      <w:marTop w:val="0"/>
      <w:marBottom w:val="0"/>
      <w:divBdr>
        <w:top w:val="none" w:sz="0" w:space="0" w:color="auto"/>
        <w:left w:val="none" w:sz="0" w:space="0" w:color="auto"/>
        <w:bottom w:val="none" w:sz="0" w:space="0" w:color="auto"/>
        <w:right w:val="none" w:sz="0" w:space="0" w:color="auto"/>
      </w:divBdr>
      <w:divsChild>
        <w:div w:id="232281435">
          <w:marLeft w:val="0"/>
          <w:marRight w:val="0"/>
          <w:marTop w:val="0"/>
          <w:marBottom w:val="0"/>
          <w:divBdr>
            <w:top w:val="none" w:sz="0" w:space="0" w:color="auto"/>
            <w:left w:val="none" w:sz="0" w:space="0" w:color="auto"/>
            <w:bottom w:val="none" w:sz="0" w:space="0" w:color="auto"/>
            <w:right w:val="none" w:sz="0" w:space="0" w:color="auto"/>
          </w:divBdr>
          <w:divsChild>
            <w:div w:id="71470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20403">
      <w:bodyDiv w:val="1"/>
      <w:marLeft w:val="0"/>
      <w:marRight w:val="0"/>
      <w:marTop w:val="0"/>
      <w:marBottom w:val="0"/>
      <w:divBdr>
        <w:top w:val="none" w:sz="0" w:space="0" w:color="auto"/>
        <w:left w:val="none" w:sz="0" w:space="0" w:color="auto"/>
        <w:bottom w:val="none" w:sz="0" w:space="0" w:color="auto"/>
        <w:right w:val="none" w:sz="0" w:space="0" w:color="auto"/>
      </w:divBdr>
      <w:divsChild>
        <w:div w:id="1410537388">
          <w:marLeft w:val="0"/>
          <w:marRight w:val="0"/>
          <w:marTop w:val="0"/>
          <w:marBottom w:val="0"/>
          <w:divBdr>
            <w:top w:val="none" w:sz="0" w:space="0" w:color="auto"/>
            <w:left w:val="none" w:sz="0" w:space="0" w:color="auto"/>
            <w:bottom w:val="none" w:sz="0" w:space="0" w:color="auto"/>
            <w:right w:val="none" w:sz="0" w:space="0" w:color="auto"/>
          </w:divBdr>
          <w:divsChild>
            <w:div w:id="9513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307674">
      <w:bodyDiv w:val="1"/>
      <w:marLeft w:val="0"/>
      <w:marRight w:val="0"/>
      <w:marTop w:val="0"/>
      <w:marBottom w:val="0"/>
      <w:divBdr>
        <w:top w:val="none" w:sz="0" w:space="0" w:color="auto"/>
        <w:left w:val="none" w:sz="0" w:space="0" w:color="auto"/>
        <w:bottom w:val="none" w:sz="0" w:space="0" w:color="auto"/>
        <w:right w:val="none" w:sz="0" w:space="0" w:color="auto"/>
      </w:divBdr>
      <w:divsChild>
        <w:div w:id="887302087">
          <w:marLeft w:val="0"/>
          <w:marRight w:val="0"/>
          <w:marTop w:val="0"/>
          <w:marBottom w:val="0"/>
          <w:divBdr>
            <w:top w:val="none" w:sz="0" w:space="0" w:color="auto"/>
            <w:left w:val="none" w:sz="0" w:space="0" w:color="auto"/>
            <w:bottom w:val="none" w:sz="0" w:space="0" w:color="auto"/>
            <w:right w:val="none" w:sz="0" w:space="0" w:color="auto"/>
          </w:divBdr>
        </w:div>
        <w:div w:id="939021013">
          <w:marLeft w:val="0"/>
          <w:marRight w:val="0"/>
          <w:marTop w:val="0"/>
          <w:marBottom w:val="0"/>
          <w:divBdr>
            <w:top w:val="none" w:sz="0" w:space="0" w:color="auto"/>
            <w:left w:val="none" w:sz="0" w:space="0" w:color="auto"/>
            <w:bottom w:val="none" w:sz="0" w:space="0" w:color="auto"/>
            <w:right w:val="none" w:sz="0" w:space="0" w:color="auto"/>
          </w:divBdr>
        </w:div>
        <w:div w:id="1759522063">
          <w:marLeft w:val="0"/>
          <w:marRight w:val="0"/>
          <w:marTop w:val="0"/>
          <w:marBottom w:val="0"/>
          <w:divBdr>
            <w:top w:val="none" w:sz="0" w:space="0" w:color="auto"/>
            <w:left w:val="none" w:sz="0" w:space="0" w:color="auto"/>
            <w:bottom w:val="none" w:sz="0" w:space="0" w:color="auto"/>
            <w:right w:val="none" w:sz="0" w:space="0" w:color="auto"/>
          </w:divBdr>
        </w:div>
      </w:divsChild>
    </w:div>
    <w:div w:id="572395496">
      <w:bodyDiv w:val="1"/>
      <w:marLeft w:val="0"/>
      <w:marRight w:val="0"/>
      <w:marTop w:val="0"/>
      <w:marBottom w:val="0"/>
      <w:divBdr>
        <w:top w:val="none" w:sz="0" w:space="0" w:color="auto"/>
        <w:left w:val="none" w:sz="0" w:space="0" w:color="auto"/>
        <w:bottom w:val="none" w:sz="0" w:space="0" w:color="auto"/>
        <w:right w:val="none" w:sz="0" w:space="0" w:color="auto"/>
      </w:divBdr>
      <w:divsChild>
        <w:div w:id="1469786953">
          <w:marLeft w:val="0"/>
          <w:marRight w:val="0"/>
          <w:marTop w:val="0"/>
          <w:marBottom w:val="0"/>
          <w:divBdr>
            <w:top w:val="none" w:sz="0" w:space="0" w:color="auto"/>
            <w:left w:val="none" w:sz="0" w:space="0" w:color="auto"/>
            <w:bottom w:val="none" w:sz="0" w:space="0" w:color="auto"/>
            <w:right w:val="none" w:sz="0" w:space="0" w:color="auto"/>
          </w:divBdr>
          <w:divsChild>
            <w:div w:id="114434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68898">
      <w:bodyDiv w:val="1"/>
      <w:marLeft w:val="0"/>
      <w:marRight w:val="0"/>
      <w:marTop w:val="0"/>
      <w:marBottom w:val="0"/>
      <w:divBdr>
        <w:top w:val="none" w:sz="0" w:space="0" w:color="auto"/>
        <w:left w:val="none" w:sz="0" w:space="0" w:color="auto"/>
        <w:bottom w:val="none" w:sz="0" w:space="0" w:color="auto"/>
        <w:right w:val="none" w:sz="0" w:space="0" w:color="auto"/>
      </w:divBdr>
      <w:divsChild>
        <w:div w:id="198056035">
          <w:marLeft w:val="0"/>
          <w:marRight w:val="0"/>
          <w:marTop w:val="0"/>
          <w:marBottom w:val="0"/>
          <w:divBdr>
            <w:top w:val="none" w:sz="0" w:space="0" w:color="auto"/>
            <w:left w:val="none" w:sz="0" w:space="0" w:color="auto"/>
            <w:bottom w:val="none" w:sz="0" w:space="0" w:color="auto"/>
            <w:right w:val="none" w:sz="0" w:space="0" w:color="auto"/>
          </w:divBdr>
          <w:divsChild>
            <w:div w:id="182708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254245">
      <w:bodyDiv w:val="1"/>
      <w:marLeft w:val="0"/>
      <w:marRight w:val="0"/>
      <w:marTop w:val="0"/>
      <w:marBottom w:val="0"/>
      <w:divBdr>
        <w:top w:val="none" w:sz="0" w:space="0" w:color="auto"/>
        <w:left w:val="none" w:sz="0" w:space="0" w:color="auto"/>
        <w:bottom w:val="none" w:sz="0" w:space="0" w:color="auto"/>
        <w:right w:val="none" w:sz="0" w:space="0" w:color="auto"/>
      </w:divBdr>
    </w:div>
    <w:div w:id="583422397">
      <w:bodyDiv w:val="1"/>
      <w:marLeft w:val="0"/>
      <w:marRight w:val="0"/>
      <w:marTop w:val="0"/>
      <w:marBottom w:val="0"/>
      <w:divBdr>
        <w:top w:val="none" w:sz="0" w:space="0" w:color="auto"/>
        <w:left w:val="none" w:sz="0" w:space="0" w:color="auto"/>
        <w:bottom w:val="none" w:sz="0" w:space="0" w:color="auto"/>
        <w:right w:val="none" w:sz="0" w:space="0" w:color="auto"/>
      </w:divBdr>
    </w:div>
    <w:div w:id="589658798">
      <w:bodyDiv w:val="1"/>
      <w:marLeft w:val="0"/>
      <w:marRight w:val="0"/>
      <w:marTop w:val="0"/>
      <w:marBottom w:val="0"/>
      <w:divBdr>
        <w:top w:val="none" w:sz="0" w:space="0" w:color="auto"/>
        <w:left w:val="none" w:sz="0" w:space="0" w:color="auto"/>
        <w:bottom w:val="none" w:sz="0" w:space="0" w:color="auto"/>
        <w:right w:val="none" w:sz="0" w:space="0" w:color="auto"/>
      </w:divBdr>
    </w:div>
    <w:div w:id="593052381">
      <w:bodyDiv w:val="1"/>
      <w:marLeft w:val="0"/>
      <w:marRight w:val="0"/>
      <w:marTop w:val="0"/>
      <w:marBottom w:val="0"/>
      <w:divBdr>
        <w:top w:val="none" w:sz="0" w:space="0" w:color="auto"/>
        <w:left w:val="none" w:sz="0" w:space="0" w:color="auto"/>
        <w:bottom w:val="none" w:sz="0" w:space="0" w:color="auto"/>
        <w:right w:val="none" w:sz="0" w:space="0" w:color="auto"/>
      </w:divBdr>
      <w:divsChild>
        <w:div w:id="1694841147">
          <w:marLeft w:val="0"/>
          <w:marRight w:val="0"/>
          <w:marTop w:val="0"/>
          <w:marBottom w:val="0"/>
          <w:divBdr>
            <w:top w:val="none" w:sz="0" w:space="0" w:color="auto"/>
            <w:left w:val="none" w:sz="0" w:space="0" w:color="auto"/>
            <w:bottom w:val="none" w:sz="0" w:space="0" w:color="auto"/>
            <w:right w:val="none" w:sz="0" w:space="0" w:color="auto"/>
          </w:divBdr>
          <w:divsChild>
            <w:div w:id="162256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947617">
      <w:bodyDiv w:val="1"/>
      <w:marLeft w:val="0"/>
      <w:marRight w:val="0"/>
      <w:marTop w:val="0"/>
      <w:marBottom w:val="0"/>
      <w:divBdr>
        <w:top w:val="none" w:sz="0" w:space="0" w:color="auto"/>
        <w:left w:val="none" w:sz="0" w:space="0" w:color="auto"/>
        <w:bottom w:val="none" w:sz="0" w:space="0" w:color="auto"/>
        <w:right w:val="none" w:sz="0" w:space="0" w:color="auto"/>
      </w:divBdr>
      <w:divsChild>
        <w:div w:id="1895237386">
          <w:marLeft w:val="0"/>
          <w:marRight w:val="0"/>
          <w:marTop w:val="0"/>
          <w:marBottom w:val="0"/>
          <w:divBdr>
            <w:top w:val="none" w:sz="0" w:space="0" w:color="auto"/>
            <w:left w:val="none" w:sz="0" w:space="0" w:color="auto"/>
            <w:bottom w:val="none" w:sz="0" w:space="0" w:color="auto"/>
            <w:right w:val="none" w:sz="0" w:space="0" w:color="auto"/>
          </w:divBdr>
          <w:divsChild>
            <w:div w:id="81201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94971">
      <w:bodyDiv w:val="1"/>
      <w:marLeft w:val="0"/>
      <w:marRight w:val="0"/>
      <w:marTop w:val="0"/>
      <w:marBottom w:val="0"/>
      <w:divBdr>
        <w:top w:val="none" w:sz="0" w:space="0" w:color="auto"/>
        <w:left w:val="none" w:sz="0" w:space="0" w:color="auto"/>
        <w:bottom w:val="none" w:sz="0" w:space="0" w:color="auto"/>
        <w:right w:val="none" w:sz="0" w:space="0" w:color="auto"/>
      </w:divBdr>
      <w:divsChild>
        <w:div w:id="1624381296">
          <w:marLeft w:val="0"/>
          <w:marRight w:val="0"/>
          <w:marTop w:val="0"/>
          <w:marBottom w:val="0"/>
          <w:divBdr>
            <w:top w:val="none" w:sz="0" w:space="0" w:color="auto"/>
            <w:left w:val="none" w:sz="0" w:space="0" w:color="auto"/>
            <w:bottom w:val="none" w:sz="0" w:space="0" w:color="auto"/>
            <w:right w:val="none" w:sz="0" w:space="0" w:color="auto"/>
          </w:divBdr>
          <w:divsChild>
            <w:div w:id="18732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408063">
      <w:bodyDiv w:val="1"/>
      <w:marLeft w:val="0"/>
      <w:marRight w:val="0"/>
      <w:marTop w:val="0"/>
      <w:marBottom w:val="0"/>
      <w:divBdr>
        <w:top w:val="none" w:sz="0" w:space="0" w:color="auto"/>
        <w:left w:val="none" w:sz="0" w:space="0" w:color="auto"/>
        <w:bottom w:val="none" w:sz="0" w:space="0" w:color="auto"/>
        <w:right w:val="none" w:sz="0" w:space="0" w:color="auto"/>
      </w:divBdr>
    </w:div>
    <w:div w:id="602765818">
      <w:bodyDiv w:val="1"/>
      <w:marLeft w:val="0"/>
      <w:marRight w:val="0"/>
      <w:marTop w:val="0"/>
      <w:marBottom w:val="0"/>
      <w:divBdr>
        <w:top w:val="none" w:sz="0" w:space="0" w:color="auto"/>
        <w:left w:val="none" w:sz="0" w:space="0" w:color="auto"/>
        <w:bottom w:val="none" w:sz="0" w:space="0" w:color="auto"/>
        <w:right w:val="none" w:sz="0" w:space="0" w:color="auto"/>
      </w:divBdr>
    </w:div>
    <w:div w:id="613370039">
      <w:bodyDiv w:val="1"/>
      <w:marLeft w:val="0"/>
      <w:marRight w:val="0"/>
      <w:marTop w:val="0"/>
      <w:marBottom w:val="0"/>
      <w:divBdr>
        <w:top w:val="none" w:sz="0" w:space="0" w:color="auto"/>
        <w:left w:val="none" w:sz="0" w:space="0" w:color="auto"/>
        <w:bottom w:val="none" w:sz="0" w:space="0" w:color="auto"/>
        <w:right w:val="none" w:sz="0" w:space="0" w:color="auto"/>
      </w:divBdr>
      <w:divsChild>
        <w:div w:id="770860287">
          <w:marLeft w:val="0"/>
          <w:marRight w:val="0"/>
          <w:marTop w:val="0"/>
          <w:marBottom w:val="0"/>
          <w:divBdr>
            <w:top w:val="none" w:sz="0" w:space="0" w:color="auto"/>
            <w:left w:val="none" w:sz="0" w:space="0" w:color="auto"/>
            <w:bottom w:val="none" w:sz="0" w:space="0" w:color="auto"/>
            <w:right w:val="none" w:sz="0" w:space="0" w:color="auto"/>
          </w:divBdr>
        </w:div>
      </w:divsChild>
    </w:div>
    <w:div w:id="618798114">
      <w:bodyDiv w:val="1"/>
      <w:marLeft w:val="0"/>
      <w:marRight w:val="0"/>
      <w:marTop w:val="0"/>
      <w:marBottom w:val="0"/>
      <w:divBdr>
        <w:top w:val="none" w:sz="0" w:space="0" w:color="auto"/>
        <w:left w:val="none" w:sz="0" w:space="0" w:color="auto"/>
        <w:bottom w:val="none" w:sz="0" w:space="0" w:color="auto"/>
        <w:right w:val="none" w:sz="0" w:space="0" w:color="auto"/>
      </w:divBdr>
    </w:div>
    <w:div w:id="619724424">
      <w:bodyDiv w:val="1"/>
      <w:marLeft w:val="0"/>
      <w:marRight w:val="0"/>
      <w:marTop w:val="0"/>
      <w:marBottom w:val="0"/>
      <w:divBdr>
        <w:top w:val="none" w:sz="0" w:space="0" w:color="auto"/>
        <w:left w:val="none" w:sz="0" w:space="0" w:color="auto"/>
        <w:bottom w:val="none" w:sz="0" w:space="0" w:color="auto"/>
        <w:right w:val="none" w:sz="0" w:space="0" w:color="auto"/>
      </w:divBdr>
      <w:divsChild>
        <w:div w:id="542251498">
          <w:marLeft w:val="0"/>
          <w:marRight w:val="0"/>
          <w:marTop w:val="0"/>
          <w:marBottom w:val="0"/>
          <w:divBdr>
            <w:top w:val="none" w:sz="0" w:space="0" w:color="auto"/>
            <w:left w:val="none" w:sz="0" w:space="0" w:color="auto"/>
            <w:bottom w:val="none" w:sz="0" w:space="0" w:color="auto"/>
            <w:right w:val="none" w:sz="0" w:space="0" w:color="auto"/>
          </w:divBdr>
          <w:divsChild>
            <w:div w:id="1541699576">
              <w:marLeft w:val="0"/>
              <w:marRight w:val="0"/>
              <w:marTop w:val="0"/>
              <w:marBottom w:val="0"/>
              <w:divBdr>
                <w:top w:val="none" w:sz="0" w:space="0" w:color="auto"/>
                <w:left w:val="none" w:sz="0" w:space="0" w:color="auto"/>
                <w:bottom w:val="none" w:sz="0" w:space="0" w:color="auto"/>
                <w:right w:val="none" w:sz="0" w:space="0" w:color="auto"/>
              </w:divBdr>
              <w:divsChild>
                <w:div w:id="11837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233192">
      <w:bodyDiv w:val="1"/>
      <w:marLeft w:val="0"/>
      <w:marRight w:val="0"/>
      <w:marTop w:val="0"/>
      <w:marBottom w:val="0"/>
      <w:divBdr>
        <w:top w:val="none" w:sz="0" w:space="0" w:color="auto"/>
        <w:left w:val="none" w:sz="0" w:space="0" w:color="auto"/>
        <w:bottom w:val="none" w:sz="0" w:space="0" w:color="auto"/>
        <w:right w:val="none" w:sz="0" w:space="0" w:color="auto"/>
      </w:divBdr>
      <w:divsChild>
        <w:div w:id="452216367">
          <w:marLeft w:val="0"/>
          <w:marRight w:val="0"/>
          <w:marTop w:val="0"/>
          <w:marBottom w:val="0"/>
          <w:divBdr>
            <w:top w:val="none" w:sz="0" w:space="0" w:color="auto"/>
            <w:left w:val="none" w:sz="0" w:space="0" w:color="auto"/>
            <w:bottom w:val="none" w:sz="0" w:space="0" w:color="auto"/>
            <w:right w:val="none" w:sz="0" w:space="0" w:color="auto"/>
          </w:divBdr>
          <w:divsChild>
            <w:div w:id="156730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79292">
      <w:bodyDiv w:val="1"/>
      <w:marLeft w:val="0"/>
      <w:marRight w:val="0"/>
      <w:marTop w:val="0"/>
      <w:marBottom w:val="0"/>
      <w:divBdr>
        <w:top w:val="none" w:sz="0" w:space="0" w:color="auto"/>
        <w:left w:val="none" w:sz="0" w:space="0" w:color="auto"/>
        <w:bottom w:val="none" w:sz="0" w:space="0" w:color="auto"/>
        <w:right w:val="none" w:sz="0" w:space="0" w:color="auto"/>
      </w:divBdr>
    </w:div>
    <w:div w:id="624232648">
      <w:bodyDiv w:val="1"/>
      <w:marLeft w:val="0"/>
      <w:marRight w:val="0"/>
      <w:marTop w:val="0"/>
      <w:marBottom w:val="0"/>
      <w:divBdr>
        <w:top w:val="none" w:sz="0" w:space="0" w:color="auto"/>
        <w:left w:val="none" w:sz="0" w:space="0" w:color="auto"/>
        <w:bottom w:val="none" w:sz="0" w:space="0" w:color="auto"/>
        <w:right w:val="none" w:sz="0" w:space="0" w:color="auto"/>
      </w:divBdr>
    </w:div>
    <w:div w:id="626934656">
      <w:bodyDiv w:val="1"/>
      <w:marLeft w:val="0"/>
      <w:marRight w:val="0"/>
      <w:marTop w:val="0"/>
      <w:marBottom w:val="0"/>
      <w:divBdr>
        <w:top w:val="none" w:sz="0" w:space="0" w:color="auto"/>
        <w:left w:val="none" w:sz="0" w:space="0" w:color="auto"/>
        <w:bottom w:val="none" w:sz="0" w:space="0" w:color="auto"/>
        <w:right w:val="none" w:sz="0" w:space="0" w:color="auto"/>
      </w:divBdr>
      <w:divsChild>
        <w:div w:id="972369374">
          <w:marLeft w:val="0"/>
          <w:marRight w:val="0"/>
          <w:marTop w:val="0"/>
          <w:marBottom w:val="0"/>
          <w:divBdr>
            <w:top w:val="none" w:sz="0" w:space="0" w:color="auto"/>
            <w:left w:val="none" w:sz="0" w:space="0" w:color="auto"/>
            <w:bottom w:val="none" w:sz="0" w:space="0" w:color="auto"/>
            <w:right w:val="none" w:sz="0" w:space="0" w:color="auto"/>
          </w:divBdr>
          <w:divsChild>
            <w:div w:id="42835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98918">
      <w:bodyDiv w:val="1"/>
      <w:marLeft w:val="0"/>
      <w:marRight w:val="0"/>
      <w:marTop w:val="0"/>
      <w:marBottom w:val="0"/>
      <w:divBdr>
        <w:top w:val="none" w:sz="0" w:space="0" w:color="auto"/>
        <w:left w:val="none" w:sz="0" w:space="0" w:color="auto"/>
        <w:bottom w:val="none" w:sz="0" w:space="0" w:color="auto"/>
        <w:right w:val="none" w:sz="0" w:space="0" w:color="auto"/>
      </w:divBdr>
      <w:divsChild>
        <w:div w:id="65497520">
          <w:marLeft w:val="0"/>
          <w:marRight w:val="0"/>
          <w:marTop w:val="0"/>
          <w:marBottom w:val="0"/>
          <w:divBdr>
            <w:top w:val="none" w:sz="0" w:space="0" w:color="auto"/>
            <w:left w:val="none" w:sz="0" w:space="0" w:color="auto"/>
            <w:bottom w:val="none" w:sz="0" w:space="0" w:color="auto"/>
            <w:right w:val="none" w:sz="0" w:space="0" w:color="auto"/>
          </w:divBdr>
        </w:div>
      </w:divsChild>
    </w:div>
    <w:div w:id="630789270">
      <w:bodyDiv w:val="1"/>
      <w:marLeft w:val="0"/>
      <w:marRight w:val="0"/>
      <w:marTop w:val="0"/>
      <w:marBottom w:val="0"/>
      <w:divBdr>
        <w:top w:val="none" w:sz="0" w:space="0" w:color="auto"/>
        <w:left w:val="none" w:sz="0" w:space="0" w:color="auto"/>
        <w:bottom w:val="none" w:sz="0" w:space="0" w:color="auto"/>
        <w:right w:val="none" w:sz="0" w:space="0" w:color="auto"/>
      </w:divBdr>
      <w:divsChild>
        <w:div w:id="671299192">
          <w:marLeft w:val="0"/>
          <w:marRight w:val="0"/>
          <w:marTop w:val="0"/>
          <w:marBottom w:val="0"/>
          <w:divBdr>
            <w:top w:val="none" w:sz="0" w:space="0" w:color="auto"/>
            <w:left w:val="none" w:sz="0" w:space="0" w:color="auto"/>
            <w:bottom w:val="none" w:sz="0" w:space="0" w:color="auto"/>
            <w:right w:val="none" w:sz="0" w:space="0" w:color="auto"/>
          </w:divBdr>
          <w:divsChild>
            <w:div w:id="251738557">
              <w:marLeft w:val="0"/>
              <w:marRight w:val="0"/>
              <w:marTop w:val="0"/>
              <w:marBottom w:val="0"/>
              <w:divBdr>
                <w:top w:val="none" w:sz="0" w:space="0" w:color="auto"/>
                <w:left w:val="none" w:sz="0" w:space="0" w:color="auto"/>
                <w:bottom w:val="none" w:sz="0" w:space="0" w:color="auto"/>
                <w:right w:val="none" w:sz="0" w:space="0" w:color="auto"/>
              </w:divBdr>
              <w:divsChild>
                <w:div w:id="123142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451191">
      <w:bodyDiv w:val="1"/>
      <w:marLeft w:val="0"/>
      <w:marRight w:val="0"/>
      <w:marTop w:val="0"/>
      <w:marBottom w:val="0"/>
      <w:divBdr>
        <w:top w:val="none" w:sz="0" w:space="0" w:color="auto"/>
        <w:left w:val="none" w:sz="0" w:space="0" w:color="auto"/>
        <w:bottom w:val="none" w:sz="0" w:space="0" w:color="auto"/>
        <w:right w:val="none" w:sz="0" w:space="0" w:color="auto"/>
      </w:divBdr>
      <w:divsChild>
        <w:div w:id="1622106420">
          <w:marLeft w:val="0"/>
          <w:marRight w:val="0"/>
          <w:marTop w:val="0"/>
          <w:marBottom w:val="0"/>
          <w:divBdr>
            <w:top w:val="none" w:sz="0" w:space="0" w:color="auto"/>
            <w:left w:val="none" w:sz="0" w:space="0" w:color="auto"/>
            <w:bottom w:val="none" w:sz="0" w:space="0" w:color="auto"/>
            <w:right w:val="none" w:sz="0" w:space="0" w:color="auto"/>
          </w:divBdr>
          <w:divsChild>
            <w:div w:id="1218592348">
              <w:marLeft w:val="0"/>
              <w:marRight w:val="0"/>
              <w:marTop w:val="0"/>
              <w:marBottom w:val="0"/>
              <w:divBdr>
                <w:top w:val="none" w:sz="0" w:space="0" w:color="auto"/>
                <w:left w:val="none" w:sz="0" w:space="0" w:color="auto"/>
                <w:bottom w:val="none" w:sz="0" w:space="0" w:color="auto"/>
                <w:right w:val="none" w:sz="0" w:space="0" w:color="auto"/>
              </w:divBdr>
              <w:divsChild>
                <w:div w:id="128427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381500">
      <w:bodyDiv w:val="1"/>
      <w:marLeft w:val="0"/>
      <w:marRight w:val="0"/>
      <w:marTop w:val="0"/>
      <w:marBottom w:val="0"/>
      <w:divBdr>
        <w:top w:val="none" w:sz="0" w:space="0" w:color="auto"/>
        <w:left w:val="none" w:sz="0" w:space="0" w:color="auto"/>
        <w:bottom w:val="none" w:sz="0" w:space="0" w:color="auto"/>
        <w:right w:val="none" w:sz="0" w:space="0" w:color="auto"/>
      </w:divBdr>
      <w:divsChild>
        <w:div w:id="491915285">
          <w:marLeft w:val="0"/>
          <w:marRight w:val="0"/>
          <w:marTop w:val="0"/>
          <w:marBottom w:val="0"/>
          <w:divBdr>
            <w:top w:val="none" w:sz="0" w:space="0" w:color="auto"/>
            <w:left w:val="none" w:sz="0" w:space="0" w:color="auto"/>
            <w:bottom w:val="none" w:sz="0" w:space="0" w:color="auto"/>
            <w:right w:val="none" w:sz="0" w:space="0" w:color="auto"/>
          </w:divBdr>
          <w:divsChild>
            <w:div w:id="2097634281">
              <w:marLeft w:val="0"/>
              <w:marRight w:val="0"/>
              <w:marTop w:val="0"/>
              <w:marBottom w:val="0"/>
              <w:divBdr>
                <w:top w:val="none" w:sz="0" w:space="0" w:color="auto"/>
                <w:left w:val="none" w:sz="0" w:space="0" w:color="auto"/>
                <w:bottom w:val="none" w:sz="0" w:space="0" w:color="auto"/>
                <w:right w:val="none" w:sz="0" w:space="0" w:color="auto"/>
              </w:divBdr>
              <w:divsChild>
                <w:div w:id="123994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078047">
      <w:bodyDiv w:val="1"/>
      <w:marLeft w:val="0"/>
      <w:marRight w:val="0"/>
      <w:marTop w:val="0"/>
      <w:marBottom w:val="0"/>
      <w:divBdr>
        <w:top w:val="none" w:sz="0" w:space="0" w:color="auto"/>
        <w:left w:val="none" w:sz="0" w:space="0" w:color="auto"/>
        <w:bottom w:val="none" w:sz="0" w:space="0" w:color="auto"/>
        <w:right w:val="none" w:sz="0" w:space="0" w:color="auto"/>
      </w:divBdr>
      <w:divsChild>
        <w:div w:id="1472475494">
          <w:marLeft w:val="0"/>
          <w:marRight w:val="0"/>
          <w:marTop w:val="0"/>
          <w:marBottom w:val="0"/>
          <w:divBdr>
            <w:top w:val="none" w:sz="0" w:space="0" w:color="auto"/>
            <w:left w:val="none" w:sz="0" w:space="0" w:color="auto"/>
            <w:bottom w:val="none" w:sz="0" w:space="0" w:color="auto"/>
            <w:right w:val="none" w:sz="0" w:space="0" w:color="auto"/>
          </w:divBdr>
          <w:divsChild>
            <w:div w:id="40530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87266">
      <w:bodyDiv w:val="1"/>
      <w:marLeft w:val="0"/>
      <w:marRight w:val="0"/>
      <w:marTop w:val="0"/>
      <w:marBottom w:val="0"/>
      <w:divBdr>
        <w:top w:val="none" w:sz="0" w:space="0" w:color="auto"/>
        <w:left w:val="none" w:sz="0" w:space="0" w:color="auto"/>
        <w:bottom w:val="none" w:sz="0" w:space="0" w:color="auto"/>
        <w:right w:val="none" w:sz="0" w:space="0" w:color="auto"/>
      </w:divBdr>
      <w:divsChild>
        <w:div w:id="1179463397">
          <w:marLeft w:val="0"/>
          <w:marRight w:val="0"/>
          <w:marTop w:val="0"/>
          <w:marBottom w:val="0"/>
          <w:divBdr>
            <w:top w:val="none" w:sz="0" w:space="0" w:color="auto"/>
            <w:left w:val="none" w:sz="0" w:space="0" w:color="auto"/>
            <w:bottom w:val="none" w:sz="0" w:space="0" w:color="auto"/>
            <w:right w:val="none" w:sz="0" w:space="0" w:color="auto"/>
          </w:divBdr>
        </w:div>
      </w:divsChild>
    </w:div>
    <w:div w:id="650788189">
      <w:bodyDiv w:val="1"/>
      <w:marLeft w:val="0"/>
      <w:marRight w:val="0"/>
      <w:marTop w:val="0"/>
      <w:marBottom w:val="0"/>
      <w:divBdr>
        <w:top w:val="none" w:sz="0" w:space="0" w:color="auto"/>
        <w:left w:val="none" w:sz="0" w:space="0" w:color="auto"/>
        <w:bottom w:val="none" w:sz="0" w:space="0" w:color="auto"/>
        <w:right w:val="none" w:sz="0" w:space="0" w:color="auto"/>
      </w:divBdr>
    </w:div>
    <w:div w:id="657534765">
      <w:bodyDiv w:val="1"/>
      <w:marLeft w:val="0"/>
      <w:marRight w:val="0"/>
      <w:marTop w:val="0"/>
      <w:marBottom w:val="0"/>
      <w:divBdr>
        <w:top w:val="none" w:sz="0" w:space="0" w:color="auto"/>
        <w:left w:val="none" w:sz="0" w:space="0" w:color="auto"/>
        <w:bottom w:val="none" w:sz="0" w:space="0" w:color="auto"/>
        <w:right w:val="none" w:sz="0" w:space="0" w:color="auto"/>
      </w:divBdr>
      <w:divsChild>
        <w:div w:id="1717504866">
          <w:marLeft w:val="0"/>
          <w:marRight w:val="0"/>
          <w:marTop w:val="0"/>
          <w:marBottom w:val="0"/>
          <w:divBdr>
            <w:top w:val="none" w:sz="0" w:space="0" w:color="auto"/>
            <w:left w:val="none" w:sz="0" w:space="0" w:color="auto"/>
            <w:bottom w:val="none" w:sz="0" w:space="0" w:color="auto"/>
            <w:right w:val="none" w:sz="0" w:space="0" w:color="auto"/>
          </w:divBdr>
        </w:div>
      </w:divsChild>
    </w:div>
    <w:div w:id="663162099">
      <w:bodyDiv w:val="1"/>
      <w:marLeft w:val="0"/>
      <w:marRight w:val="0"/>
      <w:marTop w:val="0"/>
      <w:marBottom w:val="0"/>
      <w:divBdr>
        <w:top w:val="none" w:sz="0" w:space="0" w:color="auto"/>
        <w:left w:val="none" w:sz="0" w:space="0" w:color="auto"/>
        <w:bottom w:val="none" w:sz="0" w:space="0" w:color="auto"/>
        <w:right w:val="none" w:sz="0" w:space="0" w:color="auto"/>
      </w:divBdr>
    </w:div>
    <w:div w:id="668413907">
      <w:bodyDiv w:val="1"/>
      <w:marLeft w:val="0"/>
      <w:marRight w:val="0"/>
      <w:marTop w:val="0"/>
      <w:marBottom w:val="0"/>
      <w:divBdr>
        <w:top w:val="none" w:sz="0" w:space="0" w:color="auto"/>
        <w:left w:val="none" w:sz="0" w:space="0" w:color="auto"/>
        <w:bottom w:val="none" w:sz="0" w:space="0" w:color="auto"/>
        <w:right w:val="none" w:sz="0" w:space="0" w:color="auto"/>
      </w:divBdr>
    </w:div>
    <w:div w:id="670572462">
      <w:bodyDiv w:val="1"/>
      <w:marLeft w:val="0"/>
      <w:marRight w:val="0"/>
      <w:marTop w:val="0"/>
      <w:marBottom w:val="0"/>
      <w:divBdr>
        <w:top w:val="none" w:sz="0" w:space="0" w:color="auto"/>
        <w:left w:val="none" w:sz="0" w:space="0" w:color="auto"/>
        <w:bottom w:val="none" w:sz="0" w:space="0" w:color="auto"/>
        <w:right w:val="none" w:sz="0" w:space="0" w:color="auto"/>
      </w:divBdr>
    </w:div>
    <w:div w:id="674770394">
      <w:bodyDiv w:val="1"/>
      <w:marLeft w:val="0"/>
      <w:marRight w:val="0"/>
      <w:marTop w:val="0"/>
      <w:marBottom w:val="0"/>
      <w:divBdr>
        <w:top w:val="none" w:sz="0" w:space="0" w:color="auto"/>
        <w:left w:val="none" w:sz="0" w:space="0" w:color="auto"/>
        <w:bottom w:val="none" w:sz="0" w:space="0" w:color="auto"/>
        <w:right w:val="none" w:sz="0" w:space="0" w:color="auto"/>
      </w:divBdr>
      <w:divsChild>
        <w:div w:id="1943417223">
          <w:marLeft w:val="0"/>
          <w:marRight w:val="0"/>
          <w:marTop w:val="0"/>
          <w:marBottom w:val="0"/>
          <w:divBdr>
            <w:top w:val="none" w:sz="0" w:space="0" w:color="auto"/>
            <w:left w:val="none" w:sz="0" w:space="0" w:color="auto"/>
            <w:bottom w:val="none" w:sz="0" w:space="0" w:color="auto"/>
            <w:right w:val="none" w:sz="0" w:space="0" w:color="auto"/>
          </w:divBdr>
          <w:divsChild>
            <w:div w:id="15604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958914">
      <w:bodyDiv w:val="1"/>
      <w:marLeft w:val="0"/>
      <w:marRight w:val="0"/>
      <w:marTop w:val="0"/>
      <w:marBottom w:val="0"/>
      <w:divBdr>
        <w:top w:val="none" w:sz="0" w:space="0" w:color="auto"/>
        <w:left w:val="none" w:sz="0" w:space="0" w:color="auto"/>
        <w:bottom w:val="none" w:sz="0" w:space="0" w:color="auto"/>
        <w:right w:val="none" w:sz="0" w:space="0" w:color="auto"/>
      </w:divBdr>
    </w:div>
    <w:div w:id="679889060">
      <w:bodyDiv w:val="1"/>
      <w:marLeft w:val="0"/>
      <w:marRight w:val="0"/>
      <w:marTop w:val="0"/>
      <w:marBottom w:val="0"/>
      <w:divBdr>
        <w:top w:val="none" w:sz="0" w:space="0" w:color="auto"/>
        <w:left w:val="none" w:sz="0" w:space="0" w:color="auto"/>
        <w:bottom w:val="none" w:sz="0" w:space="0" w:color="auto"/>
        <w:right w:val="none" w:sz="0" w:space="0" w:color="auto"/>
      </w:divBdr>
    </w:div>
    <w:div w:id="681979830">
      <w:bodyDiv w:val="1"/>
      <w:marLeft w:val="0"/>
      <w:marRight w:val="0"/>
      <w:marTop w:val="0"/>
      <w:marBottom w:val="0"/>
      <w:divBdr>
        <w:top w:val="none" w:sz="0" w:space="0" w:color="auto"/>
        <w:left w:val="none" w:sz="0" w:space="0" w:color="auto"/>
        <w:bottom w:val="none" w:sz="0" w:space="0" w:color="auto"/>
        <w:right w:val="none" w:sz="0" w:space="0" w:color="auto"/>
      </w:divBdr>
      <w:divsChild>
        <w:div w:id="1191069308">
          <w:marLeft w:val="0"/>
          <w:marRight w:val="0"/>
          <w:marTop w:val="0"/>
          <w:marBottom w:val="0"/>
          <w:divBdr>
            <w:top w:val="none" w:sz="0" w:space="0" w:color="auto"/>
            <w:left w:val="none" w:sz="0" w:space="0" w:color="auto"/>
            <w:bottom w:val="none" w:sz="0" w:space="0" w:color="auto"/>
            <w:right w:val="none" w:sz="0" w:space="0" w:color="auto"/>
          </w:divBdr>
          <w:divsChild>
            <w:div w:id="25082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93616">
      <w:bodyDiv w:val="1"/>
      <w:marLeft w:val="0"/>
      <w:marRight w:val="0"/>
      <w:marTop w:val="0"/>
      <w:marBottom w:val="0"/>
      <w:divBdr>
        <w:top w:val="none" w:sz="0" w:space="0" w:color="auto"/>
        <w:left w:val="none" w:sz="0" w:space="0" w:color="auto"/>
        <w:bottom w:val="none" w:sz="0" w:space="0" w:color="auto"/>
        <w:right w:val="none" w:sz="0" w:space="0" w:color="auto"/>
      </w:divBdr>
      <w:divsChild>
        <w:div w:id="1974822196">
          <w:marLeft w:val="0"/>
          <w:marRight w:val="0"/>
          <w:marTop w:val="0"/>
          <w:marBottom w:val="0"/>
          <w:divBdr>
            <w:top w:val="none" w:sz="0" w:space="0" w:color="auto"/>
            <w:left w:val="none" w:sz="0" w:space="0" w:color="auto"/>
            <w:bottom w:val="none" w:sz="0" w:space="0" w:color="auto"/>
            <w:right w:val="none" w:sz="0" w:space="0" w:color="auto"/>
          </w:divBdr>
          <w:divsChild>
            <w:div w:id="136736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442948">
      <w:bodyDiv w:val="1"/>
      <w:marLeft w:val="0"/>
      <w:marRight w:val="0"/>
      <w:marTop w:val="0"/>
      <w:marBottom w:val="0"/>
      <w:divBdr>
        <w:top w:val="none" w:sz="0" w:space="0" w:color="auto"/>
        <w:left w:val="none" w:sz="0" w:space="0" w:color="auto"/>
        <w:bottom w:val="none" w:sz="0" w:space="0" w:color="auto"/>
        <w:right w:val="none" w:sz="0" w:space="0" w:color="auto"/>
      </w:divBdr>
    </w:div>
    <w:div w:id="688065305">
      <w:bodyDiv w:val="1"/>
      <w:marLeft w:val="0"/>
      <w:marRight w:val="0"/>
      <w:marTop w:val="0"/>
      <w:marBottom w:val="0"/>
      <w:divBdr>
        <w:top w:val="none" w:sz="0" w:space="0" w:color="auto"/>
        <w:left w:val="none" w:sz="0" w:space="0" w:color="auto"/>
        <w:bottom w:val="none" w:sz="0" w:space="0" w:color="auto"/>
        <w:right w:val="none" w:sz="0" w:space="0" w:color="auto"/>
      </w:divBdr>
      <w:divsChild>
        <w:div w:id="370427123">
          <w:marLeft w:val="0"/>
          <w:marRight w:val="0"/>
          <w:marTop w:val="0"/>
          <w:marBottom w:val="0"/>
          <w:divBdr>
            <w:top w:val="none" w:sz="0" w:space="0" w:color="auto"/>
            <w:left w:val="none" w:sz="0" w:space="0" w:color="auto"/>
            <w:bottom w:val="none" w:sz="0" w:space="0" w:color="auto"/>
            <w:right w:val="none" w:sz="0" w:space="0" w:color="auto"/>
          </w:divBdr>
          <w:divsChild>
            <w:div w:id="24900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37363">
      <w:bodyDiv w:val="1"/>
      <w:marLeft w:val="0"/>
      <w:marRight w:val="0"/>
      <w:marTop w:val="0"/>
      <w:marBottom w:val="0"/>
      <w:divBdr>
        <w:top w:val="none" w:sz="0" w:space="0" w:color="auto"/>
        <w:left w:val="none" w:sz="0" w:space="0" w:color="auto"/>
        <w:bottom w:val="none" w:sz="0" w:space="0" w:color="auto"/>
        <w:right w:val="none" w:sz="0" w:space="0" w:color="auto"/>
      </w:divBdr>
      <w:divsChild>
        <w:div w:id="452947219">
          <w:marLeft w:val="0"/>
          <w:marRight w:val="0"/>
          <w:marTop w:val="0"/>
          <w:marBottom w:val="0"/>
          <w:divBdr>
            <w:top w:val="none" w:sz="0" w:space="0" w:color="auto"/>
            <w:left w:val="none" w:sz="0" w:space="0" w:color="auto"/>
            <w:bottom w:val="none" w:sz="0" w:space="0" w:color="auto"/>
            <w:right w:val="none" w:sz="0" w:space="0" w:color="auto"/>
          </w:divBdr>
          <w:divsChild>
            <w:div w:id="191400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860106">
      <w:bodyDiv w:val="1"/>
      <w:marLeft w:val="0"/>
      <w:marRight w:val="0"/>
      <w:marTop w:val="0"/>
      <w:marBottom w:val="0"/>
      <w:divBdr>
        <w:top w:val="none" w:sz="0" w:space="0" w:color="auto"/>
        <w:left w:val="none" w:sz="0" w:space="0" w:color="auto"/>
        <w:bottom w:val="none" w:sz="0" w:space="0" w:color="auto"/>
        <w:right w:val="none" w:sz="0" w:space="0" w:color="auto"/>
      </w:divBdr>
    </w:div>
    <w:div w:id="704795912">
      <w:bodyDiv w:val="1"/>
      <w:marLeft w:val="0"/>
      <w:marRight w:val="0"/>
      <w:marTop w:val="0"/>
      <w:marBottom w:val="0"/>
      <w:divBdr>
        <w:top w:val="none" w:sz="0" w:space="0" w:color="auto"/>
        <w:left w:val="none" w:sz="0" w:space="0" w:color="auto"/>
        <w:bottom w:val="none" w:sz="0" w:space="0" w:color="auto"/>
        <w:right w:val="none" w:sz="0" w:space="0" w:color="auto"/>
      </w:divBdr>
    </w:div>
    <w:div w:id="709956073">
      <w:bodyDiv w:val="1"/>
      <w:marLeft w:val="0"/>
      <w:marRight w:val="0"/>
      <w:marTop w:val="0"/>
      <w:marBottom w:val="0"/>
      <w:divBdr>
        <w:top w:val="none" w:sz="0" w:space="0" w:color="auto"/>
        <w:left w:val="none" w:sz="0" w:space="0" w:color="auto"/>
        <w:bottom w:val="none" w:sz="0" w:space="0" w:color="auto"/>
        <w:right w:val="none" w:sz="0" w:space="0" w:color="auto"/>
      </w:divBdr>
      <w:divsChild>
        <w:div w:id="731347260">
          <w:marLeft w:val="0"/>
          <w:marRight w:val="0"/>
          <w:marTop w:val="0"/>
          <w:marBottom w:val="0"/>
          <w:divBdr>
            <w:top w:val="none" w:sz="0" w:space="0" w:color="auto"/>
            <w:left w:val="none" w:sz="0" w:space="0" w:color="auto"/>
            <w:bottom w:val="none" w:sz="0" w:space="0" w:color="auto"/>
            <w:right w:val="none" w:sz="0" w:space="0" w:color="auto"/>
          </w:divBdr>
        </w:div>
      </w:divsChild>
    </w:div>
    <w:div w:id="712968550">
      <w:bodyDiv w:val="1"/>
      <w:marLeft w:val="0"/>
      <w:marRight w:val="0"/>
      <w:marTop w:val="0"/>
      <w:marBottom w:val="0"/>
      <w:divBdr>
        <w:top w:val="none" w:sz="0" w:space="0" w:color="auto"/>
        <w:left w:val="none" w:sz="0" w:space="0" w:color="auto"/>
        <w:bottom w:val="none" w:sz="0" w:space="0" w:color="auto"/>
        <w:right w:val="none" w:sz="0" w:space="0" w:color="auto"/>
      </w:divBdr>
      <w:divsChild>
        <w:div w:id="1691755937">
          <w:marLeft w:val="0"/>
          <w:marRight w:val="0"/>
          <w:marTop w:val="0"/>
          <w:marBottom w:val="0"/>
          <w:divBdr>
            <w:top w:val="none" w:sz="0" w:space="0" w:color="auto"/>
            <w:left w:val="none" w:sz="0" w:space="0" w:color="auto"/>
            <w:bottom w:val="none" w:sz="0" w:space="0" w:color="auto"/>
            <w:right w:val="none" w:sz="0" w:space="0" w:color="auto"/>
          </w:divBdr>
        </w:div>
      </w:divsChild>
    </w:div>
    <w:div w:id="714231782">
      <w:bodyDiv w:val="1"/>
      <w:marLeft w:val="0"/>
      <w:marRight w:val="0"/>
      <w:marTop w:val="0"/>
      <w:marBottom w:val="0"/>
      <w:divBdr>
        <w:top w:val="none" w:sz="0" w:space="0" w:color="auto"/>
        <w:left w:val="none" w:sz="0" w:space="0" w:color="auto"/>
        <w:bottom w:val="none" w:sz="0" w:space="0" w:color="auto"/>
        <w:right w:val="none" w:sz="0" w:space="0" w:color="auto"/>
      </w:divBdr>
    </w:div>
    <w:div w:id="714234552">
      <w:bodyDiv w:val="1"/>
      <w:marLeft w:val="0"/>
      <w:marRight w:val="0"/>
      <w:marTop w:val="0"/>
      <w:marBottom w:val="0"/>
      <w:divBdr>
        <w:top w:val="none" w:sz="0" w:space="0" w:color="auto"/>
        <w:left w:val="none" w:sz="0" w:space="0" w:color="auto"/>
        <w:bottom w:val="none" w:sz="0" w:space="0" w:color="auto"/>
        <w:right w:val="none" w:sz="0" w:space="0" w:color="auto"/>
      </w:divBdr>
    </w:div>
    <w:div w:id="720133683">
      <w:bodyDiv w:val="1"/>
      <w:marLeft w:val="0"/>
      <w:marRight w:val="0"/>
      <w:marTop w:val="0"/>
      <w:marBottom w:val="0"/>
      <w:divBdr>
        <w:top w:val="none" w:sz="0" w:space="0" w:color="auto"/>
        <w:left w:val="none" w:sz="0" w:space="0" w:color="auto"/>
        <w:bottom w:val="none" w:sz="0" w:space="0" w:color="auto"/>
        <w:right w:val="none" w:sz="0" w:space="0" w:color="auto"/>
      </w:divBdr>
    </w:div>
    <w:div w:id="724453864">
      <w:bodyDiv w:val="1"/>
      <w:marLeft w:val="0"/>
      <w:marRight w:val="0"/>
      <w:marTop w:val="0"/>
      <w:marBottom w:val="0"/>
      <w:divBdr>
        <w:top w:val="none" w:sz="0" w:space="0" w:color="auto"/>
        <w:left w:val="none" w:sz="0" w:space="0" w:color="auto"/>
        <w:bottom w:val="none" w:sz="0" w:space="0" w:color="auto"/>
        <w:right w:val="none" w:sz="0" w:space="0" w:color="auto"/>
      </w:divBdr>
      <w:divsChild>
        <w:div w:id="1455753308">
          <w:marLeft w:val="0"/>
          <w:marRight w:val="0"/>
          <w:marTop w:val="0"/>
          <w:marBottom w:val="0"/>
          <w:divBdr>
            <w:top w:val="none" w:sz="0" w:space="0" w:color="auto"/>
            <w:left w:val="none" w:sz="0" w:space="0" w:color="auto"/>
            <w:bottom w:val="none" w:sz="0" w:space="0" w:color="auto"/>
            <w:right w:val="none" w:sz="0" w:space="0" w:color="auto"/>
          </w:divBdr>
          <w:divsChild>
            <w:div w:id="99106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06412">
      <w:bodyDiv w:val="1"/>
      <w:marLeft w:val="0"/>
      <w:marRight w:val="0"/>
      <w:marTop w:val="0"/>
      <w:marBottom w:val="0"/>
      <w:divBdr>
        <w:top w:val="none" w:sz="0" w:space="0" w:color="auto"/>
        <w:left w:val="none" w:sz="0" w:space="0" w:color="auto"/>
        <w:bottom w:val="none" w:sz="0" w:space="0" w:color="auto"/>
        <w:right w:val="none" w:sz="0" w:space="0" w:color="auto"/>
      </w:divBdr>
      <w:divsChild>
        <w:div w:id="1787232510">
          <w:marLeft w:val="0"/>
          <w:marRight w:val="0"/>
          <w:marTop w:val="0"/>
          <w:marBottom w:val="0"/>
          <w:divBdr>
            <w:top w:val="none" w:sz="0" w:space="0" w:color="auto"/>
            <w:left w:val="none" w:sz="0" w:space="0" w:color="auto"/>
            <w:bottom w:val="none" w:sz="0" w:space="0" w:color="auto"/>
            <w:right w:val="none" w:sz="0" w:space="0" w:color="auto"/>
          </w:divBdr>
          <w:divsChild>
            <w:div w:id="68721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95386">
      <w:bodyDiv w:val="1"/>
      <w:marLeft w:val="0"/>
      <w:marRight w:val="0"/>
      <w:marTop w:val="0"/>
      <w:marBottom w:val="0"/>
      <w:divBdr>
        <w:top w:val="none" w:sz="0" w:space="0" w:color="auto"/>
        <w:left w:val="none" w:sz="0" w:space="0" w:color="auto"/>
        <w:bottom w:val="none" w:sz="0" w:space="0" w:color="auto"/>
        <w:right w:val="none" w:sz="0" w:space="0" w:color="auto"/>
      </w:divBdr>
    </w:div>
    <w:div w:id="735933983">
      <w:bodyDiv w:val="1"/>
      <w:marLeft w:val="0"/>
      <w:marRight w:val="0"/>
      <w:marTop w:val="0"/>
      <w:marBottom w:val="0"/>
      <w:divBdr>
        <w:top w:val="none" w:sz="0" w:space="0" w:color="auto"/>
        <w:left w:val="none" w:sz="0" w:space="0" w:color="auto"/>
        <w:bottom w:val="none" w:sz="0" w:space="0" w:color="auto"/>
        <w:right w:val="none" w:sz="0" w:space="0" w:color="auto"/>
      </w:divBdr>
    </w:div>
    <w:div w:id="736168169">
      <w:bodyDiv w:val="1"/>
      <w:marLeft w:val="0"/>
      <w:marRight w:val="0"/>
      <w:marTop w:val="0"/>
      <w:marBottom w:val="0"/>
      <w:divBdr>
        <w:top w:val="none" w:sz="0" w:space="0" w:color="auto"/>
        <w:left w:val="none" w:sz="0" w:space="0" w:color="auto"/>
        <w:bottom w:val="none" w:sz="0" w:space="0" w:color="auto"/>
        <w:right w:val="none" w:sz="0" w:space="0" w:color="auto"/>
      </w:divBdr>
    </w:div>
    <w:div w:id="747193685">
      <w:bodyDiv w:val="1"/>
      <w:marLeft w:val="0"/>
      <w:marRight w:val="0"/>
      <w:marTop w:val="0"/>
      <w:marBottom w:val="0"/>
      <w:divBdr>
        <w:top w:val="none" w:sz="0" w:space="0" w:color="auto"/>
        <w:left w:val="none" w:sz="0" w:space="0" w:color="auto"/>
        <w:bottom w:val="none" w:sz="0" w:space="0" w:color="auto"/>
        <w:right w:val="none" w:sz="0" w:space="0" w:color="auto"/>
      </w:divBdr>
      <w:divsChild>
        <w:div w:id="617957956">
          <w:marLeft w:val="0"/>
          <w:marRight w:val="0"/>
          <w:marTop w:val="0"/>
          <w:marBottom w:val="0"/>
          <w:divBdr>
            <w:top w:val="none" w:sz="0" w:space="0" w:color="auto"/>
            <w:left w:val="none" w:sz="0" w:space="0" w:color="auto"/>
            <w:bottom w:val="none" w:sz="0" w:space="0" w:color="auto"/>
            <w:right w:val="none" w:sz="0" w:space="0" w:color="auto"/>
          </w:divBdr>
          <w:divsChild>
            <w:div w:id="85819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47770">
      <w:bodyDiv w:val="1"/>
      <w:marLeft w:val="0"/>
      <w:marRight w:val="0"/>
      <w:marTop w:val="0"/>
      <w:marBottom w:val="0"/>
      <w:divBdr>
        <w:top w:val="none" w:sz="0" w:space="0" w:color="auto"/>
        <w:left w:val="none" w:sz="0" w:space="0" w:color="auto"/>
        <w:bottom w:val="none" w:sz="0" w:space="0" w:color="auto"/>
        <w:right w:val="none" w:sz="0" w:space="0" w:color="auto"/>
      </w:divBdr>
    </w:div>
    <w:div w:id="751588382">
      <w:bodyDiv w:val="1"/>
      <w:marLeft w:val="0"/>
      <w:marRight w:val="0"/>
      <w:marTop w:val="0"/>
      <w:marBottom w:val="0"/>
      <w:divBdr>
        <w:top w:val="none" w:sz="0" w:space="0" w:color="auto"/>
        <w:left w:val="none" w:sz="0" w:space="0" w:color="auto"/>
        <w:bottom w:val="none" w:sz="0" w:space="0" w:color="auto"/>
        <w:right w:val="none" w:sz="0" w:space="0" w:color="auto"/>
      </w:divBdr>
    </w:div>
    <w:div w:id="752776061">
      <w:bodyDiv w:val="1"/>
      <w:marLeft w:val="0"/>
      <w:marRight w:val="0"/>
      <w:marTop w:val="0"/>
      <w:marBottom w:val="0"/>
      <w:divBdr>
        <w:top w:val="none" w:sz="0" w:space="0" w:color="auto"/>
        <w:left w:val="none" w:sz="0" w:space="0" w:color="auto"/>
        <w:bottom w:val="none" w:sz="0" w:space="0" w:color="auto"/>
        <w:right w:val="none" w:sz="0" w:space="0" w:color="auto"/>
      </w:divBdr>
    </w:div>
    <w:div w:id="756751691">
      <w:bodyDiv w:val="1"/>
      <w:marLeft w:val="0"/>
      <w:marRight w:val="0"/>
      <w:marTop w:val="0"/>
      <w:marBottom w:val="0"/>
      <w:divBdr>
        <w:top w:val="none" w:sz="0" w:space="0" w:color="auto"/>
        <w:left w:val="none" w:sz="0" w:space="0" w:color="auto"/>
        <w:bottom w:val="none" w:sz="0" w:space="0" w:color="auto"/>
        <w:right w:val="none" w:sz="0" w:space="0" w:color="auto"/>
      </w:divBdr>
      <w:divsChild>
        <w:div w:id="1485120219">
          <w:marLeft w:val="0"/>
          <w:marRight w:val="0"/>
          <w:marTop w:val="0"/>
          <w:marBottom w:val="0"/>
          <w:divBdr>
            <w:top w:val="none" w:sz="0" w:space="0" w:color="auto"/>
            <w:left w:val="none" w:sz="0" w:space="0" w:color="auto"/>
            <w:bottom w:val="none" w:sz="0" w:space="0" w:color="auto"/>
            <w:right w:val="none" w:sz="0" w:space="0" w:color="auto"/>
          </w:divBdr>
          <w:divsChild>
            <w:div w:id="214492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3383">
      <w:bodyDiv w:val="1"/>
      <w:marLeft w:val="0"/>
      <w:marRight w:val="0"/>
      <w:marTop w:val="0"/>
      <w:marBottom w:val="0"/>
      <w:divBdr>
        <w:top w:val="none" w:sz="0" w:space="0" w:color="auto"/>
        <w:left w:val="none" w:sz="0" w:space="0" w:color="auto"/>
        <w:bottom w:val="none" w:sz="0" w:space="0" w:color="auto"/>
        <w:right w:val="none" w:sz="0" w:space="0" w:color="auto"/>
      </w:divBdr>
      <w:divsChild>
        <w:div w:id="1133868762">
          <w:marLeft w:val="0"/>
          <w:marRight w:val="0"/>
          <w:marTop w:val="0"/>
          <w:marBottom w:val="0"/>
          <w:divBdr>
            <w:top w:val="none" w:sz="0" w:space="0" w:color="auto"/>
            <w:left w:val="none" w:sz="0" w:space="0" w:color="auto"/>
            <w:bottom w:val="none" w:sz="0" w:space="0" w:color="auto"/>
            <w:right w:val="none" w:sz="0" w:space="0" w:color="auto"/>
          </w:divBdr>
          <w:divsChild>
            <w:div w:id="37501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74144">
      <w:bodyDiv w:val="1"/>
      <w:marLeft w:val="0"/>
      <w:marRight w:val="0"/>
      <w:marTop w:val="0"/>
      <w:marBottom w:val="0"/>
      <w:divBdr>
        <w:top w:val="none" w:sz="0" w:space="0" w:color="auto"/>
        <w:left w:val="none" w:sz="0" w:space="0" w:color="auto"/>
        <w:bottom w:val="none" w:sz="0" w:space="0" w:color="auto"/>
        <w:right w:val="none" w:sz="0" w:space="0" w:color="auto"/>
      </w:divBdr>
    </w:div>
    <w:div w:id="779884974">
      <w:bodyDiv w:val="1"/>
      <w:marLeft w:val="0"/>
      <w:marRight w:val="0"/>
      <w:marTop w:val="0"/>
      <w:marBottom w:val="0"/>
      <w:divBdr>
        <w:top w:val="none" w:sz="0" w:space="0" w:color="auto"/>
        <w:left w:val="none" w:sz="0" w:space="0" w:color="auto"/>
        <w:bottom w:val="none" w:sz="0" w:space="0" w:color="auto"/>
        <w:right w:val="none" w:sz="0" w:space="0" w:color="auto"/>
      </w:divBdr>
      <w:divsChild>
        <w:div w:id="372387220">
          <w:marLeft w:val="0"/>
          <w:marRight w:val="0"/>
          <w:marTop w:val="0"/>
          <w:marBottom w:val="0"/>
          <w:divBdr>
            <w:top w:val="none" w:sz="0" w:space="0" w:color="auto"/>
            <w:left w:val="none" w:sz="0" w:space="0" w:color="auto"/>
            <w:bottom w:val="none" w:sz="0" w:space="0" w:color="auto"/>
            <w:right w:val="none" w:sz="0" w:space="0" w:color="auto"/>
          </w:divBdr>
          <w:divsChild>
            <w:div w:id="58591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04357">
      <w:bodyDiv w:val="1"/>
      <w:marLeft w:val="0"/>
      <w:marRight w:val="0"/>
      <w:marTop w:val="0"/>
      <w:marBottom w:val="0"/>
      <w:divBdr>
        <w:top w:val="none" w:sz="0" w:space="0" w:color="auto"/>
        <w:left w:val="none" w:sz="0" w:space="0" w:color="auto"/>
        <w:bottom w:val="none" w:sz="0" w:space="0" w:color="auto"/>
        <w:right w:val="none" w:sz="0" w:space="0" w:color="auto"/>
      </w:divBdr>
      <w:divsChild>
        <w:div w:id="1854487270">
          <w:marLeft w:val="0"/>
          <w:marRight w:val="0"/>
          <w:marTop w:val="0"/>
          <w:marBottom w:val="0"/>
          <w:divBdr>
            <w:top w:val="none" w:sz="0" w:space="0" w:color="auto"/>
            <w:left w:val="none" w:sz="0" w:space="0" w:color="auto"/>
            <w:bottom w:val="none" w:sz="0" w:space="0" w:color="auto"/>
            <w:right w:val="none" w:sz="0" w:space="0" w:color="auto"/>
          </w:divBdr>
          <w:divsChild>
            <w:div w:id="89751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86527">
      <w:bodyDiv w:val="1"/>
      <w:marLeft w:val="0"/>
      <w:marRight w:val="0"/>
      <w:marTop w:val="0"/>
      <w:marBottom w:val="0"/>
      <w:divBdr>
        <w:top w:val="none" w:sz="0" w:space="0" w:color="auto"/>
        <w:left w:val="none" w:sz="0" w:space="0" w:color="auto"/>
        <w:bottom w:val="none" w:sz="0" w:space="0" w:color="auto"/>
        <w:right w:val="none" w:sz="0" w:space="0" w:color="auto"/>
      </w:divBdr>
    </w:div>
    <w:div w:id="794449547">
      <w:bodyDiv w:val="1"/>
      <w:marLeft w:val="0"/>
      <w:marRight w:val="0"/>
      <w:marTop w:val="0"/>
      <w:marBottom w:val="0"/>
      <w:divBdr>
        <w:top w:val="none" w:sz="0" w:space="0" w:color="auto"/>
        <w:left w:val="none" w:sz="0" w:space="0" w:color="auto"/>
        <w:bottom w:val="none" w:sz="0" w:space="0" w:color="auto"/>
        <w:right w:val="none" w:sz="0" w:space="0" w:color="auto"/>
      </w:divBdr>
      <w:divsChild>
        <w:div w:id="340010882">
          <w:marLeft w:val="0"/>
          <w:marRight w:val="0"/>
          <w:marTop w:val="0"/>
          <w:marBottom w:val="0"/>
          <w:divBdr>
            <w:top w:val="none" w:sz="0" w:space="0" w:color="auto"/>
            <w:left w:val="none" w:sz="0" w:space="0" w:color="auto"/>
            <w:bottom w:val="none" w:sz="0" w:space="0" w:color="auto"/>
            <w:right w:val="none" w:sz="0" w:space="0" w:color="auto"/>
          </w:divBdr>
          <w:divsChild>
            <w:div w:id="176272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549997">
      <w:bodyDiv w:val="1"/>
      <w:marLeft w:val="0"/>
      <w:marRight w:val="0"/>
      <w:marTop w:val="0"/>
      <w:marBottom w:val="0"/>
      <w:divBdr>
        <w:top w:val="none" w:sz="0" w:space="0" w:color="auto"/>
        <w:left w:val="none" w:sz="0" w:space="0" w:color="auto"/>
        <w:bottom w:val="none" w:sz="0" w:space="0" w:color="auto"/>
        <w:right w:val="none" w:sz="0" w:space="0" w:color="auto"/>
      </w:divBdr>
      <w:divsChild>
        <w:div w:id="208541182">
          <w:marLeft w:val="0"/>
          <w:marRight w:val="0"/>
          <w:marTop w:val="0"/>
          <w:marBottom w:val="0"/>
          <w:divBdr>
            <w:top w:val="none" w:sz="0" w:space="0" w:color="auto"/>
            <w:left w:val="none" w:sz="0" w:space="0" w:color="auto"/>
            <w:bottom w:val="none" w:sz="0" w:space="0" w:color="auto"/>
            <w:right w:val="none" w:sz="0" w:space="0" w:color="auto"/>
          </w:divBdr>
        </w:div>
      </w:divsChild>
    </w:div>
    <w:div w:id="807553308">
      <w:bodyDiv w:val="1"/>
      <w:marLeft w:val="0"/>
      <w:marRight w:val="0"/>
      <w:marTop w:val="0"/>
      <w:marBottom w:val="0"/>
      <w:divBdr>
        <w:top w:val="none" w:sz="0" w:space="0" w:color="auto"/>
        <w:left w:val="none" w:sz="0" w:space="0" w:color="auto"/>
        <w:bottom w:val="none" w:sz="0" w:space="0" w:color="auto"/>
        <w:right w:val="none" w:sz="0" w:space="0" w:color="auto"/>
      </w:divBdr>
      <w:divsChild>
        <w:div w:id="607352248">
          <w:marLeft w:val="0"/>
          <w:marRight w:val="0"/>
          <w:marTop w:val="0"/>
          <w:marBottom w:val="0"/>
          <w:divBdr>
            <w:top w:val="none" w:sz="0" w:space="0" w:color="auto"/>
            <w:left w:val="none" w:sz="0" w:space="0" w:color="auto"/>
            <w:bottom w:val="none" w:sz="0" w:space="0" w:color="auto"/>
            <w:right w:val="none" w:sz="0" w:space="0" w:color="auto"/>
          </w:divBdr>
          <w:divsChild>
            <w:div w:id="197783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942712">
      <w:bodyDiv w:val="1"/>
      <w:marLeft w:val="0"/>
      <w:marRight w:val="0"/>
      <w:marTop w:val="0"/>
      <w:marBottom w:val="0"/>
      <w:divBdr>
        <w:top w:val="none" w:sz="0" w:space="0" w:color="auto"/>
        <w:left w:val="none" w:sz="0" w:space="0" w:color="auto"/>
        <w:bottom w:val="none" w:sz="0" w:space="0" w:color="auto"/>
        <w:right w:val="none" w:sz="0" w:space="0" w:color="auto"/>
      </w:divBdr>
    </w:div>
    <w:div w:id="813181056">
      <w:bodyDiv w:val="1"/>
      <w:marLeft w:val="0"/>
      <w:marRight w:val="0"/>
      <w:marTop w:val="0"/>
      <w:marBottom w:val="0"/>
      <w:divBdr>
        <w:top w:val="none" w:sz="0" w:space="0" w:color="auto"/>
        <w:left w:val="none" w:sz="0" w:space="0" w:color="auto"/>
        <w:bottom w:val="none" w:sz="0" w:space="0" w:color="auto"/>
        <w:right w:val="none" w:sz="0" w:space="0" w:color="auto"/>
      </w:divBdr>
    </w:div>
    <w:div w:id="817959185">
      <w:bodyDiv w:val="1"/>
      <w:marLeft w:val="0"/>
      <w:marRight w:val="0"/>
      <w:marTop w:val="0"/>
      <w:marBottom w:val="0"/>
      <w:divBdr>
        <w:top w:val="none" w:sz="0" w:space="0" w:color="auto"/>
        <w:left w:val="none" w:sz="0" w:space="0" w:color="auto"/>
        <w:bottom w:val="none" w:sz="0" w:space="0" w:color="auto"/>
        <w:right w:val="none" w:sz="0" w:space="0" w:color="auto"/>
      </w:divBdr>
    </w:div>
    <w:div w:id="822307483">
      <w:bodyDiv w:val="1"/>
      <w:marLeft w:val="0"/>
      <w:marRight w:val="0"/>
      <w:marTop w:val="0"/>
      <w:marBottom w:val="0"/>
      <w:divBdr>
        <w:top w:val="none" w:sz="0" w:space="0" w:color="auto"/>
        <w:left w:val="none" w:sz="0" w:space="0" w:color="auto"/>
        <w:bottom w:val="none" w:sz="0" w:space="0" w:color="auto"/>
        <w:right w:val="none" w:sz="0" w:space="0" w:color="auto"/>
      </w:divBdr>
    </w:div>
    <w:div w:id="824007706">
      <w:bodyDiv w:val="1"/>
      <w:marLeft w:val="0"/>
      <w:marRight w:val="0"/>
      <w:marTop w:val="0"/>
      <w:marBottom w:val="0"/>
      <w:divBdr>
        <w:top w:val="none" w:sz="0" w:space="0" w:color="auto"/>
        <w:left w:val="none" w:sz="0" w:space="0" w:color="auto"/>
        <w:bottom w:val="none" w:sz="0" w:space="0" w:color="auto"/>
        <w:right w:val="none" w:sz="0" w:space="0" w:color="auto"/>
      </w:divBdr>
    </w:div>
    <w:div w:id="827944598">
      <w:bodyDiv w:val="1"/>
      <w:marLeft w:val="0"/>
      <w:marRight w:val="0"/>
      <w:marTop w:val="0"/>
      <w:marBottom w:val="0"/>
      <w:divBdr>
        <w:top w:val="none" w:sz="0" w:space="0" w:color="auto"/>
        <w:left w:val="none" w:sz="0" w:space="0" w:color="auto"/>
        <w:bottom w:val="none" w:sz="0" w:space="0" w:color="auto"/>
        <w:right w:val="none" w:sz="0" w:space="0" w:color="auto"/>
      </w:divBdr>
      <w:divsChild>
        <w:div w:id="1468165559">
          <w:marLeft w:val="0"/>
          <w:marRight w:val="0"/>
          <w:marTop w:val="0"/>
          <w:marBottom w:val="0"/>
          <w:divBdr>
            <w:top w:val="none" w:sz="0" w:space="0" w:color="auto"/>
            <w:left w:val="none" w:sz="0" w:space="0" w:color="auto"/>
            <w:bottom w:val="none" w:sz="0" w:space="0" w:color="auto"/>
            <w:right w:val="none" w:sz="0" w:space="0" w:color="auto"/>
          </w:divBdr>
          <w:divsChild>
            <w:div w:id="6481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65446">
      <w:bodyDiv w:val="1"/>
      <w:marLeft w:val="0"/>
      <w:marRight w:val="0"/>
      <w:marTop w:val="0"/>
      <w:marBottom w:val="0"/>
      <w:divBdr>
        <w:top w:val="none" w:sz="0" w:space="0" w:color="auto"/>
        <w:left w:val="none" w:sz="0" w:space="0" w:color="auto"/>
        <w:bottom w:val="none" w:sz="0" w:space="0" w:color="auto"/>
        <w:right w:val="none" w:sz="0" w:space="0" w:color="auto"/>
      </w:divBdr>
      <w:divsChild>
        <w:div w:id="17128102">
          <w:marLeft w:val="0"/>
          <w:marRight w:val="0"/>
          <w:marTop w:val="0"/>
          <w:marBottom w:val="0"/>
          <w:divBdr>
            <w:top w:val="none" w:sz="0" w:space="0" w:color="auto"/>
            <w:left w:val="none" w:sz="0" w:space="0" w:color="auto"/>
            <w:bottom w:val="none" w:sz="0" w:space="0" w:color="auto"/>
            <w:right w:val="none" w:sz="0" w:space="0" w:color="auto"/>
          </w:divBdr>
          <w:divsChild>
            <w:div w:id="1619526736">
              <w:marLeft w:val="0"/>
              <w:marRight w:val="0"/>
              <w:marTop w:val="0"/>
              <w:marBottom w:val="0"/>
              <w:divBdr>
                <w:top w:val="none" w:sz="0" w:space="0" w:color="auto"/>
                <w:left w:val="none" w:sz="0" w:space="0" w:color="auto"/>
                <w:bottom w:val="none" w:sz="0" w:space="0" w:color="auto"/>
                <w:right w:val="none" w:sz="0" w:space="0" w:color="auto"/>
              </w:divBdr>
              <w:divsChild>
                <w:div w:id="205391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555036">
      <w:bodyDiv w:val="1"/>
      <w:marLeft w:val="0"/>
      <w:marRight w:val="0"/>
      <w:marTop w:val="0"/>
      <w:marBottom w:val="0"/>
      <w:divBdr>
        <w:top w:val="none" w:sz="0" w:space="0" w:color="auto"/>
        <w:left w:val="none" w:sz="0" w:space="0" w:color="auto"/>
        <w:bottom w:val="none" w:sz="0" w:space="0" w:color="auto"/>
        <w:right w:val="none" w:sz="0" w:space="0" w:color="auto"/>
      </w:divBdr>
      <w:divsChild>
        <w:div w:id="864565163">
          <w:marLeft w:val="0"/>
          <w:marRight w:val="0"/>
          <w:marTop w:val="0"/>
          <w:marBottom w:val="0"/>
          <w:divBdr>
            <w:top w:val="none" w:sz="0" w:space="0" w:color="auto"/>
            <w:left w:val="none" w:sz="0" w:space="0" w:color="auto"/>
            <w:bottom w:val="none" w:sz="0" w:space="0" w:color="auto"/>
            <w:right w:val="none" w:sz="0" w:space="0" w:color="auto"/>
          </w:divBdr>
          <w:divsChild>
            <w:div w:id="89905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02968">
      <w:bodyDiv w:val="1"/>
      <w:marLeft w:val="0"/>
      <w:marRight w:val="0"/>
      <w:marTop w:val="0"/>
      <w:marBottom w:val="0"/>
      <w:divBdr>
        <w:top w:val="none" w:sz="0" w:space="0" w:color="auto"/>
        <w:left w:val="none" w:sz="0" w:space="0" w:color="auto"/>
        <w:bottom w:val="none" w:sz="0" w:space="0" w:color="auto"/>
        <w:right w:val="none" w:sz="0" w:space="0" w:color="auto"/>
      </w:divBdr>
      <w:divsChild>
        <w:div w:id="100955185">
          <w:marLeft w:val="0"/>
          <w:marRight w:val="0"/>
          <w:marTop w:val="0"/>
          <w:marBottom w:val="0"/>
          <w:divBdr>
            <w:top w:val="none" w:sz="0" w:space="0" w:color="auto"/>
            <w:left w:val="none" w:sz="0" w:space="0" w:color="auto"/>
            <w:bottom w:val="none" w:sz="0" w:space="0" w:color="auto"/>
            <w:right w:val="none" w:sz="0" w:space="0" w:color="auto"/>
          </w:divBdr>
          <w:divsChild>
            <w:div w:id="80531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865013">
      <w:bodyDiv w:val="1"/>
      <w:marLeft w:val="0"/>
      <w:marRight w:val="0"/>
      <w:marTop w:val="0"/>
      <w:marBottom w:val="0"/>
      <w:divBdr>
        <w:top w:val="none" w:sz="0" w:space="0" w:color="auto"/>
        <w:left w:val="none" w:sz="0" w:space="0" w:color="auto"/>
        <w:bottom w:val="none" w:sz="0" w:space="0" w:color="auto"/>
        <w:right w:val="none" w:sz="0" w:space="0" w:color="auto"/>
      </w:divBdr>
    </w:div>
    <w:div w:id="844787883">
      <w:bodyDiv w:val="1"/>
      <w:marLeft w:val="0"/>
      <w:marRight w:val="0"/>
      <w:marTop w:val="0"/>
      <w:marBottom w:val="0"/>
      <w:divBdr>
        <w:top w:val="none" w:sz="0" w:space="0" w:color="auto"/>
        <w:left w:val="none" w:sz="0" w:space="0" w:color="auto"/>
        <w:bottom w:val="none" w:sz="0" w:space="0" w:color="auto"/>
        <w:right w:val="none" w:sz="0" w:space="0" w:color="auto"/>
      </w:divBdr>
      <w:divsChild>
        <w:div w:id="2062364383">
          <w:marLeft w:val="0"/>
          <w:marRight w:val="0"/>
          <w:marTop w:val="0"/>
          <w:marBottom w:val="0"/>
          <w:divBdr>
            <w:top w:val="none" w:sz="0" w:space="0" w:color="auto"/>
            <w:left w:val="none" w:sz="0" w:space="0" w:color="auto"/>
            <w:bottom w:val="none" w:sz="0" w:space="0" w:color="auto"/>
            <w:right w:val="none" w:sz="0" w:space="0" w:color="auto"/>
          </w:divBdr>
        </w:div>
      </w:divsChild>
    </w:div>
    <w:div w:id="846099203">
      <w:bodyDiv w:val="1"/>
      <w:marLeft w:val="0"/>
      <w:marRight w:val="0"/>
      <w:marTop w:val="0"/>
      <w:marBottom w:val="0"/>
      <w:divBdr>
        <w:top w:val="none" w:sz="0" w:space="0" w:color="auto"/>
        <w:left w:val="none" w:sz="0" w:space="0" w:color="auto"/>
        <w:bottom w:val="none" w:sz="0" w:space="0" w:color="auto"/>
        <w:right w:val="none" w:sz="0" w:space="0" w:color="auto"/>
      </w:divBdr>
      <w:divsChild>
        <w:div w:id="917792766">
          <w:marLeft w:val="0"/>
          <w:marRight w:val="0"/>
          <w:marTop w:val="0"/>
          <w:marBottom w:val="0"/>
          <w:divBdr>
            <w:top w:val="none" w:sz="0" w:space="0" w:color="auto"/>
            <w:left w:val="none" w:sz="0" w:space="0" w:color="auto"/>
            <w:bottom w:val="none" w:sz="0" w:space="0" w:color="auto"/>
            <w:right w:val="none" w:sz="0" w:space="0" w:color="auto"/>
          </w:divBdr>
          <w:divsChild>
            <w:div w:id="38548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44420">
      <w:bodyDiv w:val="1"/>
      <w:marLeft w:val="0"/>
      <w:marRight w:val="0"/>
      <w:marTop w:val="0"/>
      <w:marBottom w:val="0"/>
      <w:divBdr>
        <w:top w:val="none" w:sz="0" w:space="0" w:color="auto"/>
        <w:left w:val="none" w:sz="0" w:space="0" w:color="auto"/>
        <w:bottom w:val="none" w:sz="0" w:space="0" w:color="auto"/>
        <w:right w:val="none" w:sz="0" w:space="0" w:color="auto"/>
      </w:divBdr>
    </w:div>
    <w:div w:id="850603009">
      <w:bodyDiv w:val="1"/>
      <w:marLeft w:val="0"/>
      <w:marRight w:val="0"/>
      <w:marTop w:val="0"/>
      <w:marBottom w:val="0"/>
      <w:divBdr>
        <w:top w:val="none" w:sz="0" w:space="0" w:color="auto"/>
        <w:left w:val="none" w:sz="0" w:space="0" w:color="auto"/>
        <w:bottom w:val="none" w:sz="0" w:space="0" w:color="auto"/>
        <w:right w:val="none" w:sz="0" w:space="0" w:color="auto"/>
      </w:divBdr>
    </w:div>
    <w:div w:id="858398524">
      <w:bodyDiv w:val="1"/>
      <w:marLeft w:val="0"/>
      <w:marRight w:val="0"/>
      <w:marTop w:val="0"/>
      <w:marBottom w:val="0"/>
      <w:divBdr>
        <w:top w:val="none" w:sz="0" w:space="0" w:color="auto"/>
        <w:left w:val="none" w:sz="0" w:space="0" w:color="auto"/>
        <w:bottom w:val="none" w:sz="0" w:space="0" w:color="auto"/>
        <w:right w:val="none" w:sz="0" w:space="0" w:color="auto"/>
      </w:divBdr>
    </w:div>
    <w:div w:id="866262305">
      <w:bodyDiv w:val="1"/>
      <w:marLeft w:val="0"/>
      <w:marRight w:val="0"/>
      <w:marTop w:val="0"/>
      <w:marBottom w:val="0"/>
      <w:divBdr>
        <w:top w:val="none" w:sz="0" w:space="0" w:color="auto"/>
        <w:left w:val="none" w:sz="0" w:space="0" w:color="auto"/>
        <w:bottom w:val="none" w:sz="0" w:space="0" w:color="auto"/>
        <w:right w:val="none" w:sz="0" w:space="0" w:color="auto"/>
      </w:divBdr>
    </w:div>
    <w:div w:id="870845192">
      <w:bodyDiv w:val="1"/>
      <w:marLeft w:val="0"/>
      <w:marRight w:val="0"/>
      <w:marTop w:val="0"/>
      <w:marBottom w:val="0"/>
      <w:divBdr>
        <w:top w:val="none" w:sz="0" w:space="0" w:color="auto"/>
        <w:left w:val="none" w:sz="0" w:space="0" w:color="auto"/>
        <w:bottom w:val="none" w:sz="0" w:space="0" w:color="auto"/>
        <w:right w:val="none" w:sz="0" w:space="0" w:color="auto"/>
      </w:divBdr>
      <w:divsChild>
        <w:div w:id="849291682">
          <w:marLeft w:val="0"/>
          <w:marRight w:val="0"/>
          <w:marTop w:val="0"/>
          <w:marBottom w:val="0"/>
          <w:divBdr>
            <w:top w:val="none" w:sz="0" w:space="0" w:color="auto"/>
            <w:left w:val="none" w:sz="0" w:space="0" w:color="auto"/>
            <w:bottom w:val="none" w:sz="0" w:space="0" w:color="auto"/>
            <w:right w:val="none" w:sz="0" w:space="0" w:color="auto"/>
          </w:divBdr>
          <w:divsChild>
            <w:div w:id="73913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94113">
      <w:bodyDiv w:val="1"/>
      <w:marLeft w:val="0"/>
      <w:marRight w:val="0"/>
      <w:marTop w:val="0"/>
      <w:marBottom w:val="0"/>
      <w:divBdr>
        <w:top w:val="none" w:sz="0" w:space="0" w:color="auto"/>
        <w:left w:val="none" w:sz="0" w:space="0" w:color="auto"/>
        <w:bottom w:val="none" w:sz="0" w:space="0" w:color="auto"/>
        <w:right w:val="none" w:sz="0" w:space="0" w:color="auto"/>
      </w:divBdr>
      <w:divsChild>
        <w:div w:id="622620040">
          <w:marLeft w:val="0"/>
          <w:marRight w:val="0"/>
          <w:marTop w:val="0"/>
          <w:marBottom w:val="0"/>
          <w:divBdr>
            <w:top w:val="none" w:sz="0" w:space="0" w:color="auto"/>
            <w:left w:val="none" w:sz="0" w:space="0" w:color="auto"/>
            <w:bottom w:val="none" w:sz="0" w:space="0" w:color="auto"/>
            <w:right w:val="none" w:sz="0" w:space="0" w:color="auto"/>
          </w:divBdr>
          <w:divsChild>
            <w:div w:id="121873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94943">
      <w:bodyDiv w:val="1"/>
      <w:marLeft w:val="0"/>
      <w:marRight w:val="0"/>
      <w:marTop w:val="0"/>
      <w:marBottom w:val="0"/>
      <w:divBdr>
        <w:top w:val="none" w:sz="0" w:space="0" w:color="auto"/>
        <w:left w:val="none" w:sz="0" w:space="0" w:color="auto"/>
        <w:bottom w:val="none" w:sz="0" w:space="0" w:color="auto"/>
        <w:right w:val="none" w:sz="0" w:space="0" w:color="auto"/>
      </w:divBdr>
      <w:divsChild>
        <w:div w:id="1379818027">
          <w:marLeft w:val="0"/>
          <w:marRight w:val="0"/>
          <w:marTop w:val="0"/>
          <w:marBottom w:val="0"/>
          <w:divBdr>
            <w:top w:val="none" w:sz="0" w:space="0" w:color="auto"/>
            <w:left w:val="none" w:sz="0" w:space="0" w:color="auto"/>
            <w:bottom w:val="none" w:sz="0" w:space="0" w:color="auto"/>
            <w:right w:val="none" w:sz="0" w:space="0" w:color="auto"/>
          </w:divBdr>
          <w:divsChild>
            <w:div w:id="18621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633602">
      <w:bodyDiv w:val="1"/>
      <w:marLeft w:val="0"/>
      <w:marRight w:val="0"/>
      <w:marTop w:val="0"/>
      <w:marBottom w:val="0"/>
      <w:divBdr>
        <w:top w:val="none" w:sz="0" w:space="0" w:color="auto"/>
        <w:left w:val="none" w:sz="0" w:space="0" w:color="auto"/>
        <w:bottom w:val="none" w:sz="0" w:space="0" w:color="auto"/>
        <w:right w:val="none" w:sz="0" w:space="0" w:color="auto"/>
      </w:divBdr>
    </w:div>
    <w:div w:id="884954161">
      <w:bodyDiv w:val="1"/>
      <w:marLeft w:val="0"/>
      <w:marRight w:val="0"/>
      <w:marTop w:val="0"/>
      <w:marBottom w:val="0"/>
      <w:divBdr>
        <w:top w:val="none" w:sz="0" w:space="0" w:color="auto"/>
        <w:left w:val="none" w:sz="0" w:space="0" w:color="auto"/>
        <w:bottom w:val="none" w:sz="0" w:space="0" w:color="auto"/>
        <w:right w:val="none" w:sz="0" w:space="0" w:color="auto"/>
      </w:divBdr>
    </w:div>
    <w:div w:id="887185197">
      <w:bodyDiv w:val="1"/>
      <w:marLeft w:val="0"/>
      <w:marRight w:val="0"/>
      <w:marTop w:val="0"/>
      <w:marBottom w:val="0"/>
      <w:divBdr>
        <w:top w:val="none" w:sz="0" w:space="0" w:color="auto"/>
        <w:left w:val="none" w:sz="0" w:space="0" w:color="auto"/>
        <w:bottom w:val="none" w:sz="0" w:space="0" w:color="auto"/>
        <w:right w:val="none" w:sz="0" w:space="0" w:color="auto"/>
      </w:divBdr>
      <w:divsChild>
        <w:div w:id="709843011">
          <w:marLeft w:val="0"/>
          <w:marRight w:val="0"/>
          <w:marTop w:val="0"/>
          <w:marBottom w:val="0"/>
          <w:divBdr>
            <w:top w:val="none" w:sz="0" w:space="0" w:color="auto"/>
            <w:left w:val="none" w:sz="0" w:space="0" w:color="auto"/>
            <w:bottom w:val="none" w:sz="0" w:space="0" w:color="auto"/>
            <w:right w:val="none" w:sz="0" w:space="0" w:color="auto"/>
          </w:divBdr>
          <w:divsChild>
            <w:div w:id="79109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85524">
      <w:bodyDiv w:val="1"/>
      <w:marLeft w:val="0"/>
      <w:marRight w:val="0"/>
      <w:marTop w:val="0"/>
      <w:marBottom w:val="0"/>
      <w:divBdr>
        <w:top w:val="none" w:sz="0" w:space="0" w:color="auto"/>
        <w:left w:val="none" w:sz="0" w:space="0" w:color="auto"/>
        <w:bottom w:val="none" w:sz="0" w:space="0" w:color="auto"/>
        <w:right w:val="none" w:sz="0" w:space="0" w:color="auto"/>
      </w:divBdr>
      <w:divsChild>
        <w:div w:id="1060636580">
          <w:marLeft w:val="0"/>
          <w:marRight w:val="0"/>
          <w:marTop w:val="0"/>
          <w:marBottom w:val="0"/>
          <w:divBdr>
            <w:top w:val="none" w:sz="0" w:space="0" w:color="auto"/>
            <w:left w:val="none" w:sz="0" w:space="0" w:color="auto"/>
            <w:bottom w:val="none" w:sz="0" w:space="0" w:color="auto"/>
            <w:right w:val="none" w:sz="0" w:space="0" w:color="auto"/>
          </w:divBdr>
          <w:divsChild>
            <w:div w:id="188135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22614">
      <w:bodyDiv w:val="1"/>
      <w:marLeft w:val="0"/>
      <w:marRight w:val="0"/>
      <w:marTop w:val="0"/>
      <w:marBottom w:val="0"/>
      <w:divBdr>
        <w:top w:val="none" w:sz="0" w:space="0" w:color="auto"/>
        <w:left w:val="none" w:sz="0" w:space="0" w:color="auto"/>
        <w:bottom w:val="none" w:sz="0" w:space="0" w:color="auto"/>
        <w:right w:val="none" w:sz="0" w:space="0" w:color="auto"/>
      </w:divBdr>
      <w:divsChild>
        <w:div w:id="1813020452">
          <w:marLeft w:val="0"/>
          <w:marRight w:val="0"/>
          <w:marTop w:val="0"/>
          <w:marBottom w:val="0"/>
          <w:divBdr>
            <w:top w:val="none" w:sz="0" w:space="0" w:color="auto"/>
            <w:left w:val="none" w:sz="0" w:space="0" w:color="auto"/>
            <w:bottom w:val="none" w:sz="0" w:space="0" w:color="auto"/>
            <w:right w:val="none" w:sz="0" w:space="0" w:color="auto"/>
          </w:divBdr>
          <w:divsChild>
            <w:div w:id="16760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97269">
      <w:bodyDiv w:val="1"/>
      <w:marLeft w:val="0"/>
      <w:marRight w:val="0"/>
      <w:marTop w:val="0"/>
      <w:marBottom w:val="0"/>
      <w:divBdr>
        <w:top w:val="none" w:sz="0" w:space="0" w:color="auto"/>
        <w:left w:val="none" w:sz="0" w:space="0" w:color="auto"/>
        <w:bottom w:val="none" w:sz="0" w:space="0" w:color="auto"/>
        <w:right w:val="none" w:sz="0" w:space="0" w:color="auto"/>
      </w:divBdr>
    </w:div>
    <w:div w:id="892543208">
      <w:bodyDiv w:val="1"/>
      <w:marLeft w:val="0"/>
      <w:marRight w:val="0"/>
      <w:marTop w:val="0"/>
      <w:marBottom w:val="0"/>
      <w:divBdr>
        <w:top w:val="none" w:sz="0" w:space="0" w:color="auto"/>
        <w:left w:val="none" w:sz="0" w:space="0" w:color="auto"/>
        <w:bottom w:val="none" w:sz="0" w:space="0" w:color="auto"/>
        <w:right w:val="none" w:sz="0" w:space="0" w:color="auto"/>
      </w:divBdr>
    </w:div>
    <w:div w:id="893470709">
      <w:bodyDiv w:val="1"/>
      <w:marLeft w:val="0"/>
      <w:marRight w:val="0"/>
      <w:marTop w:val="0"/>
      <w:marBottom w:val="0"/>
      <w:divBdr>
        <w:top w:val="none" w:sz="0" w:space="0" w:color="auto"/>
        <w:left w:val="none" w:sz="0" w:space="0" w:color="auto"/>
        <w:bottom w:val="none" w:sz="0" w:space="0" w:color="auto"/>
        <w:right w:val="none" w:sz="0" w:space="0" w:color="auto"/>
      </w:divBdr>
      <w:divsChild>
        <w:div w:id="579022933">
          <w:marLeft w:val="0"/>
          <w:marRight w:val="0"/>
          <w:marTop w:val="0"/>
          <w:marBottom w:val="0"/>
          <w:divBdr>
            <w:top w:val="none" w:sz="0" w:space="0" w:color="auto"/>
            <w:left w:val="none" w:sz="0" w:space="0" w:color="auto"/>
            <w:bottom w:val="none" w:sz="0" w:space="0" w:color="auto"/>
            <w:right w:val="none" w:sz="0" w:space="0" w:color="auto"/>
          </w:divBdr>
          <w:divsChild>
            <w:div w:id="60412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755718">
      <w:bodyDiv w:val="1"/>
      <w:marLeft w:val="0"/>
      <w:marRight w:val="0"/>
      <w:marTop w:val="0"/>
      <w:marBottom w:val="0"/>
      <w:divBdr>
        <w:top w:val="none" w:sz="0" w:space="0" w:color="auto"/>
        <w:left w:val="none" w:sz="0" w:space="0" w:color="auto"/>
        <w:bottom w:val="none" w:sz="0" w:space="0" w:color="auto"/>
        <w:right w:val="none" w:sz="0" w:space="0" w:color="auto"/>
      </w:divBdr>
      <w:divsChild>
        <w:div w:id="2119447373">
          <w:marLeft w:val="0"/>
          <w:marRight w:val="0"/>
          <w:marTop w:val="0"/>
          <w:marBottom w:val="0"/>
          <w:divBdr>
            <w:top w:val="none" w:sz="0" w:space="0" w:color="auto"/>
            <w:left w:val="none" w:sz="0" w:space="0" w:color="auto"/>
            <w:bottom w:val="none" w:sz="0" w:space="0" w:color="auto"/>
            <w:right w:val="none" w:sz="0" w:space="0" w:color="auto"/>
          </w:divBdr>
          <w:divsChild>
            <w:div w:id="191511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342471">
      <w:bodyDiv w:val="1"/>
      <w:marLeft w:val="0"/>
      <w:marRight w:val="0"/>
      <w:marTop w:val="0"/>
      <w:marBottom w:val="0"/>
      <w:divBdr>
        <w:top w:val="none" w:sz="0" w:space="0" w:color="auto"/>
        <w:left w:val="none" w:sz="0" w:space="0" w:color="auto"/>
        <w:bottom w:val="none" w:sz="0" w:space="0" w:color="auto"/>
        <w:right w:val="none" w:sz="0" w:space="0" w:color="auto"/>
      </w:divBdr>
    </w:div>
    <w:div w:id="920411636">
      <w:bodyDiv w:val="1"/>
      <w:marLeft w:val="0"/>
      <w:marRight w:val="0"/>
      <w:marTop w:val="0"/>
      <w:marBottom w:val="0"/>
      <w:divBdr>
        <w:top w:val="none" w:sz="0" w:space="0" w:color="auto"/>
        <w:left w:val="none" w:sz="0" w:space="0" w:color="auto"/>
        <w:bottom w:val="none" w:sz="0" w:space="0" w:color="auto"/>
        <w:right w:val="none" w:sz="0" w:space="0" w:color="auto"/>
      </w:divBdr>
      <w:divsChild>
        <w:div w:id="1307469022">
          <w:marLeft w:val="0"/>
          <w:marRight w:val="0"/>
          <w:marTop w:val="0"/>
          <w:marBottom w:val="0"/>
          <w:divBdr>
            <w:top w:val="none" w:sz="0" w:space="0" w:color="auto"/>
            <w:left w:val="none" w:sz="0" w:space="0" w:color="auto"/>
            <w:bottom w:val="none" w:sz="0" w:space="0" w:color="auto"/>
            <w:right w:val="none" w:sz="0" w:space="0" w:color="auto"/>
          </w:divBdr>
          <w:divsChild>
            <w:div w:id="158645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648304">
      <w:bodyDiv w:val="1"/>
      <w:marLeft w:val="0"/>
      <w:marRight w:val="0"/>
      <w:marTop w:val="0"/>
      <w:marBottom w:val="0"/>
      <w:divBdr>
        <w:top w:val="none" w:sz="0" w:space="0" w:color="auto"/>
        <w:left w:val="none" w:sz="0" w:space="0" w:color="auto"/>
        <w:bottom w:val="none" w:sz="0" w:space="0" w:color="auto"/>
        <w:right w:val="none" w:sz="0" w:space="0" w:color="auto"/>
      </w:divBdr>
    </w:div>
    <w:div w:id="931284734">
      <w:bodyDiv w:val="1"/>
      <w:marLeft w:val="0"/>
      <w:marRight w:val="0"/>
      <w:marTop w:val="0"/>
      <w:marBottom w:val="0"/>
      <w:divBdr>
        <w:top w:val="none" w:sz="0" w:space="0" w:color="auto"/>
        <w:left w:val="none" w:sz="0" w:space="0" w:color="auto"/>
        <w:bottom w:val="none" w:sz="0" w:space="0" w:color="auto"/>
        <w:right w:val="none" w:sz="0" w:space="0" w:color="auto"/>
      </w:divBdr>
    </w:div>
    <w:div w:id="931399886">
      <w:bodyDiv w:val="1"/>
      <w:marLeft w:val="0"/>
      <w:marRight w:val="0"/>
      <w:marTop w:val="0"/>
      <w:marBottom w:val="0"/>
      <w:divBdr>
        <w:top w:val="none" w:sz="0" w:space="0" w:color="auto"/>
        <w:left w:val="none" w:sz="0" w:space="0" w:color="auto"/>
        <w:bottom w:val="none" w:sz="0" w:space="0" w:color="auto"/>
        <w:right w:val="none" w:sz="0" w:space="0" w:color="auto"/>
      </w:divBdr>
      <w:divsChild>
        <w:div w:id="58211177">
          <w:marLeft w:val="0"/>
          <w:marRight w:val="0"/>
          <w:marTop w:val="0"/>
          <w:marBottom w:val="0"/>
          <w:divBdr>
            <w:top w:val="none" w:sz="0" w:space="0" w:color="auto"/>
            <w:left w:val="none" w:sz="0" w:space="0" w:color="auto"/>
            <w:bottom w:val="none" w:sz="0" w:space="0" w:color="auto"/>
            <w:right w:val="none" w:sz="0" w:space="0" w:color="auto"/>
          </w:divBdr>
          <w:divsChild>
            <w:div w:id="38864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661386">
      <w:bodyDiv w:val="1"/>
      <w:marLeft w:val="0"/>
      <w:marRight w:val="0"/>
      <w:marTop w:val="0"/>
      <w:marBottom w:val="0"/>
      <w:divBdr>
        <w:top w:val="none" w:sz="0" w:space="0" w:color="auto"/>
        <w:left w:val="none" w:sz="0" w:space="0" w:color="auto"/>
        <w:bottom w:val="none" w:sz="0" w:space="0" w:color="auto"/>
        <w:right w:val="none" w:sz="0" w:space="0" w:color="auto"/>
      </w:divBdr>
      <w:divsChild>
        <w:div w:id="1322537794">
          <w:marLeft w:val="0"/>
          <w:marRight w:val="0"/>
          <w:marTop w:val="0"/>
          <w:marBottom w:val="0"/>
          <w:divBdr>
            <w:top w:val="none" w:sz="0" w:space="0" w:color="auto"/>
            <w:left w:val="none" w:sz="0" w:space="0" w:color="auto"/>
            <w:bottom w:val="none" w:sz="0" w:space="0" w:color="auto"/>
            <w:right w:val="none" w:sz="0" w:space="0" w:color="auto"/>
          </w:divBdr>
          <w:divsChild>
            <w:div w:id="101642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87862">
      <w:bodyDiv w:val="1"/>
      <w:marLeft w:val="0"/>
      <w:marRight w:val="0"/>
      <w:marTop w:val="0"/>
      <w:marBottom w:val="0"/>
      <w:divBdr>
        <w:top w:val="none" w:sz="0" w:space="0" w:color="auto"/>
        <w:left w:val="none" w:sz="0" w:space="0" w:color="auto"/>
        <w:bottom w:val="none" w:sz="0" w:space="0" w:color="auto"/>
        <w:right w:val="none" w:sz="0" w:space="0" w:color="auto"/>
      </w:divBdr>
    </w:div>
    <w:div w:id="936137330">
      <w:bodyDiv w:val="1"/>
      <w:marLeft w:val="0"/>
      <w:marRight w:val="0"/>
      <w:marTop w:val="0"/>
      <w:marBottom w:val="0"/>
      <w:divBdr>
        <w:top w:val="none" w:sz="0" w:space="0" w:color="auto"/>
        <w:left w:val="none" w:sz="0" w:space="0" w:color="auto"/>
        <w:bottom w:val="none" w:sz="0" w:space="0" w:color="auto"/>
        <w:right w:val="none" w:sz="0" w:space="0" w:color="auto"/>
      </w:divBdr>
      <w:divsChild>
        <w:div w:id="1191147226">
          <w:marLeft w:val="0"/>
          <w:marRight w:val="0"/>
          <w:marTop w:val="0"/>
          <w:marBottom w:val="0"/>
          <w:divBdr>
            <w:top w:val="none" w:sz="0" w:space="0" w:color="auto"/>
            <w:left w:val="none" w:sz="0" w:space="0" w:color="auto"/>
            <w:bottom w:val="none" w:sz="0" w:space="0" w:color="auto"/>
            <w:right w:val="none" w:sz="0" w:space="0" w:color="auto"/>
          </w:divBdr>
          <w:divsChild>
            <w:div w:id="130404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84201">
      <w:bodyDiv w:val="1"/>
      <w:marLeft w:val="0"/>
      <w:marRight w:val="0"/>
      <w:marTop w:val="0"/>
      <w:marBottom w:val="0"/>
      <w:divBdr>
        <w:top w:val="none" w:sz="0" w:space="0" w:color="auto"/>
        <w:left w:val="none" w:sz="0" w:space="0" w:color="auto"/>
        <w:bottom w:val="none" w:sz="0" w:space="0" w:color="auto"/>
        <w:right w:val="none" w:sz="0" w:space="0" w:color="auto"/>
      </w:divBdr>
    </w:div>
    <w:div w:id="944581358">
      <w:bodyDiv w:val="1"/>
      <w:marLeft w:val="0"/>
      <w:marRight w:val="0"/>
      <w:marTop w:val="0"/>
      <w:marBottom w:val="0"/>
      <w:divBdr>
        <w:top w:val="none" w:sz="0" w:space="0" w:color="auto"/>
        <w:left w:val="none" w:sz="0" w:space="0" w:color="auto"/>
        <w:bottom w:val="none" w:sz="0" w:space="0" w:color="auto"/>
        <w:right w:val="none" w:sz="0" w:space="0" w:color="auto"/>
      </w:divBdr>
    </w:div>
    <w:div w:id="951788722">
      <w:bodyDiv w:val="1"/>
      <w:marLeft w:val="0"/>
      <w:marRight w:val="0"/>
      <w:marTop w:val="0"/>
      <w:marBottom w:val="0"/>
      <w:divBdr>
        <w:top w:val="none" w:sz="0" w:space="0" w:color="auto"/>
        <w:left w:val="none" w:sz="0" w:space="0" w:color="auto"/>
        <w:bottom w:val="none" w:sz="0" w:space="0" w:color="auto"/>
        <w:right w:val="none" w:sz="0" w:space="0" w:color="auto"/>
      </w:divBdr>
      <w:divsChild>
        <w:div w:id="411318898">
          <w:marLeft w:val="0"/>
          <w:marRight w:val="0"/>
          <w:marTop w:val="0"/>
          <w:marBottom w:val="0"/>
          <w:divBdr>
            <w:top w:val="none" w:sz="0" w:space="0" w:color="auto"/>
            <w:left w:val="none" w:sz="0" w:space="0" w:color="auto"/>
            <w:bottom w:val="none" w:sz="0" w:space="0" w:color="auto"/>
            <w:right w:val="none" w:sz="0" w:space="0" w:color="auto"/>
          </w:divBdr>
        </w:div>
      </w:divsChild>
    </w:div>
    <w:div w:id="969165954">
      <w:bodyDiv w:val="1"/>
      <w:marLeft w:val="0"/>
      <w:marRight w:val="0"/>
      <w:marTop w:val="0"/>
      <w:marBottom w:val="0"/>
      <w:divBdr>
        <w:top w:val="none" w:sz="0" w:space="0" w:color="auto"/>
        <w:left w:val="none" w:sz="0" w:space="0" w:color="auto"/>
        <w:bottom w:val="none" w:sz="0" w:space="0" w:color="auto"/>
        <w:right w:val="none" w:sz="0" w:space="0" w:color="auto"/>
      </w:divBdr>
    </w:div>
    <w:div w:id="982154941">
      <w:bodyDiv w:val="1"/>
      <w:marLeft w:val="0"/>
      <w:marRight w:val="0"/>
      <w:marTop w:val="0"/>
      <w:marBottom w:val="0"/>
      <w:divBdr>
        <w:top w:val="none" w:sz="0" w:space="0" w:color="auto"/>
        <w:left w:val="none" w:sz="0" w:space="0" w:color="auto"/>
        <w:bottom w:val="none" w:sz="0" w:space="0" w:color="auto"/>
        <w:right w:val="none" w:sz="0" w:space="0" w:color="auto"/>
      </w:divBdr>
    </w:div>
    <w:div w:id="985207242">
      <w:bodyDiv w:val="1"/>
      <w:marLeft w:val="0"/>
      <w:marRight w:val="0"/>
      <w:marTop w:val="0"/>
      <w:marBottom w:val="0"/>
      <w:divBdr>
        <w:top w:val="none" w:sz="0" w:space="0" w:color="auto"/>
        <w:left w:val="none" w:sz="0" w:space="0" w:color="auto"/>
        <w:bottom w:val="none" w:sz="0" w:space="0" w:color="auto"/>
        <w:right w:val="none" w:sz="0" w:space="0" w:color="auto"/>
      </w:divBdr>
    </w:div>
    <w:div w:id="987054627">
      <w:bodyDiv w:val="1"/>
      <w:marLeft w:val="0"/>
      <w:marRight w:val="0"/>
      <w:marTop w:val="0"/>
      <w:marBottom w:val="0"/>
      <w:divBdr>
        <w:top w:val="none" w:sz="0" w:space="0" w:color="auto"/>
        <w:left w:val="none" w:sz="0" w:space="0" w:color="auto"/>
        <w:bottom w:val="none" w:sz="0" w:space="0" w:color="auto"/>
        <w:right w:val="none" w:sz="0" w:space="0" w:color="auto"/>
      </w:divBdr>
      <w:divsChild>
        <w:div w:id="129827531">
          <w:marLeft w:val="0"/>
          <w:marRight w:val="0"/>
          <w:marTop w:val="0"/>
          <w:marBottom w:val="0"/>
          <w:divBdr>
            <w:top w:val="none" w:sz="0" w:space="0" w:color="auto"/>
            <w:left w:val="none" w:sz="0" w:space="0" w:color="auto"/>
            <w:bottom w:val="none" w:sz="0" w:space="0" w:color="auto"/>
            <w:right w:val="none" w:sz="0" w:space="0" w:color="auto"/>
          </w:divBdr>
          <w:divsChild>
            <w:div w:id="22730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36930">
      <w:bodyDiv w:val="1"/>
      <w:marLeft w:val="0"/>
      <w:marRight w:val="0"/>
      <w:marTop w:val="0"/>
      <w:marBottom w:val="0"/>
      <w:divBdr>
        <w:top w:val="none" w:sz="0" w:space="0" w:color="auto"/>
        <w:left w:val="none" w:sz="0" w:space="0" w:color="auto"/>
        <w:bottom w:val="none" w:sz="0" w:space="0" w:color="auto"/>
        <w:right w:val="none" w:sz="0" w:space="0" w:color="auto"/>
      </w:divBdr>
      <w:divsChild>
        <w:div w:id="1139572546">
          <w:marLeft w:val="0"/>
          <w:marRight w:val="0"/>
          <w:marTop w:val="0"/>
          <w:marBottom w:val="0"/>
          <w:divBdr>
            <w:top w:val="none" w:sz="0" w:space="0" w:color="auto"/>
            <w:left w:val="none" w:sz="0" w:space="0" w:color="auto"/>
            <w:bottom w:val="none" w:sz="0" w:space="0" w:color="auto"/>
            <w:right w:val="none" w:sz="0" w:space="0" w:color="auto"/>
          </w:divBdr>
          <w:divsChild>
            <w:div w:id="111471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180018">
      <w:bodyDiv w:val="1"/>
      <w:marLeft w:val="0"/>
      <w:marRight w:val="0"/>
      <w:marTop w:val="0"/>
      <w:marBottom w:val="0"/>
      <w:divBdr>
        <w:top w:val="none" w:sz="0" w:space="0" w:color="auto"/>
        <w:left w:val="none" w:sz="0" w:space="0" w:color="auto"/>
        <w:bottom w:val="none" w:sz="0" w:space="0" w:color="auto"/>
        <w:right w:val="none" w:sz="0" w:space="0" w:color="auto"/>
      </w:divBdr>
      <w:divsChild>
        <w:div w:id="1279409671">
          <w:marLeft w:val="0"/>
          <w:marRight w:val="0"/>
          <w:marTop w:val="0"/>
          <w:marBottom w:val="0"/>
          <w:divBdr>
            <w:top w:val="none" w:sz="0" w:space="0" w:color="auto"/>
            <w:left w:val="none" w:sz="0" w:space="0" w:color="auto"/>
            <w:bottom w:val="none" w:sz="0" w:space="0" w:color="auto"/>
            <w:right w:val="none" w:sz="0" w:space="0" w:color="auto"/>
          </w:divBdr>
        </w:div>
      </w:divsChild>
    </w:div>
    <w:div w:id="993802787">
      <w:bodyDiv w:val="1"/>
      <w:marLeft w:val="0"/>
      <w:marRight w:val="0"/>
      <w:marTop w:val="0"/>
      <w:marBottom w:val="0"/>
      <w:divBdr>
        <w:top w:val="none" w:sz="0" w:space="0" w:color="auto"/>
        <w:left w:val="none" w:sz="0" w:space="0" w:color="auto"/>
        <w:bottom w:val="none" w:sz="0" w:space="0" w:color="auto"/>
        <w:right w:val="none" w:sz="0" w:space="0" w:color="auto"/>
      </w:divBdr>
    </w:div>
    <w:div w:id="994534657">
      <w:bodyDiv w:val="1"/>
      <w:marLeft w:val="0"/>
      <w:marRight w:val="0"/>
      <w:marTop w:val="0"/>
      <w:marBottom w:val="0"/>
      <w:divBdr>
        <w:top w:val="none" w:sz="0" w:space="0" w:color="auto"/>
        <w:left w:val="none" w:sz="0" w:space="0" w:color="auto"/>
        <w:bottom w:val="none" w:sz="0" w:space="0" w:color="auto"/>
        <w:right w:val="none" w:sz="0" w:space="0" w:color="auto"/>
      </w:divBdr>
      <w:divsChild>
        <w:div w:id="1207639284">
          <w:marLeft w:val="0"/>
          <w:marRight w:val="0"/>
          <w:marTop w:val="0"/>
          <w:marBottom w:val="0"/>
          <w:divBdr>
            <w:top w:val="none" w:sz="0" w:space="0" w:color="auto"/>
            <w:left w:val="none" w:sz="0" w:space="0" w:color="auto"/>
            <w:bottom w:val="none" w:sz="0" w:space="0" w:color="auto"/>
            <w:right w:val="none" w:sz="0" w:space="0" w:color="auto"/>
          </w:divBdr>
          <w:divsChild>
            <w:div w:id="879366961">
              <w:marLeft w:val="0"/>
              <w:marRight w:val="0"/>
              <w:marTop w:val="0"/>
              <w:marBottom w:val="0"/>
              <w:divBdr>
                <w:top w:val="none" w:sz="0" w:space="0" w:color="auto"/>
                <w:left w:val="none" w:sz="0" w:space="0" w:color="auto"/>
                <w:bottom w:val="none" w:sz="0" w:space="0" w:color="auto"/>
                <w:right w:val="none" w:sz="0" w:space="0" w:color="auto"/>
              </w:divBdr>
              <w:divsChild>
                <w:div w:id="176857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363006">
      <w:bodyDiv w:val="1"/>
      <w:marLeft w:val="0"/>
      <w:marRight w:val="0"/>
      <w:marTop w:val="0"/>
      <w:marBottom w:val="0"/>
      <w:divBdr>
        <w:top w:val="none" w:sz="0" w:space="0" w:color="auto"/>
        <w:left w:val="none" w:sz="0" w:space="0" w:color="auto"/>
        <w:bottom w:val="none" w:sz="0" w:space="0" w:color="auto"/>
        <w:right w:val="none" w:sz="0" w:space="0" w:color="auto"/>
      </w:divBdr>
      <w:divsChild>
        <w:div w:id="15884360">
          <w:marLeft w:val="0"/>
          <w:marRight w:val="0"/>
          <w:marTop w:val="0"/>
          <w:marBottom w:val="0"/>
          <w:divBdr>
            <w:top w:val="none" w:sz="0" w:space="0" w:color="auto"/>
            <w:left w:val="none" w:sz="0" w:space="0" w:color="auto"/>
            <w:bottom w:val="none" w:sz="0" w:space="0" w:color="auto"/>
            <w:right w:val="none" w:sz="0" w:space="0" w:color="auto"/>
          </w:divBdr>
          <w:divsChild>
            <w:div w:id="990407491">
              <w:marLeft w:val="0"/>
              <w:marRight w:val="0"/>
              <w:marTop w:val="0"/>
              <w:marBottom w:val="0"/>
              <w:divBdr>
                <w:top w:val="none" w:sz="0" w:space="0" w:color="auto"/>
                <w:left w:val="none" w:sz="0" w:space="0" w:color="auto"/>
                <w:bottom w:val="none" w:sz="0" w:space="0" w:color="auto"/>
                <w:right w:val="none" w:sz="0" w:space="0" w:color="auto"/>
              </w:divBdr>
              <w:divsChild>
                <w:div w:id="103678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342986">
      <w:bodyDiv w:val="1"/>
      <w:marLeft w:val="0"/>
      <w:marRight w:val="0"/>
      <w:marTop w:val="0"/>
      <w:marBottom w:val="0"/>
      <w:divBdr>
        <w:top w:val="none" w:sz="0" w:space="0" w:color="auto"/>
        <w:left w:val="none" w:sz="0" w:space="0" w:color="auto"/>
        <w:bottom w:val="none" w:sz="0" w:space="0" w:color="auto"/>
        <w:right w:val="none" w:sz="0" w:space="0" w:color="auto"/>
      </w:divBdr>
    </w:div>
    <w:div w:id="1021395950">
      <w:bodyDiv w:val="1"/>
      <w:marLeft w:val="0"/>
      <w:marRight w:val="0"/>
      <w:marTop w:val="0"/>
      <w:marBottom w:val="0"/>
      <w:divBdr>
        <w:top w:val="none" w:sz="0" w:space="0" w:color="auto"/>
        <w:left w:val="none" w:sz="0" w:space="0" w:color="auto"/>
        <w:bottom w:val="none" w:sz="0" w:space="0" w:color="auto"/>
        <w:right w:val="none" w:sz="0" w:space="0" w:color="auto"/>
      </w:divBdr>
    </w:div>
    <w:div w:id="1032927022">
      <w:bodyDiv w:val="1"/>
      <w:marLeft w:val="0"/>
      <w:marRight w:val="0"/>
      <w:marTop w:val="0"/>
      <w:marBottom w:val="0"/>
      <w:divBdr>
        <w:top w:val="none" w:sz="0" w:space="0" w:color="auto"/>
        <w:left w:val="none" w:sz="0" w:space="0" w:color="auto"/>
        <w:bottom w:val="none" w:sz="0" w:space="0" w:color="auto"/>
        <w:right w:val="none" w:sz="0" w:space="0" w:color="auto"/>
      </w:divBdr>
    </w:div>
    <w:div w:id="1036084336">
      <w:bodyDiv w:val="1"/>
      <w:marLeft w:val="0"/>
      <w:marRight w:val="0"/>
      <w:marTop w:val="0"/>
      <w:marBottom w:val="0"/>
      <w:divBdr>
        <w:top w:val="none" w:sz="0" w:space="0" w:color="auto"/>
        <w:left w:val="none" w:sz="0" w:space="0" w:color="auto"/>
        <w:bottom w:val="none" w:sz="0" w:space="0" w:color="auto"/>
        <w:right w:val="none" w:sz="0" w:space="0" w:color="auto"/>
      </w:divBdr>
      <w:divsChild>
        <w:div w:id="1923491451">
          <w:marLeft w:val="0"/>
          <w:marRight w:val="0"/>
          <w:marTop w:val="0"/>
          <w:marBottom w:val="0"/>
          <w:divBdr>
            <w:top w:val="none" w:sz="0" w:space="0" w:color="auto"/>
            <w:left w:val="none" w:sz="0" w:space="0" w:color="auto"/>
            <w:bottom w:val="none" w:sz="0" w:space="0" w:color="auto"/>
            <w:right w:val="none" w:sz="0" w:space="0" w:color="auto"/>
          </w:divBdr>
        </w:div>
      </w:divsChild>
    </w:div>
    <w:div w:id="1040321716">
      <w:bodyDiv w:val="1"/>
      <w:marLeft w:val="0"/>
      <w:marRight w:val="0"/>
      <w:marTop w:val="0"/>
      <w:marBottom w:val="0"/>
      <w:divBdr>
        <w:top w:val="none" w:sz="0" w:space="0" w:color="auto"/>
        <w:left w:val="none" w:sz="0" w:space="0" w:color="auto"/>
        <w:bottom w:val="none" w:sz="0" w:space="0" w:color="auto"/>
        <w:right w:val="none" w:sz="0" w:space="0" w:color="auto"/>
      </w:divBdr>
      <w:divsChild>
        <w:div w:id="1682857175">
          <w:marLeft w:val="0"/>
          <w:marRight w:val="0"/>
          <w:marTop w:val="0"/>
          <w:marBottom w:val="0"/>
          <w:divBdr>
            <w:top w:val="none" w:sz="0" w:space="0" w:color="auto"/>
            <w:left w:val="none" w:sz="0" w:space="0" w:color="auto"/>
            <w:bottom w:val="none" w:sz="0" w:space="0" w:color="auto"/>
            <w:right w:val="none" w:sz="0" w:space="0" w:color="auto"/>
          </w:divBdr>
          <w:divsChild>
            <w:div w:id="152282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42526">
      <w:bodyDiv w:val="1"/>
      <w:marLeft w:val="0"/>
      <w:marRight w:val="0"/>
      <w:marTop w:val="0"/>
      <w:marBottom w:val="0"/>
      <w:divBdr>
        <w:top w:val="none" w:sz="0" w:space="0" w:color="auto"/>
        <w:left w:val="none" w:sz="0" w:space="0" w:color="auto"/>
        <w:bottom w:val="none" w:sz="0" w:space="0" w:color="auto"/>
        <w:right w:val="none" w:sz="0" w:space="0" w:color="auto"/>
      </w:divBdr>
      <w:divsChild>
        <w:div w:id="1086456794">
          <w:marLeft w:val="0"/>
          <w:marRight w:val="0"/>
          <w:marTop w:val="0"/>
          <w:marBottom w:val="0"/>
          <w:divBdr>
            <w:top w:val="none" w:sz="0" w:space="0" w:color="auto"/>
            <w:left w:val="none" w:sz="0" w:space="0" w:color="auto"/>
            <w:bottom w:val="none" w:sz="0" w:space="0" w:color="auto"/>
            <w:right w:val="none" w:sz="0" w:space="0" w:color="auto"/>
          </w:divBdr>
          <w:divsChild>
            <w:div w:id="27652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79760">
      <w:bodyDiv w:val="1"/>
      <w:marLeft w:val="0"/>
      <w:marRight w:val="0"/>
      <w:marTop w:val="0"/>
      <w:marBottom w:val="0"/>
      <w:divBdr>
        <w:top w:val="none" w:sz="0" w:space="0" w:color="auto"/>
        <w:left w:val="none" w:sz="0" w:space="0" w:color="auto"/>
        <w:bottom w:val="none" w:sz="0" w:space="0" w:color="auto"/>
        <w:right w:val="none" w:sz="0" w:space="0" w:color="auto"/>
      </w:divBdr>
    </w:div>
    <w:div w:id="1058942419">
      <w:bodyDiv w:val="1"/>
      <w:marLeft w:val="0"/>
      <w:marRight w:val="0"/>
      <w:marTop w:val="0"/>
      <w:marBottom w:val="0"/>
      <w:divBdr>
        <w:top w:val="none" w:sz="0" w:space="0" w:color="auto"/>
        <w:left w:val="none" w:sz="0" w:space="0" w:color="auto"/>
        <w:bottom w:val="none" w:sz="0" w:space="0" w:color="auto"/>
        <w:right w:val="none" w:sz="0" w:space="0" w:color="auto"/>
      </w:divBdr>
      <w:divsChild>
        <w:div w:id="540477819">
          <w:marLeft w:val="0"/>
          <w:marRight w:val="0"/>
          <w:marTop w:val="0"/>
          <w:marBottom w:val="0"/>
          <w:divBdr>
            <w:top w:val="none" w:sz="0" w:space="0" w:color="auto"/>
            <w:left w:val="none" w:sz="0" w:space="0" w:color="auto"/>
            <w:bottom w:val="none" w:sz="0" w:space="0" w:color="auto"/>
            <w:right w:val="none" w:sz="0" w:space="0" w:color="auto"/>
          </w:divBdr>
          <w:divsChild>
            <w:div w:id="55917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10225">
      <w:bodyDiv w:val="1"/>
      <w:marLeft w:val="0"/>
      <w:marRight w:val="0"/>
      <w:marTop w:val="0"/>
      <w:marBottom w:val="0"/>
      <w:divBdr>
        <w:top w:val="none" w:sz="0" w:space="0" w:color="auto"/>
        <w:left w:val="none" w:sz="0" w:space="0" w:color="auto"/>
        <w:bottom w:val="none" w:sz="0" w:space="0" w:color="auto"/>
        <w:right w:val="none" w:sz="0" w:space="0" w:color="auto"/>
      </w:divBdr>
      <w:divsChild>
        <w:div w:id="1704285965">
          <w:marLeft w:val="0"/>
          <w:marRight w:val="0"/>
          <w:marTop w:val="0"/>
          <w:marBottom w:val="0"/>
          <w:divBdr>
            <w:top w:val="none" w:sz="0" w:space="0" w:color="auto"/>
            <w:left w:val="none" w:sz="0" w:space="0" w:color="auto"/>
            <w:bottom w:val="none" w:sz="0" w:space="0" w:color="auto"/>
            <w:right w:val="none" w:sz="0" w:space="0" w:color="auto"/>
          </w:divBdr>
          <w:divsChild>
            <w:div w:id="172964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09860">
      <w:bodyDiv w:val="1"/>
      <w:marLeft w:val="0"/>
      <w:marRight w:val="0"/>
      <w:marTop w:val="0"/>
      <w:marBottom w:val="0"/>
      <w:divBdr>
        <w:top w:val="none" w:sz="0" w:space="0" w:color="auto"/>
        <w:left w:val="none" w:sz="0" w:space="0" w:color="auto"/>
        <w:bottom w:val="none" w:sz="0" w:space="0" w:color="auto"/>
        <w:right w:val="none" w:sz="0" w:space="0" w:color="auto"/>
      </w:divBdr>
      <w:divsChild>
        <w:div w:id="291331287">
          <w:marLeft w:val="0"/>
          <w:marRight w:val="0"/>
          <w:marTop w:val="0"/>
          <w:marBottom w:val="0"/>
          <w:divBdr>
            <w:top w:val="none" w:sz="0" w:space="0" w:color="auto"/>
            <w:left w:val="none" w:sz="0" w:space="0" w:color="auto"/>
            <w:bottom w:val="none" w:sz="0" w:space="0" w:color="auto"/>
            <w:right w:val="none" w:sz="0" w:space="0" w:color="auto"/>
          </w:divBdr>
          <w:divsChild>
            <w:div w:id="200612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76843">
      <w:bodyDiv w:val="1"/>
      <w:marLeft w:val="0"/>
      <w:marRight w:val="0"/>
      <w:marTop w:val="0"/>
      <w:marBottom w:val="0"/>
      <w:divBdr>
        <w:top w:val="none" w:sz="0" w:space="0" w:color="auto"/>
        <w:left w:val="none" w:sz="0" w:space="0" w:color="auto"/>
        <w:bottom w:val="none" w:sz="0" w:space="0" w:color="auto"/>
        <w:right w:val="none" w:sz="0" w:space="0" w:color="auto"/>
      </w:divBdr>
    </w:div>
    <w:div w:id="1074207853">
      <w:bodyDiv w:val="1"/>
      <w:marLeft w:val="0"/>
      <w:marRight w:val="0"/>
      <w:marTop w:val="0"/>
      <w:marBottom w:val="0"/>
      <w:divBdr>
        <w:top w:val="none" w:sz="0" w:space="0" w:color="auto"/>
        <w:left w:val="none" w:sz="0" w:space="0" w:color="auto"/>
        <w:bottom w:val="none" w:sz="0" w:space="0" w:color="auto"/>
        <w:right w:val="none" w:sz="0" w:space="0" w:color="auto"/>
      </w:divBdr>
    </w:div>
    <w:div w:id="1075011116">
      <w:bodyDiv w:val="1"/>
      <w:marLeft w:val="0"/>
      <w:marRight w:val="0"/>
      <w:marTop w:val="0"/>
      <w:marBottom w:val="0"/>
      <w:divBdr>
        <w:top w:val="none" w:sz="0" w:space="0" w:color="auto"/>
        <w:left w:val="none" w:sz="0" w:space="0" w:color="auto"/>
        <w:bottom w:val="none" w:sz="0" w:space="0" w:color="auto"/>
        <w:right w:val="none" w:sz="0" w:space="0" w:color="auto"/>
      </w:divBdr>
      <w:divsChild>
        <w:div w:id="1967662828">
          <w:marLeft w:val="0"/>
          <w:marRight w:val="0"/>
          <w:marTop w:val="0"/>
          <w:marBottom w:val="0"/>
          <w:divBdr>
            <w:top w:val="none" w:sz="0" w:space="0" w:color="auto"/>
            <w:left w:val="none" w:sz="0" w:space="0" w:color="auto"/>
            <w:bottom w:val="none" w:sz="0" w:space="0" w:color="auto"/>
            <w:right w:val="none" w:sz="0" w:space="0" w:color="auto"/>
          </w:divBdr>
          <w:divsChild>
            <w:div w:id="22290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68465">
      <w:bodyDiv w:val="1"/>
      <w:marLeft w:val="0"/>
      <w:marRight w:val="0"/>
      <w:marTop w:val="0"/>
      <w:marBottom w:val="0"/>
      <w:divBdr>
        <w:top w:val="none" w:sz="0" w:space="0" w:color="auto"/>
        <w:left w:val="none" w:sz="0" w:space="0" w:color="auto"/>
        <w:bottom w:val="none" w:sz="0" w:space="0" w:color="auto"/>
        <w:right w:val="none" w:sz="0" w:space="0" w:color="auto"/>
      </w:divBdr>
      <w:divsChild>
        <w:div w:id="1059204391">
          <w:marLeft w:val="0"/>
          <w:marRight w:val="0"/>
          <w:marTop w:val="0"/>
          <w:marBottom w:val="0"/>
          <w:divBdr>
            <w:top w:val="none" w:sz="0" w:space="0" w:color="auto"/>
            <w:left w:val="none" w:sz="0" w:space="0" w:color="auto"/>
            <w:bottom w:val="none" w:sz="0" w:space="0" w:color="auto"/>
            <w:right w:val="none" w:sz="0" w:space="0" w:color="auto"/>
          </w:divBdr>
        </w:div>
      </w:divsChild>
    </w:div>
    <w:div w:id="1084179821">
      <w:bodyDiv w:val="1"/>
      <w:marLeft w:val="0"/>
      <w:marRight w:val="0"/>
      <w:marTop w:val="0"/>
      <w:marBottom w:val="0"/>
      <w:divBdr>
        <w:top w:val="none" w:sz="0" w:space="0" w:color="auto"/>
        <w:left w:val="none" w:sz="0" w:space="0" w:color="auto"/>
        <w:bottom w:val="none" w:sz="0" w:space="0" w:color="auto"/>
        <w:right w:val="none" w:sz="0" w:space="0" w:color="auto"/>
      </w:divBdr>
      <w:divsChild>
        <w:div w:id="1487819667">
          <w:marLeft w:val="0"/>
          <w:marRight w:val="0"/>
          <w:marTop w:val="0"/>
          <w:marBottom w:val="0"/>
          <w:divBdr>
            <w:top w:val="none" w:sz="0" w:space="0" w:color="auto"/>
            <w:left w:val="none" w:sz="0" w:space="0" w:color="auto"/>
            <w:bottom w:val="none" w:sz="0" w:space="0" w:color="auto"/>
            <w:right w:val="none" w:sz="0" w:space="0" w:color="auto"/>
          </w:divBdr>
          <w:divsChild>
            <w:div w:id="21254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575041">
      <w:bodyDiv w:val="1"/>
      <w:marLeft w:val="0"/>
      <w:marRight w:val="0"/>
      <w:marTop w:val="0"/>
      <w:marBottom w:val="0"/>
      <w:divBdr>
        <w:top w:val="none" w:sz="0" w:space="0" w:color="auto"/>
        <w:left w:val="none" w:sz="0" w:space="0" w:color="auto"/>
        <w:bottom w:val="none" w:sz="0" w:space="0" w:color="auto"/>
        <w:right w:val="none" w:sz="0" w:space="0" w:color="auto"/>
      </w:divBdr>
    </w:div>
    <w:div w:id="1086419151">
      <w:bodyDiv w:val="1"/>
      <w:marLeft w:val="0"/>
      <w:marRight w:val="0"/>
      <w:marTop w:val="0"/>
      <w:marBottom w:val="0"/>
      <w:divBdr>
        <w:top w:val="none" w:sz="0" w:space="0" w:color="auto"/>
        <w:left w:val="none" w:sz="0" w:space="0" w:color="auto"/>
        <w:bottom w:val="none" w:sz="0" w:space="0" w:color="auto"/>
        <w:right w:val="none" w:sz="0" w:space="0" w:color="auto"/>
      </w:divBdr>
    </w:div>
    <w:div w:id="1088846556">
      <w:bodyDiv w:val="1"/>
      <w:marLeft w:val="0"/>
      <w:marRight w:val="0"/>
      <w:marTop w:val="0"/>
      <w:marBottom w:val="0"/>
      <w:divBdr>
        <w:top w:val="none" w:sz="0" w:space="0" w:color="auto"/>
        <w:left w:val="none" w:sz="0" w:space="0" w:color="auto"/>
        <w:bottom w:val="none" w:sz="0" w:space="0" w:color="auto"/>
        <w:right w:val="none" w:sz="0" w:space="0" w:color="auto"/>
      </w:divBdr>
      <w:divsChild>
        <w:div w:id="1664509957">
          <w:marLeft w:val="0"/>
          <w:marRight w:val="0"/>
          <w:marTop w:val="0"/>
          <w:marBottom w:val="0"/>
          <w:divBdr>
            <w:top w:val="none" w:sz="0" w:space="0" w:color="auto"/>
            <w:left w:val="none" w:sz="0" w:space="0" w:color="auto"/>
            <w:bottom w:val="none" w:sz="0" w:space="0" w:color="auto"/>
            <w:right w:val="none" w:sz="0" w:space="0" w:color="auto"/>
          </w:divBdr>
        </w:div>
      </w:divsChild>
    </w:div>
    <w:div w:id="1095634104">
      <w:bodyDiv w:val="1"/>
      <w:marLeft w:val="0"/>
      <w:marRight w:val="0"/>
      <w:marTop w:val="0"/>
      <w:marBottom w:val="0"/>
      <w:divBdr>
        <w:top w:val="none" w:sz="0" w:space="0" w:color="auto"/>
        <w:left w:val="none" w:sz="0" w:space="0" w:color="auto"/>
        <w:bottom w:val="none" w:sz="0" w:space="0" w:color="auto"/>
        <w:right w:val="none" w:sz="0" w:space="0" w:color="auto"/>
      </w:divBdr>
    </w:div>
    <w:div w:id="1108545785">
      <w:bodyDiv w:val="1"/>
      <w:marLeft w:val="0"/>
      <w:marRight w:val="0"/>
      <w:marTop w:val="0"/>
      <w:marBottom w:val="0"/>
      <w:divBdr>
        <w:top w:val="none" w:sz="0" w:space="0" w:color="auto"/>
        <w:left w:val="none" w:sz="0" w:space="0" w:color="auto"/>
        <w:bottom w:val="none" w:sz="0" w:space="0" w:color="auto"/>
        <w:right w:val="none" w:sz="0" w:space="0" w:color="auto"/>
      </w:divBdr>
    </w:div>
    <w:div w:id="1108964487">
      <w:bodyDiv w:val="1"/>
      <w:marLeft w:val="0"/>
      <w:marRight w:val="0"/>
      <w:marTop w:val="0"/>
      <w:marBottom w:val="0"/>
      <w:divBdr>
        <w:top w:val="none" w:sz="0" w:space="0" w:color="auto"/>
        <w:left w:val="none" w:sz="0" w:space="0" w:color="auto"/>
        <w:bottom w:val="none" w:sz="0" w:space="0" w:color="auto"/>
        <w:right w:val="none" w:sz="0" w:space="0" w:color="auto"/>
      </w:divBdr>
      <w:divsChild>
        <w:div w:id="1824076732">
          <w:marLeft w:val="0"/>
          <w:marRight w:val="0"/>
          <w:marTop w:val="0"/>
          <w:marBottom w:val="0"/>
          <w:divBdr>
            <w:top w:val="none" w:sz="0" w:space="0" w:color="auto"/>
            <w:left w:val="none" w:sz="0" w:space="0" w:color="auto"/>
            <w:bottom w:val="none" w:sz="0" w:space="0" w:color="auto"/>
            <w:right w:val="none" w:sz="0" w:space="0" w:color="auto"/>
          </w:divBdr>
        </w:div>
      </w:divsChild>
    </w:div>
    <w:div w:id="1114011982">
      <w:bodyDiv w:val="1"/>
      <w:marLeft w:val="0"/>
      <w:marRight w:val="0"/>
      <w:marTop w:val="0"/>
      <w:marBottom w:val="0"/>
      <w:divBdr>
        <w:top w:val="none" w:sz="0" w:space="0" w:color="auto"/>
        <w:left w:val="none" w:sz="0" w:space="0" w:color="auto"/>
        <w:bottom w:val="none" w:sz="0" w:space="0" w:color="auto"/>
        <w:right w:val="none" w:sz="0" w:space="0" w:color="auto"/>
      </w:divBdr>
    </w:div>
    <w:div w:id="1114062467">
      <w:bodyDiv w:val="1"/>
      <w:marLeft w:val="0"/>
      <w:marRight w:val="0"/>
      <w:marTop w:val="0"/>
      <w:marBottom w:val="0"/>
      <w:divBdr>
        <w:top w:val="none" w:sz="0" w:space="0" w:color="auto"/>
        <w:left w:val="none" w:sz="0" w:space="0" w:color="auto"/>
        <w:bottom w:val="none" w:sz="0" w:space="0" w:color="auto"/>
        <w:right w:val="none" w:sz="0" w:space="0" w:color="auto"/>
      </w:divBdr>
      <w:divsChild>
        <w:div w:id="1301882631">
          <w:marLeft w:val="0"/>
          <w:marRight w:val="0"/>
          <w:marTop w:val="0"/>
          <w:marBottom w:val="0"/>
          <w:divBdr>
            <w:top w:val="none" w:sz="0" w:space="0" w:color="auto"/>
            <w:left w:val="none" w:sz="0" w:space="0" w:color="auto"/>
            <w:bottom w:val="none" w:sz="0" w:space="0" w:color="auto"/>
            <w:right w:val="none" w:sz="0" w:space="0" w:color="auto"/>
          </w:divBdr>
          <w:divsChild>
            <w:div w:id="194688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95256">
      <w:bodyDiv w:val="1"/>
      <w:marLeft w:val="0"/>
      <w:marRight w:val="0"/>
      <w:marTop w:val="0"/>
      <w:marBottom w:val="0"/>
      <w:divBdr>
        <w:top w:val="none" w:sz="0" w:space="0" w:color="auto"/>
        <w:left w:val="none" w:sz="0" w:space="0" w:color="auto"/>
        <w:bottom w:val="none" w:sz="0" w:space="0" w:color="auto"/>
        <w:right w:val="none" w:sz="0" w:space="0" w:color="auto"/>
      </w:divBdr>
    </w:div>
    <w:div w:id="1121801200">
      <w:bodyDiv w:val="1"/>
      <w:marLeft w:val="0"/>
      <w:marRight w:val="0"/>
      <w:marTop w:val="0"/>
      <w:marBottom w:val="0"/>
      <w:divBdr>
        <w:top w:val="none" w:sz="0" w:space="0" w:color="auto"/>
        <w:left w:val="none" w:sz="0" w:space="0" w:color="auto"/>
        <w:bottom w:val="none" w:sz="0" w:space="0" w:color="auto"/>
        <w:right w:val="none" w:sz="0" w:space="0" w:color="auto"/>
      </w:divBdr>
    </w:div>
    <w:div w:id="1131677917">
      <w:bodyDiv w:val="1"/>
      <w:marLeft w:val="0"/>
      <w:marRight w:val="0"/>
      <w:marTop w:val="0"/>
      <w:marBottom w:val="0"/>
      <w:divBdr>
        <w:top w:val="none" w:sz="0" w:space="0" w:color="auto"/>
        <w:left w:val="none" w:sz="0" w:space="0" w:color="auto"/>
        <w:bottom w:val="none" w:sz="0" w:space="0" w:color="auto"/>
        <w:right w:val="none" w:sz="0" w:space="0" w:color="auto"/>
      </w:divBdr>
    </w:div>
    <w:div w:id="1141727387">
      <w:bodyDiv w:val="1"/>
      <w:marLeft w:val="0"/>
      <w:marRight w:val="0"/>
      <w:marTop w:val="0"/>
      <w:marBottom w:val="0"/>
      <w:divBdr>
        <w:top w:val="none" w:sz="0" w:space="0" w:color="auto"/>
        <w:left w:val="none" w:sz="0" w:space="0" w:color="auto"/>
        <w:bottom w:val="none" w:sz="0" w:space="0" w:color="auto"/>
        <w:right w:val="none" w:sz="0" w:space="0" w:color="auto"/>
      </w:divBdr>
      <w:divsChild>
        <w:div w:id="1620914374">
          <w:marLeft w:val="0"/>
          <w:marRight w:val="0"/>
          <w:marTop w:val="0"/>
          <w:marBottom w:val="0"/>
          <w:divBdr>
            <w:top w:val="none" w:sz="0" w:space="0" w:color="auto"/>
            <w:left w:val="none" w:sz="0" w:space="0" w:color="auto"/>
            <w:bottom w:val="none" w:sz="0" w:space="0" w:color="auto"/>
            <w:right w:val="none" w:sz="0" w:space="0" w:color="auto"/>
          </w:divBdr>
          <w:divsChild>
            <w:div w:id="669061460">
              <w:marLeft w:val="0"/>
              <w:marRight w:val="0"/>
              <w:marTop w:val="0"/>
              <w:marBottom w:val="0"/>
              <w:divBdr>
                <w:top w:val="none" w:sz="0" w:space="0" w:color="auto"/>
                <w:left w:val="none" w:sz="0" w:space="0" w:color="auto"/>
                <w:bottom w:val="none" w:sz="0" w:space="0" w:color="auto"/>
                <w:right w:val="none" w:sz="0" w:space="0" w:color="auto"/>
              </w:divBdr>
              <w:divsChild>
                <w:div w:id="83048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624438">
      <w:bodyDiv w:val="1"/>
      <w:marLeft w:val="0"/>
      <w:marRight w:val="0"/>
      <w:marTop w:val="0"/>
      <w:marBottom w:val="0"/>
      <w:divBdr>
        <w:top w:val="none" w:sz="0" w:space="0" w:color="auto"/>
        <w:left w:val="none" w:sz="0" w:space="0" w:color="auto"/>
        <w:bottom w:val="none" w:sz="0" w:space="0" w:color="auto"/>
        <w:right w:val="none" w:sz="0" w:space="0" w:color="auto"/>
      </w:divBdr>
      <w:divsChild>
        <w:div w:id="1881431442">
          <w:marLeft w:val="0"/>
          <w:marRight w:val="0"/>
          <w:marTop w:val="0"/>
          <w:marBottom w:val="0"/>
          <w:divBdr>
            <w:top w:val="none" w:sz="0" w:space="0" w:color="auto"/>
            <w:left w:val="none" w:sz="0" w:space="0" w:color="auto"/>
            <w:bottom w:val="none" w:sz="0" w:space="0" w:color="auto"/>
            <w:right w:val="none" w:sz="0" w:space="0" w:color="auto"/>
          </w:divBdr>
          <w:divsChild>
            <w:div w:id="1751542291">
              <w:marLeft w:val="235"/>
              <w:marRight w:val="235"/>
              <w:marTop w:val="78"/>
              <w:marBottom w:val="157"/>
              <w:divBdr>
                <w:top w:val="single" w:sz="6" w:space="6" w:color="CCCCCC"/>
                <w:left w:val="single" w:sz="6" w:space="6" w:color="CCCCCC"/>
                <w:bottom w:val="single" w:sz="6" w:space="6" w:color="CCCCCC"/>
                <w:right w:val="single" w:sz="6" w:space="6" w:color="CCCCCC"/>
              </w:divBdr>
              <w:divsChild>
                <w:div w:id="114920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980740">
      <w:bodyDiv w:val="1"/>
      <w:marLeft w:val="0"/>
      <w:marRight w:val="0"/>
      <w:marTop w:val="0"/>
      <w:marBottom w:val="0"/>
      <w:divBdr>
        <w:top w:val="none" w:sz="0" w:space="0" w:color="auto"/>
        <w:left w:val="none" w:sz="0" w:space="0" w:color="auto"/>
        <w:bottom w:val="none" w:sz="0" w:space="0" w:color="auto"/>
        <w:right w:val="none" w:sz="0" w:space="0" w:color="auto"/>
      </w:divBdr>
    </w:div>
    <w:div w:id="1158957299">
      <w:bodyDiv w:val="1"/>
      <w:marLeft w:val="0"/>
      <w:marRight w:val="0"/>
      <w:marTop w:val="0"/>
      <w:marBottom w:val="0"/>
      <w:divBdr>
        <w:top w:val="none" w:sz="0" w:space="0" w:color="auto"/>
        <w:left w:val="none" w:sz="0" w:space="0" w:color="auto"/>
        <w:bottom w:val="none" w:sz="0" w:space="0" w:color="auto"/>
        <w:right w:val="none" w:sz="0" w:space="0" w:color="auto"/>
      </w:divBdr>
    </w:div>
    <w:div w:id="1161237459">
      <w:bodyDiv w:val="1"/>
      <w:marLeft w:val="0"/>
      <w:marRight w:val="0"/>
      <w:marTop w:val="0"/>
      <w:marBottom w:val="0"/>
      <w:divBdr>
        <w:top w:val="none" w:sz="0" w:space="0" w:color="auto"/>
        <w:left w:val="none" w:sz="0" w:space="0" w:color="auto"/>
        <w:bottom w:val="none" w:sz="0" w:space="0" w:color="auto"/>
        <w:right w:val="none" w:sz="0" w:space="0" w:color="auto"/>
      </w:divBdr>
    </w:div>
    <w:div w:id="1169633002">
      <w:bodyDiv w:val="1"/>
      <w:marLeft w:val="0"/>
      <w:marRight w:val="0"/>
      <w:marTop w:val="0"/>
      <w:marBottom w:val="0"/>
      <w:divBdr>
        <w:top w:val="none" w:sz="0" w:space="0" w:color="auto"/>
        <w:left w:val="none" w:sz="0" w:space="0" w:color="auto"/>
        <w:bottom w:val="none" w:sz="0" w:space="0" w:color="auto"/>
        <w:right w:val="none" w:sz="0" w:space="0" w:color="auto"/>
      </w:divBdr>
      <w:divsChild>
        <w:div w:id="302934292">
          <w:marLeft w:val="0"/>
          <w:marRight w:val="0"/>
          <w:marTop w:val="0"/>
          <w:marBottom w:val="0"/>
          <w:divBdr>
            <w:top w:val="none" w:sz="0" w:space="0" w:color="auto"/>
            <w:left w:val="none" w:sz="0" w:space="0" w:color="auto"/>
            <w:bottom w:val="none" w:sz="0" w:space="0" w:color="auto"/>
            <w:right w:val="none" w:sz="0" w:space="0" w:color="auto"/>
          </w:divBdr>
          <w:divsChild>
            <w:div w:id="65576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28813">
      <w:bodyDiv w:val="1"/>
      <w:marLeft w:val="0"/>
      <w:marRight w:val="0"/>
      <w:marTop w:val="0"/>
      <w:marBottom w:val="0"/>
      <w:divBdr>
        <w:top w:val="none" w:sz="0" w:space="0" w:color="auto"/>
        <w:left w:val="none" w:sz="0" w:space="0" w:color="auto"/>
        <w:bottom w:val="none" w:sz="0" w:space="0" w:color="auto"/>
        <w:right w:val="none" w:sz="0" w:space="0" w:color="auto"/>
      </w:divBdr>
    </w:div>
    <w:div w:id="1173030544">
      <w:bodyDiv w:val="1"/>
      <w:marLeft w:val="0"/>
      <w:marRight w:val="0"/>
      <w:marTop w:val="0"/>
      <w:marBottom w:val="0"/>
      <w:divBdr>
        <w:top w:val="none" w:sz="0" w:space="0" w:color="auto"/>
        <w:left w:val="none" w:sz="0" w:space="0" w:color="auto"/>
        <w:bottom w:val="none" w:sz="0" w:space="0" w:color="auto"/>
        <w:right w:val="none" w:sz="0" w:space="0" w:color="auto"/>
      </w:divBdr>
    </w:div>
    <w:div w:id="1185362465">
      <w:bodyDiv w:val="1"/>
      <w:marLeft w:val="0"/>
      <w:marRight w:val="0"/>
      <w:marTop w:val="0"/>
      <w:marBottom w:val="0"/>
      <w:divBdr>
        <w:top w:val="none" w:sz="0" w:space="0" w:color="auto"/>
        <w:left w:val="none" w:sz="0" w:space="0" w:color="auto"/>
        <w:bottom w:val="none" w:sz="0" w:space="0" w:color="auto"/>
        <w:right w:val="none" w:sz="0" w:space="0" w:color="auto"/>
      </w:divBdr>
    </w:div>
    <w:div w:id="1186211319">
      <w:bodyDiv w:val="1"/>
      <w:marLeft w:val="0"/>
      <w:marRight w:val="0"/>
      <w:marTop w:val="0"/>
      <w:marBottom w:val="0"/>
      <w:divBdr>
        <w:top w:val="none" w:sz="0" w:space="0" w:color="auto"/>
        <w:left w:val="none" w:sz="0" w:space="0" w:color="auto"/>
        <w:bottom w:val="none" w:sz="0" w:space="0" w:color="auto"/>
        <w:right w:val="none" w:sz="0" w:space="0" w:color="auto"/>
      </w:divBdr>
    </w:div>
    <w:div w:id="1188331248">
      <w:bodyDiv w:val="1"/>
      <w:marLeft w:val="0"/>
      <w:marRight w:val="0"/>
      <w:marTop w:val="0"/>
      <w:marBottom w:val="0"/>
      <w:divBdr>
        <w:top w:val="none" w:sz="0" w:space="0" w:color="auto"/>
        <w:left w:val="none" w:sz="0" w:space="0" w:color="auto"/>
        <w:bottom w:val="none" w:sz="0" w:space="0" w:color="auto"/>
        <w:right w:val="none" w:sz="0" w:space="0" w:color="auto"/>
      </w:divBdr>
    </w:div>
    <w:div w:id="1188909137">
      <w:bodyDiv w:val="1"/>
      <w:marLeft w:val="0"/>
      <w:marRight w:val="0"/>
      <w:marTop w:val="0"/>
      <w:marBottom w:val="0"/>
      <w:divBdr>
        <w:top w:val="none" w:sz="0" w:space="0" w:color="auto"/>
        <w:left w:val="none" w:sz="0" w:space="0" w:color="auto"/>
        <w:bottom w:val="none" w:sz="0" w:space="0" w:color="auto"/>
        <w:right w:val="none" w:sz="0" w:space="0" w:color="auto"/>
      </w:divBdr>
      <w:divsChild>
        <w:div w:id="1929576810">
          <w:marLeft w:val="0"/>
          <w:marRight w:val="0"/>
          <w:marTop w:val="0"/>
          <w:marBottom w:val="0"/>
          <w:divBdr>
            <w:top w:val="none" w:sz="0" w:space="0" w:color="auto"/>
            <w:left w:val="none" w:sz="0" w:space="0" w:color="auto"/>
            <w:bottom w:val="none" w:sz="0" w:space="0" w:color="auto"/>
            <w:right w:val="none" w:sz="0" w:space="0" w:color="auto"/>
          </w:divBdr>
        </w:div>
      </w:divsChild>
    </w:div>
    <w:div w:id="1190608678">
      <w:bodyDiv w:val="1"/>
      <w:marLeft w:val="0"/>
      <w:marRight w:val="0"/>
      <w:marTop w:val="0"/>
      <w:marBottom w:val="0"/>
      <w:divBdr>
        <w:top w:val="none" w:sz="0" w:space="0" w:color="auto"/>
        <w:left w:val="none" w:sz="0" w:space="0" w:color="auto"/>
        <w:bottom w:val="none" w:sz="0" w:space="0" w:color="auto"/>
        <w:right w:val="none" w:sz="0" w:space="0" w:color="auto"/>
      </w:divBdr>
      <w:divsChild>
        <w:div w:id="362945029">
          <w:marLeft w:val="0"/>
          <w:marRight w:val="0"/>
          <w:marTop w:val="0"/>
          <w:marBottom w:val="0"/>
          <w:divBdr>
            <w:top w:val="none" w:sz="0" w:space="0" w:color="auto"/>
            <w:left w:val="none" w:sz="0" w:space="0" w:color="auto"/>
            <w:bottom w:val="none" w:sz="0" w:space="0" w:color="auto"/>
            <w:right w:val="none" w:sz="0" w:space="0" w:color="auto"/>
          </w:divBdr>
          <w:divsChild>
            <w:div w:id="145779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270736">
      <w:bodyDiv w:val="1"/>
      <w:marLeft w:val="0"/>
      <w:marRight w:val="0"/>
      <w:marTop w:val="0"/>
      <w:marBottom w:val="0"/>
      <w:divBdr>
        <w:top w:val="none" w:sz="0" w:space="0" w:color="auto"/>
        <w:left w:val="none" w:sz="0" w:space="0" w:color="auto"/>
        <w:bottom w:val="none" w:sz="0" w:space="0" w:color="auto"/>
        <w:right w:val="none" w:sz="0" w:space="0" w:color="auto"/>
      </w:divBdr>
      <w:divsChild>
        <w:div w:id="280693125">
          <w:marLeft w:val="0"/>
          <w:marRight w:val="0"/>
          <w:marTop w:val="0"/>
          <w:marBottom w:val="0"/>
          <w:divBdr>
            <w:top w:val="none" w:sz="0" w:space="0" w:color="auto"/>
            <w:left w:val="none" w:sz="0" w:space="0" w:color="auto"/>
            <w:bottom w:val="none" w:sz="0" w:space="0" w:color="auto"/>
            <w:right w:val="none" w:sz="0" w:space="0" w:color="auto"/>
          </w:divBdr>
          <w:divsChild>
            <w:div w:id="146033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657740">
      <w:bodyDiv w:val="1"/>
      <w:marLeft w:val="0"/>
      <w:marRight w:val="0"/>
      <w:marTop w:val="0"/>
      <w:marBottom w:val="0"/>
      <w:divBdr>
        <w:top w:val="none" w:sz="0" w:space="0" w:color="auto"/>
        <w:left w:val="none" w:sz="0" w:space="0" w:color="auto"/>
        <w:bottom w:val="none" w:sz="0" w:space="0" w:color="auto"/>
        <w:right w:val="none" w:sz="0" w:space="0" w:color="auto"/>
      </w:divBdr>
    </w:div>
    <w:div w:id="1208374741">
      <w:bodyDiv w:val="1"/>
      <w:marLeft w:val="0"/>
      <w:marRight w:val="0"/>
      <w:marTop w:val="0"/>
      <w:marBottom w:val="0"/>
      <w:divBdr>
        <w:top w:val="none" w:sz="0" w:space="0" w:color="auto"/>
        <w:left w:val="none" w:sz="0" w:space="0" w:color="auto"/>
        <w:bottom w:val="none" w:sz="0" w:space="0" w:color="auto"/>
        <w:right w:val="none" w:sz="0" w:space="0" w:color="auto"/>
      </w:divBdr>
    </w:div>
    <w:div w:id="1211499264">
      <w:bodyDiv w:val="1"/>
      <w:marLeft w:val="0"/>
      <w:marRight w:val="0"/>
      <w:marTop w:val="0"/>
      <w:marBottom w:val="0"/>
      <w:divBdr>
        <w:top w:val="none" w:sz="0" w:space="0" w:color="auto"/>
        <w:left w:val="none" w:sz="0" w:space="0" w:color="auto"/>
        <w:bottom w:val="none" w:sz="0" w:space="0" w:color="auto"/>
        <w:right w:val="none" w:sz="0" w:space="0" w:color="auto"/>
      </w:divBdr>
    </w:div>
    <w:div w:id="1213082844">
      <w:bodyDiv w:val="1"/>
      <w:marLeft w:val="0"/>
      <w:marRight w:val="0"/>
      <w:marTop w:val="0"/>
      <w:marBottom w:val="0"/>
      <w:divBdr>
        <w:top w:val="none" w:sz="0" w:space="0" w:color="auto"/>
        <w:left w:val="none" w:sz="0" w:space="0" w:color="auto"/>
        <w:bottom w:val="none" w:sz="0" w:space="0" w:color="auto"/>
        <w:right w:val="none" w:sz="0" w:space="0" w:color="auto"/>
      </w:divBdr>
    </w:div>
    <w:div w:id="1214075337">
      <w:bodyDiv w:val="1"/>
      <w:marLeft w:val="0"/>
      <w:marRight w:val="0"/>
      <w:marTop w:val="0"/>
      <w:marBottom w:val="0"/>
      <w:divBdr>
        <w:top w:val="none" w:sz="0" w:space="0" w:color="auto"/>
        <w:left w:val="none" w:sz="0" w:space="0" w:color="auto"/>
        <w:bottom w:val="none" w:sz="0" w:space="0" w:color="auto"/>
        <w:right w:val="none" w:sz="0" w:space="0" w:color="auto"/>
      </w:divBdr>
    </w:div>
    <w:div w:id="1214199135">
      <w:bodyDiv w:val="1"/>
      <w:marLeft w:val="0"/>
      <w:marRight w:val="0"/>
      <w:marTop w:val="0"/>
      <w:marBottom w:val="0"/>
      <w:divBdr>
        <w:top w:val="none" w:sz="0" w:space="0" w:color="auto"/>
        <w:left w:val="none" w:sz="0" w:space="0" w:color="auto"/>
        <w:bottom w:val="none" w:sz="0" w:space="0" w:color="auto"/>
        <w:right w:val="none" w:sz="0" w:space="0" w:color="auto"/>
      </w:divBdr>
      <w:divsChild>
        <w:div w:id="1228613933">
          <w:marLeft w:val="0"/>
          <w:marRight w:val="0"/>
          <w:marTop w:val="0"/>
          <w:marBottom w:val="0"/>
          <w:divBdr>
            <w:top w:val="none" w:sz="0" w:space="0" w:color="auto"/>
            <w:left w:val="none" w:sz="0" w:space="0" w:color="auto"/>
            <w:bottom w:val="none" w:sz="0" w:space="0" w:color="auto"/>
            <w:right w:val="none" w:sz="0" w:space="0" w:color="auto"/>
          </w:divBdr>
          <w:divsChild>
            <w:div w:id="213112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49705">
      <w:bodyDiv w:val="1"/>
      <w:marLeft w:val="0"/>
      <w:marRight w:val="0"/>
      <w:marTop w:val="0"/>
      <w:marBottom w:val="0"/>
      <w:divBdr>
        <w:top w:val="none" w:sz="0" w:space="0" w:color="auto"/>
        <w:left w:val="none" w:sz="0" w:space="0" w:color="auto"/>
        <w:bottom w:val="none" w:sz="0" w:space="0" w:color="auto"/>
        <w:right w:val="none" w:sz="0" w:space="0" w:color="auto"/>
      </w:divBdr>
    </w:div>
    <w:div w:id="1216619478">
      <w:bodyDiv w:val="1"/>
      <w:marLeft w:val="0"/>
      <w:marRight w:val="0"/>
      <w:marTop w:val="0"/>
      <w:marBottom w:val="0"/>
      <w:divBdr>
        <w:top w:val="none" w:sz="0" w:space="0" w:color="auto"/>
        <w:left w:val="none" w:sz="0" w:space="0" w:color="auto"/>
        <w:bottom w:val="none" w:sz="0" w:space="0" w:color="auto"/>
        <w:right w:val="none" w:sz="0" w:space="0" w:color="auto"/>
      </w:divBdr>
    </w:div>
    <w:div w:id="1223101528">
      <w:bodyDiv w:val="1"/>
      <w:marLeft w:val="0"/>
      <w:marRight w:val="0"/>
      <w:marTop w:val="0"/>
      <w:marBottom w:val="0"/>
      <w:divBdr>
        <w:top w:val="none" w:sz="0" w:space="0" w:color="auto"/>
        <w:left w:val="none" w:sz="0" w:space="0" w:color="auto"/>
        <w:bottom w:val="none" w:sz="0" w:space="0" w:color="auto"/>
        <w:right w:val="none" w:sz="0" w:space="0" w:color="auto"/>
      </w:divBdr>
      <w:divsChild>
        <w:div w:id="750080414">
          <w:marLeft w:val="0"/>
          <w:marRight w:val="0"/>
          <w:marTop w:val="0"/>
          <w:marBottom w:val="0"/>
          <w:divBdr>
            <w:top w:val="none" w:sz="0" w:space="0" w:color="auto"/>
            <w:left w:val="none" w:sz="0" w:space="0" w:color="auto"/>
            <w:bottom w:val="none" w:sz="0" w:space="0" w:color="auto"/>
            <w:right w:val="none" w:sz="0" w:space="0" w:color="auto"/>
          </w:divBdr>
          <w:divsChild>
            <w:div w:id="155674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91546">
      <w:bodyDiv w:val="1"/>
      <w:marLeft w:val="0"/>
      <w:marRight w:val="0"/>
      <w:marTop w:val="0"/>
      <w:marBottom w:val="0"/>
      <w:divBdr>
        <w:top w:val="none" w:sz="0" w:space="0" w:color="auto"/>
        <w:left w:val="none" w:sz="0" w:space="0" w:color="auto"/>
        <w:bottom w:val="none" w:sz="0" w:space="0" w:color="auto"/>
        <w:right w:val="none" w:sz="0" w:space="0" w:color="auto"/>
      </w:divBdr>
      <w:divsChild>
        <w:div w:id="245504627">
          <w:marLeft w:val="0"/>
          <w:marRight w:val="0"/>
          <w:marTop w:val="0"/>
          <w:marBottom w:val="0"/>
          <w:divBdr>
            <w:top w:val="none" w:sz="0" w:space="0" w:color="auto"/>
            <w:left w:val="none" w:sz="0" w:space="0" w:color="auto"/>
            <w:bottom w:val="none" w:sz="0" w:space="0" w:color="auto"/>
            <w:right w:val="none" w:sz="0" w:space="0" w:color="auto"/>
          </w:divBdr>
          <w:divsChild>
            <w:div w:id="19223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88860">
      <w:bodyDiv w:val="1"/>
      <w:marLeft w:val="0"/>
      <w:marRight w:val="0"/>
      <w:marTop w:val="0"/>
      <w:marBottom w:val="0"/>
      <w:divBdr>
        <w:top w:val="none" w:sz="0" w:space="0" w:color="auto"/>
        <w:left w:val="none" w:sz="0" w:space="0" w:color="auto"/>
        <w:bottom w:val="none" w:sz="0" w:space="0" w:color="auto"/>
        <w:right w:val="none" w:sz="0" w:space="0" w:color="auto"/>
      </w:divBdr>
    </w:div>
    <w:div w:id="1230265675">
      <w:bodyDiv w:val="1"/>
      <w:marLeft w:val="0"/>
      <w:marRight w:val="0"/>
      <w:marTop w:val="0"/>
      <w:marBottom w:val="0"/>
      <w:divBdr>
        <w:top w:val="none" w:sz="0" w:space="0" w:color="auto"/>
        <w:left w:val="none" w:sz="0" w:space="0" w:color="auto"/>
        <w:bottom w:val="none" w:sz="0" w:space="0" w:color="auto"/>
        <w:right w:val="none" w:sz="0" w:space="0" w:color="auto"/>
      </w:divBdr>
    </w:div>
    <w:div w:id="1242834862">
      <w:bodyDiv w:val="1"/>
      <w:marLeft w:val="0"/>
      <w:marRight w:val="0"/>
      <w:marTop w:val="0"/>
      <w:marBottom w:val="0"/>
      <w:divBdr>
        <w:top w:val="none" w:sz="0" w:space="0" w:color="auto"/>
        <w:left w:val="none" w:sz="0" w:space="0" w:color="auto"/>
        <w:bottom w:val="none" w:sz="0" w:space="0" w:color="auto"/>
        <w:right w:val="none" w:sz="0" w:space="0" w:color="auto"/>
      </w:divBdr>
    </w:div>
    <w:div w:id="1243443949">
      <w:bodyDiv w:val="1"/>
      <w:marLeft w:val="0"/>
      <w:marRight w:val="0"/>
      <w:marTop w:val="0"/>
      <w:marBottom w:val="0"/>
      <w:divBdr>
        <w:top w:val="none" w:sz="0" w:space="0" w:color="auto"/>
        <w:left w:val="none" w:sz="0" w:space="0" w:color="auto"/>
        <w:bottom w:val="none" w:sz="0" w:space="0" w:color="auto"/>
        <w:right w:val="none" w:sz="0" w:space="0" w:color="auto"/>
      </w:divBdr>
      <w:divsChild>
        <w:div w:id="167447828">
          <w:marLeft w:val="0"/>
          <w:marRight w:val="0"/>
          <w:marTop w:val="0"/>
          <w:marBottom w:val="0"/>
          <w:divBdr>
            <w:top w:val="none" w:sz="0" w:space="0" w:color="auto"/>
            <w:left w:val="none" w:sz="0" w:space="0" w:color="auto"/>
            <w:bottom w:val="none" w:sz="0" w:space="0" w:color="auto"/>
            <w:right w:val="none" w:sz="0" w:space="0" w:color="auto"/>
          </w:divBdr>
          <w:divsChild>
            <w:div w:id="124329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71555">
      <w:bodyDiv w:val="1"/>
      <w:marLeft w:val="0"/>
      <w:marRight w:val="0"/>
      <w:marTop w:val="0"/>
      <w:marBottom w:val="0"/>
      <w:divBdr>
        <w:top w:val="none" w:sz="0" w:space="0" w:color="auto"/>
        <w:left w:val="none" w:sz="0" w:space="0" w:color="auto"/>
        <w:bottom w:val="none" w:sz="0" w:space="0" w:color="auto"/>
        <w:right w:val="none" w:sz="0" w:space="0" w:color="auto"/>
      </w:divBdr>
    </w:div>
    <w:div w:id="1247225559">
      <w:bodyDiv w:val="1"/>
      <w:marLeft w:val="0"/>
      <w:marRight w:val="0"/>
      <w:marTop w:val="0"/>
      <w:marBottom w:val="0"/>
      <w:divBdr>
        <w:top w:val="none" w:sz="0" w:space="0" w:color="auto"/>
        <w:left w:val="none" w:sz="0" w:space="0" w:color="auto"/>
        <w:bottom w:val="none" w:sz="0" w:space="0" w:color="auto"/>
        <w:right w:val="none" w:sz="0" w:space="0" w:color="auto"/>
      </w:divBdr>
      <w:divsChild>
        <w:div w:id="1430469444">
          <w:marLeft w:val="0"/>
          <w:marRight w:val="0"/>
          <w:marTop w:val="0"/>
          <w:marBottom w:val="0"/>
          <w:divBdr>
            <w:top w:val="none" w:sz="0" w:space="0" w:color="auto"/>
            <w:left w:val="none" w:sz="0" w:space="0" w:color="auto"/>
            <w:bottom w:val="none" w:sz="0" w:space="0" w:color="auto"/>
            <w:right w:val="none" w:sz="0" w:space="0" w:color="auto"/>
          </w:divBdr>
          <w:divsChild>
            <w:div w:id="1149059262">
              <w:marLeft w:val="0"/>
              <w:marRight w:val="0"/>
              <w:marTop w:val="0"/>
              <w:marBottom w:val="0"/>
              <w:divBdr>
                <w:top w:val="none" w:sz="0" w:space="0" w:color="auto"/>
                <w:left w:val="none" w:sz="0" w:space="0" w:color="auto"/>
                <w:bottom w:val="none" w:sz="0" w:space="0" w:color="auto"/>
                <w:right w:val="none" w:sz="0" w:space="0" w:color="auto"/>
              </w:divBdr>
              <w:divsChild>
                <w:div w:id="96812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694119">
      <w:bodyDiv w:val="1"/>
      <w:marLeft w:val="0"/>
      <w:marRight w:val="0"/>
      <w:marTop w:val="0"/>
      <w:marBottom w:val="0"/>
      <w:divBdr>
        <w:top w:val="none" w:sz="0" w:space="0" w:color="auto"/>
        <w:left w:val="none" w:sz="0" w:space="0" w:color="auto"/>
        <w:bottom w:val="none" w:sz="0" w:space="0" w:color="auto"/>
        <w:right w:val="none" w:sz="0" w:space="0" w:color="auto"/>
      </w:divBdr>
      <w:divsChild>
        <w:div w:id="926891328">
          <w:marLeft w:val="0"/>
          <w:marRight w:val="0"/>
          <w:marTop w:val="0"/>
          <w:marBottom w:val="0"/>
          <w:divBdr>
            <w:top w:val="none" w:sz="0" w:space="0" w:color="auto"/>
            <w:left w:val="none" w:sz="0" w:space="0" w:color="auto"/>
            <w:bottom w:val="none" w:sz="0" w:space="0" w:color="auto"/>
            <w:right w:val="none" w:sz="0" w:space="0" w:color="auto"/>
          </w:divBdr>
          <w:divsChild>
            <w:div w:id="211655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38588">
      <w:bodyDiv w:val="1"/>
      <w:marLeft w:val="0"/>
      <w:marRight w:val="0"/>
      <w:marTop w:val="0"/>
      <w:marBottom w:val="0"/>
      <w:divBdr>
        <w:top w:val="none" w:sz="0" w:space="0" w:color="auto"/>
        <w:left w:val="none" w:sz="0" w:space="0" w:color="auto"/>
        <w:bottom w:val="none" w:sz="0" w:space="0" w:color="auto"/>
        <w:right w:val="none" w:sz="0" w:space="0" w:color="auto"/>
      </w:divBdr>
      <w:divsChild>
        <w:div w:id="1234125520">
          <w:marLeft w:val="0"/>
          <w:marRight w:val="0"/>
          <w:marTop w:val="0"/>
          <w:marBottom w:val="0"/>
          <w:divBdr>
            <w:top w:val="none" w:sz="0" w:space="0" w:color="auto"/>
            <w:left w:val="none" w:sz="0" w:space="0" w:color="auto"/>
            <w:bottom w:val="none" w:sz="0" w:space="0" w:color="auto"/>
            <w:right w:val="none" w:sz="0" w:space="0" w:color="auto"/>
          </w:divBdr>
          <w:divsChild>
            <w:div w:id="194710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14486">
      <w:bodyDiv w:val="1"/>
      <w:marLeft w:val="0"/>
      <w:marRight w:val="0"/>
      <w:marTop w:val="0"/>
      <w:marBottom w:val="0"/>
      <w:divBdr>
        <w:top w:val="none" w:sz="0" w:space="0" w:color="auto"/>
        <w:left w:val="none" w:sz="0" w:space="0" w:color="auto"/>
        <w:bottom w:val="none" w:sz="0" w:space="0" w:color="auto"/>
        <w:right w:val="none" w:sz="0" w:space="0" w:color="auto"/>
      </w:divBdr>
      <w:divsChild>
        <w:div w:id="1626739949">
          <w:marLeft w:val="0"/>
          <w:marRight w:val="0"/>
          <w:marTop w:val="0"/>
          <w:marBottom w:val="0"/>
          <w:divBdr>
            <w:top w:val="none" w:sz="0" w:space="0" w:color="auto"/>
            <w:left w:val="none" w:sz="0" w:space="0" w:color="auto"/>
            <w:bottom w:val="none" w:sz="0" w:space="0" w:color="auto"/>
            <w:right w:val="none" w:sz="0" w:space="0" w:color="auto"/>
          </w:divBdr>
          <w:divsChild>
            <w:div w:id="15777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21249">
      <w:bodyDiv w:val="1"/>
      <w:marLeft w:val="0"/>
      <w:marRight w:val="0"/>
      <w:marTop w:val="0"/>
      <w:marBottom w:val="0"/>
      <w:divBdr>
        <w:top w:val="none" w:sz="0" w:space="0" w:color="auto"/>
        <w:left w:val="none" w:sz="0" w:space="0" w:color="auto"/>
        <w:bottom w:val="none" w:sz="0" w:space="0" w:color="auto"/>
        <w:right w:val="none" w:sz="0" w:space="0" w:color="auto"/>
      </w:divBdr>
    </w:div>
    <w:div w:id="1256208257">
      <w:bodyDiv w:val="1"/>
      <w:marLeft w:val="0"/>
      <w:marRight w:val="0"/>
      <w:marTop w:val="0"/>
      <w:marBottom w:val="0"/>
      <w:divBdr>
        <w:top w:val="none" w:sz="0" w:space="0" w:color="auto"/>
        <w:left w:val="none" w:sz="0" w:space="0" w:color="auto"/>
        <w:bottom w:val="none" w:sz="0" w:space="0" w:color="auto"/>
        <w:right w:val="none" w:sz="0" w:space="0" w:color="auto"/>
      </w:divBdr>
      <w:divsChild>
        <w:div w:id="625937354">
          <w:marLeft w:val="0"/>
          <w:marRight w:val="0"/>
          <w:marTop w:val="0"/>
          <w:marBottom w:val="0"/>
          <w:divBdr>
            <w:top w:val="none" w:sz="0" w:space="0" w:color="auto"/>
            <w:left w:val="none" w:sz="0" w:space="0" w:color="auto"/>
            <w:bottom w:val="none" w:sz="0" w:space="0" w:color="auto"/>
            <w:right w:val="none" w:sz="0" w:space="0" w:color="auto"/>
          </w:divBdr>
          <w:divsChild>
            <w:div w:id="121497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463224">
      <w:bodyDiv w:val="1"/>
      <w:marLeft w:val="0"/>
      <w:marRight w:val="0"/>
      <w:marTop w:val="0"/>
      <w:marBottom w:val="0"/>
      <w:divBdr>
        <w:top w:val="none" w:sz="0" w:space="0" w:color="auto"/>
        <w:left w:val="none" w:sz="0" w:space="0" w:color="auto"/>
        <w:bottom w:val="none" w:sz="0" w:space="0" w:color="auto"/>
        <w:right w:val="none" w:sz="0" w:space="0" w:color="auto"/>
      </w:divBdr>
      <w:divsChild>
        <w:div w:id="574055136">
          <w:marLeft w:val="0"/>
          <w:marRight w:val="0"/>
          <w:marTop w:val="0"/>
          <w:marBottom w:val="0"/>
          <w:divBdr>
            <w:top w:val="none" w:sz="0" w:space="0" w:color="auto"/>
            <w:left w:val="none" w:sz="0" w:space="0" w:color="auto"/>
            <w:bottom w:val="none" w:sz="0" w:space="0" w:color="auto"/>
            <w:right w:val="none" w:sz="0" w:space="0" w:color="auto"/>
          </w:divBdr>
          <w:divsChild>
            <w:div w:id="35789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238258">
      <w:bodyDiv w:val="1"/>
      <w:marLeft w:val="0"/>
      <w:marRight w:val="0"/>
      <w:marTop w:val="0"/>
      <w:marBottom w:val="0"/>
      <w:divBdr>
        <w:top w:val="none" w:sz="0" w:space="0" w:color="auto"/>
        <w:left w:val="none" w:sz="0" w:space="0" w:color="auto"/>
        <w:bottom w:val="none" w:sz="0" w:space="0" w:color="auto"/>
        <w:right w:val="none" w:sz="0" w:space="0" w:color="auto"/>
      </w:divBdr>
      <w:divsChild>
        <w:div w:id="2145342518">
          <w:marLeft w:val="0"/>
          <w:marRight w:val="0"/>
          <w:marTop w:val="0"/>
          <w:marBottom w:val="0"/>
          <w:divBdr>
            <w:top w:val="none" w:sz="0" w:space="0" w:color="auto"/>
            <w:left w:val="none" w:sz="0" w:space="0" w:color="auto"/>
            <w:bottom w:val="none" w:sz="0" w:space="0" w:color="auto"/>
            <w:right w:val="none" w:sz="0" w:space="0" w:color="auto"/>
          </w:divBdr>
          <w:divsChild>
            <w:div w:id="89820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87229">
      <w:bodyDiv w:val="1"/>
      <w:marLeft w:val="0"/>
      <w:marRight w:val="0"/>
      <w:marTop w:val="0"/>
      <w:marBottom w:val="0"/>
      <w:divBdr>
        <w:top w:val="none" w:sz="0" w:space="0" w:color="auto"/>
        <w:left w:val="none" w:sz="0" w:space="0" w:color="auto"/>
        <w:bottom w:val="none" w:sz="0" w:space="0" w:color="auto"/>
        <w:right w:val="none" w:sz="0" w:space="0" w:color="auto"/>
      </w:divBdr>
      <w:divsChild>
        <w:div w:id="1901671009">
          <w:marLeft w:val="0"/>
          <w:marRight w:val="0"/>
          <w:marTop w:val="0"/>
          <w:marBottom w:val="0"/>
          <w:divBdr>
            <w:top w:val="none" w:sz="0" w:space="0" w:color="auto"/>
            <w:left w:val="none" w:sz="0" w:space="0" w:color="auto"/>
            <w:bottom w:val="none" w:sz="0" w:space="0" w:color="auto"/>
            <w:right w:val="none" w:sz="0" w:space="0" w:color="auto"/>
          </w:divBdr>
          <w:divsChild>
            <w:div w:id="102520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863002">
      <w:bodyDiv w:val="1"/>
      <w:marLeft w:val="0"/>
      <w:marRight w:val="0"/>
      <w:marTop w:val="0"/>
      <w:marBottom w:val="0"/>
      <w:divBdr>
        <w:top w:val="none" w:sz="0" w:space="0" w:color="auto"/>
        <w:left w:val="none" w:sz="0" w:space="0" w:color="auto"/>
        <w:bottom w:val="none" w:sz="0" w:space="0" w:color="auto"/>
        <w:right w:val="none" w:sz="0" w:space="0" w:color="auto"/>
      </w:divBdr>
      <w:divsChild>
        <w:div w:id="347757042">
          <w:marLeft w:val="0"/>
          <w:marRight w:val="0"/>
          <w:marTop w:val="0"/>
          <w:marBottom w:val="0"/>
          <w:divBdr>
            <w:top w:val="none" w:sz="0" w:space="0" w:color="auto"/>
            <w:left w:val="none" w:sz="0" w:space="0" w:color="auto"/>
            <w:bottom w:val="none" w:sz="0" w:space="0" w:color="auto"/>
            <w:right w:val="none" w:sz="0" w:space="0" w:color="auto"/>
          </w:divBdr>
          <w:divsChild>
            <w:div w:id="176272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86548">
      <w:bodyDiv w:val="1"/>
      <w:marLeft w:val="0"/>
      <w:marRight w:val="0"/>
      <w:marTop w:val="0"/>
      <w:marBottom w:val="0"/>
      <w:divBdr>
        <w:top w:val="none" w:sz="0" w:space="0" w:color="auto"/>
        <w:left w:val="none" w:sz="0" w:space="0" w:color="auto"/>
        <w:bottom w:val="none" w:sz="0" w:space="0" w:color="auto"/>
        <w:right w:val="none" w:sz="0" w:space="0" w:color="auto"/>
      </w:divBdr>
    </w:div>
    <w:div w:id="1280720503">
      <w:bodyDiv w:val="1"/>
      <w:marLeft w:val="0"/>
      <w:marRight w:val="0"/>
      <w:marTop w:val="0"/>
      <w:marBottom w:val="0"/>
      <w:divBdr>
        <w:top w:val="none" w:sz="0" w:space="0" w:color="auto"/>
        <w:left w:val="none" w:sz="0" w:space="0" w:color="auto"/>
        <w:bottom w:val="none" w:sz="0" w:space="0" w:color="auto"/>
        <w:right w:val="none" w:sz="0" w:space="0" w:color="auto"/>
      </w:divBdr>
    </w:div>
    <w:div w:id="1284968629">
      <w:bodyDiv w:val="1"/>
      <w:marLeft w:val="0"/>
      <w:marRight w:val="0"/>
      <w:marTop w:val="0"/>
      <w:marBottom w:val="0"/>
      <w:divBdr>
        <w:top w:val="none" w:sz="0" w:space="0" w:color="auto"/>
        <w:left w:val="none" w:sz="0" w:space="0" w:color="auto"/>
        <w:bottom w:val="none" w:sz="0" w:space="0" w:color="auto"/>
        <w:right w:val="none" w:sz="0" w:space="0" w:color="auto"/>
      </w:divBdr>
      <w:divsChild>
        <w:div w:id="1744525473">
          <w:marLeft w:val="0"/>
          <w:marRight w:val="0"/>
          <w:marTop w:val="0"/>
          <w:marBottom w:val="0"/>
          <w:divBdr>
            <w:top w:val="none" w:sz="0" w:space="0" w:color="auto"/>
            <w:left w:val="none" w:sz="0" w:space="0" w:color="auto"/>
            <w:bottom w:val="none" w:sz="0" w:space="0" w:color="auto"/>
            <w:right w:val="none" w:sz="0" w:space="0" w:color="auto"/>
          </w:divBdr>
          <w:divsChild>
            <w:div w:id="186339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75101">
      <w:bodyDiv w:val="1"/>
      <w:marLeft w:val="0"/>
      <w:marRight w:val="0"/>
      <w:marTop w:val="0"/>
      <w:marBottom w:val="0"/>
      <w:divBdr>
        <w:top w:val="none" w:sz="0" w:space="0" w:color="auto"/>
        <w:left w:val="none" w:sz="0" w:space="0" w:color="auto"/>
        <w:bottom w:val="none" w:sz="0" w:space="0" w:color="auto"/>
        <w:right w:val="none" w:sz="0" w:space="0" w:color="auto"/>
      </w:divBdr>
    </w:div>
    <w:div w:id="1288396100">
      <w:bodyDiv w:val="1"/>
      <w:marLeft w:val="0"/>
      <w:marRight w:val="0"/>
      <w:marTop w:val="0"/>
      <w:marBottom w:val="0"/>
      <w:divBdr>
        <w:top w:val="none" w:sz="0" w:space="0" w:color="auto"/>
        <w:left w:val="none" w:sz="0" w:space="0" w:color="auto"/>
        <w:bottom w:val="none" w:sz="0" w:space="0" w:color="auto"/>
        <w:right w:val="none" w:sz="0" w:space="0" w:color="auto"/>
      </w:divBdr>
    </w:div>
    <w:div w:id="1290013230">
      <w:bodyDiv w:val="1"/>
      <w:marLeft w:val="0"/>
      <w:marRight w:val="0"/>
      <w:marTop w:val="0"/>
      <w:marBottom w:val="0"/>
      <w:divBdr>
        <w:top w:val="none" w:sz="0" w:space="0" w:color="auto"/>
        <w:left w:val="none" w:sz="0" w:space="0" w:color="auto"/>
        <w:bottom w:val="none" w:sz="0" w:space="0" w:color="auto"/>
        <w:right w:val="none" w:sz="0" w:space="0" w:color="auto"/>
      </w:divBdr>
    </w:div>
    <w:div w:id="1307466707">
      <w:bodyDiv w:val="1"/>
      <w:marLeft w:val="0"/>
      <w:marRight w:val="0"/>
      <w:marTop w:val="0"/>
      <w:marBottom w:val="0"/>
      <w:divBdr>
        <w:top w:val="none" w:sz="0" w:space="0" w:color="auto"/>
        <w:left w:val="none" w:sz="0" w:space="0" w:color="auto"/>
        <w:bottom w:val="none" w:sz="0" w:space="0" w:color="auto"/>
        <w:right w:val="none" w:sz="0" w:space="0" w:color="auto"/>
      </w:divBdr>
    </w:div>
    <w:div w:id="1311400571">
      <w:bodyDiv w:val="1"/>
      <w:marLeft w:val="0"/>
      <w:marRight w:val="0"/>
      <w:marTop w:val="0"/>
      <w:marBottom w:val="0"/>
      <w:divBdr>
        <w:top w:val="none" w:sz="0" w:space="0" w:color="auto"/>
        <w:left w:val="none" w:sz="0" w:space="0" w:color="auto"/>
        <w:bottom w:val="none" w:sz="0" w:space="0" w:color="auto"/>
        <w:right w:val="none" w:sz="0" w:space="0" w:color="auto"/>
      </w:divBdr>
      <w:divsChild>
        <w:div w:id="574360112">
          <w:marLeft w:val="0"/>
          <w:marRight w:val="0"/>
          <w:marTop w:val="0"/>
          <w:marBottom w:val="0"/>
          <w:divBdr>
            <w:top w:val="none" w:sz="0" w:space="0" w:color="auto"/>
            <w:left w:val="none" w:sz="0" w:space="0" w:color="auto"/>
            <w:bottom w:val="none" w:sz="0" w:space="0" w:color="auto"/>
            <w:right w:val="none" w:sz="0" w:space="0" w:color="auto"/>
          </w:divBdr>
          <w:divsChild>
            <w:div w:id="155943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71624">
      <w:bodyDiv w:val="1"/>
      <w:marLeft w:val="0"/>
      <w:marRight w:val="0"/>
      <w:marTop w:val="0"/>
      <w:marBottom w:val="0"/>
      <w:divBdr>
        <w:top w:val="none" w:sz="0" w:space="0" w:color="auto"/>
        <w:left w:val="none" w:sz="0" w:space="0" w:color="auto"/>
        <w:bottom w:val="none" w:sz="0" w:space="0" w:color="auto"/>
        <w:right w:val="none" w:sz="0" w:space="0" w:color="auto"/>
      </w:divBdr>
    </w:div>
    <w:div w:id="1313749291">
      <w:bodyDiv w:val="1"/>
      <w:marLeft w:val="0"/>
      <w:marRight w:val="0"/>
      <w:marTop w:val="0"/>
      <w:marBottom w:val="0"/>
      <w:divBdr>
        <w:top w:val="none" w:sz="0" w:space="0" w:color="auto"/>
        <w:left w:val="none" w:sz="0" w:space="0" w:color="auto"/>
        <w:bottom w:val="none" w:sz="0" w:space="0" w:color="auto"/>
        <w:right w:val="none" w:sz="0" w:space="0" w:color="auto"/>
      </w:divBdr>
    </w:div>
    <w:div w:id="1313829571">
      <w:bodyDiv w:val="1"/>
      <w:marLeft w:val="0"/>
      <w:marRight w:val="0"/>
      <w:marTop w:val="0"/>
      <w:marBottom w:val="0"/>
      <w:divBdr>
        <w:top w:val="none" w:sz="0" w:space="0" w:color="auto"/>
        <w:left w:val="none" w:sz="0" w:space="0" w:color="auto"/>
        <w:bottom w:val="none" w:sz="0" w:space="0" w:color="auto"/>
        <w:right w:val="none" w:sz="0" w:space="0" w:color="auto"/>
      </w:divBdr>
    </w:div>
    <w:div w:id="1318069429">
      <w:bodyDiv w:val="1"/>
      <w:marLeft w:val="0"/>
      <w:marRight w:val="0"/>
      <w:marTop w:val="0"/>
      <w:marBottom w:val="0"/>
      <w:divBdr>
        <w:top w:val="none" w:sz="0" w:space="0" w:color="auto"/>
        <w:left w:val="none" w:sz="0" w:space="0" w:color="auto"/>
        <w:bottom w:val="none" w:sz="0" w:space="0" w:color="auto"/>
        <w:right w:val="none" w:sz="0" w:space="0" w:color="auto"/>
      </w:divBdr>
      <w:divsChild>
        <w:div w:id="22096364">
          <w:marLeft w:val="0"/>
          <w:marRight w:val="0"/>
          <w:marTop w:val="0"/>
          <w:marBottom w:val="0"/>
          <w:divBdr>
            <w:top w:val="none" w:sz="0" w:space="0" w:color="auto"/>
            <w:left w:val="none" w:sz="0" w:space="0" w:color="auto"/>
            <w:bottom w:val="none" w:sz="0" w:space="0" w:color="auto"/>
            <w:right w:val="none" w:sz="0" w:space="0" w:color="auto"/>
          </w:divBdr>
          <w:divsChild>
            <w:div w:id="101981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10791">
      <w:bodyDiv w:val="1"/>
      <w:marLeft w:val="0"/>
      <w:marRight w:val="0"/>
      <w:marTop w:val="0"/>
      <w:marBottom w:val="0"/>
      <w:divBdr>
        <w:top w:val="none" w:sz="0" w:space="0" w:color="auto"/>
        <w:left w:val="none" w:sz="0" w:space="0" w:color="auto"/>
        <w:bottom w:val="none" w:sz="0" w:space="0" w:color="auto"/>
        <w:right w:val="none" w:sz="0" w:space="0" w:color="auto"/>
      </w:divBdr>
    </w:div>
    <w:div w:id="1322925055">
      <w:bodyDiv w:val="1"/>
      <w:marLeft w:val="0"/>
      <w:marRight w:val="0"/>
      <w:marTop w:val="0"/>
      <w:marBottom w:val="0"/>
      <w:divBdr>
        <w:top w:val="none" w:sz="0" w:space="0" w:color="auto"/>
        <w:left w:val="none" w:sz="0" w:space="0" w:color="auto"/>
        <w:bottom w:val="none" w:sz="0" w:space="0" w:color="auto"/>
        <w:right w:val="none" w:sz="0" w:space="0" w:color="auto"/>
      </w:divBdr>
    </w:div>
    <w:div w:id="1322930182">
      <w:bodyDiv w:val="1"/>
      <w:marLeft w:val="0"/>
      <w:marRight w:val="0"/>
      <w:marTop w:val="0"/>
      <w:marBottom w:val="0"/>
      <w:divBdr>
        <w:top w:val="none" w:sz="0" w:space="0" w:color="auto"/>
        <w:left w:val="none" w:sz="0" w:space="0" w:color="auto"/>
        <w:bottom w:val="none" w:sz="0" w:space="0" w:color="auto"/>
        <w:right w:val="none" w:sz="0" w:space="0" w:color="auto"/>
      </w:divBdr>
      <w:divsChild>
        <w:div w:id="1158880130">
          <w:marLeft w:val="0"/>
          <w:marRight w:val="0"/>
          <w:marTop w:val="0"/>
          <w:marBottom w:val="0"/>
          <w:divBdr>
            <w:top w:val="none" w:sz="0" w:space="0" w:color="auto"/>
            <w:left w:val="none" w:sz="0" w:space="0" w:color="auto"/>
            <w:bottom w:val="none" w:sz="0" w:space="0" w:color="auto"/>
            <w:right w:val="none" w:sz="0" w:space="0" w:color="auto"/>
          </w:divBdr>
          <w:divsChild>
            <w:div w:id="1193566617">
              <w:marLeft w:val="0"/>
              <w:marRight w:val="0"/>
              <w:marTop w:val="0"/>
              <w:marBottom w:val="0"/>
              <w:divBdr>
                <w:top w:val="none" w:sz="0" w:space="0" w:color="auto"/>
                <w:left w:val="none" w:sz="0" w:space="0" w:color="auto"/>
                <w:bottom w:val="none" w:sz="0" w:space="0" w:color="auto"/>
                <w:right w:val="none" w:sz="0" w:space="0" w:color="auto"/>
              </w:divBdr>
              <w:divsChild>
                <w:div w:id="7316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137848">
      <w:bodyDiv w:val="1"/>
      <w:marLeft w:val="0"/>
      <w:marRight w:val="0"/>
      <w:marTop w:val="0"/>
      <w:marBottom w:val="0"/>
      <w:divBdr>
        <w:top w:val="none" w:sz="0" w:space="0" w:color="auto"/>
        <w:left w:val="none" w:sz="0" w:space="0" w:color="auto"/>
        <w:bottom w:val="none" w:sz="0" w:space="0" w:color="auto"/>
        <w:right w:val="none" w:sz="0" w:space="0" w:color="auto"/>
      </w:divBdr>
    </w:div>
    <w:div w:id="1329478820">
      <w:bodyDiv w:val="1"/>
      <w:marLeft w:val="0"/>
      <w:marRight w:val="0"/>
      <w:marTop w:val="0"/>
      <w:marBottom w:val="0"/>
      <w:divBdr>
        <w:top w:val="none" w:sz="0" w:space="0" w:color="auto"/>
        <w:left w:val="none" w:sz="0" w:space="0" w:color="auto"/>
        <w:bottom w:val="none" w:sz="0" w:space="0" w:color="auto"/>
        <w:right w:val="none" w:sz="0" w:space="0" w:color="auto"/>
      </w:divBdr>
      <w:divsChild>
        <w:div w:id="1982614315">
          <w:marLeft w:val="0"/>
          <w:marRight w:val="0"/>
          <w:marTop w:val="0"/>
          <w:marBottom w:val="0"/>
          <w:divBdr>
            <w:top w:val="none" w:sz="0" w:space="0" w:color="auto"/>
            <w:left w:val="none" w:sz="0" w:space="0" w:color="auto"/>
            <w:bottom w:val="none" w:sz="0" w:space="0" w:color="auto"/>
            <w:right w:val="none" w:sz="0" w:space="0" w:color="auto"/>
          </w:divBdr>
          <w:divsChild>
            <w:div w:id="4387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335486">
      <w:bodyDiv w:val="1"/>
      <w:marLeft w:val="0"/>
      <w:marRight w:val="0"/>
      <w:marTop w:val="0"/>
      <w:marBottom w:val="0"/>
      <w:divBdr>
        <w:top w:val="none" w:sz="0" w:space="0" w:color="auto"/>
        <w:left w:val="none" w:sz="0" w:space="0" w:color="auto"/>
        <w:bottom w:val="none" w:sz="0" w:space="0" w:color="auto"/>
        <w:right w:val="none" w:sz="0" w:space="0" w:color="auto"/>
      </w:divBdr>
    </w:div>
    <w:div w:id="1334643233">
      <w:bodyDiv w:val="1"/>
      <w:marLeft w:val="0"/>
      <w:marRight w:val="0"/>
      <w:marTop w:val="0"/>
      <w:marBottom w:val="0"/>
      <w:divBdr>
        <w:top w:val="none" w:sz="0" w:space="0" w:color="auto"/>
        <w:left w:val="none" w:sz="0" w:space="0" w:color="auto"/>
        <w:bottom w:val="none" w:sz="0" w:space="0" w:color="auto"/>
        <w:right w:val="none" w:sz="0" w:space="0" w:color="auto"/>
      </w:divBdr>
    </w:div>
    <w:div w:id="1338656087">
      <w:bodyDiv w:val="1"/>
      <w:marLeft w:val="0"/>
      <w:marRight w:val="0"/>
      <w:marTop w:val="0"/>
      <w:marBottom w:val="0"/>
      <w:divBdr>
        <w:top w:val="none" w:sz="0" w:space="0" w:color="auto"/>
        <w:left w:val="none" w:sz="0" w:space="0" w:color="auto"/>
        <w:bottom w:val="none" w:sz="0" w:space="0" w:color="auto"/>
        <w:right w:val="none" w:sz="0" w:space="0" w:color="auto"/>
      </w:divBdr>
    </w:div>
    <w:div w:id="1342389648">
      <w:bodyDiv w:val="1"/>
      <w:marLeft w:val="0"/>
      <w:marRight w:val="0"/>
      <w:marTop w:val="0"/>
      <w:marBottom w:val="0"/>
      <w:divBdr>
        <w:top w:val="none" w:sz="0" w:space="0" w:color="auto"/>
        <w:left w:val="none" w:sz="0" w:space="0" w:color="auto"/>
        <w:bottom w:val="none" w:sz="0" w:space="0" w:color="auto"/>
        <w:right w:val="none" w:sz="0" w:space="0" w:color="auto"/>
      </w:divBdr>
      <w:divsChild>
        <w:div w:id="1170025867">
          <w:marLeft w:val="0"/>
          <w:marRight w:val="0"/>
          <w:marTop w:val="0"/>
          <w:marBottom w:val="0"/>
          <w:divBdr>
            <w:top w:val="none" w:sz="0" w:space="0" w:color="auto"/>
            <w:left w:val="none" w:sz="0" w:space="0" w:color="auto"/>
            <w:bottom w:val="none" w:sz="0" w:space="0" w:color="auto"/>
            <w:right w:val="none" w:sz="0" w:space="0" w:color="auto"/>
          </w:divBdr>
          <w:divsChild>
            <w:div w:id="109867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26708">
      <w:bodyDiv w:val="1"/>
      <w:marLeft w:val="0"/>
      <w:marRight w:val="0"/>
      <w:marTop w:val="0"/>
      <w:marBottom w:val="0"/>
      <w:divBdr>
        <w:top w:val="none" w:sz="0" w:space="0" w:color="auto"/>
        <w:left w:val="none" w:sz="0" w:space="0" w:color="auto"/>
        <w:bottom w:val="none" w:sz="0" w:space="0" w:color="auto"/>
        <w:right w:val="none" w:sz="0" w:space="0" w:color="auto"/>
      </w:divBdr>
      <w:divsChild>
        <w:div w:id="1048333589">
          <w:marLeft w:val="0"/>
          <w:marRight w:val="0"/>
          <w:marTop w:val="0"/>
          <w:marBottom w:val="0"/>
          <w:divBdr>
            <w:top w:val="none" w:sz="0" w:space="0" w:color="auto"/>
            <w:left w:val="none" w:sz="0" w:space="0" w:color="auto"/>
            <w:bottom w:val="none" w:sz="0" w:space="0" w:color="auto"/>
            <w:right w:val="none" w:sz="0" w:space="0" w:color="auto"/>
          </w:divBdr>
          <w:divsChild>
            <w:div w:id="73126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8644">
      <w:bodyDiv w:val="1"/>
      <w:marLeft w:val="0"/>
      <w:marRight w:val="0"/>
      <w:marTop w:val="0"/>
      <w:marBottom w:val="0"/>
      <w:divBdr>
        <w:top w:val="none" w:sz="0" w:space="0" w:color="auto"/>
        <w:left w:val="none" w:sz="0" w:space="0" w:color="auto"/>
        <w:bottom w:val="none" w:sz="0" w:space="0" w:color="auto"/>
        <w:right w:val="none" w:sz="0" w:space="0" w:color="auto"/>
      </w:divBdr>
    </w:div>
    <w:div w:id="1350525094">
      <w:bodyDiv w:val="1"/>
      <w:marLeft w:val="0"/>
      <w:marRight w:val="0"/>
      <w:marTop w:val="0"/>
      <w:marBottom w:val="0"/>
      <w:divBdr>
        <w:top w:val="none" w:sz="0" w:space="0" w:color="auto"/>
        <w:left w:val="none" w:sz="0" w:space="0" w:color="auto"/>
        <w:bottom w:val="none" w:sz="0" w:space="0" w:color="auto"/>
        <w:right w:val="none" w:sz="0" w:space="0" w:color="auto"/>
      </w:divBdr>
    </w:div>
    <w:div w:id="1351645564">
      <w:bodyDiv w:val="1"/>
      <w:marLeft w:val="0"/>
      <w:marRight w:val="0"/>
      <w:marTop w:val="0"/>
      <w:marBottom w:val="0"/>
      <w:divBdr>
        <w:top w:val="none" w:sz="0" w:space="0" w:color="auto"/>
        <w:left w:val="none" w:sz="0" w:space="0" w:color="auto"/>
        <w:bottom w:val="none" w:sz="0" w:space="0" w:color="auto"/>
        <w:right w:val="none" w:sz="0" w:space="0" w:color="auto"/>
      </w:divBdr>
      <w:divsChild>
        <w:div w:id="180626316">
          <w:marLeft w:val="0"/>
          <w:marRight w:val="0"/>
          <w:marTop w:val="0"/>
          <w:marBottom w:val="0"/>
          <w:divBdr>
            <w:top w:val="none" w:sz="0" w:space="0" w:color="auto"/>
            <w:left w:val="none" w:sz="0" w:space="0" w:color="auto"/>
            <w:bottom w:val="none" w:sz="0" w:space="0" w:color="auto"/>
            <w:right w:val="none" w:sz="0" w:space="0" w:color="auto"/>
          </w:divBdr>
          <w:divsChild>
            <w:div w:id="89354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067607">
      <w:bodyDiv w:val="1"/>
      <w:marLeft w:val="0"/>
      <w:marRight w:val="0"/>
      <w:marTop w:val="0"/>
      <w:marBottom w:val="0"/>
      <w:divBdr>
        <w:top w:val="none" w:sz="0" w:space="0" w:color="auto"/>
        <w:left w:val="none" w:sz="0" w:space="0" w:color="auto"/>
        <w:bottom w:val="none" w:sz="0" w:space="0" w:color="auto"/>
        <w:right w:val="none" w:sz="0" w:space="0" w:color="auto"/>
      </w:divBdr>
      <w:divsChild>
        <w:div w:id="1819691255">
          <w:marLeft w:val="0"/>
          <w:marRight w:val="0"/>
          <w:marTop w:val="0"/>
          <w:marBottom w:val="0"/>
          <w:divBdr>
            <w:top w:val="none" w:sz="0" w:space="0" w:color="auto"/>
            <w:left w:val="none" w:sz="0" w:space="0" w:color="auto"/>
            <w:bottom w:val="none" w:sz="0" w:space="0" w:color="auto"/>
            <w:right w:val="none" w:sz="0" w:space="0" w:color="auto"/>
          </w:divBdr>
        </w:div>
      </w:divsChild>
    </w:div>
    <w:div w:id="1361778466">
      <w:bodyDiv w:val="1"/>
      <w:marLeft w:val="0"/>
      <w:marRight w:val="0"/>
      <w:marTop w:val="0"/>
      <w:marBottom w:val="0"/>
      <w:divBdr>
        <w:top w:val="none" w:sz="0" w:space="0" w:color="auto"/>
        <w:left w:val="none" w:sz="0" w:space="0" w:color="auto"/>
        <w:bottom w:val="none" w:sz="0" w:space="0" w:color="auto"/>
        <w:right w:val="none" w:sz="0" w:space="0" w:color="auto"/>
      </w:divBdr>
      <w:divsChild>
        <w:div w:id="183522455">
          <w:marLeft w:val="0"/>
          <w:marRight w:val="0"/>
          <w:marTop w:val="0"/>
          <w:marBottom w:val="0"/>
          <w:divBdr>
            <w:top w:val="none" w:sz="0" w:space="0" w:color="auto"/>
            <w:left w:val="none" w:sz="0" w:space="0" w:color="auto"/>
            <w:bottom w:val="none" w:sz="0" w:space="0" w:color="auto"/>
            <w:right w:val="none" w:sz="0" w:space="0" w:color="auto"/>
          </w:divBdr>
        </w:div>
      </w:divsChild>
    </w:div>
    <w:div w:id="1368683120">
      <w:bodyDiv w:val="1"/>
      <w:marLeft w:val="0"/>
      <w:marRight w:val="0"/>
      <w:marTop w:val="0"/>
      <w:marBottom w:val="0"/>
      <w:divBdr>
        <w:top w:val="none" w:sz="0" w:space="0" w:color="auto"/>
        <w:left w:val="none" w:sz="0" w:space="0" w:color="auto"/>
        <w:bottom w:val="none" w:sz="0" w:space="0" w:color="auto"/>
        <w:right w:val="none" w:sz="0" w:space="0" w:color="auto"/>
      </w:divBdr>
    </w:div>
    <w:div w:id="1377852241">
      <w:bodyDiv w:val="1"/>
      <w:marLeft w:val="0"/>
      <w:marRight w:val="0"/>
      <w:marTop w:val="0"/>
      <w:marBottom w:val="0"/>
      <w:divBdr>
        <w:top w:val="none" w:sz="0" w:space="0" w:color="auto"/>
        <w:left w:val="none" w:sz="0" w:space="0" w:color="auto"/>
        <w:bottom w:val="none" w:sz="0" w:space="0" w:color="auto"/>
        <w:right w:val="none" w:sz="0" w:space="0" w:color="auto"/>
      </w:divBdr>
    </w:div>
    <w:div w:id="1379936529">
      <w:bodyDiv w:val="1"/>
      <w:marLeft w:val="0"/>
      <w:marRight w:val="0"/>
      <w:marTop w:val="0"/>
      <w:marBottom w:val="0"/>
      <w:divBdr>
        <w:top w:val="none" w:sz="0" w:space="0" w:color="auto"/>
        <w:left w:val="none" w:sz="0" w:space="0" w:color="auto"/>
        <w:bottom w:val="none" w:sz="0" w:space="0" w:color="auto"/>
        <w:right w:val="none" w:sz="0" w:space="0" w:color="auto"/>
      </w:divBdr>
      <w:divsChild>
        <w:div w:id="1474714736">
          <w:marLeft w:val="0"/>
          <w:marRight w:val="0"/>
          <w:marTop w:val="0"/>
          <w:marBottom w:val="0"/>
          <w:divBdr>
            <w:top w:val="none" w:sz="0" w:space="0" w:color="auto"/>
            <w:left w:val="none" w:sz="0" w:space="0" w:color="auto"/>
            <w:bottom w:val="none" w:sz="0" w:space="0" w:color="auto"/>
            <w:right w:val="none" w:sz="0" w:space="0" w:color="auto"/>
          </w:divBdr>
          <w:divsChild>
            <w:div w:id="52633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48386">
      <w:bodyDiv w:val="1"/>
      <w:marLeft w:val="0"/>
      <w:marRight w:val="0"/>
      <w:marTop w:val="0"/>
      <w:marBottom w:val="0"/>
      <w:divBdr>
        <w:top w:val="none" w:sz="0" w:space="0" w:color="auto"/>
        <w:left w:val="none" w:sz="0" w:space="0" w:color="auto"/>
        <w:bottom w:val="none" w:sz="0" w:space="0" w:color="auto"/>
        <w:right w:val="none" w:sz="0" w:space="0" w:color="auto"/>
      </w:divBdr>
      <w:divsChild>
        <w:div w:id="316614831">
          <w:marLeft w:val="0"/>
          <w:marRight w:val="0"/>
          <w:marTop w:val="0"/>
          <w:marBottom w:val="0"/>
          <w:divBdr>
            <w:top w:val="none" w:sz="0" w:space="0" w:color="auto"/>
            <w:left w:val="none" w:sz="0" w:space="0" w:color="auto"/>
            <w:bottom w:val="none" w:sz="0" w:space="0" w:color="auto"/>
            <w:right w:val="none" w:sz="0" w:space="0" w:color="auto"/>
          </w:divBdr>
          <w:divsChild>
            <w:div w:id="20638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556901">
      <w:bodyDiv w:val="1"/>
      <w:marLeft w:val="0"/>
      <w:marRight w:val="0"/>
      <w:marTop w:val="0"/>
      <w:marBottom w:val="0"/>
      <w:divBdr>
        <w:top w:val="none" w:sz="0" w:space="0" w:color="auto"/>
        <w:left w:val="none" w:sz="0" w:space="0" w:color="auto"/>
        <w:bottom w:val="none" w:sz="0" w:space="0" w:color="auto"/>
        <w:right w:val="none" w:sz="0" w:space="0" w:color="auto"/>
      </w:divBdr>
      <w:divsChild>
        <w:div w:id="1542672552">
          <w:marLeft w:val="0"/>
          <w:marRight w:val="0"/>
          <w:marTop w:val="0"/>
          <w:marBottom w:val="0"/>
          <w:divBdr>
            <w:top w:val="none" w:sz="0" w:space="0" w:color="auto"/>
            <w:left w:val="none" w:sz="0" w:space="0" w:color="auto"/>
            <w:bottom w:val="none" w:sz="0" w:space="0" w:color="auto"/>
            <w:right w:val="none" w:sz="0" w:space="0" w:color="auto"/>
          </w:divBdr>
          <w:divsChild>
            <w:div w:id="288367419">
              <w:marLeft w:val="0"/>
              <w:marRight w:val="0"/>
              <w:marTop w:val="0"/>
              <w:marBottom w:val="0"/>
              <w:divBdr>
                <w:top w:val="none" w:sz="0" w:space="0" w:color="auto"/>
                <w:left w:val="none" w:sz="0" w:space="0" w:color="auto"/>
                <w:bottom w:val="none" w:sz="0" w:space="0" w:color="auto"/>
                <w:right w:val="none" w:sz="0" w:space="0" w:color="auto"/>
              </w:divBdr>
            </w:div>
            <w:div w:id="79155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335793">
      <w:bodyDiv w:val="1"/>
      <w:marLeft w:val="0"/>
      <w:marRight w:val="0"/>
      <w:marTop w:val="0"/>
      <w:marBottom w:val="0"/>
      <w:divBdr>
        <w:top w:val="none" w:sz="0" w:space="0" w:color="auto"/>
        <w:left w:val="none" w:sz="0" w:space="0" w:color="auto"/>
        <w:bottom w:val="none" w:sz="0" w:space="0" w:color="auto"/>
        <w:right w:val="none" w:sz="0" w:space="0" w:color="auto"/>
      </w:divBdr>
    </w:div>
    <w:div w:id="1388839953">
      <w:bodyDiv w:val="1"/>
      <w:marLeft w:val="0"/>
      <w:marRight w:val="0"/>
      <w:marTop w:val="0"/>
      <w:marBottom w:val="0"/>
      <w:divBdr>
        <w:top w:val="none" w:sz="0" w:space="0" w:color="auto"/>
        <w:left w:val="none" w:sz="0" w:space="0" w:color="auto"/>
        <w:bottom w:val="none" w:sz="0" w:space="0" w:color="auto"/>
        <w:right w:val="none" w:sz="0" w:space="0" w:color="auto"/>
      </w:divBdr>
      <w:divsChild>
        <w:div w:id="27342383">
          <w:marLeft w:val="0"/>
          <w:marRight w:val="0"/>
          <w:marTop w:val="0"/>
          <w:marBottom w:val="0"/>
          <w:divBdr>
            <w:top w:val="none" w:sz="0" w:space="0" w:color="auto"/>
            <w:left w:val="none" w:sz="0" w:space="0" w:color="auto"/>
            <w:bottom w:val="none" w:sz="0" w:space="0" w:color="auto"/>
            <w:right w:val="none" w:sz="0" w:space="0" w:color="auto"/>
          </w:divBdr>
          <w:divsChild>
            <w:div w:id="68683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109675">
      <w:bodyDiv w:val="1"/>
      <w:marLeft w:val="0"/>
      <w:marRight w:val="0"/>
      <w:marTop w:val="0"/>
      <w:marBottom w:val="0"/>
      <w:divBdr>
        <w:top w:val="none" w:sz="0" w:space="0" w:color="auto"/>
        <w:left w:val="none" w:sz="0" w:space="0" w:color="auto"/>
        <w:bottom w:val="none" w:sz="0" w:space="0" w:color="auto"/>
        <w:right w:val="none" w:sz="0" w:space="0" w:color="auto"/>
      </w:divBdr>
      <w:divsChild>
        <w:div w:id="2064869722">
          <w:marLeft w:val="0"/>
          <w:marRight w:val="0"/>
          <w:marTop w:val="0"/>
          <w:marBottom w:val="0"/>
          <w:divBdr>
            <w:top w:val="none" w:sz="0" w:space="0" w:color="auto"/>
            <w:left w:val="none" w:sz="0" w:space="0" w:color="auto"/>
            <w:bottom w:val="none" w:sz="0" w:space="0" w:color="auto"/>
            <w:right w:val="none" w:sz="0" w:space="0" w:color="auto"/>
          </w:divBdr>
          <w:divsChild>
            <w:div w:id="185024263">
              <w:marLeft w:val="0"/>
              <w:marRight w:val="0"/>
              <w:marTop w:val="0"/>
              <w:marBottom w:val="0"/>
              <w:divBdr>
                <w:top w:val="none" w:sz="0" w:space="0" w:color="auto"/>
                <w:left w:val="none" w:sz="0" w:space="0" w:color="auto"/>
                <w:bottom w:val="none" w:sz="0" w:space="0" w:color="auto"/>
                <w:right w:val="none" w:sz="0" w:space="0" w:color="auto"/>
              </w:divBdr>
              <w:divsChild>
                <w:div w:id="198916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106580">
      <w:bodyDiv w:val="1"/>
      <w:marLeft w:val="0"/>
      <w:marRight w:val="0"/>
      <w:marTop w:val="0"/>
      <w:marBottom w:val="0"/>
      <w:divBdr>
        <w:top w:val="none" w:sz="0" w:space="0" w:color="auto"/>
        <w:left w:val="none" w:sz="0" w:space="0" w:color="auto"/>
        <w:bottom w:val="none" w:sz="0" w:space="0" w:color="auto"/>
        <w:right w:val="none" w:sz="0" w:space="0" w:color="auto"/>
      </w:divBdr>
      <w:divsChild>
        <w:div w:id="1964648293">
          <w:marLeft w:val="0"/>
          <w:marRight w:val="0"/>
          <w:marTop w:val="0"/>
          <w:marBottom w:val="0"/>
          <w:divBdr>
            <w:top w:val="none" w:sz="0" w:space="0" w:color="auto"/>
            <w:left w:val="none" w:sz="0" w:space="0" w:color="auto"/>
            <w:bottom w:val="none" w:sz="0" w:space="0" w:color="auto"/>
            <w:right w:val="none" w:sz="0" w:space="0" w:color="auto"/>
          </w:divBdr>
          <w:divsChild>
            <w:div w:id="154660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7441">
      <w:bodyDiv w:val="1"/>
      <w:marLeft w:val="0"/>
      <w:marRight w:val="0"/>
      <w:marTop w:val="0"/>
      <w:marBottom w:val="0"/>
      <w:divBdr>
        <w:top w:val="none" w:sz="0" w:space="0" w:color="auto"/>
        <w:left w:val="none" w:sz="0" w:space="0" w:color="auto"/>
        <w:bottom w:val="none" w:sz="0" w:space="0" w:color="auto"/>
        <w:right w:val="none" w:sz="0" w:space="0" w:color="auto"/>
      </w:divBdr>
      <w:divsChild>
        <w:div w:id="1400857526">
          <w:marLeft w:val="0"/>
          <w:marRight w:val="0"/>
          <w:marTop w:val="0"/>
          <w:marBottom w:val="0"/>
          <w:divBdr>
            <w:top w:val="none" w:sz="0" w:space="0" w:color="auto"/>
            <w:left w:val="none" w:sz="0" w:space="0" w:color="auto"/>
            <w:bottom w:val="none" w:sz="0" w:space="0" w:color="auto"/>
            <w:right w:val="none" w:sz="0" w:space="0" w:color="auto"/>
          </w:divBdr>
        </w:div>
      </w:divsChild>
    </w:div>
    <w:div w:id="1393845397">
      <w:bodyDiv w:val="1"/>
      <w:marLeft w:val="0"/>
      <w:marRight w:val="0"/>
      <w:marTop w:val="0"/>
      <w:marBottom w:val="0"/>
      <w:divBdr>
        <w:top w:val="none" w:sz="0" w:space="0" w:color="auto"/>
        <w:left w:val="none" w:sz="0" w:space="0" w:color="auto"/>
        <w:bottom w:val="none" w:sz="0" w:space="0" w:color="auto"/>
        <w:right w:val="none" w:sz="0" w:space="0" w:color="auto"/>
      </w:divBdr>
    </w:div>
    <w:div w:id="1394766940">
      <w:bodyDiv w:val="1"/>
      <w:marLeft w:val="0"/>
      <w:marRight w:val="0"/>
      <w:marTop w:val="0"/>
      <w:marBottom w:val="0"/>
      <w:divBdr>
        <w:top w:val="none" w:sz="0" w:space="0" w:color="auto"/>
        <w:left w:val="none" w:sz="0" w:space="0" w:color="auto"/>
        <w:bottom w:val="none" w:sz="0" w:space="0" w:color="auto"/>
        <w:right w:val="none" w:sz="0" w:space="0" w:color="auto"/>
      </w:divBdr>
      <w:divsChild>
        <w:div w:id="520053145">
          <w:marLeft w:val="0"/>
          <w:marRight w:val="0"/>
          <w:marTop w:val="0"/>
          <w:marBottom w:val="0"/>
          <w:divBdr>
            <w:top w:val="none" w:sz="0" w:space="0" w:color="auto"/>
            <w:left w:val="none" w:sz="0" w:space="0" w:color="auto"/>
            <w:bottom w:val="none" w:sz="0" w:space="0" w:color="auto"/>
            <w:right w:val="none" w:sz="0" w:space="0" w:color="auto"/>
          </w:divBdr>
          <w:divsChild>
            <w:div w:id="77938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052986">
      <w:bodyDiv w:val="1"/>
      <w:marLeft w:val="0"/>
      <w:marRight w:val="0"/>
      <w:marTop w:val="0"/>
      <w:marBottom w:val="0"/>
      <w:divBdr>
        <w:top w:val="none" w:sz="0" w:space="0" w:color="auto"/>
        <w:left w:val="none" w:sz="0" w:space="0" w:color="auto"/>
        <w:bottom w:val="none" w:sz="0" w:space="0" w:color="auto"/>
        <w:right w:val="none" w:sz="0" w:space="0" w:color="auto"/>
      </w:divBdr>
      <w:divsChild>
        <w:div w:id="1150368711">
          <w:marLeft w:val="0"/>
          <w:marRight w:val="0"/>
          <w:marTop w:val="0"/>
          <w:marBottom w:val="0"/>
          <w:divBdr>
            <w:top w:val="none" w:sz="0" w:space="0" w:color="auto"/>
            <w:left w:val="none" w:sz="0" w:space="0" w:color="auto"/>
            <w:bottom w:val="none" w:sz="0" w:space="0" w:color="auto"/>
            <w:right w:val="none" w:sz="0" w:space="0" w:color="auto"/>
          </w:divBdr>
          <w:divsChild>
            <w:div w:id="115646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8172">
      <w:bodyDiv w:val="1"/>
      <w:marLeft w:val="0"/>
      <w:marRight w:val="0"/>
      <w:marTop w:val="0"/>
      <w:marBottom w:val="0"/>
      <w:divBdr>
        <w:top w:val="none" w:sz="0" w:space="0" w:color="auto"/>
        <w:left w:val="none" w:sz="0" w:space="0" w:color="auto"/>
        <w:bottom w:val="none" w:sz="0" w:space="0" w:color="auto"/>
        <w:right w:val="none" w:sz="0" w:space="0" w:color="auto"/>
      </w:divBdr>
    </w:div>
    <w:div w:id="1410154985">
      <w:bodyDiv w:val="1"/>
      <w:marLeft w:val="0"/>
      <w:marRight w:val="0"/>
      <w:marTop w:val="0"/>
      <w:marBottom w:val="0"/>
      <w:divBdr>
        <w:top w:val="none" w:sz="0" w:space="0" w:color="auto"/>
        <w:left w:val="none" w:sz="0" w:space="0" w:color="auto"/>
        <w:bottom w:val="none" w:sz="0" w:space="0" w:color="auto"/>
        <w:right w:val="none" w:sz="0" w:space="0" w:color="auto"/>
      </w:divBdr>
      <w:divsChild>
        <w:div w:id="909928054">
          <w:marLeft w:val="0"/>
          <w:marRight w:val="0"/>
          <w:marTop w:val="0"/>
          <w:marBottom w:val="0"/>
          <w:divBdr>
            <w:top w:val="none" w:sz="0" w:space="0" w:color="auto"/>
            <w:left w:val="none" w:sz="0" w:space="0" w:color="auto"/>
            <w:bottom w:val="none" w:sz="0" w:space="0" w:color="auto"/>
            <w:right w:val="none" w:sz="0" w:space="0" w:color="auto"/>
          </w:divBdr>
          <w:divsChild>
            <w:div w:id="210718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07572">
      <w:bodyDiv w:val="1"/>
      <w:marLeft w:val="0"/>
      <w:marRight w:val="0"/>
      <w:marTop w:val="0"/>
      <w:marBottom w:val="0"/>
      <w:divBdr>
        <w:top w:val="none" w:sz="0" w:space="0" w:color="auto"/>
        <w:left w:val="none" w:sz="0" w:space="0" w:color="auto"/>
        <w:bottom w:val="none" w:sz="0" w:space="0" w:color="auto"/>
        <w:right w:val="none" w:sz="0" w:space="0" w:color="auto"/>
      </w:divBdr>
      <w:divsChild>
        <w:div w:id="2014262648">
          <w:marLeft w:val="0"/>
          <w:marRight w:val="0"/>
          <w:marTop w:val="0"/>
          <w:marBottom w:val="0"/>
          <w:divBdr>
            <w:top w:val="none" w:sz="0" w:space="0" w:color="auto"/>
            <w:left w:val="none" w:sz="0" w:space="0" w:color="auto"/>
            <w:bottom w:val="none" w:sz="0" w:space="0" w:color="auto"/>
            <w:right w:val="none" w:sz="0" w:space="0" w:color="auto"/>
          </w:divBdr>
          <w:divsChild>
            <w:div w:id="132018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02695">
      <w:bodyDiv w:val="1"/>
      <w:marLeft w:val="0"/>
      <w:marRight w:val="0"/>
      <w:marTop w:val="0"/>
      <w:marBottom w:val="0"/>
      <w:divBdr>
        <w:top w:val="none" w:sz="0" w:space="0" w:color="auto"/>
        <w:left w:val="none" w:sz="0" w:space="0" w:color="auto"/>
        <w:bottom w:val="none" w:sz="0" w:space="0" w:color="auto"/>
        <w:right w:val="none" w:sz="0" w:space="0" w:color="auto"/>
      </w:divBdr>
    </w:div>
    <w:div w:id="1426653520">
      <w:bodyDiv w:val="1"/>
      <w:marLeft w:val="0"/>
      <w:marRight w:val="0"/>
      <w:marTop w:val="0"/>
      <w:marBottom w:val="0"/>
      <w:divBdr>
        <w:top w:val="none" w:sz="0" w:space="0" w:color="auto"/>
        <w:left w:val="none" w:sz="0" w:space="0" w:color="auto"/>
        <w:bottom w:val="none" w:sz="0" w:space="0" w:color="auto"/>
        <w:right w:val="none" w:sz="0" w:space="0" w:color="auto"/>
      </w:divBdr>
    </w:div>
    <w:div w:id="1427115442">
      <w:bodyDiv w:val="1"/>
      <w:marLeft w:val="0"/>
      <w:marRight w:val="0"/>
      <w:marTop w:val="0"/>
      <w:marBottom w:val="0"/>
      <w:divBdr>
        <w:top w:val="none" w:sz="0" w:space="0" w:color="auto"/>
        <w:left w:val="none" w:sz="0" w:space="0" w:color="auto"/>
        <w:bottom w:val="none" w:sz="0" w:space="0" w:color="auto"/>
        <w:right w:val="none" w:sz="0" w:space="0" w:color="auto"/>
      </w:divBdr>
      <w:divsChild>
        <w:div w:id="2054503650">
          <w:marLeft w:val="0"/>
          <w:marRight w:val="0"/>
          <w:marTop w:val="0"/>
          <w:marBottom w:val="0"/>
          <w:divBdr>
            <w:top w:val="none" w:sz="0" w:space="0" w:color="auto"/>
            <w:left w:val="none" w:sz="0" w:space="0" w:color="auto"/>
            <w:bottom w:val="none" w:sz="0" w:space="0" w:color="auto"/>
            <w:right w:val="none" w:sz="0" w:space="0" w:color="auto"/>
          </w:divBdr>
        </w:div>
      </w:divsChild>
    </w:div>
    <w:div w:id="1429695973">
      <w:bodyDiv w:val="1"/>
      <w:marLeft w:val="0"/>
      <w:marRight w:val="0"/>
      <w:marTop w:val="0"/>
      <w:marBottom w:val="0"/>
      <w:divBdr>
        <w:top w:val="none" w:sz="0" w:space="0" w:color="auto"/>
        <w:left w:val="none" w:sz="0" w:space="0" w:color="auto"/>
        <w:bottom w:val="none" w:sz="0" w:space="0" w:color="auto"/>
        <w:right w:val="none" w:sz="0" w:space="0" w:color="auto"/>
      </w:divBdr>
    </w:div>
    <w:div w:id="1435782764">
      <w:bodyDiv w:val="1"/>
      <w:marLeft w:val="0"/>
      <w:marRight w:val="0"/>
      <w:marTop w:val="0"/>
      <w:marBottom w:val="0"/>
      <w:divBdr>
        <w:top w:val="none" w:sz="0" w:space="0" w:color="auto"/>
        <w:left w:val="none" w:sz="0" w:space="0" w:color="auto"/>
        <w:bottom w:val="none" w:sz="0" w:space="0" w:color="auto"/>
        <w:right w:val="none" w:sz="0" w:space="0" w:color="auto"/>
      </w:divBdr>
    </w:div>
    <w:div w:id="1438670911">
      <w:bodyDiv w:val="1"/>
      <w:marLeft w:val="0"/>
      <w:marRight w:val="0"/>
      <w:marTop w:val="0"/>
      <w:marBottom w:val="0"/>
      <w:divBdr>
        <w:top w:val="none" w:sz="0" w:space="0" w:color="auto"/>
        <w:left w:val="none" w:sz="0" w:space="0" w:color="auto"/>
        <w:bottom w:val="none" w:sz="0" w:space="0" w:color="auto"/>
        <w:right w:val="none" w:sz="0" w:space="0" w:color="auto"/>
      </w:divBdr>
    </w:div>
    <w:div w:id="1439174645">
      <w:bodyDiv w:val="1"/>
      <w:marLeft w:val="0"/>
      <w:marRight w:val="0"/>
      <w:marTop w:val="0"/>
      <w:marBottom w:val="0"/>
      <w:divBdr>
        <w:top w:val="none" w:sz="0" w:space="0" w:color="auto"/>
        <w:left w:val="none" w:sz="0" w:space="0" w:color="auto"/>
        <w:bottom w:val="none" w:sz="0" w:space="0" w:color="auto"/>
        <w:right w:val="none" w:sz="0" w:space="0" w:color="auto"/>
      </w:divBdr>
    </w:div>
    <w:div w:id="1442458302">
      <w:bodyDiv w:val="1"/>
      <w:marLeft w:val="0"/>
      <w:marRight w:val="0"/>
      <w:marTop w:val="0"/>
      <w:marBottom w:val="0"/>
      <w:divBdr>
        <w:top w:val="none" w:sz="0" w:space="0" w:color="auto"/>
        <w:left w:val="none" w:sz="0" w:space="0" w:color="auto"/>
        <w:bottom w:val="none" w:sz="0" w:space="0" w:color="auto"/>
        <w:right w:val="none" w:sz="0" w:space="0" w:color="auto"/>
      </w:divBdr>
      <w:divsChild>
        <w:div w:id="531112831">
          <w:marLeft w:val="0"/>
          <w:marRight w:val="0"/>
          <w:marTop w:val="0"/>
          <w:marBottom w:val="0"/>
          <w:divBdr>
            <w:top w:val="none" w:sz="0" w:space="0" w:color="auto"/>
            <w:left w:val="none" w:sz="0" w:space="0" w:color="auto"/>
            <w:bottom w:val="none" w:sz="0" w:space="0" w:color="auto"/>
            <w:right w:val="none" w:sz="0" w:space="0" w:color="auto"/>
          </w:divBdr>
          <w:divsChild>
            <w:div w:id="1944535609">
              <w:marLeft w:val="0"/>
              <w:marRight w:val="0"/>
              <w:marTop w:val="0"/>
              <w:marBottom w:val="0"/>
              <w:divBdr>
                <w:top w:val="none" w:sz="0" w:space="0" w:color="auto"/>
                <w:left w:val="none" w:sz="0" w:space="0" w:color="auto"/>
                <w:bottom w:val="none" w:sz="0" w:space="0" w:color="auto"/>
                <w:right w:val="none" w:sz="0" w:space="0" w:color="auto"/>
              </w:divBdr>
              <w:divsChild>
                <w:div w:id="187218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310876">
      <w:bodyDiv w:val="1"/>
      <w:marLeft w:val="0"/>
      <w:marRight w:val="0"/>
      <w:marTop w:val="0"/>
      <w:marBottom w:val="0"/>
      <w:divBdr>
        <w:top w:val="none" w:sz="0" w:space="0" w:color="auto"/>
        <w:left w:val="none" w:sz="0" w:space="0" w:color="auto"/>
        <w:bottom w:val="none" w:sz="0" w:space="0" w:color="auto"/>
        <w:right w:val="none" w:sz="0" w:space="0" w:color="auto"/>
      </w:divBdr>
      <w:divsChild>
        <w:div w:id="1875116341">
          <w:marLeft w:val="0"/>
          <w:marRight w:val="0"/>
          <w:marTop w:val="0"/>
          <w:marBottom w:val="0"/>
          <w:divBdr>
            <w:top w:val="none" w:sz="0" w:space="0" w:color="auto"/>
            <w:left w:val="none" w:sz="0" w:space="0" w:color="auto"/>
            <w:bottom w:val="none" w:sz="0" w:space="0" w:color="auto"/>
            <w:right w:val="none" w:sz="0" w:space="0" w:color="auto"/>
          </w:divBdr>
        </w:div>
      </w:divsChild>
    </w:div>
    <w:div w:id="1449079011">
      <w:bodyDiv w:val="1"/>
      <w:marLeft w:val="0"/>
      <w:marRight w:val="0"/>
      <w:marTop w:val="0"/>
      <w:marBottom w:val="0"/>
      <w:divBdr>
        <w:top w:val="none" w:sz="0" w:space="0" w:color="auto"/>
        <w:left w:val="none" w:sz="0" w:space="0" w:color="auto"/>
        <w:bottom w:val="none" w:sz="0" w:space="0" w:color="auto"/>
        <w:right w:val="none" w:sz="0" w:space="0" w:color="auto"/>
      </w:divBdr>
      <w:divsChild>
        <w:div w:id="1124882387">
          <w:marLeft w:val="0"/>
          <w:marRight w:val="0"/>
          <w:marTop w:val="0"/>
          <w:marBottom w:val="0"/>
          <w:divBdr>
            <w:top w:val="none" w:sz="0" w:space="0" w:color="auto"/>
            <w:left w:val="none" w:sz="0" w:space="0" w:color="auto"/>
            <w:bottom w:val="none" w:sz="0" w:space="0" w:color="auto"/>
            <w:right w:val="none" w:sz="0" w:space="0" w:color="auto"/>
          </w:divBdr>
          <w:divsChild>
            <w:div w:id="19130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625607">
      <w:bodyDiv w:val="1"/>
      <w:marLeft w:val="0"/>
      <w:marRight w:val="0"/>
      <w:marTop w:val="0"/>
      <w:marBottom w:val="0"/>
      <w:divBdr>
        <w:top w:val="none" w:sz="0" w:space="0" w:color="auto"/>
        <w:left w:val="none" w:sz="0" w:space="0" w:color="auto"/>
        <w:bottom w:val="none" w:sz="0" w:space="0" w:color="auto"/>
        <w:right w:val="none" w:sz="0" w:space="0" w:color="auto"/>
      </w:divBdr>
    </w:div>
    <w:div w:id="1452751357">
      <w:bodyDiv w:val="1"/>
      <w:marLeft w:val="0"/>
      <w:marRight w:val="0"/>
      <w:marTop w:val="0"/>
      <w:marBottom w:val="0"/>
      <w:divBdr>
        <w:top w:val="none" w:sz="0" w:space="0" w:color="auto"/>
        <w:left w:val="none" w:sz="0" w:space="0" w:color="auto"/>
        <w:bottom w:val="none" w:sz="0" w:space="0" w:color="auto"/>
        <w:right w:val="none" w:sz="0" w:space="0" w:color="auto"/>
      </w:divBdr>
      <w:divsChild>
        <w:div w:id="190186428">
          <w:marLeft w:val="0"/>
          <w:marRight w:val="0"/>
          <w:marTop w:val="0"/>
          <w:marBottom w:val="0"/>
          <w:divBdr>
            <w:top w:val="none" w:sz="0" w:space="0" w:color="auto"/>
            <w:left w:val="none" w:sz="0" w:space="0" w:color="auto"/>
            <w:bottom w:val="none" w:sz="0" w:space="0" w:color="auto"/>
            <w:right w:val="none" w:sz="0" w:space="0" w:color="auto"/>
          </w:divBdr>
          <w:divsChild>
            <w:div w:id="189261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52245">
      <w:bodyDiv w:val="1"/>
      <w:marLeft w:val="0"/>
      <w:marRight w:val="0"/>
      <w:marTop w:val="0"/>
      <w:marBottom w:val="0"/>
      <w:divBdr>
        <w:top w:val="none" w:sz="0" w:space="0" w:color="auto"/>
        <w:left w:val="none" w:sz="0" w:space="0" w:color="auto"/>
        <w:bottom w:val="none" w:sz="0" w:space="0" w:color="auto"/>
        <w:right w:val="none" w:sz="0" w:space="0" w:color="auto"/>
      </w:divBdr>
    </w:div>
    <w:div w:id="1470784866">
      <w:bodyDiv w:val="1"/>
      <w:marLeft w:val="0"/>
      <w:marRight w:val="0"/>
      <w:marTop w:val="0"/>
      <w:marBottom w:val="0"/>
      <w:divBdr>
        <w:top w:val="none" w:sz="0" w:space="0" w:color="auto"/>
        <w:left w:val="none" w:sz="0" w:space="0" w:color="auto"/>
        <w:bottom w:val="none" w:sz="0" w:space="0" w:color="auto"/>
        <w:right w:val="none" w:sz="0" w:space="0" w:color="auto"/>
      </w:divBdr>
    </w:div>
    <w:div w:id="1471823108">
      <w:bodyDiv w:val="1"/>
      <w:marLeft w:val="0"/>
      <w:marRight w:val="0"/>
      <w:marTop w:val="0"/>
      <w:marBottom w:val="0"/>
      <w:divBdr>
        <w:top w:val="none" w:sz="0" w:space="0" w:color="auto"/>
        <w:left w:val="none" w:sz="0" w:space="0" w:color="auto"/>
        <w:bottom w:val="none" w:sz="0" w:space="0" w:color="auto"/>
        <w:right w:val="none" w:sz="0" w:space="0" w:color="auto"/>
      </w:divBdr>
      <w:divsChild>
        <w:div w:id="394084052">
          <w:marLeft w:val="0"/>
          <w:marRight w:val="0"/>
          <w:marTop w:val="0"/>
          <w:marBottom w:val="0"/>
          <w:divBdr>
            <w:top w:val="none" w:sz="0" w:space="0" w:color="auto"/>
            <w:left w:val="none" w:sz="0" w:space="0" w:color="auto"/>
            <w:bottom w:val="none" w:sz="0" w:space="0" w:color="auto"/>
            <w:right w:val="none" w:sz="0" w:space="0" w:color="auto"/>
          </w:divBdr>
          <w:divsChild>
            <w:div w:id="130897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332990">
      <w:bodyDiv w:val="1"/>
      <w:marLeft w:val="0"/>
      <w:marRight w:val="0"/>
      <w:marTop w:val="0"/>
      <w:marBottom w:val="0"/>
      <w:divBdr>
        <w:top w:val="none" w:sz="0" w:space="0" w:color="auto"/>
        <w:left w:val="none" w:sz="0" w:space="0" w:color="auto"/>
        <w:bottom w:val="none" w:sz="0" w:space="0" w:color="auto"/>
        <w:right w:val="none" w:sz="0" w:space="0" w:color="auto"/>
      </w:divBdr>
    </w:div>
    <w:div w:id="1478184311">
      <w:bodyDiv w:val="1"/>
      <w:marLeft w:val="0"/>
      <w:marRight w:val="0"/>
      <w:marTop w:val="0"/>
      <w:marBottom w:val="0"/>
      <w:divBdr>
        <w:top w:val="none" w:sz="0" w:space="0" w:color="auto"/>
        <w:left w:val="none" w:sz="0" w:space="0" w:color="auto"/>
        <w:bottom w:val="none" w:sz="0" w:space="0" w:color="auto"/>
        <w:right w:val="none" w:sz="0" w:space="0" w:color="auto"/>
      </w:divBdr>
      <w:divsChild>
        <w:div w:id="1047683435">
          <w:marLeft w:val="0"/>
          <w:marRight w:val="0"/>
          <w:marTop w:val="0"/>
          <w:marBottom w:val="0"/>
          <w:divBdr>
            <w:top w:val="none" w:sz="0" w:space="0" w:color="auto"/>
            <w:left w:val="none" w:sz="0" w:space="0" w:color="auto"/>
            <w:bottom w:val="none" w:sz="0" w:space="0" w:color="auto"/>
            <w:right w:val="none" w:sz="0" w:space="0" w:color="auto"/>
          </w:divBdr>
          <w:divsChild>
            <w:div w:id="103038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761071">
      <w:bodyDiv w:val="1"/>
      <w:marLeft w:val="0"/>
      <w:marRight w:val="0"/>
      <w:marTop w:val="0"/>
      <w:marBottom w:val="0"/>
      <w:divBdr>
        <w:top w:val="none" w:sz="0" w:space="0" w:color="auto"/>
        <w:left w:val="none" w:sz="0" w:space="0" w:color="auto"/>
        <w:bottom w:val="none" w:sz="0" w:space="0" w:color="auto"/>
        <w:right w:val="none" w:sz="0" w:space="0" w:color="auto"/>
      </w:divBdr>
      <w:divsChild>
        <w:div w:id="296879857">
          <w:marLeft w:val="0"/>
          <w:marRight w:val="0"/>
          <w:marTop w:val="0"/>
          <w:marBottom w:val="0"/>
          <w:divBdr>
            <w:top w:val="none" w:sz="0" w:space="0" w:color="auto"/>
            <w:left w:val="none" w:sz="0" w:space="0" w:color="auto"/>
            <w:bottom w:val="none" w:sz="0" w:space="0" w:color="auto"/>
            <w:right w:val="none" w:sz="0" w:space="0" w:color="auto"/>
          </w:divBdr>
          <w:divsChild>
            <w:div w:id="2089493854">
              <w:marLeft w:val="0"/>
              <w:marRight w:val="0"/>
              <w:marTop w:val="0"/>
              <w:marBottom w:val="0"/>
              <w:divBdr>
                <w:top w:val="none" w:sz="0" w:space="0" w:color="auto"/>
                <w:left w:val="none" w:sz="0" w:space="0" w:color="auto"/>
                <w:bottom w:val="none" w:sz="0" w:space="0" w:color="auto"/>
                <w:right w:val="none" w:sz="0" w:space="0" w:color="auto"/>
              </w:divBdr>
              <w:divsChild>
                <w:div w:id="200974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923677">
      <w:bodyDiv w:val="1"/>
      <w:marLeft w:val="0"/>
      <w:marRight w:val="0"/>
      <w:marTop w:val="0"/>
      <w:marBottom w:val="0"/>
      <w:divBdr>
        <w:top w:val="none" w:sz="0" w:space="0" w:color="auto"/>
        <w:left w:val="none" w:sz="0" w:space="0" w:color="auto"/>
        <w:bottom w:val="none" w:sz="0" w:space="0" w:color="auto"/>
        <w:right w:val="none" w:sz="0" w:space="0" w:color="auto"/>
      </w:divBdr>
      <w:divsChild>
        <w:div w:id="1160731390">
          <w:marLeft w:val="0"/>
          <w:marRight w:val="0"/>
          <w:marTop w:val="0"/>
          <w:marBottom w:val="0"/>
          <w:divBdr>
            <w:top w:val="none" w:sz="0" w:space="0" w:color="auto"/>
            <w:left w:val="none" w:sz="0" w:space="0" w:color="auto"/>
            <w:bottom w:val="none" w:sz="0" w:space="0" w:color="auto"/>
            <w:right w:val="none" w:sz="0" w:space="0" w:color="auto"/>
          </w:divBdr>
          <w:divsChild>
            <w:div w:id="102035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69676">
      <w:bodyDiv w:val="1"/>
      <w:marLeft w:val="0"/>
      <w:marRight w:val="0"/>
      <w:marTop w:val="0"/>
      <w:marBottom w:val="0"/>
      <w:divBdr>
        <w:top w:val="none" w:sz="0" w:space="0" w:color="auto"/>
        <w:left w:val="none" w:sz="0" w:space="0" w:color="auto"/>
        <w:bottom w:val="none" w:sz="0" w:space="0" w:color="auto"/>
        <w:right w:val="none" w:sz="0" w:space="0" w:color="auto"/>
      </w:divBdr>
    </w:div>
    <w:div w:id="1493789214">
      <w:bodyDiv w:val="1"/>
      <w:marLeft w:val="0"/>
      <w:marRight w:val="0"/>
      <w:marTop w:val="0"/>
      <w:marBottom w:val="0"/>
      <w:divBdr>
        <w:top w:val="none" w:sz="0" w:space="0" w:color="auto"/>
        <w:left w:val="none" w:sz="0" w:space="0" w:color="auto"/>
        <w:bottom w:val="none" w:sz="0" w:space="0" w:color="auto"/>
        <w:right w:val="none" w:sz="0" w:space="0" w:color="auto"/>
      </w:divBdr>
    </w:div>
    <w:div w:id="1494376594">
      <w:bodyDiv w:val="1"/>
      <w:marLeft w:val="0"/>
      <w:marRight w:val="0"/>
      <w:marTop w:val="0"/>
      <w:marBottom w:val="0"/>
      <w:divBdr>
        <w:top w:val="none" w:sz="0" w:space="0" w:color="auto"/>
        <w:left w:val="none" w:sz="0" w:space="0" w:color="auto"/>
        <w:bottom w:val="none" w:sz="0" w:space="0" w:color="auto"/>
        <w:right w:val="none" w:sz="0" w:space="0" w:color="auto"/>
      </w:divBdr>
      <w:divsChild>
        <w:div w:id="144518500">
          <w:marLeft w:val="0"/>
          <w:marRight w:val="0"/>
          <w:marTop w:val="0"/>
          <w:marBottom w:val="0"/>
          <w:divBdr>
            <w:top w:val="none" w:sz="0" w:space="0" w:color="auto"/>
            <w:left w:val="none" w:sz="0" w:space="0" w:color="auto"/>
            <w:bottom w:val="none" w:sz="0" w:space="0" w:color="auto"/>
            <w:right w:val="none" w:sz="0" w:space="0" w:color="auto"/>
          </w:divBdr>
          <w:divsChild>
            <w:div w:id="80127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90957">
      <w:bodyDiv w:val="1"/>
      <w:marLeft w:val="0"/>
      <w:marRight w:val="0"/>
      <w:marTop w:val="0"/>
      <w:marBottom w:val="0"/>
      <w:divBdr>
        <w:top w:val="none" w:sz="0" w:space="0" w:color="auto"/>
        <w:left w:val="none" w:sz="0" w:space="0" w:color="auto"/>
        <w:bottom w:val="none" w:sz="0" w:space="0" w:color="auto"/>
        <w:right w:val="none" w:sz="0" w:space="0" w:color="auto"/>
      </w:divBdr>
      <w:divsChild>
        <w:div w:id="727218750">
          <w:marLeft w:val="0"/>
          <w:marRight w:val="0"/>
          <w:marTop w:val="0"/>
          <w:marBottom w:val="0"/>
          <w:divBdr>
            <w:top w:val="none" w:sz="0" w:space="0" w:color="auto"/>
            <w:left w:val="none" w:sz="0" w:space="0" w:color="auto"/>
            <w:bottom w:val="none" w:sz="0" w:space="0" w:color="auto"/>
            <w:right w:val="none" w:sz="0" w:space="0" w:color="auto"/>
          </w:divBdr>
          <w:divsChild>
            <w:div w:id="73270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52735">
      <w:bodyDiv w:val="1"/>
      <w:marLeft w:val="0"/>
      <w:marRight w:val="0"/>
      <w:marTop w:val="0"/>
      <w:marBottom w:val="0"/>
      <w:divBdr>
        <w:top w:val="none" w:sz="0" w:space="0" w:color="auto"/>
        <w:left w:val="none" w:sz="0" w:space="0" w:color="auto"/>
        <w:bottom w:val="none" w:sz="0" w:space="0" w:color="auto"/>
        <w:right w:val="none" w:sz="0" w:space="0" w:color="auto"/>
      </w:divBdr>
      <w:divsChild>
        <w:div w:id="24213541">
          <w:marLeft w:val="0"/>
          <w:marRight w:val="0"/>
          <w:marTop w:val="0"/>
          <w:marBottom w:val="0"/>
          <w:divBdr>
            <w:top w:val="none" w:sz="0" w:space="0" w:color="auto"/>
            <w:left w:val="none" w:sz="0" w:space="0" w:color="auto"/>
            <w:bottom w:val="none" w:sz="0" w:space="0" w:color="auto"/>
            <w:right w:val="none" w:sz="0" w:space="0" w:color="auto"/>
          </w:divBdr>
        </w:div>
        <w:div w:id="50158218">
          <w:marLeft w:val="0"/>
          <w:marRight w:val="0"/>
          <w:marTop w:val="0"/>
          <w:marBottom w:val="0"/>
          <w:divBdr>
            <w:top w:val="none" w:sz="0" w:space="0" w:color="auto"/>
            <w:left w:val="none" w:sz="0" w:space="0" w:color="auto"/>
            <w:bottom w:val="none" w:sz="0" w:space="0" w:color="auto"/>
            <w:right w:val="none" w:sz="0" w:space="0" w:color="auto"/>
          </w:divBdr>
        </w:div>
        <w:div w:id="84956977">
          <w:marLeft w:val="0"/>
          <w:marRight w:val="0"/>
          <w:marTop w:val="0"/>
          <w:marBottom w:val="0"/>
          <w:divBdr>
            <w:top w:val="none" w:sz="0" w:space="0" w:color="auto"/>
            <w:left w:val="none" w:sz="0" w:space="0" w:color="auto"/>
            <w:bottom w:val="none" w:sz="0" w:space="0" w:color="auto"/>
            <w:right w:val="none" w:sz="0" w:space="0" w:color="auto"/>
          </w:divBdr>
        </w:div>
        <w:div w:id="115298262">
          <w:marLeft w:val="0"/>
          <w:marRight w:val="0"/>
          <w:marTop w:val="0"/>
          <w:marBottom w:val="0"/>
          <w:divBdr>
            <w:top w:val="none" w:sz="0" w:space="0" w:color="auto"/>
            <w:left w:val="none" w:sz="0" w:space="0" w:color="auto"/>
            <w:bottom w:val="none" w:sz="0" w:space="0" w:color="auto"/>
            <w:right w:val="none" w:sz="0" w:space="0" w:color="auto"/>
          </w:divBdr>
        </w:div>
        <w:div w:id="119540419">
          <w:marLeft w:val="0"/>
          <w:marRight w:val="0"/>
          <w:marTop w:val="0"/>
          <w:marBottom w:val="0"/>
          <w:divBdr>
            <w:top w:val="none" w:sz="0" w:space="0" w:color="auto"/>
            <w:left w:val="none" w:sz="0" w:space="0" w:color="auto"/>
            <w:bottom w:val="none" w:sz="0" w:space="0" w:color="auto"/>
            <w:right w:val="none" w:sz="0" w:space="0" w:color="auto"/>
          </w:divBdr>
        </w:div>
        <w:div w:id="154145944">
          <w:marLeft w:val="0"/>
          <w:marRight w:val="0"/>
          <w:marTop w:val="0"/>
          <w:marBottom w:val="0"/>
          <w:divBdr>
            <w:top w:val="none" w:sz="0" w:space="0" w:color="auto"/>
            <w:left w:val="none" w:sz="0" w:space="0" w:color="auto"/>
            <w:bottom w:val="none" w:sz="0" w:space="0" w:color="auto"/>
            <w:right w:val="none" w:sz="0" w:space="0" w:color="auto"/>
          </w:divBdr>
        </w:div>
        <w:div w:id="253443204">
          <w:marLeft w:val="0"/>
          <w:marRight w:val="0"/>
          <w:marTop w:val="0"/>
          <w:marBottom w:val="0"/>
          <w:divBdr>
            <w:top w:val="none" w:sz="0" w:space="0" w:color="auto"/>
            <w:left w:val="none" w:sz="0" w:space="0" w:color="auto"/>
            <w:bottom w:val="none" w:sz="0" w:space="0" w:color="auto"/>
            <w:right w:val="none" w:sz="0" w:space="0" w:color="auto"/>
          </w:divBdr>
        </w:div>
        <w:div w:id="397367789">
          <w:marLeft w:val="0"/>
          <w:marRight w:val="0"/>
          <w:marTop w:val="0"/>
          <w:marBottom w:val="0"/>
          <w:divBdr>
            <w:top w:val="none" w:sz="0" w:space="0" w:color="auto"/>
            <w:left w:val="none" w:sz="0" w:space="0" w:color="auto"/>
            <w:bottom w:val="none" w:sz="0" w:space="0" w:color="auto"/>
            <w:right w:val="none" w:sz="0" w:space="0" w:color="auto"/>
          </w:divBdr>
        </w:div>
        <w:div w:id="419300396">
          <w:marLeft w:val="0"/>
          <w:marRight w:val="0"/>
          <w:marTop w:val="0"/>
          <w:marBottom w:val="0"/>
          <w:divBdr>
            <w:top w:val="none" w:sz="0" w:space="0" w:color="auto"/>
            <w:left w:val="none" w:sz="0" w:space="0" w:color="auto"/>
            <w:bottom w:val="none" w:sz="0" w:space="0" w:color="auto"/>
            <w:right w:val="none" w:sz="0" w:space="0" w:color="auto"/>
          </w:divBdr>
        </w:div>
        <w:div w:id="461196705">
          <w:marLeft w:val="0"/>
          <w:marRight w:val="0"/>
          <w:marTop w:val="0"/>
          <w:marBottom w:val="0"/>
          <w:divBdr>
            <w:top w:val="none" w:sz="0" w:space="0" w:color="auto"/>
            <w:left w:val="none" w:sz="0" w:space="0" w:color="auto"/>
            <w:bottom w:val="none" w:sz="0" w:space="0" w:color="auto"/>
            <w:right w:val="none" w:sz="0" w:space="0" w:color="auto"/>
          </w:divBdr>
        </w:div>
        <w:div w:id="487525724">
          <w:marLeft w:val="0"/>
          <w:marRight w:val="0"/>
          <w:marTop w:val="0"/>
          <w:marBottom w:val="0"/>
          <w:divBdr>
            <w:top w:val="none" w:sz="0" w:space="0" w:color="auto"/>
            <w:left w:val="none" w:sz="0" w:space="0" w:color="auto"/>
            <w:bottom w:val="none" w:sz="0" w:space="0" w:color="auto"/>
            <w:right w:val="none" w:sz="0" w:space="0" w:color="auto"/>
          </w:divBdr>
        </w:div>
        <w:div w:id="509023865">
          <w:marLeft w:val="0"/>
          <w:marRight w:val="0"/>
          <w:marTop w:val="0"/>
          <w:marBottom w:val="0"/>
          <w:divBdr>
            <w:top w:val="none" w:sz="0" w:space="0" w:color="auto"/>
            <w:left w:val="none" w:sz="0" w:space="0" w:color="auto"/>
            <w:bottom w:val="none" w:sz="0" w:space="0" w:color="auto"/>
            <w:right w:val="none" w:sz="0" w:space="0" w:color="auto"/>
          </w:divBdr>
        </w:div>
        <w:div w:id="537012976">
          <w:marLeft w:val="0"/>
          <w:marRight w:val="0"/>
          <w:marTop w:val="0"/>
          <w:marBottom w:val="0"/>
          <w:divBdr>
            <w:top w:val="none" w:sz="0" w:space="0" w:color="auto"/>
            <w:left w:val="none" w:sz="0" w:space="0" w:color="auto"/>
            <w:bottom w:val="none" w:sz="0" w:space="0" w:color="auto"/>
            <w:right w:val="none" w:sz="0" w:space="0" w:color="auto"/>
          </w:divBdr>
        </w:div>
        <w:div w:id="603609940">
          <w:marLeft w:val="0"/>
          <w:marRight w:val="0"/>
          <w:marTop w:val="0"/>
          <w:marBottom w:val="0"/>
          <w:divBdr>
            <w:top w:val="none" w:sz="0" w:space="0" w:color="auto"/>
            <w:left w:val="none" w:sz="0" w:space="0" w:color="auto"/>
            <w:bottom w:val="none" w:sz="0" w:space="0" w:color="auto"/>
            <w:right w:val="none" w:sz="0" w:space="0" w:color="auto"/>
          </w:divBdr>
        </w:div>
        <w:div w:id="607740097">
          <w:marLeft w:val="0"/>
          <w:marRight w:val="0"/>
          <w:marTop w:val="0"/>
          <w:marBottom w:val="0"/>
          <w:divBdr>
            <w:top w:val="none" w:sz="0" w:space="0" w:color="auto"/>
            <w:left w:val="none" w:sz="0" w:space="0" w:color="auto"/>
            <w:bottom w:val="none" w:sz="0" w:space="0" w:color="auto"/>
            <w:right w:val="none" w:sz="0" w:space="0" w:color="auto"/>
          </w:divBdr>
        </w:div>
        <w:div w:id="651567834">
          <w:marLeft w:val="0"/>
          <w:marRight w:val="0"/>
          <w:marTop w:val="0"/>
          <w:marBottom w:val="0"/>
          <w:divBdr>
            <w:top w:val="none" w:sz="0" w:space="0" w:color="auto"/>
            <w:left w:val="none" w:sz="0" w:space="0" w:color="auto"/>
            <w:bottom w:val="none" w:sz="0" w:space="0" w:color="auto"/>
            <w:right w:val="none" w:sz="0" w:space="0" w:color="auto"/>
          </w:divBdr>
        </w:div>
        <w:div w:id="773553295">
          <w:marLeft w:val="0"/>
          <w:marRight w:val="0"/>
          <w:marTop w:val="0"/>
          <w:marBottom w:val="0"/>
          <w:divBdr>
            <w:top w:val="none" w:sz="0" w:space="0" w:color="auto"/>
            <w:left w:val="none" w:sz="0" w:space="0" w:color="auto"/>
            <w:bottom w:val="none" w:sz="0" w:space="0" w:color="auto"/>
            <w:right w:val="none" w:sz="0" w:space="0" w:color="auto"/>
          </w:divBdr>
        </w:div>
        <w:div w:id="888957357">
          <w:marLeft w:val="0"/>
          <w:marRight w:val="0"/>
          <w:marTop w:val="0"/>
          <w:marBottom w:val="0"/>
          <w:divBdr>
            <w:top w:val="none" w:sz="0" w:space="0" w:color="auto"/>
            <w:left w:val="none" w:sz="0" w:space="0" w:color="auto"/>
            <w:bottom w:val="none" w:sz="0" w:space="0" w:color="auto"/>
            <w:right w:val="none" w:sz="0" w:space="0" w:color="auto"/>
          </w:divBdr>
        </w:div>
        <w:div w:id="896933760">
          <w:marLeft w:val="0"/>
          <w:marRight w:val="0"/>
          <w:marTop w:val="0"/>
          <w:marBottom w:val="0"/>
          <w:divBdr>
            <w:top w:val="none" w:sz="0" w:space="0" w:color="auto"/>
            <w:left w:val="none" w:sz="0" w:space="0" w:color="auto"/>
            <w:bottom w:val="none" w:sz="0" w:space="0" w:color="auto"/>
            <w:right w:val="none" w:sz="0" w:space="0" w:color="auto"/>
          </w:divBdr>
        </w:div>
        <w:div w:id="915478047">
          <w:marLeft w:val="0"/>
          <w:marRight w:val="0"/>
          <w:marTop w:val="0"/>
          <w:marBottom w:val="0"/>
          <w:divBdr>
            <w:top w:val="none" w:sz="0" w:space="0" w:color="auto"/>
            <w:left w:val="none" w:sz="0" w:space="0" w:color="auto"/>
            <w:bottom w:val="none" w:sz="0" w:space="0" w:color="auto"/>
            <w:right w:val="none" w:sz="0" w:space="0" w:color="auto"/>
          </w:divBdr>
        </w:div>
        <w:div w:id="981154570">
          <w:marLeft w:val="0"/>
          <w:marRight w:val="0"/>
          <w:marTop w:val="0"/>
          <w:marBottom w:val="0"/>
          <w:divBdr>
            <w:top w:val="none" w:sz="0" w:space="0" w:color="auto"/>
            <w:left w:val="none" w:sz="0" w:space="0" w:color="auto"/>
            <w:bottom w:val="none" w:sz="0" w:space="0" w:color="auto"/>
            <w:right w:val="none" w:sz="0" w:space="0" w:color="auto"/>
          </w:divBdr>
        </w:div>
        <w:div w:id="1012681223">
          <w:marLeft w:val="0"/>
          <w:marRight w:val="0"/>
          <w:marTop w:val="0"/>
          <w:marBottom w:val="0"/>
          <w:divBdr>
            <w:top w:val="none" w:sz="0" w:space="0" w:color="auto"/>
            <w:left w:val="none" w:sz="0" w:space="0" w:color="auto"/>
            <w:bottom w:val="none" w:sz="0" w:space="0" w:color="auto"/>
            <w:right w:val="none" w:sz="0" w:space="0" w:color="auto"/>
          </w:divBdr>
        </w:div>
        <w:div w:id="1129125519">
          <w:marLeft w:val="0"/>
          <w:marRight w:val="0"/>
          <w:marTop w:val="0"/>
          <w:marBottom w:val="0"/>
          <w:divBdr>
            <w:top w:val="none" w:sz="0" w:space="0" w:color="auto"/>
            <w:left w:val="none" w:sz="0" w:space="0" w:color="auto"/>
            <w:bottom w:val="none" w:sz="0" w:space="0" w:color="auto"/>
            <w:right w:val="none" w:sz="0" w:space="0" w:color="auto"/>
          </w:divBdr>
        </w:div>
        <w:div w:id="1207642262">
          <w:marLeft w:val="0"/>
          <w:marRight w:val="0"/>
          <w:marTop w:val="0"/>
          <w:marBottom w:val="0"/>
          <w:divBdr>
            <w:top w:val="none" w:sz="0" w:space="0" w:color="auto"/>
            <w:left w:val="none" w:sz="0" w:space="0" w:color="auto"/>
            <w:bottom w:val="none" w:sz="0" w:space="0" w:color="auto"/>
            <w:right w:val="none" w:sz="0" w:space="0" w:color="auto"/>
          </w:divBdr>
        </w:div>
        <w:div w:id="1288000525">
          <w:marLeft w:val="0"/>
          <w:marRight w:val="0"/>
          <w:marTop w:val="0"/>
          <w:marBottom w:val="0"/>
          <w:divBdr>
            <w:top w:val="none" w:sz="0" w:space="0" w:color="auto"/>
            <w:left w:val="none" w:sz="0" w:space="0" w:color="auto"/>
            <w:bottom w:val="none" w:sz="0" w:space="0" w:color="auto"/>
            <w:right w:val="none" w:sz="0" w:space="0" w:color="auto"/>
          </w:divBdr>
        </w:div>
        <w:div w:id="1295258499">
          <w:marLeft w:val="0"/>
          <w:marRight w:val="0"/>
          <w:marTop w:val="0"/>
          <w:marBottom w:val="0"/>
          <w:divBdr>
            <w:top w:val="none" w:sz="0" w:space="0" w:color="auto"/>
            <w:left w:val="none" w:sz="0" w:space="0" w:color="auto"/>
            <w:bottom w:val="none" w:sz="0" w:space="0" w:color="auto"/>
            <w:right w:val="none" w:sz="0" w:space="0" w:color="auto"/>
          </w:divBdr>
        </w:div>
        <w:div w:id="1579706289">
          <w:marLeft w:val="0"/>
          <w:marRight w:val="0"/>
          <w:marTop w:val="0"/>
          <w:marBottom w:val="0"/>
          <w:divBdr>
            <w:top w:val="none" w:sz="0" w:space="0" w:color="auto"/>
            <w:left w:val="none" w:sz="0" w:space="0" w:color="auto"/>
            <w:bottom w:val="none" w:sz="0" w:space="0" w:color="auto"/>
            <w:right w:val="none" w:sz="0" w:space="0" w:color="auto"/>
          </w:divBdr>
        </w:div>
        <w:div w:id="1742558752">
          <w:marLeft w:val="0"/>
          <w:marRight w:val="0"/>
          <w:marTop w:val="0"/>
          <w:marBottom w:val="0"/>
          <w:divBdr>
            <w:top w:val="none" w:sz="0" w:space="0" w:color="auto"/>
            <w:left w:val="none" w:sz="0" w:space="0" w:color="auto"/>
            <w:bottom w:val="none" w:sz="0" w:space="0" w:color="auto"/>
            <w:right w:val="none" w:sz="0" w:space="0" w:color="auto"/>
          </w:divBdr>
        </w:div>
        <w:div w:id="1750884804">
          <w:marLeft w:val="0"/>
          <w:marRight w:val="0"/>
          <w:marTop w:val="0"/>
          <w:marBottom w:val="0"/>
          <w:divBdr>
            <w:top w:val="none" w:sz="0" w:space="0" w:color="auto"/>
            <w:left w:val="none" w:sz="0" w:space="0" w:color="auto"/>
            <w:bottom w:val="none" w:sz="0" w:space="0" w:color="auto"/>
            <w:right w:val="none" w:sz="0" w:space="0" w:color="auto"/>
          </w:divBdr>
        </w:div>
        <w:div w:id="2040351147">
          <w:marLeft w:val="0"/>
          <w:marRight w:val="0"/>
          <w:marTop w:val="0"/>
          <w:marBottom w:val="0"/>
          <w:divBdr>
            <w:top w:val="none" w:sz="0" w:space="0" w:color="auto"/>
            <w:left w:val="none" w:sz="0" w:space="0" w:color="auto"/>
            <w:bottom w:val="none" w:sz="0" w:space="0" w:color="auto"/>
            <w:right w:val="none" w:sz="0" w:space="0" w:color="auto"/>
          </w:divBdr>
        </w:div>
        <w:div w:id="2055812300">
          <w:marLeft w:val="0"/>
          <w:marRight w:val="0"/>
          <w:marTop w:val="0"/>
          <w:marBottom w:val="0"/>
          <w:divBdr>
            <w:top w:val="none" w:sz="0" w:space="0" w:color="auto"/>
            <w:left w:val="none" w:sz="0" w:space="0" w:color="auto"/>
            <w:bottom w:val="none" w:sz="0" w:space="0" w:color="auto"/>
            <w:right w:val="none" w:sz="0" w:space="0" w:color="auto"/>
          </w:divBdr>
        </w:div>
        <w:div w:id="2078086872">
          <w:marLeft w:val="0"/>
          <w:marRight w:val="0"/>
          <w:marTop w:val="0"/>
          <w:marBottom w:val="0"/>
          <w:divBdr>
            <w:top w:val="none" w:sz="0" w:space="0" w:color="auto"/>
            <w:left w:val="none" w:sz="0" w:space="0" w:color="auto"/>
            <w:bottom w:val="none" w:sz="0" w:space="0" w:color="auto"/>
            <w:right w:val="none" w:sz="0" w:space="0" w:color="auto"/>
          </w:divBdr>
        </w:div>
      </w:divsChild>
    </w:div>
    <w:div w:id="1506750072">
      <w:bodyDiv w:val="1"/>
      <w:marLeft w:val="0"/>
      <w:marRight w:val="0"/>
      <w:marTop w:val="0"/>
      <w:marBottom w:val="0"/>
      <w:divBdr>
        <w:top w:val="none" w:sz="0" w:space="0" w:color="auto"/>
        <w:left w:val="none" w:sz="0" w:space="0" w:color="auto"/>
        <w:bottom w:val="none" w:sz="0" w:space="0" w:color="auto"/>
        <w:right w:val="none" w:sz="0" w:space="0" w:color="auto"/>
      </w:divBdr>
      <w:divsChild>
        <w:div w:id="300429451">
          <w:marLeft w:val="0"/>
          <w:marRight w:val="0"/>
          <w:marTop w:val="240"/>
          <w:marBottom w:val="240"/>
          <w:divBdr>
            <w:top w:val="none" w:sz="0" w:space="0" w:color="auto"/>
            <w:left w:val="none" w:sz="0" w:space="0" w:color="auto"/>
            <w:bottom w:val="none" w:sz="0" w:space="0" w:color="auto"/>
            <w:right w:val="none" w:sz="0" w:space="0" w:color="auto"/>
          </w:divBdr>
        </w:div>
        <w:div w:id="1312174236">
          <w:marLeft w:val="0"/>
          <w:marRight w:val="0"/>
          <w:marTop w:val="240"/>
          <w:marBottom w:val="240"/>
          <w:divBdr>
            <w:top w:val="none" w:sz="0" w:space="0" w:color="auto"/>
            <w:left w:val="none" w:sz="0" w:space="0" w:color="auto"/>
            <w:bottom w:val="none" w:sz="0" w:space="0" w:color="auto"/>
            <w:right w:val="none" w:sz="0" w:space="0" w:color="auto"/>
          </w:divBdr>
        </w:div>
      </w:divsChild>
    </w:div>
    <w:div w:id="1510220638">
      <w:bodyDiv w:val="1"/>
      <w:marLeft w:val="0"/>
      <w:marRight w:val="0"/>
      <w:marTop w:val="0"/>
      <w:marBottom w:val="0"/>
      <w:divBdr>
        <w:top w:val="none" w:sz="0" w:space="0" w:color="auto"/>
        <w:left w:val="none" w:sz="0" w:space="0" w:color="auto"/>
        <w:bottom w:val="none" w:sz="0" w:space="0" w:color="auto"/>
        <w:right w:val="none" w:sz="0" w:space="0" w:color="auto"/>
      </w:divBdr>
      <w:divsChild>
        <w:div w:id="685834663">
          <w:marLeft w:val="0"/>
          <w:marRight w:val="0"/>
          <w:marTop w:val="0"/>
          <w:marBottom w:val="0"/>
          <w:divBdr>
            <w:top w:val="none" w:sz="0" w:space="0" w:color="auto"/>
            <w:left w:val="none" w:sz="0" w:space="0" w:color="auto"/>
            <w:bottom w:val="none" w:sz="0" w:space="0" w:color="auto"/>
            <w:right w:val="none" w:sz="0" w:space="0" w:color="auto"/>
          </w:divBdr>
          <w:divsChild>
            <w:div w:id="76942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947396">
      <w:bodyDiv w:val="1"/>
      <w:marLeft w:val="0"/>
      <w:marRight w:val="0"/>
      <w:marTop w:val="0"/>
      <w:marBottom w:val="0"/>
      <w:divBdr>
        <w:top w:val="none" w:sz="0" w:space="0" w:color="auto"/>
        <w:left w:val="none" w:sz="0" w:space="0" w:color="auto"/>
        <w:bottom w:val="none" w:sz="0" w:space="0" w:color="auto"/>
        <w:right w:val="none" w:sz="0" w:space="0" w:color="auto"/>
      </w:divBdr>
      <w:divsChild>
        <w:div w:id="395320631">
          <w:marLeft w:val="0"/>
          <w:marRight w:val="0"/>
          <w:marTop w:val="0"/>
          <w:marBottom w:val="0"/>
          <w:divBdr>
            <w:top w:val="none" w:sz="0" w:space="0" w:color="auto"/>
            <w:left w:val="none" w:sz="0" w:space="0" w:color="auto"/>
            <w:bottom w:val="none" w:sz="0" w:space="0" w:color="auto"/>
            <w:right w:val="none" w:sz="0" w:space="0" w:color="auto"/>
          </w:divBdr>
          <w:divsChild>
            <w:div w:id="66566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422527">
      <w:bodyDiv w:val="1"/>
      <w:marLeft w:val="0"/>
      <w:marRight w:val="0"/>
      <w:marTop w:val="0"/>
      <w:marBottom w:val="0"/>
      <w:divBdr>
        <w:top w:val="none" w:sz="0" w:space="0" w:color="auto"/>
        <w:left w:val="none" w:sz="0" w:space="0" w:color="auto"/>
        <w:bottom w:val="none" w:sz="0" w:space="0" w:color="auto"/>
        <w:right w:val="none" w:sz="0" w:space="0" w:color="auto"/>
      </w:divBdr>
    </w:div>
    <w:div w:id="1520120539">
      <w:bodyDiv w:val="1"/>
      <w:marLeft w:val="0"/>
      <w:marRight w:val="0"/>
      <w:marTop w:val="0"/>
      <w:marBottom w:val="0"/>
      <w:divBdr>
        <w:top w:val="none" w:sz="0" w:space="0" w:color="auto"/>
        <w:left w:val="none" w:sz="0" w:space="0" w:color="auto"/>
        <w:bottom w:val="none" w:sz="0" w:space="0" w:color="auto"/>
        <w:right w:val="none" w:sz="0" w:space="0" w:color="auto"/>
      </w:divBdr>
    </w:div>
    <w:div w:id="1523006915">
      <w:bodyDiv w:val="1"/>
      <w:marLeft w:val="0"/>
      <w:marRight w:val="0"/>
      <w:marTop w:val="0"/>
      <w:marBottom w:val="0"/>
      <w:divBdr>
        <w:top w:val="none" w:sz="0" w:space="0" w:color="auto"/>
        <w:left w:val="none" w:sz="0" w:space="0" w:color="auto"/>
        <w:bottom w:val="none" w:sz="0" w:space="0" w:color="auto"/>
        <w:right w:val="none" w:sz="0" w:space="0" w:color="auto"/>
      </w:divBdr>
      <w:divsChild>
        <w:div w:id="133497335">
          <w:marLeft w:val="0"/>
          <w:marRight w:val="0"/>
          <w:marTop w:val="0"/>
          <w:marBottom w:val="0"/>
          <w:divBdr>
            <w:top w:val="none" w:sz="0" w:space="0" w:color="auto"/>
            <w:left w:val="none" w:sz="0" w:space="0" w:color="auto"/>
            <w:bottom w:val="none" w:sz="0" w:space="0" w:color="auto"/>
            <w:right w:val="none" w:sz="0" w:space="0" w:color="auto"/>
          </w:divBdr>
          <w:divsChild>
            <w:div w:id="119426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124722">
      <w:bodyDiv w:val="1"/>
      <w:marLeft w:val="0"/>
      <w:marRight w:val="0"/>
      <w:marTop w:val="0"/>
      <w:marBottom w:val="0"/>
      <w:divBdr>
        <w:top w:val="none" w:sz="0" w:space="0" w:color="auto"/>
        <w:left w:val="none" w:sz="0" w:space="0" w:color="auto"/>
        <w:bottom w:val="none" w:sz="0" w:space="0" w:color="auto"/>
        <w:right w:val="none" w:sz="0" w:space="0" w:color="auto"/>
      </w:divBdr>
    </w:div>
    <w:div w:id="1530291263">
      <w:bodyDiv w:val="1"/>
      <w:marLeft w:val="0"/>
      <w:marRight w:val="0"/>
      <w:marTop w:val="0"/>
      <w:marBottom w:val="0"/>
      <w:divBdr>
        <w:top w:val="none" w:sz="0" w:space="0" w:color="auto"/>
        <w:left w:val="none" w:sz="0" w:space="0" w:color="auto"/>
        <w:bottom w:val="none" w:sz="0" w:space="0" w:color="auto"/>
        <w:right w:val="none" w:sz="0" w:space="0" w:color="auto"/>
      </w:divBdr>
      <w:divsChild>
        <w:div w:id="142427213">
          <w:marLeft w:val="0"/>
          <w:marRight w:val="0"/>
          <w:marTop w:val="0"/>
          <w:marBottom w:val="0"/>
          <w:divBdr>
            <w:top w:val="none" w:sz="0" w:space="0" w:color="auto"/>
            <w:left w:val="none" w:sz="0" w:space="0" w:color="auto"/>
            <w:bottom w:val="none" w:sz="0" w:space="0" w:color="auto"/>
            <w:right w:val="none" w:sz="0" w:space="0" w:color="auto"/>
          </w:divBdr>
          <w:divsChild>
            <w:div w:id="49403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307454">
      <w:bodyDiv w:val="1"/>
      <w:marLeft w:val="0"/>
      <w:marRight w:val="0"/>
      <w:marTop w:val="0"/>
      <w:marBottom w:val="0"/>
      <w:divBdr>
        <w:top w:val="none" w:sz="0" w:space="0" w:color="auto"/>
        <w:left w:val="none" w:sz="0" w:space="0" w:color="auto"/>
        <w:bottom w:val="none" w:sz="0" w:space="0" w:color="auto"/>
        <w:right w:val="none" w:sz="0" w:space="0" w:color="auto"/>
      </w:divBdr>
    </w:div>
    <w:div w:id="1538469324">
      <w:bodyDiv w:val="1"/>
      <w:marLeft w:val="0"/>
      <w:marRight w:val="0"/>
      <w:marTop w:val="0"/>
      <w:marBottom w:val="0"/>
      <w:divBdr>
        <w:top w:val="none" w:sz="0" w:space="0" w:color="auto"/>
        <w:left w:val="none" w:sz="0" w:space="0" w:color="auto"/>
        <w:bottom w:val="none" w:sz="0" w:space="0" w:color="auto"/>
        <w:right w:val="none" w:sz="0" w:space="0" w:color="auto"/>
      </w:divBdr>
      <w:divsChild>
        <w:div w:id="42564923">
          <w:marLeft w:val="0"/>
          <w:marRight w:val="0"/>
          <w:marTop w:val="0"/>
          <w:marBottom w:val="0"/>
          <w:divBdr>
            <w:top w:val="none" w:sz="0" w:space="0" w:color="auto"/>
            <w:left w:val="none" w:sz="0" w:space="0" w:color="auto"/>
            <w:bottom w:val="none" w:sz="0" w:space="0" w:color="auto"/>
            <w:right w:val="none" w:sz="0" w:space="0" w:color="auto"/>
          </w:divBdr>
          <w:divsChild>
            <w:div w:id="1314918261">
              <w:marLeft w:val="0"/>
              <w:marRight w:val="0"/>
              <w:marTop w:val="0"/>
              <w:marBottom w:val="0"/>
              <w:divBdr>
                <w:top w:val="none" w:sz="0" w:space="0" w:color="auto"/>
                <w:left w:val="none" w:sz="0" w:space="0" w:color="auto"/>
                <w:bottom w:val="none" w:sz="0" w:space="0" w:color="auto"/>
                <w:right w:val="none" w:sz="0" w:space="0" w:color="auto"/>
              </w:divBdr>
              <w:divsChild>
                <w:div w:id="130338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353786">
      <w:bodyDiv w:val="1"/>
      <w:marLeft w:val="0"/>
      <w:marRight w:val="0"/>
      <w:marTop w:val="0"/>
      <w:marBottom w:val="0"/>
      <w:divBdr>
        <w:top w:val="none" w:sz="0" w:space="0" w:color="auto"/>
        <w:left w:val="none" w:sz="0" w:space="0" w:color="auto"/>
        <w:bottom w:val="none" w:sz="0" w:space="0" w:color="auto"/>
        <w:right w:val="none" w:sz="0" w:space="0" w:color="auto"/>
      </w:divBdr>
    </w:div>
    <w:div w:id="1547377662">
      <w:bodyDiv w:val="1"/>
      <w:marLeft w:val="0"/>
      <w:marRight w:val="0"/>
      <w:marTop w:val="0"/>
      <w:marBottom w:val="0"/>
      <w:divBdr>
        <w:top w:val="none" w:sz="0" w:space="0" w:color="auto"/>
        <w:left w:val="none" w:sz="0" w:space="0" w:color="auto"/>
        <w:bottom w:val="none" w:sz="0" w:space="0" w:color="auto"/>
        <w:right w:val="none" w:sz="0" w:space="0" w:color="auto"/>
      </w:divBdr>
      <w:divsChild>
        <w:div w:id="1550220282">
          <w:marLeft w:val="0"/>
          <w:marRight w:val="0"/>
          <w:marTop w:val="0"/>
          <w:marBottom w:val="0"/>
          <w:divBdr>
            <w:top w:val="none" w:sz="0" w:space="0" w:color="auto"/>
            <w:left w:val="none" w:sz="0" w:space="0" w:color="auto"/>
            <w:bottom w:val="none" w:sz="0" w:space="0" w:color="auto"/>
            <w:right w:val="none" w:sz="0" w:space="0" w:color="auto"/>
          </w:divBdr>
          <w:divsChild>
            <w:div w:id="548418833">
              <w:marLeft w:val="0"/>
              <w:marRight w:val="0"/>
              <w:marTop w:val="0"/>
              <w:marBottom w:val="0"/>
              <w:divBdr>
                <w:top w:val="none" w:sz="0" w:space="0" w:color="auto"/>
                <w:left w:val="none" w:sz="0" w:space="0" w:color="auto"/>
                <w:bottom w:val="none" w:sz="0" w:space="0" w:color="auto"/>
                <w:right w:val="none" w:sz="0" w:space="0" w:color="auto"/>
              </w:divBdr>
            </w:div>
            <w:div w:id="175604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449108">
      <w:bodyDiv w:val="1"/>
      <w:marLeft w:val="0"/>
      <w:marRight w:val="0"/>
      <w:marTop w:val="0"/>
      <w:marBottom w:val="0"/>
      <w:divBdr>
        <w:top w:val="none" w:sz="0" w:space="0" w:color="auto"/>
        <w:left w:val="none" w:sz="0" w:space="0" w:color="auto"/>
        <w:bottom w:val="none" w:sz="0" w:space="0" w:color="auto"/>
        <w:right w:val="none" w:sz="0" w:space="0" w:color="auto"/>
      </w:divBdr>
    </w:div>
    <w:div w:id="1552036867">
      <w:bodyDiv w:val="1"/>
      <w:marLeft w:val="0"/>
      <w:marRight w:val="0"/>
      <w:marTop w:val="0"/>
      <w:marBottom w:val="0"/>
      <w:divBdr>
        <w:top w:val="none" w:sz="0" w:space="0" w:color="auto"/>
        <w:left w:val="none" w:sz="0" w:space="0" w:color="auto"/>
        <w:bottom w:val="none" w:sz="0" w:space="0" w:color="auto"/>
        <w:right w:val="none" w:sz="0" w:space="0" w:color="auto"/>
      </w:divBdr>
    </w:div>
    <w:div w:id="1556819230">
      <w:bodyDiv w:val="1"/>
      <w:marLeft w:val="0"/>
      <w:marRight w:val="0"/>
      <w:marTop w:val="0"/>
      <w:marBottom w:val="0"/>
      <w:divBdr>
        <w:top w:val="none" w:sz="0" w:space="0" w:color="auto"/>
        <w:left w:val="none" w:sz="0" w:space="0" w:color="auto"/>
        <w:bottom w:val="none" w:sz="0" w:space="0" w:color="auto"/>
        <w:right w:val="none" w:sz="0" w:space="0" w:color="auto"/>
      </w:divBdr>
    </w:div>
    <w:div w:id="1571841499">
      <w:bodyDiv w:val="1"/>
      <w:marLeft w:val="0"/>
      <w:marRight w:val="0"/>
      <w:marTop w:val="0"/>
      <w:marBottom w:val="0"/>
      <w:divBdr>
        <w:top w:val="none" w:sz="0" w:space="0" w:color="auto"/>
        <w:left w:val="none" w:sz="0" w:space="0" w:color="auto"/>
        <w:bottom w:val="none" w:sz="0" w:space="0" w:color="auto"/>
        <w:right w:val="none" w:sz="0" w:space="0" w:color="auto"/>
      </w:divBdr>
      <w:divsChild>
        <w:div w:id="1551263643">
          <w:marLeft w:val="0"/>
          <w:marRight w:val="0"/>
          <w:marTop w:val="0"/>
          <w:marBottom w:val="0"/>
          <w:divBdr>
            <w:top w:val="none" w:sz="0" w:space="0" w:color="auto"/>
            <w:left w:val="none" w:sz="0" w:space="0" w:color="auto"/>
            <w:bottom w:val="none" w:sz="0" w:space="0" w:color="auto"/>
            <w:right w:val="none" w:sz="0" w:space="0" w:color="auto"/>
          </w:divBdr>
          <w:divsChild>
            <w:div w:id="97841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739864">
      <w:bodyDiv w:val="1"/>
      <w:marLeft w:val="0"/>
      <w:marRight w:val="0"/>
      <w:marTop w:val="0"/>
      <w:marBottom w:val="0"/>
      <w:divBdr>
        <w:top w:val="none" w:sz="0" w:space="0" w:color="auto"/>
        <w:left w:val="none" w:sz="0" w:space="0" w:color="auto"/>
        <w:bottom w:val="none" w:sz="0" w:space="0" w:color="auto"/>
        <w:right w:val="none" w:sz="0" w:space="0" w:color="auto"/>
      </w:divBdr>
    </w:div>
    <w:div w:id="1579441801">
      <w:bodyDiv w:val="1"/>
      <w:marLeft w:val="0"/>
      <w:marRight w:val="0"/>
      <w:marTop w:val="0"/>
      <w:marBottom w:val="0"/>
      <w:divBdr>
        <w:top w:val="none" w:sz="0" w:space="0" w:color="auto"/>
        <w:left w:val="none" w:sz="0" w:space="0" w:color="auto"/>
        <w:bottom w:val="none" w:sz="0" w:space="0" w:color="auto"/>
        <w:right w:val="none" w:sz="0" w:space="0" w:color="auto"/>
      </w:divBdr>
    </w:div>
    <w:div w:id="1588735489">
      <w:bodyDiv w:val="1"/>
      <w:marLeft w:val="0"/>
      <w:marRight w:val="0"/>
      <w:marTop w:val="0"/>
      <w:marBottom w:val="0"/>
      <w:divBdr>
        <w:top w:val="none" w:sz="0" w:space="0" w:color="auto"/>
        <w:left w:val="none" w:sz="0" w:space="0" w:color="auto"/>
        <w:bottom w:val="none" w:sz="0" w:space="0" w:color="auto"/>
        <w:right w:val="none" w:sz="0" w:space="0" w:color="auto"/>
      </w:divBdr>
      <w:divsChild>
        <w:div w:id="681123564">
          <w:marLeft w:val="0"/>
          <w:marRight w:val="0"/>
          <w:marTop w:val="0"/>
          <w:marBottom w:val="0"/>
          <w:divBdr>
            <w:top w:val="none" w:sz="0" w:space="0" w:color="auto"/>
            <w:left w:val="none" w:sz="0" w:space="0" w:color="auto"/>
            <w:bottom w:val="none" w:sz="0" w:space="0" w:color="auto"/>
            <w:right w:val="none" w:sz="0" w:space="0" w:color="auto"/>
          </w:divBdr>
          <w:divsChild>
            <w:div w:id="108206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6086">
      <w:bodyDiv w:val="1"/>
      <w:marLeft w:val="0"/>
      <w:marRight w:val="0"/>
      <w:marTop w:val="0"/>
      <w:marBottom w:val="0"/>
      <w:divBdr>
        <w:top w:val="none" w:sz="0" w:space="0" w:color="auto"/>
        <w:left w:val="none" w:sz="0" w:space="0" w:color="auto"/>
        <w:bottom w:val="none" w:sz="0" w:space="0" w:color="auto"/>
        <w:right w:val="none" w:sz="0" w:space="0" w:color="auto"/>
      </w:divBdr>
      <w:divsChild>
        <w:div w:id="495190395">
          <w:marLeft w:val="0"/>
          <w:marRight w:val="0"/>
          <w:marTop w:val="0"/>
          <w:marBottom w:val="0"/>
          <w:divBdr>
            <w:top w:val="none" w:sz="0" w:space="0" w:color="auto"/>
            <w:left w:val="none" w:sz="0" w:space="0" w:color="auto"/>
            <w:bottom w:val="none" w:sz="0" w:space="0" w:color="auto"/>
            <w:right w:val="none" w:sz="0" w:space="0" w:color="auto"/>
          </w:divBdr>
          <w:divsChild>
            <w:div w:id="73782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457485">
      <w:bodyDiv w:val="1"/>
      <w:marLeft w:val="0"/>
      <w:marRight w:val="0"/>
      <w:marTop w:val="0"/>
      <w:marBottom w:val="0"/>
      <w:divBdr>
        <w:top w:val="none" w:sz="0" w:space="0" w:color="auto"/>
        <w:left w:val="none" w:sz="0" w:space="0" w:color="auto"/>
        <w:bottom w:val="none" w:sz="0" w:space="0" w:color="auto"/>
        <w:right w:val="none" w:sz="0" w:space="0" w:color="auto"/>
      </w:divBdr>
    </w:div>
    <w:div w:id="1596088094">
      <w:bodyDiv w:val="1"/>
      <w:marLeft w:val="0"/>
      <w:marRight w:val="0"/>
      <w:marTop w:val="0"/>
      <w:marBottom w:val="0"/>
      <w:divBdr>
        <w:top w:val="none" w:sz="0" w:space="0" w:color="auto"/>
        <w:left w:val="none" w:sz="0" w:space="0" w:color="auto"/>
        <w:bottom w:val="none" w:sz="0" w:space="0" w:color="auto"/>
        <w:right w:val="none" w:sz="0" w:space="0" w:color="auto"/>
      </w:divBdr>
      <w:divsChild>
        <w:div w:id="1109397137">
          <w:marLeft w:val="0"/>
          <w:marRight w:val="0"/>
          <w:marTop w:val="0"/>
          <w:marBottom w:val="0"/>
          <w:divBdr>
            <w:top w:val="none" w:sz="0" w:space="0" w:color="auto"/>
            <w:left w:val="none" w:sz="0" w:space="0" w:color="auto"/>
            <w:bottom w:val="none" w:sz="0" w:space="0" w:color="auto"/>
            <w:right w:val="none" w:sz="0" w:space="0" w:color="auto"/>
          </w:divBdr>
        </w:div>
      </w:divsChild>
    </w:div>
    <w:div w:id="1597401083">
      <w:bodyDiv w:val="1"/>
      <w:marLeft w:val="0"/>
      <w:marRight w:val="0"/>
      <w:marTop w:val="0"/>
      <w:marBottom w:val="0"/>
      <w:divBdr>
        <w:top w:val="none" w:sz="0" w:space="0" w:color="auto"/>
        <w:left w:val="none" w:sz="0" w:space="0" w:color="auto"/>
        <w:bottom w:val="none" w:sz="0" w:space="0" w:color="auto"/>
        <w:right w:val="none" w:sz="0" w:space="0" w:color="auto"/>
      </w:divBdr>
      <w:divsChild>
        <w:div w:id="1832679582">
          <w:marLeft w:val="0"/>
          <w:marRight w:val="0"/>
          <w:marTop w:val="0"/>
          <w:marBottom w:val="0"/>
          <w:divBdr>
            <w:top w:val="none" w:sz="0" w:space="0" w:color="auto"/>
            <w:left w:val="none" w:sz="0" w:space="0" w:color="auto"/>
            <w:bottom w:val="none" w:sz="0" w:space="0" w:color="auto"/>
            <w:right w:val="none" w:sz="0" w:space="0" w:color="auto"/>
          </w:divBdr>
          <w:divsChild>
            <w:div w:id="151830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21496">
      <w:bodyDiv w:val="1"/>
      <w:marLeft w:val="0"/>
      <w:marRight w:val="0"/>
      <w:marTop w:val="0"/>
      <w:marBottom w:val="0"/>
      <w:divBdr>
        <w:top w:val="none" w:sz="0" w:space="0" w:color="auto"/>
        <w:left w:val="none" w:sz="0" w:space="0" w:color="auto"/>
        <w:bottom w:val="none" w:sz="0" w:space="0" w:color="auto"/>
        <w:right w:val="none" w:sz="0" w:space="0" w:color="auto"/>
      </w:divBdr>
      <w:divsChild>
        <w:div w:id="1867982396">
          <w:marLeft w:val="0"/>
          <w:marRight w:val="0"/>
          <w:marTop w:val="0"/>
          <w:marBottom w:val="0"/>
          <w:divBdr>
            <w:top w:val="none" w:sz="0" w:space="0" w:color="auto"/>
            <w:left w:val="none" w:sz="0" w:space="0" w:color="auto"/>
            <w:bottom w:val="none" w:sz="0" w:space="0" w:color="auto"/>
            <w:right w:val="none" w:sz="0" w:space="0" w:color="auto"/>
          </w:divBdr>
        </w:div>
      </w:divsChild>
    </w:div>
    <w:div w:id="1600022333">
      <w:bodyDiv w:val="1"/>
      <w:marLeft w:val="0"/>
      <w:marRight w:val="0"/>
      <w:marTop w:val="0"/>
      <w:marBottom w:val="0"/>
      <w:divBdr>
        <w:top w:val="none" w:sz="0" w:space="0" w:color="auto"/>
        <w:left w:val="none" w:sz="0" w:space="0" w:color="auto"/>
        <w:bottom w:val="none" w:sz="0" w:space="0" w:color="auto"/>
        <w:right w:val="none" w:sz="0" w:space="0" w:color="auto"/>
      </w:divBdr>
    </w:div>
    <w:div w:id="1601913606">
      <w:bodyDiv w:val="1"/>
      <w:marLeft w:val="0"/>
      <w:marRight w:val="0"/>
      <w:marTop w:val="0"/>
      <w:marBottom w:val="0"/>
      <w:divBdr>
        <w:top w:val="none" w:sz="0" w:space="0" w:color="auto"/>
        <w:left w:val="none" w:sz="0" w:space="0" w:color="auto"/>
        <w:bottom w:val="none" w:sz="0" w:space="0" w:color="auto"/>
        <w:right w:val="none" w:sz="0" w:space="0" w:color="auto"/>
      </w:divBdr>
    </w:div>
    <w:div w:id="1602911232">
      <w:bodyDiv w:val="1"/>
      <w:marLeft w:val="0"/>
      <w:marRight w:val="0"/>
      <w:marTop w:val="0"/>
      <w:marBottom w:val="0"/>
      <w:divBdr>
        <w:top w:val="none" w:sz="0" w:space="0" w:color="auto"/>
        <w:left w:val="none" w:sz="0" w:space="0" w:color="auto"/>
        <w:bottom w:val="none" w:sz="0" w:space="0" w:color="auto"/>
        <w:right w:val="none" w:sz="0" w:space="0" w:color="auto"/>
      </w:divBdr>
    </w:div>
    <w:div w:id="1603151703">
      <w:bodyDiv w:val="1"/>
      <w:marLeft w:val="0"/>
      <w:marRight w:val="0"/>
      <w:marTop w:val="0"/>
      <w:marBottom w:val="0"/>
      <w:divBdr>
        <w:top w:val="none" w:sz="0" w:space="0" w:color="auto"/>
        <w:left w:val="none" w:sz="0" w:space="0" w:color="auto"/>
        <w:bottom w:val="none" w:sz="0" w:space="0" w:color="auto"/>
        <w:right w:val="none" w:sz="0" w:space="0" w:color="auto"/>
      </w:divBdr>
    </w:div>
    <w:div w:id="1604266087">
      <w:bodyDiv w:val="1"/>
      <w:marLeft w:val="0"/>
      <w:marRight w:val="0"/>
      <w:marTop w:val="0"/>
      <w:marBottom w:val="0"/>
      <w:divBdr>
        <w:top w:val="none" w:sz="0" w:space="0" w:color="auto"/>
        <w:left w:val="none" w:sz="0" w:space="0" w:color="auto"/>
        <w:bottom w:val="none" w:sz="0" w:space="0" w:color="auto"/>
        <w:right w:val="none" w:sz="0" w:space="0" w:color="auto"/>
      </w:divBdr>
      <w:divsChild>
        <w:div w:id="541328694">
          <w:marLeft w:val="0"/>
          <w:marRight w:val="0"/>
          <w:marTop w:val="0"/>
          <w:marBottom w:val="0"/>
          <w:divBdr>
            <w:top w:val="none" w:sz="0" w:space="0" w:color="auto"/>
            <w:left w:val="none" w:sz="0" w:space="0" w:color="auto"/>
            <w:bottom w:val="none" w:sz="0" w:space="0" w:color="auto"/>
            <w:right w:val="none" w:sz="0" w:space="0" w:color="auto"/>
          </w:divBdr>
          <w:divsChild>
            <w:div w:id="208460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02117">
      <w:bodyDiv w:val="1"/>
      <w:marLeft w:val="0"/>
      <w:marRight w:val="0"/>
      <w:marTop w:val="0"/>
      <w:marBottom w:val="0"/>
      <w:divBdr>
        <w:top w:val="none" w:sz="0" w:space="0" w:color="auto"/>
        <w:left w:val="none" w:sz="0" w:space="0" w:color="auto"/>
        <w:bottom w:val="none" w:sz="0" w:space="0" w:color="auto"/>
        <w:right w:val="none" w:sz="0" w:space="0" w:color="auto"/>
      </w:divBdr>
    </w:div>
    <w:div w:id="1610774399">
      <w:bodyDiv w:val="1"/>
      <w:marLeft w:val="0"/>
      <w:marRight w:val="0"/>
      <w:marTop w:val="0"/>
      <w:marBottom w:val="0"/>
      <w:divBdr>
        <w:top w:val="none" w:sz="0" w:space="0" w:color="auto"/>
        <w:left w:val="none" w:sz="0" w:space="0" w:color="auto"/>
        <w:bottom w:val="none" w:sz="0" w:space="0" w:color="auto"/>
        <w:right w:val="none" w:sz="0" w:space="0" w:color="auto"/>
      </w:divBdr>
    </w:div>
    <w:div w:id="1613169931">
      <w:bodyDiv w:val="1"/>
      <w:marLeft w:val="0"/>
      <w:marRight w:val="0"/>
      <w:marTop w:val="0"/>
      <w:marBottom w:val="0"/>
      <w:divBdr>
        <w:top w:val="none" w:sz="0" w:space="0" w:color="auto"/>
        <w:left w:val="none" w:sz="0" w:space="0" w:color="auto"/>
        <w:bottom w:val="none" w:sz="0" w:space="0" w:color="auto"/>
        <w:right w:val="none" w:sz="0" w:space="0" w:color="auto"/>
      </w:divBdr>
    </w:div>
    <w:div w:id="1617367157">
      <w:bodyDiv w:val="1"/>
      <w:marLeft w:val="0"/>
      <w:marRight w:val="0"/>
      <w:marTop w:val="0"/>
      <w:marBottom w:val="0"/>
      <w:divBdr>
        <w:top w:val="none" w:sz="0" w:space="0" w:color="auto"/>
        <w:left w:val="none" w:sz="0" w:space="0" w:color="auto"/>
        <w:bottom w:val="none" w:sz="0" w:space="0" w:color="auto"/>
        <w:right w:val="none" w:sz="0" w:space="0" w:color="auto"/>
      </w:divBdr>
      <w:divsChild>
        <w:div w:id="715080611">
          <w:marLeft w:val="0"/>
          <w:marRight w:val="0"/>
          <w:marTop w:val="0"/>
          <w:marBottom w:val="0"/>
          <w:divBdr>
            <w:top w:val="none" w:sz="0" w:space="0" w:color="auto"/>
            <w:left w:val="none" w:sz="0" w:space="0" w:color="auto"/>
            <w:bottom w:val="none" w:sz="0" w:space="0" w:color="auto"/>
            <w:right w:val="none" w:sz="0" w:space="0" w:color="auto"/>
          </w:divBdr>
        </w:div>
      </w:divsChild>
    </w:div>
    <w:div w:id="1626276648">
      <w:bodyDiv w:val="1"/>
      <w:marLeft w:val="0"/>
      <w:marRight w:val="0"/>
      <w:marTop w:val="0"/>
      <w:marBottom w:val="0"/>
      <w:divBdr>
        <w:top w:val="none" w:sz="0" w:space="0" w:color="auto"/>
        <w:left w:val="none" w:sz="0" w:space="0" w:color="auto"/>
        <w:bottom w:val="none" w:sz="0" w:space="0" w:color="auto"/>
        <w:right w:val="none" w:sz="0" w:space="0" w:color="auto"/>
      </w:divBdr>
      <w:divsChild>
        <w:div w:id="1742101610">
          <w:marLeft w:val="0"/>
          <w:marRight w:val="0"/>
          <w:marTop w:val="0"/>
          <w:marBottom w:val="0"/>
          <w:divBdr>
            <w:top w:val="none" w:sz="0" w:space="0" w:color="auto"/>
            <w:left w:val="none" w:sz="0" w:space="0" w:color="auto"/>
            <w:bottom w:val="none" w:sz="0" w:space="0" w:color="auto"/>
            <w:right w:val="none" w:sz="0" w:space="0" w:color="auto"/>
          </w:divBdr>
          <w:divsChild>
            <w:div w:id="644775831">
              <w:marLeft w:val="0"/>
              <w:marRight w:val="0"/>
              <w:marTop w:val="0"/>
              <w:marBottom w:val="0"/>
              <w:divBdr>
                <w:top w:val="none" w:sz="0" w:space="0" w:color="auto"/>
                <w:left w:val="none" w:sz="0" w:space="0" w:color="auto"/>
                <w:bottom w:val="none" w:sz="0" w:space="0" w:color="auto"/>
                <w:right w:val="none" w:sz="0" w:space="0" w:color="auto"/>
              </w:divBdr>
              <w:divsChild>
                <w:div w:id="131159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543432">
      <w:bodyDiv w:val="1"/>
      <w:marLeft w:val="0"/>
      <w:marRight w:val="0"/>
      <w:marTop w:val="0"/>
      <w:marBottom w:val="0"/>
      <w:divBdr>
        <w:top w:val="none" w:sz="0" w:space="0" w:color="auto"/>
        <w:left w:val="none" w:sz="0" w:space="0" w:color="auto"/>
        <w:bottom w:val="none" w:sz="0" w:space="0" w:color="auto"/>
        <w:right w:val="none" w:sz="0" w:space="0" w:color="auto"/>
      </w:divBdr>
      <w:divsChild>
        <w:div w:id="1222712618">
          <w:marLeft w:val="0"/>
          <w:marRight w:val="0"/>
          <w:marTop w:val="0"/>
          <w:marBottom w:val="0"/>
          <w:divBdr>
            <w:top w:val="none" w:sz="0" w:space="0" w:color="auto"/>
            <w:left w:val="none" w:sz="0" w:space="0" w:color="auto"/>
            <w:bottom w:val="none" w:sz="0" w:space="0" w:color="auto"/>
            <w:right w:val="none" w:sz="0" w:space="0" w:color="auto"/>
          </w:divBdr>
          <w:divsChild>
            <w:div w:id="64208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47371">
      <w:bodyDiv w:val="1"/>
      <w:marLeft w:val="0"/>
      <w:marRight w:val="0"/>
      <w:marTop w:val="0"/>
      <w:marBottom w:val="0"/>
      <w:divBdr>
        <w:top w:val="none" w:sz="0" w:space="0" w:color="auto"/>
        <w:left w:val="none" w:sz="0" w:space="0" w:color="auto"/>
        <w:bottom w:val="none" w:sz="0" w:space="0" w:color="auto"/>
        <w:right w:val="none" w:sz="0" w:space="0" w:color="auto"/>
      </w:divBdr>
    </w:div>
    <w:div w:id="1628005366">
      <w:bodyDiv w:val="1"/>
      <w:marLeft w:val="0"/>
      <w:marRight w:val="0"/>
      <w:marTop w:val="0"/>
      <w:marBottom w:val="0"/>
      <w:divBdr>
        <w:top w:val="none" w:sz="0" w:space="0" w:color="auto"/>
        <w:left w:val="none" w:sz="0" w:space="0" w:color="auto"/>
        <w:bottom w:val="none" w:sz="0" w:space="0" w:color="auto"/>
        <w:right w:val="none" w:sz="0" w:space="0" w:color="auto"/>
      </w:divBdr>
    </w:div>
    <w:div w:id="1631015867">
      <w:bodyDiv w:val="1"/>
      <w:marLeft w:val="0"/>
      <w:marRight w:val="0"/>
      <w:marTop w:val="0"/>
      <w:marBottom w:val="0"/>
      <w:divBdr>
        <w:top w:val="none" w:sz="0" w:space="0" w:color="auto"/>
        <w:left w:val="none" w:sz="0" w:space="0" w:color="auto"/>
        <w:bottom w:val="none" w:sz="0" w:space="0" w:color="auto"/>
        <w:right w:val="none" w:sz="0" w:space="0" w:color="auto"/>
      </w:divBdr>
    </w:div>
    <w:div w:id="1635065502">
      <w:bodyDiv w:val="1"/>
      <w:marLeft w:val="0"/>
      <w:marRight w:val="0"/>
      <w:marTop w:val="0"/>
      <w:marBottom w:val="0"/>
      <w:divBdr>
        <w:top w:val="none" w:sz="0" w:space="0" w:color="auto"/>
        <w:left w:val="none" w:sz="0" w:space="0" w:color="auto"/>
        <w:bottom w:val="none" w:sz="0" w:space="0" w:color="auto"/>
        <w:right w:val="none" w:sz="0" w:space="0" w:color="auto"/>
      </w:divBdr>
    </w:div>
    <w:div w:id="1637224440">
      <w:bodyDiv w:val="1"/>
      <w:marLeft w:val="0"/>
      <w:marRight w:val="0"/>
      <w:marTop w:val="0"/>
      <w:marBottom w:val="0"/>
      <w:divBdr>
        <w:top w:val="none" w:sz="0" w:space="0" w:color="auto"/>
        <w:left w:val="none" w:sz="0" w:space="0" w:color="auto"/>
        <w:bottom w:val="none" w:sz="0" w:space="0" w:color="auto"/>
        <w:right w:val="none" w:sz="0" w:space="0" w:color="auto"/>
      </w:divBdr>
    </w:div>
    <w:div w:id="1639719861">
      <w:bodyDiv w:val="1"/>
      <w:marLeft w:val="0"/>
      <w:marRight w:val="0"/>
      <w:marTop w:val="0"/>
      <w:marBottom w:val="0"/>
      <w:divBdr>
        <w:top w:val="none" w:sz="0" w:space="0" w:color="auto"/>
        <w:left w:val="none" w:sz="0" w:space="0" w:color="auto"/>
        <w:bottom w:val="none" w:sz="0" w:space="0" w:color="auto"/>
        <w:right w:val="none" w:sz="0" w:space="0" w:color="auto"/>
      </w:divBdr>
      <w:divsChild>
        <w:div w:id="1525824699">
          <w:marLeft w:val="0"/>
          <w:marRight w:val="0"/>
          <w:marTop w:val="0"/>
          <w:marBottom w:val="0"/>
          <w:divBdr>
            <w:top w:val="none" w:sz="0" w:space="0" w:color="auto"/>
            <w:left w:val="none" w:sz="0" w:space="0" w:color="auto"/>
            <w:bottom w:val="none" w:sz="0" w:space="0" w:color="auto"/>
            <w:right w:val="none" w:sz="0" w:space="0" w:color="auto"/>
          </w:divBdr>
          <w:divsChild>
            <w:div w:id="1180121198">
              <w:marLeft w:val="0"/>
              <w:marRight w:val="0"/>
              <w:marTop w:val="0"/>
              <w:marBottom w:val="0"/>
              <w:divBdr>
                <w:top w:val="none" w:sz="0" w:space="0" w:color="auto"/>
                <w:left w:val="none" w:sz="0" w:space="0" w:color="auto"/>
                <w:bottom w:val="none" w:sz="0" w:space="0" w:color="auto"/>
                <w:right w:val="none" w:sz="0" w:space="0" w:color="auto"/>
              </w:divBdr>
              <w:divsChild>
                <w:div w:id="27979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803482">
      <w:bodyDiv w:val="1"/>
      <w:marLeft w:val="0"/>
      <w:marRight w:val="0"/>
      <w:marTop w:val="0"/>
      <w:marBottom w:val="0"/>
      <w:divBdr>
        <w:top w:val="none" w:sz="0" w:space="0" w:color="auto"/>
        <w:left w:val="none" w:sz="0" w:space="0" w:color="auto"/>
        <w:bottom w:val="none" w:sz="0" w:space="0" w:color="auto"/>
        <w:right w:val="none" w:sz="0" w:space="0" w:color="auto"/>
      </w:divBdr>
      <w:divsChild>
        <w:div w:id="174729551">
          <w:marLeft w:val="0"/>
          <w:marRight w:val="0"/>
          <w:marTop w:val="0"/>
          <w:marBottom w:val="0"/>
          <w:divBdr>
            <w:top w:val="none" w:sz="0" w:space="0" w:color="auto"/>
            <w:left w:val="none" w:sz="0" w:space="0" w:color="auto"/>
            <w:bottom w:val="none" w:sz="0" w:space="0" w:color="auto"/>
            <w:right w:val="none" w:sz="0" w:space="0" w:color="auto"/>
          </w:divBdr>
        </w:div>
      </w:divsChild>
    </w:div>
    <w:div w:id="1640186134">
      <w:bodyDiv w:val="1"/>
      <w:marLeft w:val="0"/>
      <w:marRight w:val="0"/>
      <w:marTop w:val="0"/>
      <w:marBottom w:val="0"/>
      <w:divBdr>
        <w:top w:val="none" w:sz="0" w:space="0" w:color="auto"/>
        <w:left w:val="none" w:sz="0" w:space="0" w:color="auto"/>
        <w:bottom w:val="none" w:sz="0" w:space="0" w:color="auto"/>
        <w:right w:val="none" w:sz="0" w:space="0" w:color="auto"/>
      </w:divBdr>
      <w:divsChild>
        <w:div w:id="1194540382">
          <w:marLeft w:val="0"/>
          <w:marRight w:val="0"/>
          <w:marTop w:val="0"/>
          <w:marBottom w:val="0"/>
          <w:divBdr>
            <w:top w:val="none" w:sz="0" w:space="0" w:color="auto"/>
            <w:left w:val="none" w:sz="0" w:space="0" w:color="auto"/>
            <w:bottom w:val="none" w:sz="0" w:space="0" w:color="auto"/>
            <w:right w:val="none" w:sz="0" w:space="0" w:color="auto"/>
          </w:divBdr>
          <w:divsChild>
            <w:div w:id="127960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16349">
      <w:bodyDiv w:val="1"/>
      <w:marLeft w:val="0"/>
      <w:marRight w:val="0"/>
      <w:marTop w:val="0"/>
      <w:marBottom w:val="0"/>
      <w:divBdr>
        <w:top w:val="none" w:sz="0" w:space="0" w:color="auto"/>
        <w:left w:val="none" w:sz="0" w:space="0" w:color="auto"/>
        <w:bottom w:val="none" w:sz="0" w:space="0" w:color="auto"/>
        <w:right w:val="none" w:sz="0" w:space="0" w:color="auto"/>
      </w:divBdr>
      <w:divsChild>
        <w:div w:id="424620742">
          <w:marLeft w:val="0"/>
          <w:marRight w:val="0"/>
          <w:marTop w:val="0"/>
          <w:marBottom w:val="0"/>
          <w:divBdr>
            <w:top w:val="none" w:sz="0" w:space="0" w:color="auto"/>
            <w:left w:val="none" w:sz="0" w:space="0" w:color="auto"/>
            <w:bottom w:val="none" w:sz="0" w:space="0" w:color="auto"/>
            <w:right w:val="none" w:sz="0" w:space="0" w:color="auto"/>
          </w:divBdr>
          <w:divsChild>
            <w:div w:id="83172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46316">
      <w:bodyDiv w:val="1"/>
      <w:marLeft w:val="0"/>
      <w:marRight w:val="0"/>
      <w:marTop w:val="0"/>
      <w:marBottom w:val="0"/>
      <w:divBdr>
        <w:top w:val="none" w:sz="0" w:space="0" w:color="auto"/>
        <w:left w:val="none" w:sz="0" w:space="0" w:color="auto"/>
        <w:bottom w:val="none" w:sz="0" w:space="0" w:color="auto"/>
        <w:right w:val="none" w:sz="0" w:space="0" w:color="auto"/>
      </w:divBdr>
    </w:div>
    <w:div w:id="1671637307">
      <w:bodyDiv w:val="1"/>
      <w:marLeft w:val="0"/>
      <w:marRight w:val="0"/>
      <w:marTop w:val="0"/>
      <w:marBottom w:val="0"/>
      <w:divBdr>
        <w:top w:val="none" w:sz="0" w:space="0" w:color="auto"/>
        <w:left w:val="none" w:sz="0" w:space="0" w:color="auto"/>
        <w:bottom w:val="none" w:sz="0" w:space="0" w:color="auto"/>
        <w:right w:val="none" w:sz="0" w:space="0" w:color="auto"/>
      </w:divBdr>
    </w:div>
    <w:div w:id="1677726359">
      <w:bodyDiv w:val="1"/>
      <w:marLeft w:val="0"/>
      <w:marRight w:val="0"/>
      <w:marTop w:val="0"/>
      <w:marBottom w:val="0"/>
      <w:divBdr>
        <w:top w:val="none" w:sz="0" w:space="0" w:color="auto"/>
        <w:left w:val="none" w:sz="0" w:space="0" w:color="auto"/>
        <w:bottom w:val="none" w:sz="0" w:space="0" w:color="auto"/>
        <w:right w:val="none" w:sz="0" w:space="0" w:color="auto"/>
      </w:divBdr>
      <w:divsChild>
        <w:div w:id="1583293115">
          <w:marLeft w:val="0"/>
          <w:marRight w:val="0"/>
          <w:marTop w:val="0"/>
          <w:marBottom w:val="0"/>
          <w:divBdr>
            <w:top w:val="none" w:sz="0" w:space="0" w:color="auto"/>
            <w:left w:val="none" w:sz="0" w:space="0" w:color="auto"/>
            <w:bottom w:val="none" w:sz="0" w:space="0" w:color="auto"/>
            <w:right w:val="none" w:sz="0" w:space="0" w:color="auto"/>
          </w:divBdr>
          <w:divsChild>
            <w:div w:id="47710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271418">
      <w:bodyDiv w:val="1"/>
      <w:marLeft w:val="0"/>
      <w:marRight w:val="0"/>
      <w:marTop w:val="0"/>
      <w:marBottom w:val="0"/>
      <w:divBdr>
        <w:top w:val="none" w:sz="0" w:space="0" w:color="auto"/>
        <w:left w:val="none" w:sz="0" w:space="0" w:color="auto"/>
        <w:bottom w:val="none" w:sz="0" w:space="0" w:color="auto"/>
        <w:right w:val="none" w:sz="0" w:space="0" w:color="auto"/>
      </w:divBdr>
      <w:divsChild>
        <w:div w:id="1205947053">
          <w:marLeft w:val="0"/>
          <w:marRight w:val="0"/>
          <w:marTop w:val="0"/>
          <w:marBottom w:val="0"/>
          <w:divBdr>
            <w:top w:val="none" w:sz="0" w:space="0" w:color="auto"/>
            <w:left w:val="none" w:sz="0" w:space="0" w:color="auto"/>
            <w:bottom w:val="none" w:sz="0" w:space="0" w:color="auto"/>
            <w:right w:val="none" w:sz="0" w:space="0" w:color="auto"/>
          </w:divBdr>
          <w:divsChild>
            <w:div w:id="95690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4813">
      <w:bodyDiv w:val="1"/>
      <w:marLeft w:val="0"/>
      <w:marRight w:val="0"/>
      <w:marTop w:val="0"/>
      <w:marBottom w:val="0"/>
      <w:divBdr>
        <w:top w:val="none" w:sz="0" w:space="0" w:color="auto"/>
        <w:left w:val="none" w:sz="0" w:space="0" w:color="auto"/>
        <w:bottom w:val="none" w:sz="0" w:space="0" w:color="auto"/>
        <w:right w:val="none" w:sz="0" w:space="0" w:color="auto"/>
      </w:divBdr>
    </w:div>
    <w:div w:id="1683360455">
      <w:bodyDiv w:val="1"/>
      <w:marLeft w:val="0"/>
      <w:marRight w:val="0"/>
      <w:marTop w:val="0"/>
      <w:marBottom w:val="0"/>
      <w:divBdr>
        <w:top w:val="none" w:sz="0" w:space="0" w:color="auto"/>
        <w:left w:val="none" w:sz="0" w:space="0" w:color="auto"/>
        <w:bottom w:val="none" w:sz="0" w:space="0" w:color="auto"/>
        <w:right w:val="none" w:sz="0" w:space="0" w:color="auto"/>
      </w:divBdr>
    </w:div>
    <w:div w:id="1688361239">
      <w:bodyDiv w:val="1"/>
      <w:marLeft w:val="0"/>
      <w:marRight w:val="0"/>
      <w:marTop w:val="0"/>
      <w:marBottom w:val="0"/>
      <w:divBdr>
        <w:top w:val="none" w:sz="0" w:space="0" w:color="auto"/>
        <w:left w:val="none" w:sz="0" w:space="0" w:color="auto"/>
        <w:bottom w:val="none" w:sz="0" w:space="0" w:color="auto"/>
        <w:right w:val="none" w:sz="0" w:space="0" w:color="auto"/>
      </w:divBdr>
      <w:divsChild>
        <w:div w:id="1328168547">
          <w:marLeft w:val="0"/>
          <w:marRight w:val="0"/>
          <w:marTop w:val="0"/>
          <w:marBottom w:val="0"/>
          <w:divBdr>
            <w:top w:val="none" w:sz="0" w:space="0" w:color="auto"/>
            <w:left w:val="none" w:sz="0" w:space="0" w:color="auto"/>
            <w:bottom w:val="none" w:sz="0" w:space="0" w:color="auto"/>
            <w:right w:val="none" w:sz="0" w:space="0" w:color="auto"/>
          </w:divBdr>
        </w:div>
      </w:divsChild>
    </w:div>
    <w:div w:id="1695381372">
      <w:bodyDiv w:val="1"/>
      <w:marLeft w:val="0"/>
      <w:marRight w:val="0"/>
      <w:marTop w:val="0"/>
      <w:marBottom w:val="0"/>
      <w:divBdr>
        <w:top w:val="none" w:sz="0" w:space="0" w:color="auto"/>
        <w:left w:val="none" w:sz="0" w:space="0" w:color="auto"/>
        <w:bottom w:val="none" w:sz="0" w:space="0" w:color="auto"/>
        <w:right w:val="none" w:sz="0" w:space="0" w:color="auto"/>
      </w:divBdr>
    </w:div>
    <w:div w:id="1698772154">
      <w:bodyDiv w:val="1"/>
      <w:marLeft w:val="0"/>
      <w:marRight w:val="0"/>
      <w:marTop w:val="0"/>
      <w:marBottom w:val="0"/>
      <w:divBdr>
        <w:top w:val="none" w:sz="0" w:space="0" w:color="auto"/>
        <w:left w:val="none" w:sz="0" w:space="0" w:color="auto"/>
        <w:bottom w:val="none" w:sz="0" w:space="0" w:color="auto"/>
        <w:right w:val="none" w:sz="0" w:space="0" w:color="auto"/>
      </w:divBdr>
      <w:divsChild>
        <w:div w:id="154928888">
          <w:marLeft w:val="0"/>
          <w:marRight w:val="0"/>
          <w:marTop w:val="0"/>
          <w:marBottom w:val="0"/>
          <w:divBdr>
            <w:top w:val="none" w:sz="0" w:space="0" w:color="auto"/>
            <w:left w:val="none" w:sz="0" w:space="0" w:color="auto"/>
            <w:bottom w:val="none" w:sz="0" w:space="0" w:color="auto"/>
            <w:right w:val="none" w:sz="0" w:space="0" w:color="auto"/>
          </w:divBdr>
        </w:div>
      </w:divsChild>
    </w:div>
    <w:div w:id="1699815482">
      <w:bodyDiv w:val="1"/>
      <w:marLeft w:val="0"/>
      <w:marRight w:val="0"/>
      <w:marTop w:val="0"/>
      <w:marBottom w:val="0"/>
      <w:divBdr>
        <w:top w:val="none" w:sz="0" w:space="0" w:color="auto"/>
        <w:left w:val="none" w:sz="0" w:space="0" w:color="auto"/>
        <w:bottom w:val="none" w:sz="0" w:space="0" w:color="auto"/>
        <w:right w:val="none" w:sz="0" w:space="0" w:color="auto"/>
      </w:divBdr>
      <w:divsChild>
        <w:div w:id="1598170414">
          <w:marLeft w:val="0"/>
          <w:marRight w:val="0"/>
          <w:marTop w:val="0"/>
          <w:marBottom w:val="0"/>
          <w:divBdr>
            <w:top w:val="none" w:sz="0" w:space="0" w:color="auto"/>
            <w:left w:val="none" w:sz="0" w:space="0" w:color="auto"/>
            <w:bottom w:val="none" w:sz="0" w:space="0" w:color="auto"/>
            <w:right w:val="none" w:sz="0" w:space="0" w:color="auto"/>
          </w:divBdr>
          <w:divsChild>
            <w:div w:id="212896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62655">
      <w:bodyDiv w:val="1"/>
      <w:marLeft w:val="0"/>
      <w:marRight w:val="0"/>
      <w:marTop w:val="0"/>
      <w:marBottom w:val="0"/>
      <w:divBdr>
        <w:top w:val="none" w:sz="0" w:space="0" w:color="auto"/>
        <w:left w:val="none" w:sz="0" w:space="0" w:color="auto"/>
        <w:bottom w:val="none" w:sz="0" w:space="0" w:color="auto"/>
        <w:right w:val="none" w:sz="0" w:space="0" w:color="auto"/>
      </w:divBdr>
    </w:div>
    <w:div w:id="1700930126">
      <w:bodyDiv w:val="1"/>
      <w:marLeft w:val="0"/>
      <w:marRight w:val="0"/>
      <w:marTop w:val="0"/>
      <w:marBottom w:val="0"/>
      <w:divBdr>
        <w:top w:val="none" w:sz="0" w:space="0" w:color="auto"/>
        <w:left w:val="none" w:sz="0" w:space="0" w:color="auto"/>
        <w:bottom w:val="none" w:sz="0" w:space="0" w:color="auto"/>
        <w:right w:val="none" w:sz="0" w:space="0" w:color="auto"/>
      </w:divBdr>
    </w:div>
    <w:div w:id="1702824245">
      <w:bodyDiv w:val="1"/>
      <w:marLeft w:val="0"/>
      <w:marRight w:val="0"/>
      <w:marTop w:val="0"/>
      <w:marBottom w:val="0"/>
      <w:divBdr>
        <w:top w:val="none" w:sz="0" w:space="0" w:color="auto"/>
        <w:left w:val="none" w:sz="0" w:space="0" w:color="auto"/>
        <w:bottom w:val="none" w:sz="0" w:space="0" w:color="auto"/>
        <w:right w:val="none" w:sz="0" w:space="0" w:color="auto"/>
      </w:divBdr>
    </w:div>
    <w:div w:id="1705446384">
      <w:bodyDiv w:val="1"/>
      <w:marLeft w:val="0"/>
      <w:marRight w:val="0"/>
      <w:marTop w:val="0"/>
      <w:marBottom w:val="0"/>
      <w:divBdr>
        <w:top w:val="none" w:sz="0" w:space="0" w:color="auto"/>
        <w:left w:val="none" w:sz="0" w:space="0" w:color="auto"/>
        <w:bottom w:val="none" w:sz="0" w:space="0" w:color="auto"/>
        <w:right w:val="none" w:sz="0" w:space="0" w:color="auto"/>
      </w:divBdr>
    </w:div>
    <w:div w:id="1710838609">
      <w:bodyDiv w:val="1"/>
      <w:marLeft w:val="0"/>
      <w:marRight w:val="0"/>
      <w:marTop w:val="0"/>
      <w:marBottom w:val="0"/>
      <w:divBdr>
        <w:top w:val="none" w:sz="0" w:space="0" w:color="auto"/>
        <w:left w:val="none" w:sz="0" w:space="0" w:color="auto"/>
        <w:bottom w:val="none" w:sz="0" w:space="0" w:color="auto"/>
        <w:right w:val="none" w:sz="0" w:space="0" w:color="auto"/>
      </w:divBdr>
      <w:divsChild>
        <w:div w:id="541551800">
          <w:marLeft w:val="0"/>
          <w:marRight w:val="0"/>
          <w:marTop w:val="0"/>
          <w:marBottom w:val="0"/>
          <w:divBdr>
            <w:top w:val="none" w:sz="0" w:space="0" w:color="auto"/>
            <w:left w:val="none" w:sz="0" w:space="0" w:color="auto"/>
            <w:bottom w:val="none" w:sz="0" w:space="0" w:color="auto"/>
            <w:right w:val="none" w:sz="0" w:space="0" w:color="auto"/>
          </w:divBdr>
        </w:div>
      </w:divsChild>
    </w:div>
    <w:div w:id="1711959272">
      <w:bodyDiv w:val="1"/>
      <w:marLeft w:val="0"/>
      <w:marRight w:val="0"/>
      <w:marTop w:val="0"/>
      <w:marBottom w:val="0"/>
      <w:divBdr>
        <w:top w:val="none" w:sz="0" w:space="0" w:color="auto"/>
        <w:left w:val="none" w:sz="0" w:space="0" w:color="auto"/>
        <w:bottom w:val="none" w:sz="0" w:space="0" w:color="auto"/>
        <w:right w:val="none" w:sz="0" w:space="0" w:color="auto"/>
      </w:divBdr>
      <w:divsChild>
        <w:div w:id="1972788089">
          <w:marLeft w:val="0"/>
          <w:marRight w:val="0"/>
          <w:marTop w:val="0"/>
          <w:marBottom w:val="0"/>
          <w:divBdr>
            <w:top w:val="none" w:sz="0" w:space="0" w:color="auto"/>
            <w:left w:val="none" w:sz="0" w:space="0" w:color="auto"/>
            <w:bottom w:val="none" w:sz="0" w:space="0" w:color="auto"/>
            <w:right w:val="none" w:sz="0" w:space="0" w:color="auto"/>
          </w:divBdr>
          <w:divsChild>
            <w:div w:id="175990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16078">
      <w:bodyDiv w:val="1"/>
      <w:marLeft w:val="0"/>
      <w:marRight w:val="0"/>
      <w:marTop w:val="0"/>
      <w:marBottom w:val="0"/>
      <w:divBdr>
        <w:top w:val="none" w:sz="0" w:space="0" w:color="auto"/>
        <w:left w:val="none" w:sz="0" w:space="0" w:color="auto"/>
        <w:bottom w:val="none" w:sz="0" w:space="0" w:color="auto"/>
        <w:right w:val="none" w:sz="0" w:space="0" w:color="auto"/>
      </w:divBdr>
    </w:div>
    <w:div w:id="1717699749">
      <w:bodyDiv w:val="1"/>
      <w:marLeft w:val="0"/>
      <w:marRight w:val="0"/>
      <w:marTop w:val="0"/>
      <w:marBottom w:val="0"/>
      <w:divBdr>
        <w:top w:val="none" w:sz="0" w:space="0" w:color="auto"/>
        <w:left w:val="none" w:sz="0" w:space="0" w:color="auto"/>
        <w:bottom w:val="none" w:sz="0" w:space="0" w:color="auto"/>
        <w:right w:val="none" w:sz="0" w:space="0" w:color="auto"/>
      </w:divBdr>
    </w:div>
    <w:div w:id="1720785872">
      <w:bodyDiv w:val="1"/>
      <w:marLeft w:val="0"/>
      <w:marRight w:val="0"/>
      <w:marTop w:val="0"/>
      <w:marBottom w:val="0"/>
      <w:divBdr>
        <w:top w:val="none" w:sz="0" w:space="0" w:color="auto"/>
        <w:left w:val="none" w:sz="0" w:space="0" w:color="auto"/>
        <w:bottom w:val="none" w:sz="0" w:space="0" w:color="auto"/>
        <w:right w:val="none" w:sz="0" w:space="0" w:color="auto"/>
      </w:divBdr>
    </w:div>
    <w:div w:id="1723140979">
      <w:bodyDiv w:val="1"/>
      <w:marLeft w:val="0"/>
      <w:marRight w:val="0"/>
      <w:marTop w:val="0"/>
      <w:marBottom w:val="0"/>
      <w:divBdr>
        <w:top w:val="none" w:sz="0" w:space="0" w:color="auto"/>
        <w:left w:val="none" w:sz="0" w:space="0" w:color="auto"/>
        <w:bottom w:val="none" w:sz="0" w:space="0" w:color="auto"/>
        <w:right w:val="none" w:sz="0" w:space="0" w:color="auto"/>
      </w:divBdr>
      <w:divsChild>
        <w:div w:id="2009744611">
          <w:marLeft w:val="0"/>
          <w:marRight w:val="0"/>
          <w:marTop w:val="0"/>
          <w:marBottom w:val="0"/>
          <w:divBdr>
            <w:top w:val="none" w:sz="0" w:space="0" w:color="auto"/>
            <w:left w:val="none" w:sz="0" w:space="0" w:color="auto"/>
            <w:bottom w:val="none" w:sz="0" w:space="0" w:color="auto"/>
            <w:right w:val="none" w:sz="0" w:space="0" w:color="auto"/>
          </w:divBdr>
          <w:divsChild>
            <w:div w:id="21779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49700">
      <w:bodyDiv w:val="1"/>
      <w:marLeft w:val="0"/>
      <w:marRight w:val="0"/>
      <w:marTop w:val="0"/>
      <w:marBottom w:val="0"/>
      <w:divBdr>
        <w:top w:val="none" w:sz="0" w:space="0" w:color="auto"/>
        <w:left w:val="none" w:sz="0" w:space="0" w:color="auto"/>
        <w:bottom w:val="none" w:sz="0" w:space="0" w:color="auto"/>
        <w:right w:val="none" w:sz="0" w:space="0" w:color="auto"/>
      </w:divBdr>
    </w:div>
    <w:div w:id="1728996244">
      <w:bodyDiv w:val="1"/>
      <w:marLeft w:val="0"/>
      <w:marRight w:val="0"/>
      <w:marTop w:val="0"/>
      <w:marBottom w:val="0"/>
      <w:divBdr>
        <w:top w:val="none" w:sz="0" w:space="0" w:color="auto"/>
        <w:left w:val="none" w:sz="0" w:space="0" w:color="auto"/>
        <w:bottom w:val="none" w:sz="0" w:space="0" w:color="auto"/>
        <w:right w:val="none" w:sz="0" w:space="0" w:color="auto"/>
      </w:divBdr>
    </w:div>
    <w:div w:id="1730957154">
      <w:bodyDiv w:val="1"/>
      <w:marLeft w:val="0"/>
      <w:marRight w:val="0"/>
      <w:marTop w:val="0"/>
      <w:marBottom w:val="0"/>
      <w:divBdr>
        <w:top w:val="none" w:sz="0" w:space="0" w:color="auto"/>
        <w:left w:val="none" w:sz="0" w:space="0" w:color="auto"/>
        <w:bottom w:val="none" w:sz="0" w:space="0" w:color="auto"/>
        <w:right w:val="none" w:sz="0" w:space="0" w:color="auto"/>
      </w:divBdr>
      <w:divsChild>
        <w:div w:id="378870114">
          <w:marLeft w:val="0"/>
          <w:marRight w:val="0"/>
          <w:marTop w:val="0"/>
          <w:marBottom w:val="0"/>
          <w:divBdr>
            <w:top w:val="none" w:sz="0" w:space="0" w:color="auto"/>
            <w:left w:val="none" w:sz="0" w:space="0" w:color="auto"/>
            <w:bottom w:val="none" w:sz="0" w:space="0" w:color="auto"/>
            <w:right w:val="none" w:sz="0" w:space="0" w:color="auto"/>
          </w:divBdr>
          <w:divsChild>
            <w:div w:id="33523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12152">
      <w:bodyDiv w:val="1"/>
      <w:marLeft w:val="0"/>
      <w:marRight w:val="0"/>
      <w:marTop w:val="0"/>
      <w:marBottom w:val="0"/>
      <w:divBdr>
        <w:top w:val="none" w:sz="0" w:space="0" w:color="auto"/>
        <w:left w:val="none" w:sz="0" w:space="0" w:color="auto"/>
        <w:bottom w:val="none" w:sz="0" w:space="0" w:color="auto"/>
        <w:right w:val="none" w:sz="0" w:space="0" w:color="auto"/>
      </w:divBdr>
      <w:divsChild>
        <w:div w:id="1511603117">
          <w:marLeft w:val="0"/>
          <w:marRight w:val="0"/>
          <w:marTop w:val="0"/>
          <w:marBottom w:val="0"/>
          <w:divBdr>
            <w:top w:val="none" w:sz="0" w:space="0" w:color="auto"/>
            <w:left w:val="none" w:sz="0" w:space="0" w:color="auto"/>
            <w:bottom w:val="none" w:sz="0" w:space="0" w:color="auto"/>
            <w:right w:val="none" w:sz="0" w:space="0" w:color="auto"/>
          </w:divBdr>
          <w:divsChild>
            <w:div w:id="142051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53062">
      <w:bodyDiv w:val="1"/>
      <w:marLeft w:val="0"/>
      <w:marRight w:val="0"/>
      <w:marTop w:val="0"/>
      <w:marBottom w:val="0"/>
      <w:divBdr>
        <w:top w:val="none" w:sz="0" w:space="0" w:color="auto"/>
        <w:left w:val="none" w:sz="0" w:space="0" w:color="auto"/>
        <w:bottom w:val="none" w:sz="0" w:space="0" w:color="auto"/>
        <w:right w:val="none" w:sz="0" w:space="0" w:color="auto"/>
      </w:divBdr>
    </w:div>
    <w:div w:id="1750227986">
      <w:bodyDiv w:val="1"/>
      <w:marLeft w:val="0"/>
      <w:marRight w:val="0"/>
      <w:marTop w:val="0"/>
      <w:marBottom w:val="0"/>
      <w:divBdr>
        <w:top w:val="none" w:sz="0" w:space="0" w:color="auto"/>
        <w:left w:val="none" w:sz="0" w:space="0" w:color="auto"/>
        <w:bottom w:val="none" w:sz="0" w:space="0" w:color="auto"/>
        <w:right w:val="none" w:sz="0" w:space="0" w:color="auto"/>
      </w:divBdr>
      <w:divsChild>
        <w:div w:id="1095593077">
          <w:marLeft w:val="0"/>
          <w:marRight w:val="0"/>
          <w:marTop w:val="0"/>
          <w:marBottom w:val="0"/>
          <w:divBdr>
            <w:top w:val="none" w:sz="0" w:space="0" w:color="auto"/>
            <w:left w:val="none" w:sz="0" w:space="0" w:color="auto"/>
            <w:bottom w:val="none" w:sz="0" w:space="0" w:color="auto"/>
            <w:right w:val="none" w:sz="0" w:space="0" w:color="auto"/>
          </w:divBdr>
          <w:divsChild>
            <w:div w:id="65367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89854">
      <w:bodyDiv w:val="1"/>
      <w:marLeft w:val="0"/>
      <w:marRight w:val="0"/>
      <w:marTop w:val="0"/>
      <w:marBottom w:val="0"/>
      <w:divBdr>
        <w:top w:val="none" w:sz="0" w:space="0" w:color="auto"/>
        <w:left w:val="none" w:sz="0" w:space="0" w:color="auto"/>
        <w:bottom w:val="none" w:sz="0" w:space="0" w:color="auto"/>
        <w:right w:val="none" w:sz="0" w:space="0" w:color="auto"/>
      </w:divBdr>
      <w:divsChild>
        <w:div w:id="1070543301">
          <w:marLeft w:val="0"/>
          <w:marRight w:val="0"/>
          <w:marTop w:val="0"/>
          <w:marBottom w:val="0"/>
          <w:divBdr>
            <w:top w:val="none" w:sz="0" w:space="0" w:color="auto"/>
            <w:left w:val="none" w:sz="0" w:space="0" w:color="auto"/>
            <w:bottom w:val="none" w:sz="0" w:space="0" w:color="auto"/>
            <w:right w:val="none" w:sz="0" w:space="0" w:color="auto"/>
          </w:divBdr>
          <w:divsChild>
            <w:div w:id="134139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483789">
      <w:bodyDiv w:val="1"/>
      <w:marLeft w:val="0"/>
      <w:marRight w:val="0"/>
      <w:marTop w:val="0"/>
      <w:marBottom w:val="0"/>
      <w:divBdr>
        <w:top w:val="none" w:sz="0" w:space="0" w:color="auto"/>
        <w:left w:val="none" w:sz="0" w:space="0" w:color="auto"/>
        <w:bottom w:val="none" w:sz="0" w:space="0" w:color="auto"/>
        <w:right w:val="none" w:sz="0" w:space="0" w:color="auto"/>
      </w:divBdr>
      <w:divsChild>
        <w:div w:id="1114399090">
          <w:marLeft w:val="0"/>
          <w:marRight w:val="0"/>
          <w:marTop w:val="0"/>
          <w:marBottom w:val="0"/>
          <w:divBdr>
            <w:top w:val="none" w:sz="0" w:space="0" w:color="auto"/>
            <w:left w:val="none" w:sz="0" w:space="0" w:color="auto"/>
            <w:bottom w:val="none" w:sz="0" w:space="0" w:color="auto"/>
            <w:right w:val="none" w:sz="0" w:space="0" w:color="auto"/>
          </w:divBdr>
          <w:divsChild>
            <w:div w:id="38760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93737">
      <w:bodyDiv w:val="1"/>
      <w:marLeft w:val="0"/>
      <w:marRight w:val="0"/>
      <w:marTop w:val="0"/>
      <w:marBottom w:val="0"/>
      <w:divBdr>
        <w:top w:val="none" w:sz="0" w:space="0" w:color="auto"/>
        <w:left w:val="none" w:sz="0" w:space="0" w:color="auto"/>
        <w:bottom w:val="none" w:sz="0" w:space="0" w:color="auto"/>
        <w:right w:val="none" w:sz="0" w:space="0" w:color="auto"/>
      </w:divBdr>
      <w:divsChild>
        <w:div w:id="1466124259">
          <w:marLeft w:val="0"/>
          <w:marRight w:val="0"/>
          <w:marTop w:val="0"/>
          <w:marBottom w:val="0"/>
          <w:divBdr>
            <w:top w:val="none" w:sz="0" w:space="0" w:color="auto"/>
            <w:left w:val="none" w:sz="0" w:space="0" w:color="auto"/>
            <w:bottom w:val="none" w:sz="0" w:space="0" w:color="auto"/>
            <w:right w:val="none" w:sz="0" w:space="0" w:color="auto"/>
          </w:divBdr>
        </w:div>
      </w:divsChild>
    </w:div>
    <w:div w:id="1774204679">
      <w:bodyDiv w:val="1"/>
      <w:marLeft w:val="0"/>
      <w:marRight w:val="0"/>
      <w:marTop w:val="0"/>
      <w:marBottom w:val="0"/>
      <w:divBdr>
        <w:top w:val="none" w:sz="0" w:space="0" w:color="auto"/>
        <w:left w:val="none" w:sz="0" w:space="0" w:color="auto"/>
        <w:bottom w:val="none" w:sz="0" w:space="0" w:color="auto"/>
        <w:right w:val="none" w:sz="0" w:space="0" w:color="auto"/>
      </w:divBdr>
      <w:divsChild>
        <w:div w:id="821967355">
          <w:marLeft w:val="0"/>
          <w:marRight w:val="0"/>
          <w:marTop w:val="0"/>
          <w:marBottom w:val="0"/>
          <w:divBdr>
            <w:top w:val="none" w:sz="0" w:space="0" w:color="auto"/>
            <w:left w:val="none" w:sz="0" w:space="0" w:color="auto"/>
            <w:bottom w:val="none" w:sz="0" w:space="0" w:color="auto"/>
            <w:right w:val="none" w:sz="0" w:space="0" w:color="auto"/>
          </w:divBdr>
          <w:divsChild>
            <w:div w:id="1761289079">
              <w:marLeft w:val="0"/>
              <w:marRight w:val="0"/>
              <w:marTop w:val="0"/>
              <w:marBottom w:val="0"/>
              <w:divBdr>
                <w:top w:val="none" w:sz="0" w:space="0" w:color="auto"/>
                <w:left w:val="none" w:sz="0" w:space="0" w:color="auto"/>
                <w:bottom w:val="none" w:sz="0" w:space="0" w:color="auto"/>
                <w:right w:val="none" w:sz="0" w:space="0" w:color="auto"/>
              </w:divBdr>
              <w:divsChild>
                <w:div w:id="80380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978540">
      <w:bodyDiv w:val="1"/>
      <w:marLeft w:val="0"/>
      <w:marRight w:val="0"/>
      <w:marTop w:val="0"/>
      <w:marBottom w:val="0"/>
      <w:divBdr>
        <w:top w:val="none" w:sz="0" w:space="0" w:color="auto"/>
        <w:left w:val="none" w:sz="0" w:space="0" w:color="auto"/>
        <w:bottom w:val="none" w:sz="0" w:space="0" w:color="auto"/>
        <w:right w:val="none" w:sz="0" w:space="0" w:color="auto"/>
      </w:divBdr>
    </w:div>
    <w:div w:id="1788163773">
      <w:bodyDiv w:val="1"/>
      <w:marLeft w:val="0"/>
      <w:marRight w:val="0"/>
      <w:marTop w:val="0"/>
      <w:marBottom w:val="0"/>
      <w:divBdr>
        <w:top w:val="none" w:sz="0" w:space="0" w:color="auto"/>
        <w:left w:val="none" w:sz="0" w:space="0" w:color="auto"/>
        <w:bottom w:val="none" w:sz="0" w:space="0" w:color="auto"/>
        <w:right w:val="none" w:sz="0" w:space="0" w:color="auto"/>
      </w:divBdr>
      <w:divsChild>
        <w:div w:id="1876040268">
          <w:marLeft w:val="0"/>
          <w:marRight w:val="0"/>
          <w:marTop w:val="0"/>
          <w:marBottom w:val="0"/>
          <w:divBdr>
            <w:top w:val="none" w:sz="0" w:space="0" w:color="auto"/>
            <w:left w:val="none" w:sz="0" w:space="0" w:color="auto"/>
            <w:bottom w:val="none" w:sz="0" w:space="0" w:color="auto"/>
            <w:right w:val="none" w:sz="0" w:space="0" w:color="auto"/>
          </w:divBdr>
          <w:divsChild>
            <w:div w:id="4345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027189">
      <w:bodyDiv w:val="1"/>
      <w:marLeft w:val="0"/>
      <w:marRight w:val="0"/>
      <w:marTop w:val="0"/>
      <w:marBottom w:val="0"/>
      <w:divBdr>
        <w:top w:val="none" w:sz="0" w:space="0" w:color="auto"/>
        <w:left w:val="none" w:sz="0" w:space="0" w:color="auto"/>
        <w:bottom w:val="none" w:sz="0" w:space="0" w:color="auto"/>
        <w:right w:val="none" w:sz="0" w:space="0" w:color="auto"/>
      </w:divBdr>
      <w:divsChild>
        <w:div w:id="491913842">
          <w:marLeft w:val="0"/>
          <w:marRight w:val="0"/>
          <w:marTop w:val="0"/>
          <w:marBottom w:val="0"/>
          <w:divBdr>
            <w:top w:val="none" w:sz="0" w:space="0" w:color="auto"/>
            <w:left w:val="none" w:sz="0" w:space="0" w:color="auto"/>
            <w:bottom w:val="none" w:sz="0" w:space="0" w:color="auto"/>
            <w:right w:val="none" w:sz="0" w:space="0" w:color="auto"/>
          </w:divBdr>
          <w:divsChild>
            <w:div w:id="79613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72032">
      <w:bodyDiv w:val="1"/>
      <w:marLeft w:val="0"/>
      <w:marRight w:val="0"/>
      <w:marTop w:val="0"/>
      <w:marBottom w:val="0"/>
      <w:divBdr>
        <w:top w:val="none" w:sz="0" w:space="0" w:color="auto"/>
        <w:left w:val="none" w:sz="0" w:space="0" w:color="auto"/>
        <w:bottom w:val="none" w:sz="0" w:space="0" w:color="auto"/>
        <w:right w:val="none" w:sz="0" w:space="0" w:color="auto"/>
      </w:divBdr>
      <w:divsChild>
        <w:div w:id="1265724780">
          <w:marLeft w:val="0"/>
          <w:marRight w:val="0"/>
          <w:marTop w:val="0"/>
          <w:marBottom w:val="0"/>
          <w:divBdr>
            <w:top w:val="none" w:sz="0" w:space="0" w:color="auto"/>
            <w:left w:val="none" w:sz="0" w:space="0" w:color="auto"/>
            <w:bottom w:val="none" w:sz="0" w:space="0" w:color="auto"/>
            <w:right w:val="none" w:sz="0" w:space="0" w:color="auto"/>
          </w:divBdr>
          <w:divsChild>
            <w:div w:id="96400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15114">
      <w:bodyDiv w:val="1"/>
      <w:marLeft w:val="0"/>
      <w:marRight w:val="0"/>
      <w:marTop w:val="0"/>
      <w:marBottom w:val="0"/>
      <w:divBdr>
        <w:top w:val="none" w:sz="0" w:space="0" w:color="auto"/>
        <w:left w:val="none" w:sz="0" w:space="0" w:color="auto"/>
        <w:bottom w:val="none" w:sz="0" w:space="0" w:color="auto"/>
        <w:right w:val="none" w:sz="0" w:space="0" w:color="auto"/>
      </w:divBdr>
      <w:divsChild>
        <w:div w:id="954479612">
          <w:marLeft w:val="0"/>
          <w:marRight w:val="0"/>
          <w:marTop w:val="0"/>
          <w:marBottom w:val="0"/>
          <w:divBdr>
            <w:top w:val="none" w:sz="0" w:space="0" w:color="auto"/>
            <w:left w:val="none" w:sz="0" w:space="0" w:color="auto"/>
            <w:bottom w:val="none" w:sz="0" w:space="0" w:color="auto"/>
            <w:right w:val="none" w:sz="0" w:space="0" w:color="auto"/>
          </w:divBdr>
          <w:divsChild>
            <w:div w:id="553851584">
              <w:marLeft w:val="0"/>
              <w:marRight w:val="0"/>
              <w:marTop w:val="0"/>
              <w:marBottom w:val="0"/>
              <w:divBdr>
                <w:top w:val="none" w:sz="0" w:space="0" w:color="auto"/>
                <w:left w:val="none" w:sz="0" w:space="0" w:color="auto"/>
                <w:bottom w:val="none" w:sz="0" w:space="0" w:color="auto"/>
                <w:right w:val="none" w:sz="0" w:space="0" w:color="auto"/>
              </w:divBdr>
              <w:divsChild>
                <w:div w:id="6627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503078">
      <w:bodyDiv w:val="1"/>
      <w:marLeft w:val="0"/>
      <w:marRight w:val="0"/>
      <w:marTop w:val="0"/>
      <w:marBottom w:val="0"/>
      <w:divBdr>
        <w:top w:val="none" w:sz="0" w:space="0" w:color="auto"/>
        <w:left w:val="none" w:sz="0" w:space="0" w:color="auto"/>
        <w:bottom w:val="none" w:sz="0" w:space="0" w:color="auto"/>
        <w:right w:val="none" w:sz="0" w:space="0" w:color="auto"/>
      </w:divBdr>
      <w:divsChild>
        <w:div w:id="1091321289">
          <w:marLeft w:val="0"/>
          <w:marRight w:val="0"/>
          <w:marTop w:val="0"/>
          <w:marBottom w:val="0"/>
          <w:divBdr>
            <w:top w:val="none" w:sz="0" w:space="0" w:color="auto"/>
            <w:left w:val="none" w:sz="0" w:space="0" w:color="auto"/>
            <w:bottom w:val="none" w:sz="0" w:space="0" w:color="auto"/>
            <w:right w:val="none" w:sz="0" w:space="0" w:color="auto"/>
          </w:divBdr>
          <w:divsChild>
            <w:div w:id="214565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963152">
      <w:bodyDiv w:val="1"/>
      <w:marLeft w:val="0"/>
      <w:marRight w:val="0"/>
      <w:marTop w:val="0"/>
      <w:marBottom w:val="0"/>
      <w:divBdr>
        <w:top w:val="none" w:sz="0" w:space="0" w:color="auto"/>
        <w:left w:val="none" w:sz="0" w:space="0" w:color="auto"/>
        <w:bottom w:val="none" w:sz="0" w:space="0" w:color="auto"/>
        <w:right w:val="none" w:sz="0" w:space="0" w:color="auto"/>
      </w:divBdr>
      <w:divsChild>
        <w:div w:id="318118386">
          <w:marLeft w:val="0"/>
          <w:marRight w:val="0"/>
          <w:marTop w:val="0"/>
          <w:marBottom w:val="0"/>
          <w:divBdr>
            <w:top w:val="none" w:sz="0" w:space="0" w:color="auto"/>
            <w:left w:val="none" w:sz="0" w:space="0" w:color="auto"/>
            <w:bottom w:val="none" w:sz="0" w:space="0" w:color="auto"/>
            <w:right w:val="none" w:sz="0" w:space="0" w:color="auto"/>
          </w:divBdr>
          <w:divsChild>
            <w:div w:id="211940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8514">
      <w:bodyDiv w:val="1"/>
      <w:marLeft w:val="0"/>
      <w:marRight w:val="0"/>
      <w:marTop w:val="0"/>
      <w:marBottom w:val="0"/>
      <w:divBdr>
        <w:top w:val="none" w:sz="0" w:space="0" w:color="auto"/>
        <w:left w:val="none" w:sz="0" w:space="0" w:color="auto"/>
        <w:bottom w:val="none" w:sz="0" w:space="0" w:color="auto"/>
        <w:right w:val="none" w:sz="0" w:space="0" w:color="auto"/>
      </w:divBdr>
    </w:div>
    <w:div w:id="1810316385">
      <w:bodyDiv w:val="1"/>
      <w:marLeft w:val="0"/>
      <w:marRight w:val="0"/>
      <w:marTop w:val="0"/>
      <w:marBottom w:val="0"/>
      <w:divBdr>
        <w:top w:val="none" w:sz="0" w:space="0" w:color="auto"/>
        <w:left w:val="none" w:sz="0" w:space="0" w:color="auto"/>
        <w:bottom w:val="none" w:sz="0" w:space="0" w:color="auto"/>
        <w:right w:val="none" w:sz="0" w:space="0" w:color="auto"/>
      </w:divBdr>
      <w:divsChild>
        <w:div w:id="1266840413">
          <w:marLeft w:val="0"/>
          <w:marRight w:val="0"/>
          <w:marTop w:val="0"/>
          <w:marBottom w:val="0"/>
          <w:divBdr>
            <w:top w:val="none" w:sz="0" w:space="0" w:color="auto"/>
            <w:left w:val="none" w:sz="0" w:space="0" w:color="auto"/>
            <w:bottom w:val="none" w:sz="0" w:space="0" w:color="auto"/>
            <w:right w:val="none" w:sz="0" w:space="0" w:color="auto"/>
          </w:divBdr>
        </w:div>
      </w:divsChild>
    </w:div>
    <w:div w:id="1811706335">
      <w:bodyDiv w:val="1"/>
      <w:marLeft w:val="0"/>
      <w:marRight w:val="0"/>
      <w:marTop w:val="0"/>
      <w:marBottom w:val="0"/>
      <w:divBdr>
        <w:top w:val="none" w:sz="0" w:space="0" w:color="auto"/>
        <w:left w:val="none" w:sz="0" w:space="0" w:color="auto"/>
        <w:bottom w:val="none" w:sz="0" w:space="0" w:color="auto"/>
        <w:right w:val="none" w:sz="0" w:space="0" w:color="auto"/>
      </w:divBdr>
    </w:div>
    <w:div w:id="1812479889">
      <w:bodyDiv w:val="1"/>
      <w:marLeft w:val="0"/>
      <w:marRight w:val="0"/>
      <w:marTop w:val="0"/>
      <w:marBottom w:val="0"/>
      <w:divBdr>
        <w:top w:val="none" w:sz="0" w:space="0" w:color="auto"/>
        <w:left w:val="none" w:sz="0" w:space="0" w:color="auto"/>
        <w:bottom w:val="none" w:sz="0" w:space="0" w:color="auto"/>
        <w:right w:val="none" w:sz="0" w:space="0" w:color="auto"/>
      </w:divBdr>
      <w:divsChild>
        <w:div w:id="1839228608">
          <w:marLeft w:val="0"/>
          <w:marRight w:val="0"/>
          <w:marTop w:val="0"/>
          <w:marBottom w:val="0"/>
          <w:divBdr>
            <w:top w:val="none" w:sz="0" w:space="0" w:color="auto"/>
            <w:left w:val="none" w:sz="0" w:space="0" w:color="auto"/>
            <w:bottom w:val="none" w:sz="0" w:space="0" w:color="auto"/>
            <w:right w:val="none" w:sz="0" w:space="0" w:color="auto"/>
          </w:divBdr>
        </w:div>
      </w:divsChild>
    </w:div>
    <w:div w:id="1817455878">
      <w:bodyDiv w:val="1"/>
      <w:marLeft w:val="0"/>
      <w:marRight w:val="0"/>
      <w:marTop w:val="0"/>
      <w:marBottom w:val="0"/>
      <w:divBdr>
        <w:top w:val="none" w:sz="0" w:space="0" w:color="auto"/>
        <w:left w:val="none" w:sz="0" w:space="0" w:color="auto"/>
        <w:bottom w:val="none" w:sz="0" w:space="0" w:color="auto"/>
        <w:right w:val="none" w:sz="0" w:space="0" w:color="auto"/>
      </w:divBdr>
      <w:divsChild>
        <w:div w:id="393158931">
          <w:marLeft w:val="0"/>
          <w:marRight w:val="0"/>
          <w:marTop w:val="0"/>
          <w:marBottom w:val="0"/>
          <w:divBdr>
            <w:top w:val="none" w:sz="0" w:space="0" w:color="auto"/>
            <w:left w:val="none" w:sz="0" w:space="0" w:color="auto"/>
            <w:bottom w:val="none" w:sz="0" w:space="0" w:color="auto"/>
            <w:right w:val="none" w:sz="0" w:space="0" w:color="auto"/>
          </w:divBdr>
          <w:divsChild>
            <w:div w:id="116112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29989">
      <w:bodyDiv w:val="1"/>
      <w:marLeft w:val="0"/>
      <w:marRight w:val="0"/>
      <w:marTop w:val="0"/>
      <w:marBottom w:val="0"/>
      <w:divBdr>
        <w:top w:val="none" w:sz="0" w:space="0" w:color="auto"/>
        <w:left w:val="none" w:sz="0" w:space="0" w:color="auto"/>
        <w:bottom w:val="none" w:sz="0" w:space="0" w:color="auto"/>
        <w:right w:val="none" w:sz="0" w:space="0" w:color="auto"/>
      </w:divBdr>
    </w:div>
    <w:div w:id="1826313534">
      <w:bodyDiv w:val="1"/>
      <w:marLeft w:val="0"/>
      <w:marRight w:val="0"/>
      <w:marTop w:val="0"/>
      <w:marBottom w:val="0"/>
      <w:divBdr>
        <w:top w:val="none" w:sz="0" w:space="0" w:color="auto"/>
        <w:left w:val="none" w:sz="0" w:space="0" w:color="auto"/>
        <w:bottom w:val="none" w:sz="0" w:space="0" w:color="auto"/>
        <w:right w:val="none" w:sz="0" w:space="0" w:color="auto"/>
      </w:divBdr>
      <w:divsChild>
        <w:div w:id="1379086966">
          <w:marLeft w:val="0"/>
          <w:marRight w:val="0"/>
          <w:marTop w:val="0"/>
          <w:marBottom w:val="0"/>
          <w:divBdr>
            <w:top w:val="none" w:sz="0" w:space="0" w:color="auto"/>
            <w:left w:val="none" w:sz="0" w:space="0" w:color="auto"/>
            <w:bottom w:val="none" w:sz="0" w:space="0" w:color="auto"/>
            <w:right w:val="none" w:sz="0" w:space="0" w:color="auto"/>
          </w:divBdr>
          <w:divsChild>
            <w:div w:id="151148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84033">
      <w:bodyDiv w:val="1"/>
      <w:marLeft w:val="0"/>
      <w:marRight w:val="0"/>
      <w:marTop w:val="0"/>
      <w:marBottom w:val="0"/>
      <w:divBdr>
        <w:top w:val="none" w:sz="0" w:space="0" w:color="auto"/>
        <w:left w:val="none" w:sz="0" w:space="0" w:color="auto"/>
        <w:bottom w:val="none" w:sz="0" w:space="0" w:color="auto"/>
        <w:right w:val="none" w:sz="0" w:space="0" w:color="auto"/>
      </w:divBdr>
    </w:div>
    <w:div w:id="1829322844">
      <w:bodyDiv w:val="1"/>
      <w:marLeft w:val="0"/>
      <w:marRight w:val="0"/>
      <w:marTop w:val="0"/>
      <w:marBottom w:val="0"/>
      <w:divBdr>
        <w:top w:val="none" w:sz="0" w:space="0" w:color="auto"/>
        <w:left w:val="none" w:sz="0" w:space="0" w:color="auto"/>
        <w:bottom w:val="none" w:sz="0" w:space="0" w:color="auto"/>
        <w:right w:val="none" w:sz="0" w:space="0" w:color="auto"/>
      </w:divBdr>
    </w:div>
    <w:div w:id="1834223520">
      <w:bodyDiv w:val="1"/>
      <w:marLeft w:val="0"/>
      <w:marRight w:val="0"/>
      <w:marTop w:val="0"/>
      <w:marBottom w:val="0"/>
      <w:divBdr>
        <w:top w:val="none" w:sz="0" w:space="0" w:color="auto"/>
        <w:left w:val="none" w:sz="0" w:space="0" w:color="auto"/>
        <w:bottom w:val="none" w:sz="0" w:space="0" w:color="auto"/>
        <w:right w:val="none" w:sz="0" w:space="0" w:color="auto"/>
      </w:divBdr>
      <w:divsChild>
        <w:div w:id="1572353524">
          <w:marLeft w:val="0"/>
          <w:marRight w:val="0"/>
          <w:marTop w:val="0"/>
          <w:marBottom w:val="0"/>
          <w:divBdr>
            <w:top w:val="none" w:sz="0" w:space="0" w:color="auto"/>
            <w:left w:val="none" w:sz="0" w:space="0" w:color="auto"/>
            <w:bottom w:val="none" w:sz="0" w:space="0" w:color="auto"/>
            <w:right w:val="none" w:sz="0" w:space="0" w:color="auto"/>
          </w:divBdr>
          <w:divsChild>
            <w:div w:id="43845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04328">
      <w:bodyDiv w:val="1"/>
      <w:marLeft w:val="0"/>
      <w:marRight w:val="0"/>
      <w:marTop w:val="0"/>
      <w:marBottom w:val="0"/>
      <w:divBdr>
        <w:top w:val="none" w:sz="0" w:space="0" w:color="auto"/>
        <w:left w:val="none" w:sz="0" w:space="0" w:color="auto"/>
        <w:bottom w:val="none" w:sz="0" w:space="0" w:color="auto"/>
        <w:right w:val="none" w:sz="0" w:space="0" w:color="auto"/>
      </w:divBdr>
      <w:divsChild>
        <w:div w:id="422460560">
          <w:marLeft w:val="0"/>
          <w:marRight w:val="0"/>
          <w:marTop w:val="0"/>
          <w:marBottom w:val="0"/>
          <w:divBdr>
            <w:top w:val="none" w:sz="0" w:space="0" w:color="auto"/>
            <w:left w:val="none" w:sz="0" w:space="0" w:color="auto"/>
            <w:bottom w:val="none" w:sz="0" w:space="0" w:color="auto"/>
            <w:right w:val="none" w:sz="0" w:space="0" w:color="auto"/>
          </w:divBdr>
          <w:divsChild>
            <w:div w:id="153125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88682">
      <w:bodyDiv w:val="1"/>
      <w:marLeft w:val="0"/>
      <w:marRight w:val="0"/>
      <w:marTop w:val="0"/>
      <w:marBottom w:val="0"/>
      <w:divBdr>
        <w:top w:val="none" w:sz="0" w:space="0" w:color="auto"/>
        <w:left w:val="none" w:sz="0" w:space="0" w:color="auto"/>
        <w:bottom w:val="none" w:sz="0" w:space="0" w:color="auto"/>
        <w:right w:val="none" w:sz="0" w:space="0" w:color="auto"/>
      </w:divBdr>
      <w:divsChild>
        <w:div w:id="47414657">
          <w:marLeft w:val="0"/>
          <w:marRight w:val="0"/>
          <w:marTop w:val="0"/>
          <w:marBottom w:val="0"/>
          <w:divBdr>
            <w:top w:val="none" w:sz="0" w:space="0" w:color="auto"/>
            <w:left w:val="none" w:sz="0" w:space="0" w:color="auto"/>
            <w:bottom w:val="none" w:sz="0" w:space="0" w:color="auto"/>
            <w:right w:val="none" w:sz="0" w:space="0" w:color="auto"/>
          </w:divBdr>
          <w:divsChild>
            <w:div w:id="1507015337">
              <w:marLeft w:val="0"/>
              <w:marRight w:val="0"/>
              <w:marTop w:val="0"/>
              <w:marBottom w:val="0"/>
              <w:divBdr>
                <w:top w:val="none" w:sz="0" w:space="0" w:color="auto"/>
                <w:left w:val="none" w:sz="0" w:space="0" w:color="auto"/>
                <w:bottom w:val="none" w:sz="0" w:space="0" w:color="auto"/>
                <w:right w:val="none" w:sz="0" w:space="0" w:color="auto"/>
              </w:divBdr>
              <w:divsChild>
                <w:div w:id="199198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535997">
      <w:bodyDiv w:val="1"/>
      <w:marLeft w:val="0"/>
      <w:marRight w:val="0"/>
      <w:marTop w:val="0"/>
      <w:marBottom w:val="0"/>
      <w:divBdr>
        <w:top w:val="none" w:sz="0" w:space="0" w:color="auto"/>
        <w:left w:val="none" w:sz="0" w:space="0" w:color="auto"/>
        <w:bottom w:val="none" w:sz="0" w:space="0" w:color="auto"/>
        <w:right w:val="none" w:sz="0" w:space="0" w:color="auto"/>
      </w:divBdr>
      <w:divsChild>
        <w:div w:id="1912810639">
          <w:marLeft w:val="0"/>
          <w:marRight w:val="0"/>
          <w:marTop w:val="0"/>
          <w:marBottom w:val="0"/>
          <w:divBdr>
            <w:top w:val="none" w:sz="0" w:space="0" w:color="auto"/>
            <w:left w:val="none" w:sz="0" w:space="0" w:color="auto"/>
            <w:bottom w:val="none" w:sz="0" w:space="0" w:color="auto"/>
            <w:right w:val="none" w:sz="0" w:space="0" w:color="auto"/>
          </w:divBdr>
          <w:divsChild>
            <w:div w:id="171083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67022">
      <w:bodyDiv w:val="1"/>
      <w:marLeft w:val="0"/>
      <w:marRight w:val="0"/>
      <w:marTop w:val="0"/>
      <w:marBottom w:val="0"/>
      <w:divBdr>
        <w:top w:val="none" w:sz="0" w:space="0" w:color="auto"/>
        <w:left w:val="none" w:sz="0" w:space="0" w:color="auto"/>
        <w:bottom w:val="none" w:sz="0" w:space="0" w:color="auto"/>
        <w:right w:val="none" w:sz="0" w:space="0" w:color="auto"/>
      </w:divBdr>
    </w:div>
    <w:div w:id="1843741783">
      <w:bodyDiv w:val="1"/>
      <w:marLeft w:val="0"/>
      <w:marRight w:val="0"/>
      <w:marTop w:val="0"/>
      <w:marBottom w:val="0"/>
      <w:divBdr>
        <w:top w:val="none" w:sz="0" w:space="0" w:color="auto"/>
        <w:left w:val="none" w:sz="0" w:space="0" w:color="auto"/>
        <w:bottom w:val="none" w:sz="0" w:space="0" w:color="auto"/>
        <w:right w:val="none" w:sz="0" w:space="0" w:color="auto"/>
      </w:divBdr>
    </w:div>
    <w:div w:id="1844855863">
      <w:bodyDiv w:val="1"/>
      <w:marLeft w:val="0"/>
      <w:marRight w:val="0"/>
      <w:marTop w:val="0"/>
      <w:marBottom w:val="0"/>
      <w:divBdr>
        <w:top w:val="none" w:sz="0" w:space="0" w:color="auto"/>
        <w:left w:val="none" w:sz="0" w:space="0" w:color="auto"/>
        <w:bottom w:val="none" w:sz="0" w:space="0" w:color="auto"/>
        <w:right w:val="none" w:sz="0" w:space="0" w:color="auto"/>
      </w:divBdr>
      <w:divsChild>
        <w:div w:id="1083601530">
          <w:marLeft w:val="0"/>
          <w:marRight w:val="0"/>
          <w:marTop w:val="0"/>
          <w:marBottom w:val="0"/>
          <w:divBdr>
            <w:top w:val="none" w:sz="0" w:space="0" w:color="auto"/>
            <w:left w:val="none" w:sz="0" w:space="0" w:color="auto"/>
            <w:bottom w:val="none" w:sz="0" w:space="0" w:color="auto"/>
            <w:right w:val="none" w:sz="0" w:space="0" w:color="auto"/>
          </w:divBdr>
          <w:divsChild>
            <w:div w:id="208957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83814">
      <w:bodyDiv w:val="1"/>
      <w:marLeft w:val="0"/>
      <w:marRight w:val="0"/>
      <w:marTop w:val="0"/>
      <w:marBottom w:val="0"/>
      <w:divBdr>
        <w:top w:val="none" w:sz="0" w:space="0" w:color="auto"/>
        <w:left w:val="none" w:sz="0" w:space="0" w:color="auto"/>
        <w:bottom w:val="none" w:sz="0" w:space="0" w:color="auto"/>
        <w:right w:val="none" w:sz="0" w:space="0" w:color="auto"/>
      </w:divBdr>
      <w:divsChild>
        <w:div w:id="2016225379">
          <w:marLeft w:val="0"/>
          <w:marRight w:val="0"/>
          <w:marTop w:val="0"/>
          <w:marBottom w:val="0"/>
          <w:divBdr>
            <w:top w:val="none" w:sz="0" w:space="0" w:color="auto"/>
            <w:left w:val="none" w:sz="0" w:space="0" w:color="auto"/>
            <w:bottom w:val="none" w:sz="0" w:space="0" w:color="auto"/>
            <w:right w:val="none" w:sz="0" w:space="0" w:color="auto"/>
          </w:divBdr>
          <w:divsChild>
            <w:div w:id="375811873">
              <w:marLeft w:val="0"/>
              <w:marRight w:val="0"/>
              <w:marTop w:val="0"/>
              <w:marBottom w:val="0"/>
              <w:divBdr>
                <w:top w:val="none" w:sz="0" w:space="0" w:color="auto"/>
                <w:left w:val="none" w:sz="0" w:space="0" w:color="auto"/>
                <w:bottom w:val="none" w:sz="0" w:space="0" w:color="auto"/>
                <w:right w:val="none" w:sz="0" w:space="0" w:color="auto"/>
              </w:divBdr>
              <w:divsChild>
                <w:div w:id="165421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569568">
      <w:bodyDiv w:val="1"/>
      <w:marLeft w:val="0"/>
      <w:marRight w:val="0"/>
      <w:marTop w:val="0"/>
      <w:marBottom w:val="0"/>
      <w:divBdr>
        <w:top w:val="none" w:sz="0" w:space="0" w:color="auto"/>
        <w:left w:val="none" w:sz="0" w:space="0" w:color="auto"/>
        <w:bottom w:val="none" w:sz="0" w:space="0" w:color="auto"/>
        <w:right w:val="none" w:sz="0" w:space="0" w:color="auto"/>
      </w:divBdr>
    </w:div>
    <w:div w:id="1855075464">
      <w:bodyDiv w:val="1"/>
      <w:marLeft w:val="0"/>
      <w:marRight w:val="0"/>
      <w:marTop w:val="0"/>
      <w:marBottom w:val="0"/>
      <w:divBdr>
        <w:top w:val="none" w:sz="0" w:space="0" w:color="auto"/>
        <w:left w:val="none" w:sz="0" w:space="0" w:color="auto"/>
        <w:bottom w:val="none" w:sz="0" w:space="0" w:color="auto"/>
        <w:right w:val="none" w:sz="0" w:space="0" w:color="auto"/>
      </w:divBdr>
      <w:divsChild>
        <w:div w:id="1494373638">
          <w:marLeft w:val="0"/>
          <w:marRight w:val="0"/>
          <w:marTop w:val="0"/>
          <w:marBottom w:val="0"/>
          <w:divBdr>
            <w:top w:val="none" w:sz="0" w:space="0" w:color="auto"/>
            <w:left w:val="none" w:sz="0" w:space="0" w:color="auto"/>
            <w:bottom w:val="none" w:sz="0" w:space="0" w:color="auto"/>
            <w:right w:val="none" w:sz="0" w:space="0" w:color="auto"/>
          </w:divBdr>
          <w:divsChild>
            <w:div w:id="907806069">
              <w:marLeft w:val="0"/>
              <w:marRight w:val="0"/>
              <w:marTop w:val="0"/>
              <w:marBottom w:val="0"/>
              <w:divBdr>
                <w:top w:val="none" w:sz="0" w:space="0" w:color="auto"/>
                <w:left w:val="none" w:sz="0" w:space="0" w:color="auto"/>
                <w:bottom w:val="none" w:sz="0" w:space="0" w:color="auto"/>
                <w:right w:val="none" w:sz="0" w:space="0" w:color="auto"/>
              </w:divBdr>
              <w:divsChild>
                <w:div w:id="30955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539565">
      <w:bodyDiv w:val="1"/>
      <w:marLeft w:val="0"/>
      <w:marRight w:val="0"/>
      <w:marTop w:val="0"/>
      <w:marBottom w:val="0"/>
      <w:divBdr>
        <w:top w:val="none" w:sz="0" w:space="0" w:color="auto"/>
        <w:left w:val="none" w:sz="0" w:space="0" w:color="auto"/>
        <w:bottom w:val="none" w:sz="0" w:space="0" w:color="auto"/>
        <w:right w:val="none" w:sz="0" w:space="0" w:color="auto"/>
      </w:divBdr>
      <w:divsChild>
        <w:div w:id="2144956073">
          <w:marLeft w:val="0"/>
          <w:marRight w:val="0"/>
          <w:marTop w:val="0"/>
          <w:marBottom w:val="0"/>
          <w:divBdr>
            <w:top w:val="none" w:sz="0" w:space="0" w:color="auto"/>
            <w:left w:val="none" w:sz="0" w:space="0" w:color="auto"/>
            <w:bottom w:val="none" w:sz="0" w:space="0" w:color="auto"/>
            <w:right w:val="none" w:sz="0" w:space="0" w:color="auto"/>
          </w:divBdr>
        </w:div>
      </w:divsChild>
    </w:div>
    <w:div w:id="1868909803">
      <w:bodyDiv w:val="1"/>
      <w:marLeft w:val="0"/>
      <w:marRight w:val="0"/>
      <w:marTop w:val="0"/>
      <w:marBottom w:val="0"/>
      <w:divBdr>
        <w:top w:val="none" w:sz="0" w:space="0" w:color="auto"/>
        <w:left w:val="none" w:sz="0" w:space="0" w:color="auto"/>
        <w:bottom w:val="none" w:sz="0" w:space="0" w:color="auto"/>
        <w:right w:val="none" w:sz="0" w:space="0" w:color="auto"/>
      </w:divBdr>
    </w:div>
    <w:div w:id="1871068736">
      <w:bodyDiv w:val="1"/>
      <w:marLeft w:val="0"/>
      <w:marRight w:val="0"/>
      <w:marTop w:val="0"/>
      <w:marBottom w:val="0"/>
      <w:divBdr>
        <w:top w:val="none" w:sz="0" w:space="0" w:color="auto"/>
        <w:left w:val="none" w:sz="0" w:space="0" w:color="auto"/>
        <w:bottom w:val="none" w:sz="0" w:space="0" w:color="auto"/>
        <w:right w:val="none" w:sz="0" w:space="0" w:color="auto"/>
      </w:divBdr>
    </w:div>
    <w:div w:id="1877156212">
      <w:bodyDiv w:val="1"/>
      <w:marLeft w:val="0"/>
      <w:marRight w:val="0"/>
      <w:marTop w:val="0"/>
      <w:marBottom w:val="0"/>
      <w:divBdr>
        <w:top w:val="none" w:sz="0" w:space="0" w:color="auto"/>
        <w:left w:val="none" w:sz="0" w:space="0" w:color="auto"/>
        <w:bottom w:val="none" w:sz="0" w:space="0" w:color="auto"/>
        <w:right w:val="none" w:sz="0" w:space="0" w:color="auto"/>
      </w:divBdr>
    </w:div>
    <w:div w:id="1878085092">
      <w:bodyDiv w:val="1"/>
      <w:marLeft w:val="0"/>
      <w:marRight w:val="0"/>
      <w:marTop w:val="0"/>
      <w:marBottom w:val="0"/>
      <w:divBdr>
        <w:top w:val="none" w:sz="0" w:space="0" w:color="auto"/>
        <w:left w:val="none" w:sz="0" w:space="0" w:color="auto"/>
        <w:bottom w:val="none" w:sz="0" w:space="0" w:color="auto"/>
        <w:right w:val="none" w:sz="0" w:space="0" w:color="auto"/>
      </w:divBdr>
    </w:div>
    <w:div w:id="1884058822">
      <w:bodyDiv w:val="1"/>
      <w:marLeft w:val="0"/>
      <w:marRight w:val="0"/>
      <w:marTop w:val="0"/>
      <w:marBottom w:val="0"/>
      <w:divBdr>
        <w:top w:val="none" w:sz="0" w:space="0" w:color="auto"/>
        <w:left w:val="none" w:sz="0" w:space="0" w:color="auto"/>
        <w:bottom w:val="none" w:sz="0" w:space="0" w:color="auto"/>
        <w:right w:val="none" w:sz="0" w:space="0" w:color="auto"/>
      </w:divBdr>
    </w:div>
    <w:div w:id="1884554403">
      <w:bodyDiv w:val="1"/>
      <w:marLeft w:val="0"/>
      <w:marRight w:val="0"/>
      <w:marTop w:val="0"/>
      <w:marBottom w:val="0"/>
      <w:divBdr>
        <w:top w:val="none" w:sz="0" w:space="0" w:color="auto"/>
        <w:left w:val="none" w:sz="0" w:space="0" w:color="auto"/>
        <w:bottom w:val="none" w:sz="0" w:space="0" w:color="auto"/>
        <w:right w:val="none" w:sz="0" w:space="0" w:color="auto"/>
      </w:divBdr>
      <w:divsChild>
        <w:div w:id="1541169048">
          <w:marLeft w:val="0"/>
          <w:marRight w:val="0"/>
          <w:marTop w:val="0"/>
          <w:marBottom w:val="0"/>
          <w:divBdr>
            <w:top w:val="none" w:sz="0" w:space="0" w:color="auto"/>
            <w:left w:val="none" w:sz="0" w:space="0" w:color="auto"/>
            <w:bottom w:val="none" w:sz="0" w:space="0" w:color="auto"/>
            <w:right w:val="none" w:sz="0" w:space="0" w:color="auto"/>
          </w:divBdr>
          <w:divsChild>
            <w:div w:id="79043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70303">
      <w:bodyDiv w:val="1"/>
      <w:marLeft w:val="0"/>
      <w:marRight w:val="0"/>
      <w:marTop w:val="0"/>
      <w:marBottom w:val="0"/>
      <w:divBdr>
        <w:top w:val="none" w:sz="0" w:space="0" w:color="auto"/>
        <w:left w:val="none" w:sz="0" w:space="0" w:color="auto"/>
        <w:bottom w:val="none" w:sz="0" w:space="0" w:color="auto"/>
        <w:right w:val="none" w:sz="0" w:space="0" w:color="auto"/>
      </w:divBdr>
      <w:divsChild>
        <w:div w:id="954674365">
          <w:marLeft w:val="0"/>
          <w:marRight w:val="0"/>
          <w:marTop w:val="0"/>
          <w:marBottom w:val="0"/>
          <w:divBdr>
            <w:top w:val="none" w:sz="0" w:space="0" w:color="auto"/>
            <w:left w:val="none" w:sz="0" w:space="0" w:color="auto"/>
            <w:bottom w:val="none" w:sz="0" w:space="0" w:color="auto"/>
            <w:right w:val="none" w:sz="0" w:space="0" w:color="auto"/>
          </w:divBdr>
          <w:divsChild>
            <w:div w:id="31885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444063">
      <w:bodyDiv w:val="1"/>
      <w:marLeft w:val="0"/>
      <w:marRight w:val="0"/>
      <w:marTop w:val="0"/>
      <w:marBottom w:val="0"/>
      <w:divBdr>
        <w:top w:val="none" w:sz="0" w:space="0" w:color="auto"/>
        <w:left w:val="none" w:sz="0" w:space="0" w:color="auto"/>
        <w:bottom w:val="none" w:sz="0" w:space="0" w:color="auto"/>
        <w:right w:val="none" w:sz="0" w:space="0" w:color="auto"/>
      </w:divBdr>
    </w:div>
    <w:div w:id="1887716029">
      <w:bodyDiv w:val="1"/>
      <w:marLeft w:val="0"/>
      <w:marRight w:val="0"/>
      <w:marTop w:val="0"/>
      <w:marBottom w:val="0"/>
      <w:divBdr>
        <w:top w:val="none" w:sz="0" w:space="0" w:color="auto"/>
        <w:left w:val="none" w:sz="0" w:space="0" w:color="auto"/>
        <w:bottom w:val="none" w:sz="0" w:space="0" w:color="auto"/>
        <w:right w:val="none" w:sz="0" w:space="0" w:color="auto"/>
      </w:divBdr>
    </w:div>
    <w:div w:id="1890871239">
      <w:bodyDiv w:val="1"/>
      <w:marLeft w:val="0"/>
      <w:marRight w:val="0"/>
      <w:marTop w:val="0"/>
      <w:marBottom w:val="0"/>
      <w:divBdr>
        <w:top w:val="none" w:sz="0" w:space="0" w:color="auto"/>
        <w:left w:val="none" w:sz="0" w:space="0" w:color="auto"/>
        <w:bottom w:val="none" w:sz="0" w:space="0" w:color="auto"/>
        <w:right w:val="none" w:sz="0" w:space="0" w:color="auto"/>
      </w:divBdr>
      <w:divsChild>
        <w:div w:id="459344596">
          <w:marLeft w:val="0"/>
          <w:marRight w:val="0"/>
          <w:marTop w:val="0"/>
          <w:marBottom w:val="0"/>
          <w:divBdr>
            <w:top w:val="none" w:sz="0" w:space="0" w:color="auto"/>
            <w:left w:val="none" w:sz="0" w:space="0" w:color="auto"/>
            <w:bottom w:val="none" w:sz="0" w:space="0" w:color="auto"/>
            <w:right w:val="none" w:sz="0" w:space="0" w:color="auto"/>
          </w:divBdr>
          <w:divsChild>
            <w:div w:id="204887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36337">
      <w:bodyDiv w:val="1"/>
      <w:marLeft w:val="0"/>
      <w:marRight w:val="0"/>
      <w:marTop w:val="0"/>
      <w:marBottom w:val="0"/>
      <w:divBdr>
        <w:top w:val="none" w:sz="0" w:space="0" w:color="auto"/>
        <w:left w:val="none" w:sz="0" w:space="0" w:color="auto"/>
        <w:bottom w:val="none" w:sz="0" w:space="0" w:color="auto"/>
        <w:right w:val="none" w:sz="0" w:space="0" w:color="auto"/>
      </w:divBdr>
    </w:div>
    <w:div w:id="1930117198">
      <w:bodyDiv w:val="1"/>
      <w:marLeft w:val="0"/>
      <w:marRight w:val="0"/>
      <w:marTop w:val="0"/>
      <w:marBottom w:val="0"/>
      <w:divBdr>
        <w:top w:val="none" w:sz="0" w:space="0" w:color="auto"/>
        <w:left w:val="none" w:sz="0" w:space="0" w:color="auto"/>
        <w:bottom w:val="none" w:sz="0" w:space="0" w:color="auto"/>
        <w:right w:val="none" w:sz="0" w:space="0" w:color="auto"/>
      </w:divBdr>
      <w:divsChild>
        <w:div w:id="1695958311">
          <w:marLeft w:val="0"/>
          <w:marRight w:val="0"/>
          <w:marTop w:val="0"/>
          <w:marBottom w:val="0"/>
          <w:divBdr>
            <w:top w:val="none" w:sz="0" w:space="0" w:color="auto"/>
            <w:left w:val="none" w:sz="0" w:space="0" w:color="auto"/>
            <w:bottom w:val="none" w:sz="0" w:space="0" w:color="auto"/>
            <w:right w:val="none" w:sz="0" w:space="0" w:color="auto"/>
          </w:divBdr>
          <w:divsChild>
            <w:div w:id="93586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310825">
      <w:bodyDiv w:val="1"/>
      <w:marLeft w:val="0"/>
      <w:marRight w:val="0"/>
      <w:marTop w:val="0"/>
      <w:marBottom w:val="0"/>
      <w:divBdr>
        <w:top w:val="none" w:sz="0" w:space="0" w:color="auto"/>
        <w:left w:val="none" w:sz="0" w:space="0" w:color="auto"/>
        <w:bottom w:val="none" w:sz="0" w:space="0" w:color="auto"/>
        <w:right w:val="none" w:sz="0" w:space="0" w:color="auto"/>
      </w:divBdr>
      <w:divsChild>
        <w:div w:id="122113910">
          <w:marLeft w:val="0"/>
          <w:marRight w:val="0"/>
          <w:marTop w:val="0"/>
          <w:marBottom w:val="0"/>
          <w:divBdr>
            <w:top w:val="none" w:sz="0" w:space="0" w:color="auto"/>
            <w:left w:val="none" w:sz="0" w:space="0" w:color="auto"/>
            <w:bottom w:val="none" w:sz="0" w:space="0" w:color="auto"/>
            <w:right w:val="none" w:sz="0" w:space="0" w:color="auto"/>
          </w:divBdr>
        </w:div>
        <w:div w:id="298341650">
          <w:marLeft w:val="0"/>
          <w:marRight w:val="0"/>
          <w:marTop w:val="0"/>
          <w:marBottom w:val="0"/>
          <w:divBdr>
            <w:top w:val="none" w:sz="0" w:space="0" w:color="auto"/>
            <w:left w:val="none" w:sz="0" w:space="0" w:color="auto"/>
            <w:bottom w:val="none" w:sz="0" w:space="0" w:color="auto"/>
            <w:right w:val="none" w:sz="0" w:space="0" w:color="auto"/>
          </w:divBdr>
        </w:div>
        <w:div w:id="1062100538">
          <w:marLeft w:val="0"/>
          <w:marRight w:val="0"/>
          <w:marTop w:val="0"/>
          <w:marBottom w:val="0"/>
          <w:divBdr>
            <w:top w:val="none" w:sz="0" w:space="0" w:color="auto"/>
            <w:left w:val="none" w:sz="0" w:space="0" w:color="auto"/>
            <w:bottom w:val="none" w:sz="0" w:space="0" w:color="auto"/>
            <w:right w:val="none" w:sz="0" w:space="0" w:color="auto"/>
          </w:divBdr>
        </w:div>
      </w:divsChild>
    </w:div>
    <w:div w:id="1931767369">
      <w:bodyDiv w:val="1"/>
      <w:marLeft w:val="0"/>
      <w:marRight w:val="0"/>
      <w:marTop w:val="0"/>
      <w:marBottom w:val="0"/>
      <w:divBdr>
        <w:top w:val="none" w:sz="0" w:space="0" w:color="auto"/>
        <w:left w:val="none" w:sz="0" w:space="0" w:color="auto"/>
        <w:bottom w:val="none" w:sz="0" w:space="0" w:color="auto"/>
        <w:right w:val="none" w:sz="0" w:space="0" w:color="auto"/>
      </w:divBdr>
      <w:divsChild>
        <w:div w:id="2070299435">
          <w:marLeft w:val="0"/>
          <w:marRight w:val="0"/>
          <w:marTop w:val="0"/>
          <w:marBottom w:val="0"/>
          <w:divBdr>
            <w:top w:val="none" w:sz="0" w:space="0" w:color="auto"/>
            <w:left w:val="none" w:sz="0" w:space="0" w:color="auto"/>
            <w:bottom w:val="none" w:sz="0" w:space="0" w:color="auto"/>
            <w:right w:val="none" w:sz="0" w:space="0" w:color="auto"/>
          </w:divBdr>
          <w:divsChild>
            <w:div w:id="27285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88795">
      <w:bodyDiv w:val="1"/>
      <w:marLeft w:val="0"/>
      <w:marRight w:val="0"/>
      <w:marTop w:val="0"/>
      <w:marBottom w:val="0"/>
      <w:divBdr>
        <w:top w:val="none" w:sz="0" w:space="0" w:color="auto"/>
        <w:left w:val="none" w:sz="0" w:space="0" w:color="auto"/>
        <w:bottom w:val="none" w:sz="0" w:space="0" w:color="auto"/>
        <w:right w:val="none" w:sz="0" w:space="0" w:color="auto"/>
      </w:divBdr>
    </w:div>
    <w:div w:id="1937202649">
      <w:bodyDiv w:val="1"/>
      <w:marLeft w:val="0"/>
      <w:marRight w:val="0"/>
      <w:marTop w:val="0"/>
      <w:marBottom w:val="0"/>
      <w:divBdr>
        <w:top w:val="none" w:sz="0" w:space="0" w:color="auto"/>
        <w:left w:val="none" w:sz="0" w:space="0" w:color="auto"/>
        <w:bottom w:val="none" w:sz="0" w:space="0" w:color="auto"/>
        <w:right w:val="none" w:sz="0" w:space="0" w:color="auto"/>
      </w:divBdr>
    </w:div>
    <w:div w:id="1938978898">
      <w:bodyDiv w:val="1"/>
      <w:marLeft w:val="0"/>
      <w:marRight w:val="0"/>
      <w:marTop w:val="0"/>
      <w:marBottom w:val="0"/>
      <w:divBdr>
        <w:top w:val="none" w:sz="0" w:space="0" w:color="auto"/>
        <w:left w:val="none" w:sz="0" w:space="0" w:color="auto"/>
        <w:bottom w:val="none" w:sz="0" w:space="0" w:color="auto"/>
        <w:right w:val="none" w:sz="0" w:space="0" w:color="auto"/>
      </w:divBdr>
      <w:divsChild>
        <w:div w:id="1410885582">
          <w:marLeft w:val="0"/>
          <w:marRight w:val="0"/>
          <w:marTop w:val="0"/>
          <w:marBottom w:val="0"/>
          <w:divBdr>
            <w:top w:val="none" w:sz="0" w:space="0" w:color="auto"/>
            <w:left w:val="none" w:sz="0" w:space="0" w:color="auto"/>
            <w:bottom w:val="none" w:sz="0" w:space="0" w:color="auto"/>
            <w:right w:val="none" w:sz="0" w:space="0" w:color="auto"/>
          </w:divBdr>
          <w:divsChild>
            <w:div w:id="22101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83640">
      <w:bodyDiv w:val="1"/>
      <w:marLeft w:val="0"/>
      <w:marRight w:val="0"/>
      <w:marTop w:val="0"/>
      <w:marBottom w:val="0"/>
      <w:divBdr>
        <w:top w:val="none" w:sz="0" w:space="0" w:color="auto"/>
        <w:left w:val="none" w:sz="0" w:space="0" w:color="auto"/>
        <w:bottom w:val="none" w:sz="0" w:space="0" w:color="auto"/>
        <w:right w:val="none" w:sz="0" w:space="0" w:color="auto"/>
      </w:divBdr>
      <w:divsChild>
        <w:div w:id="433593202">
          <w:marLeft w:val="0"/>
          <w:marRight w:val="0"/>
          <w:marTop w:val="0"/>
          <w:marBottom w:val="0"/>
          <w:divBdr>
            <w:top w:val="none" w:sz="0" w:space="0" w:color="auto"/>
            <w:left w:val="none" w:sz="0" w:space="0" w:color="auto"/>
            <w:bottom w:val="none" w:sz="0" w:space="0" w:color="auto"/>
            <w:right w:val="none" w:sz="0" w:space="0" w:color="auto"/>
          </w:divBdr>
          <w:divsChild>
            <w:div w:id="54174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9717">
      <w:bodyDiv w:val="1"/>
      <w:marLeft w:val="0"/>
      <w:marRight w:val="0"/>
      <w:marTop w:val="0"/>
      <w:marBottom w:val="0"/>
      <w:divBdr>
        <w:top w:val="none" w:sz="0" w:space="0" w:color="auto"/>
        <w:left w:val="none" w:sz="0" w:space="0" w:color="auto"/>
        <w:bottom w:val="none" w:sz="0" w:space="0" w:color="auto"/>
        <w:right w:val="none" w:sz="0" w:space="0" w:color="auto"/>
      </w:divBdr>
    </w:div>
    <w:div w:id="1946648035">
      <w:bodyDiv w:val="1"/>
      <w:marLeft w:val="0"/>
      <w:marRight w:val="0"/>
      <w:marTop w:val="0"/>
      <w:marBottom w:val="0"/>
      <w:divBdr>
        <w:top w:val="none" w:sz="0" w:space="0" w:color="auto"/>
        <w:left w:val="none" w:sz="0" w:space="0" w:color="auto"/>
        <w:bottom w:val="none" w:sz="0" w:space="0" w:color="auto"/>
        <w:right w:val="none" w:sz="0" w:space="0" w:color="auto"/>
      </w:divBdr>
      <w:divsChild>
        <w:div w:id="1460418637">
          <w:marLeft w:val="0"/>
          <w:marRight w:val="0"/>
          <w:marTop w:val="0"/>
          <w:marBottom w:val="0"/>
          <w:divBdr>
            <w:top w:val="none" w:sz="0" w:space="0" w:color="auto"/>
            <w:left w:val="none" w:sz="0" w:space="0" w:color="auto"/>
            <w:bottom w:val="none" w:sz="0" w:space="0" w:color="auto"/>
            <w:right w:val="none" w:sz="0" w:space="0" w:color="auto"/>
          </w:divBdr>
          <w:divsChild>
            <w:div w:id="166358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611537">
      <w:bodyDiv w:val="1"/>
      <w:marLeft w:val="0"/>
      <w:marRight w:val="0"/>
      <w:marTop w:val="0"/>
      <w:marBottom w:val="0"/>
      <w:divBdr>
        <w:top w:val="none" w:sz="0" w:space="0" w:color="auto"/>
        <w:left w:val="none" w:sz="0" w:space="0" w:color="auto"/>
        <w:bottom w:val="none" w:sz="0" w:space="0" w:color="auto"/>
        <w:right w:val="none" w:sz="0" w:space="0" w:color="auto"/>
      </w:divBdr>
      <w:divsChild>
        <w:div w:id="1330862156">
          <w:marLeft w:val="0"/>
          <w:marRight w:val="0"/>
          <w:marTop w:val="0"/>
          <w:marBottom w:val="0"/>
          <w:divBdr>
            <w:top w:val="none" w:sz="0" w:space="0" w:color="auto"/>
            <w:left w:val="none" w:sz="0" w:space="0" w:color="auto"/>
            <w:bottom w:val="none" w:sz="0" w:space="0" w:color="auto"/>
            <w:right w:val="none" w:sz="0" w:space="0" w:color="auto"/>
          </w:divBdr>
        </w:div>
      </w:divsChild>
    </w:div>
    <w:div w:id="1949269649">
      <w:bodyDiv w:val="1"/>
      <w:marLeft w:val="0"/>
      <w:marRight w:val="0"/>
      <w:marTop w:val="0"/>
      <w:marBottom w:val="0"/>
      <w:divBdr>
        <w:top w:val="none" w:sz="0" w:space="0" w:color="auto"/>
        <w:left w:val="none" w:sz="0" w:space="0" w:color="auto"/>
        <w:bottom w:val="none" w:sz="0" w:space="0" w:color="auto"/>
        <w:right w:val="none" w:sz="0" w:space="0" w:color="auto"/>
      </w:divBdr>
    </w:div>
    <w:div w:id="1972586171">
      <w:bodyDiv w:val="1"/>
      <w:marLeft w:val="0"/>
      <w:marRight w:val="0"/>
      <w:marTop w:val="0"/>
      <w:marBottom w:val="0"/>
      <w:divBdr>
        <w:top w:val="none" w:sz="0" w:space="0" w:color="auto"/>
        <w:left w:val="none" w:sz="0" w:space="0" w:color="auto"/>
        <w:bottom w:val="none" w:sz="0" w:space="0" w:color="auto"/>
        <w:right w:val="none" w:sz="0" w:space="0" w:color="auto"/>
      </w:divBdr>
    </w:div>
    <w:div w:id="1973712201">
      <w:bodyDiv w:val="1"/>
      <w:marLeft w:val="0"/>
      <w:marRight w:val="0"/>
      <w:marTop w:val="0"/>
      <w:marBottom w:val="0"/>
      <w:divBdr>
        <w:top w:val="none" w:sz="0" w:space="0" w:color="auto"/>
        <w:left w:val="none" w:sz="0" w:space="0" w:color="auto"/>
        <w:bottom w:val="none" w:sz="0" w:space="0" w:color="auto"/>
        <w:right w:val="none" w:sz="0" w:space="0" w:color="auto"/>
      </w:divBdr>
      <w:divsChild>
        <w:div w:id="1817260806">
          <w:marLeft w:val="0"/>
          <w:marRight w:val="0"/>
          <w:marTop w:val="0"/>
          <w:marBottom w:val="0"/>
          <w:divBdr>
            <w:top w:val="none" w:sz="0" w:space="0" w:color="auto"/>
            <w:left w:val="none" w:sz="0" w:space="0" w:color="auto"/>
            <w:bottom w:val="none" w:sz="0" w:space="0" w:color="auto"/>
            <w:right w:val="none" w:sz="0" w:space="0" w:color="auto"/>
          </w:divBdr>
        </w:div>
      </w:divsChild>
    </w:div>
    <w:div w:id="1974486136">
      <w:bodyDiv w:val="1"/>
      <w:marLeft w:val="0"/>
      <w:marRight w:val="0"/>
      <w:marTop w:val="0"/>
      <w:marBottom w:val="0"/>
      <w:divBdr>
        <w:top w:val="none" w:sz="0" w:space="0" w:color="auto"/>
        <w:left w:val="none" w:sz="0" w:space="0" w:color="auto"/>
        <w:bottom w:val="none" w:sz="0" w:space="0" w:color="auto"/>
        <w:right w:val="none" w:sz="0" w:space="0" w:color="auto"/>
      </w:divBdr>
    </w:div>
    <w:div w:id="1975256445">
      <w:bodyDiv w:val="1"/>
      <w:marLeft w:val="0"/>
      <w:marRight w:val="0"/>
      <w:marTop w:val="0"/>
      <w:marBottom w:val="0"/>
      <w:divBdr>
        <w:top w:val="none" w:sz="0" w:space="0" w:color="auto"/>
        <w:left w:val="none" w:sz="0" w:space="0" w:color="auto"/>
        <w:bottom w:val="none" w:sz="0" w:space="0" w:color="auto"/>
        <w:right w:val="none" w:sz="0" w:space="0" w:color="auto"/>
      </w:divBdr>
      <w:divsChild>
        <w:div w:id="1771969814">
          <w:marLeft w:val="0"/>
          <w:marRight w:val="0"/>
          <w:marTop w:val="0"/>
          <w:marBottom w:val="0"/>
          <w:divBdr>
            <w:top w:val="none" w:sz="0" w:space="0" w:color="auto"/>
            <w:left w:val="none" w:sz="0" w:space="0" w:color="auto"/>
            <w:bottom w:val="none" w:sz="0" w:space="0" w:color="auto"/>
            <w:right w:val="none" w:sz="0" w:space="0" w:color="auto"/>
          </w:divBdr>
          <w:divsChild>
            <w:div w:id="149318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31738">
      <w:bodyDiv w:val="1"/>
      <w:marLeft w:val="0"/>
      <w:marRight w:val="0"/>
      <w:marTop w:val="0"/>
      <w:marBottom w:val="0"/>
      <w:divBdr>
        <w:top w:val="none" w:sz="0" w:space="0" w:color="auto"/>
        <w:left w:val="none" w:sz="0" w:space="0" w:color="auto"/>
        <w:bottom w:val="none" w:sz="0" w:space="0" w:color="auto"/>
        <w:right w:val="none" w:sz="0" w:space="0" w:color="auto"/>
      </w:divBdr>
    </w:div>
    <w:div w:id="1979066989">
      <w:bodyDiv w:val="1"/>
      <w:marLeft w:val="0"/>
      <w:marRight w:val="0"/>
      <w:marTop w:val="0"/>
      <w:marBottom w:val="0"/>
      <w:divBdr>
        <w:top w:val="none" w:sz="0" w:space="0" w:color="auto"/>
        <w:left w:val="none" w:sz="0" w:space="0" w:color="auto"/>
        <w:bottom w:val="none" w:sz="0" w:space="0" w:color="auto"/>
        <w:right w:val="none" w:sz="0" w:space="0" w:color="auto"/>
      </w:divBdr>
    </w:div>
    <w:div w:id="1979875182">
      <w:bodyDiv w:val="1"/>
      <w:marLeft w:val="0"/>
      <w:marRight w:val="0"/>
      <w:marTop w:val="0"/>
      <w:marBottom w:val="0"/>
      <w:divBdr>
        <w:top w:val="none" w:sz="0" w:space="0" w:color="auto"/>
        <w:left w:val="none" w:sz="0" w:space="0" w:color="auto"/>
        <w:bottom w:val="none" w:sz="0" w:space="0" w:color="auto"/>
        <w:right w:val="none" w:sz="0" w:space="0" w:color="auto"/>
      </w:divBdr>
    </w:div>
    <w:div w:id="1993681437">
      <w:bodyDiv w:val="1"/>
      <w:marLeft w:val="0"/>
      <w:marRight w:val="0"/>
      <w:marTop w:val="0"/>
      <w:marBottom w:val="0"/>
      <w:divBdr>
        <w:top w:val="none" w:sz="0" w:space="0" w:color="auto"/>
        <w:left w:val="none" w:sz="0" w:space="0" w:color="auto"/>
        <w:bottom w:val="none" w:sz="0" w:space="0" w:color="auto"/>
        <w:right w:val="none" w:sz="0" w:space="0" w:color="auto"/>
      </w:divBdr>
    </w:div>
    <w:div w:id="1999306822">
      <w:bodyDiv w:val="1"/>
      <w:marLeft w:val="0"/>
      <w:marRight w:val="0"/>
      <w:marTop w:val="0"/>
      <w:marBottom w:val="0"/>
      <w:divBdr>
        <w:top w:val="none" w:sz="0" w:space="0" w:color="auto"/>
        <w:left w:val="none" w:sz="0" w:space="0" w:color="auto"/>
        <w:bottom w:val="none" w:sz="0" w:space="0" w:color="auto"/>
        <w:right w:val="none" w:sz="0" w:space="0" w:color="auto"/>
      </w:divBdr>
    </w:div>
    <w:div w:id="2000111184">
      <w:bodyDiv w:val="1"/>
      <w:marLeft w:val="0"/>
      <w:marRight w:val="0"/>
      <w:marTop w:val="0"/>
      <w:marBottom w:val="0"/>
      <w:divBdr>
        <w:top w:val="none" w:sz="0" w:space="0" w:color="auto"/>
        <w:left w:val="none" w:sz="0" w:space="0" w:color="auto"/>
        <w:bottom w:val="none" w:sz="0" w:space="0" w:color="auto"/>
        <w:right w:val="none" w:sz="0" w:space="0" w:color="auto"/>
      </w:divBdr>
    </w:div>
    <w:div w:id="2005469713">
      <w:bodyDiv w:val="1"/>
      <w:marLeft w:val="0"/>
      <w:marRight w:val="0"/>
      <w:marTop w:val="0"/>
      <w:marBottom w:val="0"/>
      <w:divBdr>
        <w:top w:val="none" w:sz="0" w:space="0" w:color="auto"/>
        <w:left w:val="none" w:sz="0" w:space="0" w:color="auto"/>
        <w:bottom w:val="none" w:sz="0" w:space="0" w:color="auto"/>
        <w:right w:val="none" w:sz="0" w:space="0" w:color="auto"/>
      </w:divBdr>
      <w:divsChild>
        <w:div w:id="1798139107">
          <w:marLeft w:val="0"/>
          <w:marRight w:val="0"/>
          <w:marTop w:val="0"/>
          <w:marBottom w:val="0"/>
          <w:divBdr>
            <w:top w:val="none" w:sz="0" w:space="0" w:color="auto"/>
            <w:left w:val="none" w:sz="0" w:space="0" w:color="auto"/>
            <w:bottom w:val="none" w:sz="0" w:space="0" w:color="auto"/>
            <w:right w:val="none" w:sz="0" w:space="0" w:color="auto"/>
          </w:divBdr>
          <w:divsChild>
            <w:div w:id="93212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12275">
      <w:bodyDiv w:val="1"/>
      <w:marLeft w:val="0"/>
      <w:marRight w:val="0"/>
      <w:marTop w:val="0"/>
      <w:marBottom w:val="0"/>
      <w:divBdr>
        <w:top w:val="none" w:sz="0" w:space="0" w:color="auto"/>
        <w:left w:val="none" w:sz="0" w:space="0" w:color="auto"/>
        <w:bottom w:val="none" w:sz="0" w:space="0" w:color="auto"/>
        <w:right w:val="none" w:sz="0" w:space="0" w:color="auto"/>
      </w:divBdr>
    </w:div>
    <w:div w:id="2007126957">
      <w:bodyDiv w:val="1"/>
      <w:marLeft w:val="0"/>
      <w:marRight w:val="0"/>
      <w:marTop w:val="0"/>
      <w:marBottom w:val="0"/>
      <w:divBdr>
        <w:top w:val="none" w:sz="0" w:space="0" w:color="auto"/>
        <w:left w:val="none" w:sz="0" w:space="0" w:color="auto"/>
        <w:bottom w:val="none" w:sz="0" w:space="0" w:color="auto"/>
        <w:right w:val="none" w:sz="0" w:space="0" w:color="auto"/>
      </w:divBdr>
      <w:divsChild>
        <w:div w:id="227036232">
          <w:marLeft w:val="0"/>
          <w:marRight w:val="0"/>
          <w:marTop w:val="0"/>
          <w:marBottom w:val="0"/>
          <w:divBdr>
            <w:top w:val="none" w:sz="0" w:space="0" w:color="auto"/>
            <w:left w:val="none" w:sz="0" w:space="0" w:color="auto"/>
            <w:bottom w:val="none" w:sz="0" w:space="0" w:color="auto"/>
            <w:right w:val="none" w:sz="0" w:space="0" w:color="auto"/>
          </w:divBdr>
          <w:divsChild>
            <w:div w:id="73119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51061">
      <w:bodyDiv w:val="1"/>
      <w:marLeft w:val="0"/>
      <w:marRight w:val="0"/>
      <w:marTop w:val="0"/>
      <w:marBottom w:val="0"/>
      <w:divBdr>
        <w:top w:val="none" w:sz="0" w:space="0" w:color="auto"/>
        <w:left w:val="none" w:sz="0" w:space="0" w:color="auto"/>
        <w:bottom w:val="none" w:sz="0" w:space="0" w:color="auto"/>
        <w:right w:val="none" w:sz="0" w:space="0" w:color="auto"/>
      </w:divBdr>
      <w:divsChild>
        <w:div w:id="1714038283">
          <w:marLeft w:val="0"/>
          <w:marRight w:val="0"/>
          <w:marTop w:val="0"/>
          <w:marBottom w:val="0"/>
          <w:divBdr>
            <w:top w:val="none" w:sz="0" w:space="0" w:color="auto"/>
            <w:left w:val="none" w:sz="0" w:space="0" w:color="auto"/>
            <w:bottom w:val="none" w:sz="0" w:space="0" w:color="auto"/>
            <w:right w:val="none" w:sz="0" w:space="0" w:color="auto"/>
          </w:divBdr>
        </w:div>
      </w:divsChild>
    </w:div>
    <w:div w:id="2025285931">
      <w:bodyDiv w:val="1"/>
      <w:marLeft w:val="0"/>
      <w:marRight w:val="0"/>
      <w:marTop w:val="0"/>
      <w:marBottom w:val="0"/>
      <w:divBdr>
        <w:top w:val="none" w:sz="0" w:space="0" w:color="auto"/>
        <w:left w:val="none" w:sz="0" w:space="0" w:color="auto"/>
        <w:bottom w:val="none" w:sz="0" w:space="0" w:color="auto"/>
        <w:right w:val="none" w:sz="0" w:space="0" w:color="auto"/>
      </w:divBdr>
    </w:div>
    <w:div w:id="2027171364">
      <w:bodyDiv w:val="1"/>
      <w:marLeft w:val="0"/>
      <w:marRight w:val="0"/>
      <w:marTop w:val="0"/>
      <w:marBottom w:val="0"/>
      <w:divBdr>
        <w:top w:val="none" w:sz="0" w:space="0" w:color="auto"/>
        <w:left w:val="none" w:sz="0" w:space="0" w:color="auto"/>
        <w:bottom w:val="none" w:sz="0" w:space="0" w:color="auto"/>
        <w:right w:val="none" w:sz="0" w:space="0" w:color="auto"/>
      </w:divBdr>
      <w:divsChild>
        <w:div w:id="712075705">
          <w:marLeft w:val="0"/>
          <w:marRight w:val="0"/>
          <w:marTop w:val="0"/>
          <w:marBottom w:val="0"/>
          <w:divBdr>
            <w:top w:val="none" w:sz="0" w:space="0" w:color="auto"/>
            <w:left w:val="none" w:sz="0" w:space="0" w:color="auto"/>
            <w:bottom w:val="none" w:sz="0" w:space="0" w:color="auto"/>
            <w:right w:val="none" w:sz="0" w:space="0" w:color="auto"/>
          </w:divBdr>
          <w:divsChild>
            <w:div w:id="614362124">
              <w:marLeft w:val="0"/>
              <w:marRight w:val="0"/>
              <w:marTop w:val="0"/>
              <w:marBottom w:val="0"/>
              <w:divBdr>
                <w:top w:val="none" w:sz="0" w:space="0" w:color="auto"/>
                <w:left w:val="none" w:sz="0" w:space="0" w:color="auto"/>
                <w:bottom w:val="none" w:sz="0" w:space="0" w:color="auto"/>
                <w:right w:val="none" w:sz="0" w:space="0" w:color="auto"/>
              </w:divBdr>
              <w:divsChild>
                <w:div w:id="52318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091600">
      <w:bodyDiv w:val="1"/>
      <w:marLeft w:val="0"/>
      <w:marRight w:val="0"/>
      <w:marTop w:val="0"/>
      <w:marBottom w:val="0"/>
      <w:divBdr>
        <w:top w:val="none" w:sz="0" w:space="0" w:color="auto"/>
        <w:left w:val="none" w:sz="0" w:space="0" w:color="auto"/>
        <w:bottom w:val="none" w:sz="0" w:space="0" w:color="auto"/>
        <w:right w:val="none" w:sz="0" w:space="0" w:color="auto"/>
      </w:divBdr>
      <w:divsChild>
        <w:div w:id="2145389535">
          <w:marLeft w:val="0"/>
          <w:marRight w:val="0"/>
          <w:marTop w:val="0"/>
          <w:marBottom w:val="0"/>
          <w:divBdr>
            <w:top w:val="none" w:sz="0" w:space="0" w:color="auto"/>
            <w:left w:val="none" w:sz="0" w:space="0" w:color="auto"/>
            <w:bottom w:val="none" w:sz="0" w:space="0" w:color="auto"/>
            <w:right w:val="none" w:sz="0" w:space="0" w:color="auto"/>
          </w:divBdr>
          <w:divsChild>
            <w:div w:id="69373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23772">
      <w:bodyDiv w:val="1"/>
      <w:marLeft w:val="0"/>
      <w:marRight w:val="0"/>
      <w:marTop w:val="0"/>
      <w:marBottom w:val="0"/>
      <w:divBdr>
        <w:top w:val="none" w:sz="0" w:space="0" w:color="auto"/>
        <w:left w:val="none" w:sz="0" w:space="0" w:color="auto"/>
        <w:bottom w:val="none" w:sz="0" w:space="0" w:color="auto"/>
        <w:right w:val="none" w:sz="0" w:space="0" w:color="auto"/>
      </w:divBdr>
      <w:divsChild>
        <w:div w:id="2035383588">
          <w:marLeft w:val="0"/>
          <w:marRight w:val="0"/>
          <w:marTop w:val="0"/>
          <w:marBottom w:val="0"/>
          <w:divBdr>
            <w:top w:val="none" w:sz="0" w:space="0" w:color="auto"/>
            <w:left w:val="none" w:sz="0" w:space="0" w:color="auto"/>
            <w:bottom w:val="none" w:sz="0" w:space="0" w:color="auto"/>
            <w:right w:val="none" w:sz="0" w:space="0" w:color="auto"/>
          </w:divBdr>
          <w:divsChild>
            <w:div w:id="188606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93383">
      <w:bodyDiv w:val="1"/>
      <w:marLeft w:val="0"/>
      <w:marRight w:val="0"/>
      <w:marTop w:val="0"/>
      <w:marBottom w:val="0"/>
      <w:divBdr>
        <w:top w:val="none" w:sz="0" w:space="0" w:color="auto"/>
        <w:left w:val="none" w:sz="0" w:space="0" w:color="auto"/>
        <w:bottom w:val="none" w:sz="0" w:space="0" w:color="auto"/>
        <w:right w:val="none" w:sz="0" w:space="0" w:color="auto"/>
      </w:divBdr>
      <w:divsChild>
        <w:div w:id="1461460757">
          <w:marLeft w:val="0"/>
          <w:marRight w:val="0"/>
          <w:marTop w:val="0"/>
          <w:marBottom w:val="0"/>
          <w:divBdr>
            <w:top w:val="none" w:sz="0" w:space="0" w:color="auto"/>
            <w:left w:val="none" w:sz="0" w:space="0" w:color="auto"/>
            <w:bottom w:val="none" w:sz="0" w:space="0" w:color="auto"/>
            <w:right w:val="none" w:sz="0" w:space="0" w:color="auto"/>
          </w:divBdr>
          <w:divsChild>
            <w:div w:id="138506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7131">
      <w:bodyDiv w:val="1"/>
      <w:marLeft w:val="0"/>
      <w:marRight w:val="0"/>
      <w:marTop w:val="0"/>
      <w:marBottom w:val="0"/>
      <w:divBdr>
        <w:top w:val="none" w:sz="0" w:space="0" w:color="auto"/>
        <w:left w:val="none" w:sz="0" w:space="0" w:color="auto"/>
        <w:bottom w:val="none" w:sz="0" w:space="0" w:color="auto"/>
        <w:right w:val="none" w:sz="0" w:space="0" w:color="auto"/>
      </w:divBdr>
    </w:div>
    <w:div w:id="2041466742">
      <w:bodyDiv w:val="1"/>
      <w:marLeft w:val="0"/>
      <w:marRight w:val="0"/>
      <w:marTop w:val="0"/>
      <w:marBottom w:val="0"/>
      <w:divBdr>
        <w:top w:val="none" w:sz="0" w:space="0" w:color="auto"/>
        <w:left w:val="none" w:sz="0" w:space="0" w:color="auto"/>
        <w:bottom w:val="none" w:sz="0" w:space="0" w:color="auto"/>
        <w:right w:val="none" w:sz="0" w:space="0" w:color="auto"/>
      </w:divBdr>
    </w:div>
    <w:div w:id="2041541277">
      <w:bodyDiv w:val="1"/>
      <w:marLeft w:val="0"/>
      <w:marRight w:val="0"/>
      <w:marTop w:val="0"/>
      <w:marBottom w:val="0"/>
      <w:divBdr>
        <w:top w:val="none" w:sz="0" w:space="0" w:color="auto"/>
        <w:left w:val="none" w:sz="0" w:space="0" w:color="auto"/>
        <w:bottom w:val="none" w:sz="0" w:space="0" w:color="auto"/>
        <w:right w:val="none" w:sz="0" w:space="0" w:color="auto"/>
      </w:divBdr>
      <w:divsChild>
        <w:div w:id="1026296522">
          <w:marLeft w:val="0"/>
          <w:marRight w:val="0"/>
          <w:marTop w:val="0"/>
          <w:marBottom w:val="0"/>
          <w:divBdr>
            <w:top w:val="none" w:sz="0" w:space="0" w:color="auto"/>
            <w:left w:val="none" w:sz="0" w:space="0" w:color="auto"/>
            <w:bottom w:val="none" w:sz="0" w:space="0" w:color="auto"/>
            <w:right w:val="none" w:sz="0" w:space="0" w:color="auto"/>
          </w:divBdr>
          <w:divsChild>
            <w:div w:id="17873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89219">
      <w:bodyDiv w:val="1"/>
      <w:marLeft w:val="0"/>
      <w:marRight w:val="0"/>
      <w:marTop w:val="0"/>
      <w:marBottom w:val="0"/>
      <w:divBdr>
        <w:top w:val="none" w:sz="0" w:space="0" w:color="auto"/>
        <w:left w:val="none" w:sz="0" w:space="0" w:color="auto"/>
        <w:bottom w:val="none" w:sz="0" w:space="0" w:color="auto"/>
        <w:right w:val="none" w:sz="0" w:space="0" w:color="auto"/>
      </w:divBdr>
      <w:divsChild>
        <w:div w:id="2067217662">
          <w:marLeft w:val="0"/>
          <w:marRight w:val="0"/>
          <w:marTop w:val="0"/>
          <w:marBottom w:val="0"/>
          <w:divBdr>
            <w:top w:val="none" w:sz="0" w:space="0" w:color="auto"/>
            <w:left w:val="none" w:sz="0" w:space="0" w:color="auto"/>
            <w:bottom w:val="none" w:sz="0" w:space="0" w:color="auto"/>
            <w:right w:val="none" w:sz="0" w:space="0" w:color="auto"/>
          </w:divBdr>
          <w:divsChild>
            <w:div w:id="7827821">
              <w:marLeft w:val="0"/>
              <w:marRight w:val="0"/>
              <w:marTop w:val="0"/>
              <w:marBottom w:val="0"/>
              <w:divBdr>
                <w:top w:val="none" w:sz="0" w:space="0" w:color="auto"/>
                <w:left w:val="none" w:sz="0" w:space="0" w:color="auto"/>
                <w:bottom w:val="none" w:sz="0" w:space="0" w:color="auto"/>
                <w:right w:val="none" w:sz="0" w:space="0" w:color="auto"/>
              </w:divBdr>
              <w:divsChild>
                <w:div w:id="188344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088969">
      <w:bodyDiv w:val="1"/>
      <w:marLeft w:val="0"/>
      <w:marRight w:val="0"/>
      <w:marTop w:val="0"/>
      <w:marBottom w:val="0"/>
      <w:divBdr>
        <w:top w:val="none" w:sz="0" w:space="0" w:color="auto"/>
        <w:left w:val="none" w:sz="0" w:space="0" w:color="auto"/>
        <w:bottom w:val="none" w:sz="0" w:space="0" w:color="auto"/>
        <w:right w:val="none" w:sz="0" w:space="0" w:color="auto"/>
      </w:divBdr>
      <w:divsChild>
        <w:div w:id="647443089">
          <w:marLeft w:val="0"/>
          <w:marRight w:val="0"/>
          <w:marTop w:val="0"/>
          <w:marBottom w:val="0"/>
          <w:divBdr>
            <w:top w:val="none" w:sz="0" w:space="0" w:color="auto"/>
            <w:left w:val="none" w:sz="0" w:space="0" w:color="auto"/>
            <w:bottom w:val="none" w:sz="0" w:space="0" w:color="auto"/>
            <w:right w:val="none" w:sz="0" w:space="0" w:color="auto"/>
          </w:divBdr>
          <w:divsChild>
            <w:div w:id="81560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29969">
      <w:bodyDiv w:val="1"/>
      <w:marLeft w:val="0"/>
      <w:marRight w:val="0"/>
      <w:marTop w:val="0"/>
      <w:marBottom w:val="0"/>
      <w:divBdr>
        <w:top w:val="none" w:sz="0" w:space="0" w:color="auto"/>
        <w:left w:val="none" w:sz="0" w:space="0" w:color="auto"/>
        <w:bottom w:val="none" w:sz="0" w:space="0" w:color="auto"/>
        <w:right w:val="none" w:sz="0" w:space="0" w:color="auto"/>
      </w:divBdr>
      <w:divsChild>
        <w:div w:id="122388122">
          <w:marLeft w:val="0"/>
          <w:marRight w:val="0"/>
          <w:marTop w:val="0"/>
          <w:marBottom w:val="0"/>
          <w:divBdr>
            <w:top w:val="none" w:sz="0" w:space="0" w:color="auto"/>
            <w:left w:val="none" w:sz="0" w:space="0" w:color="auto"/>
            <w:bottom w:val="none" w:sz="0" w:space="0" w:color="auto"/>
            <w:right w:val="none" w:sz="0" w:space="0" w:color="auto"/>
          </w:divBdr>
          <w:divsChild>
            <w:div w:id="56094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454221">
      <w:bodyDiv w:val="1"/>
      <w:marLeft w:val="0"/>
      <w:marRight w:val="0"/>
      <w:marTop w:val="0"/>
      <w:marBottom w:val="0"/>
      <w:divBdr>
        <w:top w:val="none" w:sz="0" w:space="0" w:color="auto"/>
        <w:left w:val="none" w:sz="0" w:space="0" w:color="auto"/>
        <w:bottom w:val="none" w:sz="0" w:space="0" w:color="auto"/>
        <w:right w:val="none" w:sz="0" w:space="0" w:color="auto"/>
      </w:divBdr>
    </w:div>
    <w:div w:id="2072658698">
      <w:bodyDiv w:val="1"/>
      <w:marLeft w:val="0"/>
      <w:marRight w:val="0"/>
      <w:marTop w:val="0"/>
      <w:marBottom w:val="0"/>
      <w:divBdr>
        <w:top w:val="none" w:sz="0" w:space="0" w:color="auto"/>
        <w:left w:val="none" w:sz="0" w:space="0" w:color="auto"/>
        <w:bottom w:val="none" w:sz="0" w:space="0" w:color="auto"/>
        <w:right w:val="none" w:sz="0" w:space="0" w:color="auto"/>
      </w:divBdr>
      <w:divsChild>
        <w:div w:id="2092506417">
          <w:marLeft w:val="0"/>
          <w:marRight w:val="0"/>
          <w:marTop w:val="0"/>
          <w:marBottom w:val="0"/>
          <w:divBdr>
            <w:top w:val="none" w:sz="0" w:space="0" w:color="auto"/>
            <w:left w:val="none" w:sz="0" w:space="0" w:color="auto"/>
            <w:bottom w:val="none" w:sz="0" w:space="0" w:color="auto"/>
            <w:right w:val="none" w:sz="0" w:space="0" w:color="auto"/>
          </w:divBdr>
          <w:divsChild>
            <w:div w:id="69724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07497">
      <w:bodyDiv w:val="1"/>
      <w:marLeft w:val="0"/>
      <w:marRight w:val="0"/>
      <w:marTop w:val="0"/>
      <w:marBottom w:val="0"/>
      <w:divBdr>
        <w:top w:val="none" w:sz="0" w:space="0" w:color="auto"/>
        <w:left w:val="none" w:sz="0" w:space="0" w:color="auto"/>
        <w:bottom w:val="none" w:sz="0" w:space="0" w:color="auto"/>
        <w:right w:val="none" w:sz="0" w:space="0" w:color="auto"/>
      </w:divBdr>
    </w:div>
    <w:div w:id="2092196596">
      <w:bodyDiv w:val="1"/>
      <w:marLeft w:val="0"/>
      <w:marRight w:val="0"/>
      <w:marTop w:val="0"/>
      <w:marBottom w:val="0"/>
      <w:divBdr>
        <w:top w:val="none" w:sz="0" w:space="0" w:color="auto"/>
        <w:left w:val="none" w:sz="0" w:space="0" w:color="auto"/>
        <w:bottom w:val="none" w:sz="0" w:space="0" w:color="auto"/>
        <w:right w:val="none" w:sz="0" w:space="0" w:color="auto"/>
      </w:divBdr>
    </w:div>
    <w:div w:id="2093967231">
      <w:bodyDiv w:val="1"/>
      <w:marLeft w:val="0"/>
      <w:marRight w:val="0"/>
      <w:marTop w:val="0"/>
      <w:marBottom w:val="0"/>
      <w:divBdr>
        <w:top w:val="none" w:sz="0" w:space="0" w:color="auto"/>
        <w:left w:val="none" w:sz="0" w:space="0" w:color="auto"/>
        <w:bottom w:val="none" w:sz="0" w:space="0" w:color="auto"/>
        <w:right w:val="none" w:sz="0" w:space="0" w:color="auto"/>
      </w:divBdr>
      <w:divsChild>
        <w:div w:id="193004768">
          <w:marLeft w:val="0"/>
          <w:marRight w:val="0"/>
          <w:marTop w:val="0"/>
          <w:marBottom w:val="0"/>
          <w:divBdr>
            <w:top w:val="none" w:sz="0" w:space="0" w:color="auto"/>
            <w:left w:val="none" w:sz="0" w:space="0" w:color="auto"/>
            <w:bottom w:val="none" w:sz="0" w:space="0" w:color="auto"/>
            <w:right w:val="none" w:sz="0" w:space="0" w:color="auto"/>
          </w:divBdr>
          <w:divsChild>
            <w:div w:id="2082360916">
              <w:marLeft w:val="0"/>
              <w:marRight w:val="0"/>
              <w:marTop w:val="0"/>
              <w:marBottom w:val="0"/>
              <w:divBdr>
                <w:top w:val="none" w:sz="0" w:space="0" w:color="auto"/>
                <w:left w:val="none" w:sz="0" w:space="0" w:color="auto"/>
                <w:bottom w:val="none" w:sz="0" w:space="0" w:color="auto"/>
                <w:right w:val="none" w:sz="0" w:space="0" w:color="auto"/>
              </w:divBdr>
              <w:divsChild>
                <w:div w:id="41459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322330">
      <w:bodyDiv w:val="1"/>
      <w:marLeft w:val="0"/>
      <w:marRight w:val="0"/>
      <w:marTop w:val="0"/>
      <w:marBottom w:val="0"/>
      <w:divBdr>
        <w:top w:val="none" w:sz="0" w:space="0" w:color="auto"/>
        <w:left w:val="none" w:sz="0" w:space="0" w:color="auto"/>
        <w:bottom w:val="none" w:sz="0" w:space="0" w:color="auto"/>
        <w:right w:val="none" w:sz="0" w:space="0" w:color="auto"/>
      </w:divBdr>
      <w:divsChild>
        <w:div w:id="1563834435">
          <w:marLeft w:val="0"/>
          <w:marRight w:val="0"/>
          <w:marTop w:val="0"/>
          <w:marBottom w:val="0"/>
          <w:divBdr>
            <w:top w:val="none" w:sz="0" w:space="0" w:color="auto"/>
            <w:left w:val="none" w:sz="0" w:space="0" w:color="auto"/>
            <w:bottom w:val="none" w:sz="0" w:space="0" w:color="auto"/>
            <w:right w:val="none" w:sz="0" w:space="0" w:color="auto"/>
          </w:divBdr>
        </w:div>
      </w:divsChild>
    </w:div>
    <w:div w:id="2101442420">
      <w:bodyDiv w:val="1"/>
      <w:marLeft w:val="0"/>
      <w:marRight w:val="0"/>
      <w:marTop w:val="0"/>
      <w:marBottom w:val="0"/>
      <w:divBdr>
        <w:top w:val="none" w:sz="0" w:space="0" w:color="auto"/>
        <w:left w:val="none" w:sz="0" w:space="0" w:color="auto"/>
        <w:bottom w:val="none" w:sz="0" w:space="0" w:color="auto"/>
        <w:right w:val="none" w:sz="0" w:space="0" w:color="auto"/>
      </w:divBdr>
    </w:div>
    <w:div w:id="2101565830">
      <w:bodyDiv w:val="1"/>
      <w:marLeft w:val="0"/>
      <w:marRight w:val="0"/>
      <w:marTop w:val="0"/>
      <w:marBottom w:val="0"/>
      <w:divBdr>
        <w:top w:val="none" w:sz="0" w:space="0" w:color="auto"/>
        <w:left w:val="none" w:sz="0" w:space="0" w:color="auto"/>
        <w:bottom w:val="none" w:sz="0" w:space="0" w:color="auto"/>
        <w:right w:val="none" w:sz="0" w:space="0" w:color="auto"/>
      </w:divBdr>
      <w:divsChild>
        <w:div w:id="1948464181">
          <w:marLeft w:val="0"/>
          <w:marRight w:val="0"/>
          <w:marTop w:val="0"/>
          <w:marBottom w:val="0"/>
          <w:divBdr>
            <w:top w:val="none" w:sz="0" w:space="0" w:color="auto"/>
            <w:left w:val="none" w:sz="0" w:space="0" w:color="auto"/>
            <w:bottom w:val="none" w:sz="0" w:space="0" w:color="auto"/>
            <w:right w:val="none" w:sz="0" w:space="0" w:color="auto"/>
          </w:divBdr>
        </w:div>
      </w:divsChild>
    </w:div>
    <w:div w:id="2102944050">
      <w:bodyDiv w:val="1"/>
      <w:marLeft w:val="0"/>
      <w:marRight w:val="0"/>
      <w:marTop w:val="0"/>
      <w:marBottom w:val="0"/>
      <w:divBdr>
        <w:top w:val="none" w:sz="0" w:space="0" w:color="auto"/>
        <w:left w:val="none" w:sz="0" w:space="0" w:color="auto"/>
        <w:bottom w:val="none" w:sz="0" w:space="0" w:color="auto"/>
        <w:right w:val="none" w:sz="0" w:space="0" w:color="auto"/>
      </w:divBdr>
    </w:div>
    <w:div w:id="2103409742">
      <w:bodyDiv w:val="1"/>
      <w:marLeft w:val="0"/>
      <w:marRight w:val="0"/>
      <w:marTop w:val="0"/>
      <w:marBottom w:val="0"/>
      <w:divBdr>
        <w:top w:val="none" w:sz="0" w:space="0" w:color="auto"/>
        <w:left w:val="none" w:sz="0" w:space="0" w:color="auto"/>
        <w:bottom w:val="none" w:sz="0" w:space="0" w:color="auto"/>
        <w:right w:val="none" w:sz="0" w:space="0" w:color="auto"/>
      </w:divBdr>
    </w:div>
    <w:div w:id="2104185849">
      <w:bodyDiv w:val="1"/>
      <w:marLeft w:val="0"/>
      <w:marRight w:val="0"/>
      <w:marTop w:val="0"/>
      <w:marBottom w:val="0"/>
      <w:divBdr>
        <w:top w:val="none" w:sz="0" w:space="0" w:color="auto"/>
        <w:left w:val="none" w:sz="0" w:space="0" w:color="auto"/>
        <w:bottom w:val="none" w:sz="0" w:space="0" w:color="auto"/>
        <w:right w:val="none" w:sz="0" w:space="0" w:color="auto"/>
      </w:divBdr>
    </w:div>
    <w:div w:id="2104960029">
      <w:bodyDiv w:val="1"/>
      <w:marLeft w:val="0"/>
      <w:marRight w:val="0"/>
      <w:marTop w:val="0"/>
      <w:marBottom w:val="0"/>
      <w:divBdr>
        <w:top w:val="none" w:sz="0" w:space="0" w:color="auto"/>
        <w:left w:val="none" w:sz="0" w:space="0" w:color="auto"/>
        <w:bottom w:val="none" w:sz="0" w:space="0" w:color="auto"/>
        <w:right w:val="none" w:sz="0" w:space="0" w:color="auto"/>
      </w:divBdr>
    </w:div>
    <w:div w:id="2109500718">
      <w:bodyDiv w:val="1"/>
      <w:marLeft w:val="0"/>
      <w:marRight w:val="0"/>
      <w:marTop w:val="0"/>
      <w:marBottom w:val="0"/>
      <w:divBdr>
        <w:top w:val="none" w:sz="0" w:space="0" w:color="auto"/>
        <w:left w:val="none" w:sz="0" w:space="0" w:color="auto"/>
        <w:bottom w:val="none" w:sz="0" w:space="0" w:color="auto"/>
        <w:right w:val="none" w:sz="0" w:space="0" w:color="auto"/>
      </w:divBdr>
    </w:div>
    <w:div w:id="2111002569">
      <w:bodyDiv w:val="1"/>
      <w:marLeft w:val="0"/>
      <w:marRight w:val="0"/>
      <w:marTop w:val="0"/>
      <w:marBottom w:val="0"/>
      <w:divBdr>
        <w:top w:val="none" w:sz="0" w:space="0" w:color="auto"/>
        <w:left w:val="none" w:sz="0" w:space="0" w:color="auto"/>
        <w:bottom w:val="none" w:sz="0" w:space="0" w:color="auto"/>
        <w:right w:val="none" w:sz="0" w:space="0" w:color="auto"/>
      </w:divBdr>
      <w:divsChild>
        <w:div w:id="2068718701">
          <w:marLeft w:val="0"/>
          <w:marRight w:val="0"/>
          <w:marTop w:val="0"/>
          <w:marBottom w:val="0"/>
          <w:divBdr>
            <w:top w:val="none" w:sz="0" w:space="0" w:color="auto"/>
            <w:left w:val="none" w:sz="0" w:space="0" w:color="auto"/>
            <w:bottom w:val="none" w:sz="0" w:space="0" w:color="auto"/>
            <w:right w:val="none" w:sz="0" w:space="0" w:color="auto"/>
          </w:divBdr>
          <w:divsChild>
            <w:div w:id="197802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70607">
      <w:bodyDiv w:val="1"/>
      <w:marLeft w:val="0"/>
      <w:marRight w:val="0"/>
      <w:marTop w:val="0"/>
      <w:marBottom w:val="0"/>
      <w:divBdr>
        <w:top w:val="none" w:sz="0" w:space="0" w:color="auto"/>
        <w:left w:val="none" w:sz="0" w:space="0" w:color="auto"/>
        <w:bottom w:val="none" w:sz="0" w:space="0" w:color="auto"/>
        <w:right w:val="none" w:sz="0" w:space="0" w:color="auto"/>
      </w:divBdr>
    </w:div>
    <w:div w:id="2113743215">
      <w:bodyDiv w:val="1"/>
      <w:marLeft w:val="0"/>
      <w:marRight w:val="0"/>
      <w:marTop w:val="0"/>
      <w:marBottom w:val="0"/>
      <w:divBdr>
        <w:top w:val="none" w:sz="0" w:space="0" w:color="auto"/>
        <w:left w:val="none" w:sz="0" w:space="0" w:color="auto"/>
        <w:bottom w:val="none" w:sz="0" w:space="0" w:color="auto"/>
        <w:right w:val="none" w:sz="0" w:space="0" w:color="auto"/>
      </w:divBdr>
      <w:divsChild>
        <w:div w:id="562330179">
          <w:marLeft w:val="0"/>
          <w:marRight w:val="0"/>
          <w:marTop w:val="0"/>
          <w:marBottom w:val="0"/>
          <w:divBdr>
            <w:top w:val="none" w:sz="0" w:space="0" w:color="auto"/>
            <w:left w:val="none" w:sz="0" w:space="0" w:color="auto"/>
            <w:bottom w:val="none" w:sz="0" w:space="0" w:color="auto"/>
            <w:right w:val="none" w:sz="0" w:space="0" w:color="auto"/>
          </w:divBdr>
          <w:divsChild>
            <w:div w:id="159096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76406">
      <w:bodyDiv w:val="1"/>
      <w:marLeft w:val="0"/>
      <w:marRight w:val="0"/>
      <w:marTop w:val="0"/>
      <w:marBottom w:val="0"/>
      <w:divBdr>
        <w:top w:val="none" w:sz="0" w:space="0" w:color="auto"/>
        <w:left w:val="none" w:sz="0" w:space="0" w:color="auto"/>
        <w:bottom w:val="none" w:sz="0" w:space="0" w:color="auto"/>
        <w:right w:val="none" w:sz="0" w:space="0" w:color="auto"/>
      </w:divBdr>
    </w:div>
    <w:div w:id="2118938744">
      <w:bodyDiv w:val="1"/>
      <w:marLeft w:val="0"/>
      <w:marRight w:val="0"/>
      <w:marTop w:val="0"/>
      <w:marBottom w:val="0"/>
      <w:divBdr>
        <w:top w:val="none" w:sz="0" w:space="0" w:color="auto"/>
        <w:left w:val="none" w:sz="0" w:space="0" w:color="auto"/>
        <w:bottom w:val="none" w:sz="0" w:space="0" w:color="auto"/>
        <w:right w:val="none" w:sz="0" w:space="0" w:color="auto"/>
      </w:divBdr>
      <w:divsChild>
        <w:div w:id="1960607282">
          <w:marLeft w:val="0"/>
          <w:marRight w:val="0"/>
          <w:marTop w:val="0"/>
          <w:marBottom w:val="0"/>
          <w:divBdr>
            <w:top w:val="none" w:sz="0" w:space="0" w:color="auto"/>
            <w:left w:val="none" w:sz="0" w:space="0" w:color="auto"/>
            <w:bottom w:val="none" w:sz="0" w:space="0" w:color="auto"/>
            <w:right w:val="none" w:sz="0" w:space="0" w:color="auto"/>
          </w:divBdr>
          <w:divsChild>
            <w:div w:id="104838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09866">
      <w:bodyDiv w:val="1"/>
      <w:marLeft w:val="0"/>
      <w:marRight w:val="0"/>
      <w:marTop w:val="0"/>
      <w:marBottom w:val="0"/>
      <w:divBdr>
        <w:top w:val="none" w:sz="0" w:space="0" w:color="auto"/>
        <w:left w:val="none" w:sz="0" w:space="0" w:color="auto"/>
        <w:bottom w:val="none" w:sz="0" w:space="0" w:color="auto"/>
        <w:right w:val="none" w:sz="0" w:space="0" w:color="auto"/>
      </w:divBdr>
    </w:div>
    <w:div w:id="2139906140">
      <w:bodyDiv w:val="1"/>
      <w:marLeft w:val="0"/>
      <w:marRight w:val="0"/>
      <w:marTop w:val="0"/>
      <w:marBottom w:val="0"/>
      <w:divBdr>
        <w:top w:val="none" w:sz="0" w:space="0" w:color="auto"/>
        <w:left w:val="none" w:sz="0" w:space="0" w:color="auto"/>
        <w:bottom w:val="none" w:sz="0" w:space="0" w:color="auto"/>
        <w:right w:val="none" w:sz="0" w:space="0" w:color="auto"/>
      </w:divBdr>
    </w:div>
    <w:div w:id="2140999823">
      <w:bodyDiv w:val="1"/>
      <w:marLeft w:val="0"/>
      <w:marRight w:val="0"/>
      <w:marTop w:val="0"/>
      <w:marBottom w:val="0"/>
      <w:divBdr>
        <w:top w:val="none" w:sz="0" w:space="0" w:color="auto"/>
        <w:left w:val="none" w:sz="0" w:space="0" w:color="auto"/>
        <w:bottom w:val="none" w:sz="0" w:space="0" w:color="auto"/>
        <w:right w:val="none" w:sz="0" w:space="0" w:color="auto"/>
      </w:divBdr>
    </w:div>
    <w:div w:id="2141922354">
      <w:bodyDiv w:val="1"/>
      <w:marLeft w:val="0"/>
      <w:marRight w:val="0"/>
      <w:marTop w:val="0"/>
      <w:marBottom w:val="0"/>
      <w:divBdr>
        <w:top w:val="none" w:sz="0" w:space="0" w:color="auto"/>
        <w:left w:val="none" w:sz="0" w:space="0" w:color="auto"/>
        <w:bottom w:val="none" w:sz="0" w:space="0" w:color="auto"/>
        <w:right w:val="none" w:sz="0" w:space="0" w:color="auto"/>
      </w:divBdr>
      <w:divsChild>
        <w:div w:id="2074767544">
          <w:marLeft w:val="0"/>
          <w:marRight w:val="0"/>
          <w:marTop w:val="0"/>
          <w:marBottom w:val="0"/>
          <w:divBdr>
            <w:top w:val="none" w:sz="0" w:space="0" w:color="auto"/>
            <w:left w:val="none" w:sz="0" w:space="0" w:color="auto"/>
            <w:bottom w:val="none" w:sz="0" w:space="0" w:color="auto"/>
            <w:right w:val="none" w:sz="0" w:space="0" w:color="auto"/>
          </w:divBdr>
          <w:divsChild>
            <w:div w:id="92900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612359">
      <w:bodyDiv w:val="1"/>
      <w:marLeft w:val="0"/>
      <w:marRight w:val="0"/>
      <w:marTop w:val="0"/>
      <w:marBottom w:val="0"/>
      <w:divBdr>
        <w:top w:val="none" w:sz="0" w:space="0" w:color="auto"/>
        <w:left w:val="none" w:sz="0" w:space="0" w:color="auto"/>
        <w:bottom w:val="none" w:sz="0" w:space="0" w:color="auto"/>
        <w:right w:val="none" w:sz="0" w:space="0" w:color="auto"/>
      </w:divBdr>
    </w:div>
    <w:div w:id="2147240702">
      <w:bodyDiv w:val="1"/>
      <w:marLeft w:val="0"/>
      <w:marRight w:val="0"/>
      <w:marTop w:val="0"/>
      <w:marBottom w:val="0"/>
      <w:divBdr>
        <w:top w:val="none" w:sz="0" w:space="0" w:color="auto"/>
        <w:left w:val="none" w:sz="0" w:space="0" w:color="auto"/>
        <w:bottom w:val="none" w:sz="0" w:space="0" w:color="auto"/>
        <w:right w:val="none" w:sz="0" w:space="0" w:color="auto"/>
      </w:divBdr>
      <w:divsChild>
        <w:div w:id="104152205">
          <w:marLeft w:val="0"/>
          <w:marRight w:val="0"/>
          <w:marTop w:val="0"/>
          <w:marBottom w:val="0"/>
          <w:divBdr>
            <w:top w:val="none" w:sz="0" w:space="0" w:color="auto"/>
            <w:left w:val="none" w:sz="0" w:space="0" w:color="auto"/>
            <w:bottom w:val="none" w:sz="0" w:space="0" w:color="auto"/>
            <w:right w:val="none" w:sz="0" w:space="0" w:color="auto"/>
          </w:divBdr>
          <w:divsChild>
            <w:div w:id="99831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0B01F64FAF9860419BA79A02D1ECFE0C" ma:contentTypeVersion="6" ma:contentTypeDescription="Create a new document." ma:contentTypeScope="" ma:versionID="7d320dceea638d3b844573a8b6740370">
  <xsd:schema xmlns:xsd="http://www.w3.org/2001/XMLSchema" xmlns:xs="http://www.w3.org/2001/XMLSchema" xmlns:p="http://schemas.microsoft.com/office/2006/metadata/properties" xmlns:ns2="d4d1b944-091d-427c-b745-57cc408347e3" xmlns:ns3="5e61b741-79a3-4aa5-a9f5-efdb497b5e94" targetNamespace="http://schemas.microsoft.com/office/2006/metadata/properties" ma:root="true" ma:fieldsID="2e06562dd8f4f378a3027c70320e83b3" ns2:_="" ns3:_="">
    <xsd:import namespace="d4d1b944-091d-427c-b745-57cc408347e3"/>
    <xsd:import namespace="5e61b741-79a3-4aa5-a9f5-efdb497b5e9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d1b944-091d-427c-b745-57cc408347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e61b741-79a3-4aa5-a9f5-efdb497b5e9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1A7749C-B352-634C-87D7-DF56FD727A5E}">
  <ds:schemaRefs>
    <ds:schemaRef ds:uri="http://schemas.openxmlformats.org/officeDocument/2006/bibliography"/>
  </ds:schemaRefs>
</ds:datastoreItem>
</file>

<file path=customXml/itemProps2.xml><?xml version="1.0" encoding="utf-8"?>
<ds:datastoreItem xmlns:ds="http://schemas.openxmlformats.org/officeDocument/2006/customXml" ds:itemID="{C527BFB2-2A08-4D35-8C6A-266AB784C389}">
  <ds:schemaRefs>
    <ds:schemaRef ds:uri="http://schemas.microsoft.com/sharepoint/v3/contenttype/forms"/>
  </ds:schemaRefs>
</ds:datastoreItem>
</file>

<file path=customXml/itemProps3.xml><?xml version="1.0" encoding="utf-8"?>
<ds:datastoreItem xmlns:ds="http://schemas.openxmlformats.org/officeDocument/2006/customXml" ds:itemID="{E6731759-510D-DB49-AA08-853E9A5C868B}">
  <ds:schemaRefs>
    <ds:schemaRef ds:uri="http://schemas.openxmlformats.org/officeDocument/2006/bibliography"/>
  </ds:schemaRefs>
</ds:datastoreItem>
</file>

<file path=customXml/itemProps4.xml><?xml version="1.0" encoding="utf-8"?>
<ds:datastoreItem xmlns:ds="http://schemas.openxmlformats.org/officeDocument/2006/customXml" ds:itemID="{AB72CE5B-B7FD-4368-8118-0A77A81CF723}">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9D174402-25B5-464D-AC96-DF7174FACF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d1b944-091d-427c-b745-57cc408347e3"/>
    <ds:schemaRef ds:uri="5e61b741-79a3-4aa5-a9f5-efdb497b5e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78</Pages>
  <Words>24834</Words>
  <Characters>141308</Characters>
  <Application>Microsoft Office Word</Application>
  <DocSecurity>0</DocSecurity>
  <Lines>2047</Lines>
  <Paragraphs>317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165825</CharactersWithSpaces>
  <SharedDoc>false</SharedDoc>
  <HyperlinkBase/>
  <HLinks>
    <vt:vector size="204" baseType="variant">
      <vt:variant>
        <vt:i4>1769524</vt:i4>
      </vt:variant>
      <vt:variant>
        <vt:i4>203</vt:i4>
      </vt:variant>
      <vt:variant>
        <vt:i4>0</vt:i4>
      </vt:variant>
      <vt:variant>
        <vt:i4>5</vt:i4>
      </vt:variant>
      <vt:variant>
        <vt:lpwstr/>
      </vt:variant>
      <vt:variant>
        <vt:lpwstr>_Toc111723697</vt:lpwstr>
      </vt:variant>
      <vt:variant>
        <vt:i4>1769524</vt:i4>
      </vt:variant>
      <vt:variant>
        <vt:i4>197</vt:i4>
      </vt:variant>
      <vt:variant>
        <vt:i4>0</vt:i4>
      </vt:variant>
      <vt:variant>
        <vt:i4>5</vt:i4>
      </vt:variant>
      <vt:variant>
        <vt:lpwstr/>
      </vt:variant>
      <vt:variant>
        <vt:lpwstr>_Toc111723696</vt:lpwstr>
      </vt:variant>
      <vt:variant>
        <vt:i4>1769524</vt:i4>
      </vt:variant>
      <vt:variant>
        <vt:i4>191</vt:i4>
      </vt:variant>
      <vt:variant>
        <vt:i4>0</vt:i4>
      </vt:variant>
      <vt:variant>
        <vt:i4>5</vt:i4>
      </vt:variant>
      <vt:variant>
        <vt:lpwstr/>
      </vt:variant>
      <vt:variant>
        <vt:lpwstr>_Toc111723695</vt:lpwstr>
      </vt:variant>
      <vt:variant>
        <vt:i4>1769524</vt:i4>
      </vt:variant>
      <vt:variant>
        <vt:i4>185</vt:i4>
      </vt:variant>
      <vt:variant>
        <vt:i4>0</vt:i4>
      </vt:variant>
      <vt:variant>
        <vt:i4>5</vt:i4>
      </vt:variant>
      <vt:variant>
        <vt:lpwstr/>
      </vt:variant>
      <vt:variant>
        <vt:lpwstr>_Toc111723694</vt:lpwstr>
      </vt:variant>
      <vt:variant>
        <vt:i4>1769524</vt:i4>
      </vt:variant>
      <vt:variant>
        <vt:i4>179</vt:i4>
      </vt:variant>
      <vt:variant>
        <vt:i4>0</vt:i4>
      </vt:variant>
      <vt:variant>
        <vt:i4>5</vt:i4>
      </vt:variant>
      <vt:variant>
        <vt:lpwstr/>
      </vt:variant>
      <vt:variant>
        <vt:lpwstr>_Toc111723693</vt:lpwstr>
      </vt:variant>
      <vt:variant>
        <vt:i4>1769524</vt:i4>
      </vt:variant>
      <vt:variant>
        <vt:i4>173</vt:i4>
      </vt:variant>
      <vt:variant>
        <vt:i4>0</vt:i4>
      </vt:variant>
      <vt:variant>
        <vt:i4>5</vt:i4>
      </vt:variant>
      <vt:variant>
        <vt:lpwstr/>
      </vt:variant>
      <vt:variant>
        <vt:lpwstr>_Toc111723692</vt:lpwstr>
      </vt:variant>
      <vt:variant>
        <vt:i4>1769524</vt:i4>
      </vt:variant>
      <vt:variant>
        <vt:i4>167</vt:i4>
      </vt:variant>
      <vt:variant>
        <vt:i4>0</vt:i4>
      </vt:variant>
      <vt:variant>
        <vt:i4>5</vt:i4>
      </vt:variant>
      <vt:variant>
        <vt:lpwstr/>
      </vt:variant>
      <vt:variant>
        <vt:lpwstr>_Toc111723691</vt:lpwstr>
      </vt:variant>
      <vt:variant>
        <vt:i4>1769524</vt:i4>
      </vt:variant>
      <vt:variant>
        <vt:i4>161</vt:i4>
      </vt:variant>
      <vt:variant>
        <vt:i4>0</vt:i4>
      </vt:variant>
      <vt:variant>
        <vt:i4>5</vt:i4>
      </vt:variant>
      <vt:variant>
        <vt:lpwstr/>
      </vt:variant>
      <vt:variant>
        <vt:lpwstr>_Toc111723690</vt:lpwstr>
      </vt:variant>
      <vt:variant>
        <vt:i4>1703988</vt:i4>
      </vt:variant>
      <vt:variant>
        <vt:i4>155</vt:i4>
      </vt:variant>
      <vt:variant>
        <vt:i4>0</vt:i4>
      </vt:variant>
      <vt:variant>
        <vt:i4>5</vt:i4>
      </vt:variant>
      <vt:variant>
        <vt:lpwstr/>
      </vt:variant>
      <vt:variant>
        <vt:lpwstr>_Toc111723689</vt:lpwstr>
      </vt:variant>
      <vt:variant>
        <vt:i4>1703988</vt:i4>
      </vt:variant>
      <vt:variant>
        <vt:i4>149</vt:i4>
      </vt:variant>
      <vt:variant>
        <vt:i4>0</vt:i4>
      </vt:variant>
      <vt:variant>
        <vt:i4>5</vt:i4>
      </vt:variant>
      <vt:variant>
        <vt:lpwstr/>
      </vt:variant>
      <vt:variant>
        <vt:lpwstr>_Toc111723688</vt:lpwstr>
      </vt:variant>
      <vt:variant>
        <vt:i4>1703988</vt:i4>
      </vt:variant>
      <vt:variant>
        <vt:i4>143</vt:i4>
      </vt:variant>
      <vt:variant>
        <vt:i4>0</vt:i4>
      </vt:variant>
      <vt:variant>
        <vt:i4>5</vt:i4>
      </vt:variant>
      <vt:variant>
        <vt:lpwstr/>
      </vt:variant>
      <vt:variant>
        <vt:lpwstr>_Toc111723687</vt:lpwstr>
      </vt:variant>
      <vt:variant>
        <vt:i4>1703988</vt:i4>
      </vt:variant>
      <vt:variant>
        <vt:i4>137</vt:i4>
      </vt:variant>
      <vt:variant>
        <vt:i4>0</vt:i4>
      </vt:variant>
      <vt:variant>
        <vt:i4>5</vt:i4>
      </vt:variant>
      <vt:variant>
        <vt:lpwstr/>
      </vt:variant>
      <vt:variant>
        <vt:lpwstr>_Toc111723686</vt:lpwstr>
      </vt:variant>
      <vt:variant>
        <vt:i4>1703988</vt:i4>
      </vt:variant>
      <vt:variant>
        <vt:i4>131</vt:i4>
      </vt:variant>
      <vt:variant>
        <vt:i4>0</vt:i4>
      </vt:variant>
      <vt:variant>
        <vt:i4>5</vt:i4>
      </vt:variant>
      <vt:variant>
        <vt:lpwstr/>
      </vt:variant>
      <vt:variant>
        <vt:lpwstr>_Toc111723685</vt:lpwstr>
      </vt:variant>
      <vt:variant>
        <vt:i4>1703988</vt:i4>
      </vt:variant>
      <vt:variant>
        <vt:i4>125</vt:i4>
      </vt:variant>
      <vt:variant>
        <vt:i4>0</vt:i4>
      </vt:variant>
      <vt:variant>
        <vt:i4>5</vt:i4>
      </vt:variant>
      <vt:variant>
        <vt:lpwstr/>
      </vt:variant>
      <vt:variant>
        <vt:lpwstr>_Toc111723684</vt:lpwstr>
      </vt:variant>
      <vt:variant>
        <vt:i4>1703988</vt:i4>
      </vt:variant>
      <vt:variant>
        <vt:i4>119</vt:i4>
      </vt:variant>
      <vt:variant>
        <vt:i4>0</vt:i4>
      </vt:variant>
      <vt:variant>
        <vt:i4>5</vt:i4>
      </vt:variant>
      <vt:variant>
        <vt:lpwstr/>
      </vt:variant>
      <vt:variant>
        <vt:lpwstr>_Toc111723683</vt:lpwstr>
      </vt:variant>
      <vt:variant>
        <vt:i4>1703988</vt:i4>
      </vt:variant>
      <vt:variant>
        <vt:i4>113</vt:i4>
      </vt:variant>
      <vt:variant>
        <vt:i4>0</vt:i4>
      </vt:variant>
      <vt:variant>
        <vt:i4>5</vt:i4>
      </vt:variant>
      <vt:variant>
        <vt:lpwstr/>
      </vt:variant>
      <vt:variant>
        <vt:lpwstr>_Toc111723682</vt:lpwstr>
      </vt:variant>
      <vt:variant>
        <vt:i4>1703988</vt:i4>
      </vt:variant>
      <vt:variant>
        <vt:i4>107</vt:i4>
      </vt:variant>
      <vt:variant>
        <vt:i4>0</vt:i4>
      </vt:variant>
      <vt:variant>
        <vt:i4>5</vt:i4>
      </vt:variant>
      <vt:variant>
        <vt:lpwstr/>
      </vt:variant>
      <vt:variant>
        <vt:lpwstr>_Toc111723681</vt:lpwstr>
      </vt:variant>
      <vt:variant>
        <vt:i4>1703988</vt:i4>
      </vt:variant>
      <vt:variant>
        <vt:i4>101</vt:i4>
      </vt:variant>
      <vt:variant>
        <vt:i4>0</vt:i4>
      </vt:variant>
      <vt:variant>
        <vt:i4>5</vt:i4>
      </vt:variant>
      <vt:variant>
        <vt:lpwstr/>
      </vt:variant>
      <vt:variant>
        <vt:lpwstr>_Toc111723680</vt:lpwstr>
      </vt:variant>
      <vt:variant>
        <vt:i4>1376308</vt:i4>
      </vt:variant>
      <vt:variant>
        <vt:i4>95</vt:i4>
      </vt:variant>
      <vt:variant>
        <vt:i4>0</vt:i4>
      </vt:variant>
      <vt:variant>
        <vt:i4>5</vt:i4>
      </vt:variant>
      <vt:variant>
        <vt:lpwstr/>
      </vt:variant>
      <vt:variant>
        <vt:lpwstr>_Toc111723679</vt:lpwstr>
      </vt:variant>
      <vt:variant>
        <vt:i4>1376308</vt:i4>
      </vt:variant>
      <vt:variant>
        <vt:i4>89</vt:i4>
      </vt:variant>
      <vt:variant>
        <vt:i4>0</vt:i4>
      </vt:variant>
      <vt:variant>
        <vt:i4>5</vt:i4>
      </vt:variant>
      <vt:variant>
        <vt:lpwstr/>
      </vt:variant>
      <vt:variant>
        <vt:lpwstr>_Toc111723678</vt:lpwstr>
      </vt:variant>
      <vt:variant>
        <vt:i4>1376308</vt:i4>
      </vt:variant>
      <vt:variant>
        <vt:i4>83</vt:i4>
      </vt:variant>
      <vt:variant>
        <vt:i4>0</vt:i4>
      </vt:variant>
      <vt:variant>
        <vt:i4>5</vt:i4>
      </vt:variant>
      <vt:variant>
        <vt:lpwstr/>
      </vt:variant>
      <vt:variant>
        <vt:lpwstr>_Toc111723677</vt:lpwstr>
      </vt:variant>
      <vt:variant>
        <vt:i4>1376308</vt:i4>
      </vt:variant>
      <vt:variant>
        <vt:i4>77</vt:i4>
      </vt:variant>
      <vt:variant>
        <vt:i4>0</vt:i4>
      </vt:variant>
      <vt:variant>
        <vt:i4>5</vt:i4>
      </vt:variant>
      <vt:variant>
        <vt:lpwstr/>
      </vt:variant>
      <vt:variant>
        <vt:lpwstr>_Toc111723676</vt:lpwstr>
      </vt:variant>
      <vt:variant>
        <vt:i4>1376308</vt:i4>
      </vt:variant>
      <vt:variant>
        <vt:i4>71</vt:i4>
      </vt:variant>
      <vt:variant>
        <vt:i4>0</vt:i4>
      </vt:variant>
      <vt:variant>
        <vt:i4>5</vt:i4>
      </vt:variant>
      <vt:variant>
        <vt:lpwstr/>
      </vt:variant>
      <vt:variant>
        <vt:lpwstr>_Toc111723675</vt:lpwstr>
      </vt:variant>
      <vt:variant>
        <vt:i4>1376308</vt:i4>
      </vt:variant>
      <vt:variant>
        <vt:i4>65</vt:i4>
      </vt:variant>
      <vt:variant>
        <vt:i4>0</vt:i4>
      </vt:variant>
      <vt:variant>
        <vt:i4>5</vt:i4>
      </vt:variant>
      <vt:variant>
        <vt:lpwstr/>
      </vt:variant>
      <vt:variant>
        <vt:lpwstr>_Toc111723674</vt:lpwstr>
      </vt:variant>
      <vt:variant>
        <vt:i4>1376308</vt:i4>
      </vt:variant>
      <vt:variant>
        <vt:i4>59</vt:i4>
      </vt:variant>
      <vt:variant>
        <vt:i4>0</vt:i4>
      </vt:variant>
      <vt:variant>
        <vt:i4>5</vt:i4>
      </vt:variant>
      <vt:variant>
        <vt:lpwstr/>
      </vt:variant>
      <vt:variant>
        <vt:lpwstr>_Toc111723673</vt:lpwstr>
      </vt:variant>
      <vt:variant>
        <vt:i4>1376308</vt:i4>
      </vt:variant>
      <vt:variant>
        <vt:i4>53</vt:i4>
      </vt:variant>
      <vt:variant>
        <vt:i4>0</vt:i4>
      </vt:variant>
      <vt:variant>
        <vt:i4>5</vt:i4>
      </vt:variant>
      <vt:variant>
        <vt:lpwstr/>
      </vt:variant>
      <vt:variant>
        <vt:lpwstr>_Toc111723672</vt:lpwstr>
      </vt:variant>
      <vt:variant>
        <vt:i4>1376308</vt:i4>
      </vt:variant>
      <vt:variant>
        <vt:i4>47</vt:i4>
      </vt:variant>
      <vt:variant>
        <vt:i4>0</vt:i4>
      </vt:variant>
      <vt:variant>
        <vt:i4>5</vt:i4>
      </vt:variant>
      <vt:variant>
        <vt:lpwstr/>
      </vt:variant>
      <vt:variant>
        <vt:lpwstr>_Toc111723671</vt:lpwstr>
      </vt:variant>
      <vt:variant>
        <vt:i4>1376308</vt:i4>
      </vt:variant>
      <vt:variant>
        <vt:i4>41</vt:i4>
      </vt:variant>
      <vt:variant>
        <vt:i4>0</vt:i4>
      </vt:variant>
      <vt:variant>
        <vt:i4>5</vt:i4>
      </vt:variant>
      <vt:variant>
        <vt:lpwstr/>
      </vt:variant>
      <vt:variant>
        <vt:lpwstr>_Toc111723670</vt:lpwstr>
      </vt:variant>
      <vt:variant>
        <vt:i4>1310772</vt:i4>
      </vt:variant>
      <vt:variant>
        <vt:i4>35</vt:i4>
      </vt:variant>
      <vt:variant>
        <vt:i4>0</vt:i4>
      </vt:variant>
      <vt:variant>
        <vt:i4>5</vt:i4>
      </vt:variant>
      <vt:variant>
        <vt:lpwstr/>
      </vt:variant>
      <vt:variant>
        <vt:lpwstr>_Toc111723669</vt:lpwstr>
      </vt:variant>
      <vt:variant>
        <vt:i4>1310772</vt:i4>
      </vt:variant>
      <vt:variant>
        <vt:i4>29</vt:i4>
      </vt:variant>
      <vt:variant>
        <vt:i4>0</vt:i4>
      </vt:variant>
      <vt:variant>
        <vt:i4>5</vt:i4>
      </vt:variant>
      <vt:variant>
        <vt:lpwstr/>
      </vt:variant>
      <vt:variant>
        <vt:lpwstr>_Toc111723668</vt:lpwstr>
      </vt:variant>
      <vt:variant>
        <vt:i4>1310772</vt:i4>
      </vt:variant>
      <vt:variant>
        <vt:i4>23</vt:i4>
      </vt:variant>
      <vt:variant>
        <vt:i4>0</vt:i4>
      </vt:variant>
      <vt:variant>
        <vt:i4>5</vt:i4>
      </vt:variant>
      <vt:variant>
        <vt:lpwstr/>
      </vt:variant>
      <vt:variant>
        <vt:lpwstr>_Toc111723667</vt:lpwstr>
      </vt:variant>
      <vt:variant>
        <vt:i4>1310772</vt:i4>
      </vt:variant>
      <vt:variant>
        <vt:i4>17</vt:i4>
      </vt:variant>
      <vt:variant>
        <vt:i4>0</vt:i4>
      </vt:variant>
      <vt:variant>
        <vt:i4>5</vt:i4>
      </vt:variant>
      <vt:variant>
        <vt:lpwstr/>
      </vt:variant>
      <vt:variant>
        <vt:lpwstr>_Toc111723666</vt:lpwstr>
      </vt:variant>
      <vt:variant>
        <vt:i4>1310772</vt:i4>
      </vt:variant>
      <vt:variant>
        <vt:i4>11</vt:i4>
      </vt:variant>
      <vt:variant>
        <vt:i4>0</vt:i4>
      </vt:variant>
      <vt:variant>
        <vt:i4>5</vt:i4>
      </vt:variant>
      <vt:variant>
        <vt:lpwstr/>
      </vt:variant>
      <vt:variant>
        <vt:lpwstr>_Toc111723665</vt:lpwstr>
      </vt:variant>
      <vt:variant>
        <vt:i4>1310772</vt:i4>
      </vt:variant>
      <vt:variant>
        <vt:i4>5</vt:i4>
      </vt:variant>
      <vt:variant>
        <vt:i4>0</vt:i4>
      </vt:variant>
      <vt:variant>
        <vt:i4>5</vt:i4>
      </vt:variant>
      <vt:variant>
        <vt:lpwstr/>
      </vt:variant>
      <vt:variant>
        <vt:lpwstr>_Toc111723664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2022-10-24T21:14:00Z</dcterms:created>
  <dcterms:modified xsi:type="dcterms:W3CDTF">2023-04-05T02:54:00Z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0x0101000B01F64FAF9860419BA79A02D1ECFE0C</vt:lpwstr>
  </property>
</Properties>
</file>