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single" w:color="auto" w:sz="4"/>
          <w:insideV w:val="single" w:color="auto" w:sz="4"/>
        </w:tblBorders>
        <w:tblLayout w:type="fixed"/>
      </w:tblPr>
      <w:tblGrid>
        <w:gridCol w:w="100"/>
      </w:tblGrid>
      <w:tr>
        <w:trPr>
          <w:trHeight w:val="16838" w:hRule="exact"/>
        </w:trPr>
        <w:tc>
          <w:tcPr>
            <w:tcBorders>
              <w:top w:val="none" w:sz="0"/>
              <w:left w:val="none" w:sz="0"/>
              <w:bottom w:val="none" w:sz="0"/>
              <w:right w:val="none" w:sz="0"/>
            </w:tcBorders>
            <w:shd w:fill="162235" w:val="clear"/>
          </w:tcPr>
          <w:p>
            <w:pPr>
              <w:spacing w:before="4023"/>
            </w:pPr>
          </w:p>
          <w:p>
            <w:pPr>
              <w:pBdr>
                <w:bottom w:val="single" w:color="37DCF2" w:sz="6" w:space="8"/>
              </w:pBdr>
              <w:spacing w:after="500"/>
              <w:ind w:left="1200" w:right="800"/>
            </w:pPr>
            <w:r>
              <w:rPr>
                <w:rFonts w:ascii="Calibri"/>
                <w:color w:val="37DCF2"/>
                <w:spacing w:val="40"/>
                <w:sz w:val="18"/>
                <w:szCs w:val="18"/>
              </w:rPr>
              <w:t xml:space="preserve">T  E  C  H  N  I  C  A  L     D  O  C  U  M  E  N  T  A  T  I  O  N</w:t>
            </w:r>
          </w:p>
          <w:p>
            <w:pPr>
              <w:spacing w:after="100" w:line="598" w:lineRule="atLeast"/>
              <w:ind w:left="1200"/>
            </w:pPr>
            <w:r>
              <w:rPr>
                <w:rFonts w:ascii="Calibri"/>
                <w:b/>
                <w:bCs/>
                <w:color w:val="FFFFFF"/>
                <w:sz w:val="52"/>
                <w:szCs w:val="52"/>
              </w:rPr>
              <w:t xml:space="preserve">Kristo Intelligence</w:t>
            </w:r>
          </w:p>
          <w:p>
            <w:pPr>
              <w:spacing w:after="100" w:line="598" w:lineRule="atLeast"/>
              <w:ind w:left="1200"/>
            </w:pPr>
            <w:r>
              <w:rPr>
                <w:rFonts w:ascii="Calibri"/>
                <w:b/>
                <w:bCs/>
                <w:color w:val="FFFFFF"/>
                <w:sz w:val="52"/>
                <w:szCs w:val="52"/>
              </w:rPr>
              <w:t xml:space="preserve">API: Full Project</w:t>
            </w:r>
          </w:p>
          <w:p>
            <w:pPr>
              <w:spacing w:after="300" w:line="598" w:lineRule="atLeast"/>
              <w:ind w:left="1200"/>
            </w:pPr>
            <w:r>
              <w:rPr>
                <w:rFonts w:ascii="Calibri"/>
                <w:b/>
                <w:bCs/>
                <w:color w:val="FFFFFF"/>
                <w:sz w:val="52"/>
                <w:szCs w:val="52"/>
              </w:rPr>
              <w:t xml:space="preserve">Documentation</w:t>
            </w:r>
          </w:p>
          <w:p>
            <w:pPr>
              <w:spacing w:after="800"/>
              <w:ind w:left="1200"/>
            </w:pPr>
            <w:r>
              <w:rPr>
                <w:rFonts w:ascii="Calibri"/>
                <w:color w:val="B0B8C0"/>
                <w:sz w:val="24"/>
                <w:szCs w:val="24"/>
              </w:rPr>
              <w:t xml:space="preserve">x402 Pay-Per-Call API for AI Agents on Base Network</w:t>
            </w:r>
          </w:p>
          <w:p>
            <w:pPr>
              <w:pBdr>
                <w:left w:val="single" w:color="37DCF2" w:sz="8" w:space="12"/>
              </w:pBdr>
              <w:spacing w:after="80"/>
              <w:ind w:left="1400"/>
            </w:pPr>
            <w:r>
              <w:rPr>
                <w:rFonts w:ascii="Calibri"/>
                <w:color w:val="90989F"/>
                <w:sz w:val="24"/>
                <w:szCs w:val="24"/>
              </w:rPr>
              <w:t xml:space="preserve">Version: 4.0 | Protocol: x402</w:t>
            </w:r>
          </w:p>
          <w:p>
            <w:pPr>
              <w:pBdr>
                <w:left w:val="single" w:color="37DCF2" w:sz="8" w:space="12"/>
              </w:pBdr>
              <w:spacing w:after="80"/>
              <w:ind w:left="1400"/>
            </w:pPr>
            <w:r>
              <w:rPr>
                <w:rFonts w:ascii="Calibri"/>
                <w:color w:val="90989F"/>
                <w:sz w:val="24"/>
                <w:szCs w:val="24"/>
              </w:rPr>
              <w:t xml:space="preserve">Network: Base (Chain ID: 8453)</w:t>
            </w:r>
          </w:p>
          <w:p>
            <w:pPr>
              <w:pBdr>
                <w:left w:val="single" w:color="37DCF2" w:sz="8" w:space="12"/>
              </w:pBdr>
              <w:spacing w:after="80"/>
              <w:ind w:left="1400"/>
            </w:pPr>
            <w:r>
              <w:rPr>
                <w:rFonts w:ascii="Calibri"/>
                <w:color w:val="90989F"/>
                <w:sz w:val="24"/>
                <w:szCs w:val="24"/>
              </w:rPr>
              <w:t xml:space="preserve">Pricing: 0.25 USDC per call</w:t>
            </w:r>
          </w:p>
          <w:p>
            <w:pPr>
              <w:pBdr>
                <w:left w:val="single" w:color="37DCF2" w:sz="8" w:space="12"/>
              </w:pBdr>
              <w:spacing w:after="80"/>
              <w:ind w:left="1400"/>
            </w:pPr>
            <w:r>
              <w:rPr>
                <w:rFonts w:ascii="Calibri"/>
                <w:color w:val="90989F"/>
                <w:sz w:val="24"/>
                <w:szCs w:val="24"/>
              </w:rPr>
              <w:t xml:space="preserve">Date: July 2025</w:t>
            </w:r>
          </w:p>
          <w:p>
            <w:pPr>
              <w:spacing w:before="4023"/>
            </w:pPr>
          </w:p>
          <w:p>
            <w:pPr>
              <w:pBdr>
                <w:top w:val="single" w:color="37DCF2" w:sz="2" w:space="8"/>
              </w:pBdr>
              <w:spacing w:before="200"/>
              <w:ind w:left="1200" w:right="800"/>
            </w:pPr>
            <w:r>
              <w:rPr>
                <w:rFonts w:ascii="Calibri"/>
                <w:color w:val="687078"/>
                <w:sz w:val="16"/>
                <w:szCs w:val="16"/>
              </w:rPr>
              <w:t xml:space="preserve">Kristo Intelligence</w:t>
            </w:r>
            <w:r>
              <w:t xml:space="preserve">                                        </w:t>
            </w:r>
            <w:r>
              <w:rPr>
                <w:rFonts w:ascii="Calibri"/>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spacing w:after="200"/>
      </w:pPr>
      <w:r>
        <w:rPr>
          <w:rFonts w:ascii="Calibri"/>
          <w:b/>
          <w:bCs/>
          <w:color w:val="162235"/>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Project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Concept and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x402 Protocol</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Architecture Diagram (Logical)</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Infrastructure and Deployment</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Backend: Render (Free Tier)</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2.2 Frontend Dashboard: Vercel (Free Tier)</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Blockchain: Base Network</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3. API Endpoints - Detailed Specification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3.1 Free Endpoints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3.2 Paid Endpoints - DeFi Intelligence</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3.2.1 /defi/yields</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3.2.2 /defi/tvl-movers</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3.3 Paid Endpoints - Crypto Intelligence</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3.3.1 /crypto/token-prices</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3.3.2 /crypto/wallet-profile</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3.3.3 /crypto/whale-moves</w:t>
            </w:r>
            <w:r>
              <w:tab/>
            </w:r>
            <w:r>
              <w:fldChar w:fldCharType="begin"/>
            </w:r>
            <w:r>
              <w:instrText xml:space="preserve"> PAGEREF _Toc100016 \h </w:instrText>
            </w:r>
            <w:r>
              <w:fldChar w:fldCharType="separate"/>
            </w:r>
            <w:r>
              <w:t>5</w:t>
            </w:r>
            <w:r>
              <w:fldChar w:fldCharType="end"/>
            </w:r>
          </w:hyperlink>
        </w:p>
        <w:p>
          <w:pPr>
            <w:pStyle w:val="12"/>
            <w:ind w:left="720"/>
            <w:tabs>
              <w:tab w:val="right" w:leader="dot" w:pos="9026"/>
            </w:tabs>
            <w:spacing w:before="120" w:after="60"/>
          </w:pPr>
          <w:hyperlink w:anchor="_Toc100017" w:history="1">
            <w:r>
              <w:rPr>
                <w:rStyle w:val="Hyperlink"/>
              </w:rPr>
              <w:t>3.3.4 /crypto/gas-oracle</w:t>
            </w:r>
            <w:r>
              <w:tab/>
            </w:r>
            <w:r>
              <w:fldChar w:fldCharType="begin"/>
            </w:r>
            <w:r>
              <w:instrText xml:space="preserve"> PAGEREF _Toc100017 \h </w:instrText>
            </w:r>
            <w:r>
              <w:fldChar w:fldCharType="separate"/>
            </w:r>
            <w:r>
              <w:t>5</w:t>
            </w:r>
            <w:r>
              <w:fldChar w:fldCharType="end"/>
            </w:r>
          </w:hyperlink>
        </w:p>
        <w:p>
          <w:pPr>
            <w:pStyle w:val="9"/>
            <w:tabs>
              <w:tab w:val="right" w:leader="dot" w:pos="9026"/>
            </w:tabs>
            <w:spacing w:before="120" w:after="60"/>
          </w:pPr>
          <w:hyperlink w:anchor="_Toc100018" w:history="1">
            <w:r>
              <w:rPr>
                <w:rStyle w:val="Hyperlink"/>
              </w:rPr>
              <w:t>4. Payment System Architecture</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4.1 Payment Flow</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4.2 On-Chain Payment Verification</w:t>
            </w:r>
            <w:r>
              <w:tab/>
            </w:r>
            <w:r>
              <w:fldChar w:fldCharType="begin"/>
            </w:r>
            <w:r>
              <w:instrText xml:space="preserve"> PAGEREF _Toc100020 \h </w:instrText>
            </w:r>
            <w:r>
              <w:fldChar w:fldCharType="separate"/>
            </w:r>
            <w:r>
              <w:t>6</w:t>
            </w:r>
            <w:r>
              <w:fldChar w:fldCharType="end"/>
            </w:r>
          </w:hyperlink>
        </w:p>
        <w:p>
          <w:pPr>
            <w:pStyle w:val="11"/>
            <w:ind w:left="360"/>
            <w:tabs>
              <w:tab w:val="right" w:leader="dot" w:pos="9026"/>
            </w:tabs>
            <w:spacing w:before="120" w:after="60"/>
          </w:pPr>
          <w:hyperlink w:anchor="_Toc100021" w:history="1">
            <w:r>
              <w:rPr>
                <w:rStyle w:val="Hyperlink"/>
              </w:rPr>
              <w:t>4.3 Security Considerations</w:t>
            </w:r>
            <w:r>
              <w:tab/>
            </w:r>
            <w:r>
              <w:fldChar w:fldCharType="begin"/>
            </w:r>
            <w:r>
              <w:instrText xml:space="preserve"> PAGEREF _Toc100021 \h </w:instrText>
            </w:r>
            <w:r>
              <w:fldChar w:fldCharType="separate"/>
            </w:r>
            <w:r>
              <w:t>6</w:t>
            </w:r>
            <w:r>
              <w:fldChar w:fldCharType="end"/>
            </w:r>
          </w:hyperlink>
        </w:p>
        <w:p>
          <w:pPr>
            <w:pStyle w:val="9"/>
            <w:tabs>
              <w:tab w:val="right" w:leader="dot" w:pos="9026"/>
            </w:tabs>
            <w:spacing w:before="120" w:after="60"/>
          </w:pPr>
          <w:hyperlink w:anchor="_Toc100022" w:history="1">
            <w:r>
              <w:rPr>
                <w:rStyle w:val="Hyperlink"/>
              </w:rPr>
              <w:t>5. Data Sources and Caching Strategy</w:t>
            </w:r>
            <w:r>
              <w:tab/>
            </w:r>
            <w:r>
              <w:fldChar w:fldCharType="begin"/>
            </w:r>
            <w:r>
              <w:instrText xml:space="preserve"> PAGEREF _Toc100022 \h </w:instrText>
            </w:r>
            <w:r>
              <w:fldChar w:fldCharType="separate"/>
            </w:r>
            <w:r>
              <w:t>7</w:t>
            </w:r>
            <w:r>
              <w:fldChar w:fldCharType="end"/>
            </w:r>
          </w:hyperlink>
        </w:p>
        <w:p>
          <w:pPr>
            <w:pStyle w:val="9"/>
            <w:tabs>
              <w:tab w:val="right" w:leader="dot" w:pos="9026"/>
            </w:tabs>
            <w:spacing w:before="120" w:after="60"/>
          </w:pPr>
          <w:hyperlink w:anchor="_Toc100023" w:history="1">
            <w:r>
              <w:rPr>
                <w:rStyle w:val="Hyperlink"/>
              </w:rPr>
              <w:t>6. Code Structure and Technical Details</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6.1 API Code Organization (kristo_api.py - 611 lines)</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6.2 Dashboard Code Organization (page.tsx - ~1500 lines)</w:t>
            </w:r>
            <w:r>
              <w:tab/>
            </w:r>
            <w:r>
              <w:fldChar w:fldCharType="begin"/>
            </w:r>
            <w:r>
              <w:instrText xml:space="preserve"> PAGEREF _Toc100025 \h </w:instrText>
            </w:r>
            <w:r>
              <w:fldChar w:fldCharType="separate"/>
            </w:r>
            <w:r>
              <w:t>7</w:t>
            </w:r>
            <w:r>
              <w:fldChar w:fldCharType="end"/>
            </w:r>
          </w:hyperlink>
        </w:p>
        <w:p>
          <w:pPr>
            <w:pStyle w:val="11"/>
            <w:ind w:left="360"/>
            <w:tabs>
              <w:tab w:val="right" w:leader="dot" w:pos="9026"/>
            </w:tabs>
            <w:spacing w:before="120" w:after="60"/>
          </w:pPr>
          <w:hyperlink w:anchor="_Toc100026" w:history="1">
            <w:r>
              <w:rPr>
                <w:rStyle w:val="Hyperlink"/>
              </w:rPr>
              <w:t>6.3 Dependencies</w:t>
            </w:r>
            <w:r>
              <w:tab/>
            </w:r>
            <w:r>
              <w:fldChar w:fldCharType="begin"/>
            </w:r>
            <w:r>
              <w:instrText xml:space="preserve"> PAGEREF _Toc100026 \h </w:instrText>
            </w:r>
            <w:r>
              <w:fldChar w:fldCharType="separate"/>
            </w:r>
            <w:r>
              <w:t>8</w:t>
            </w:r>
            <w:r>
              <w:fldChar w:fldCharType="end"/>
            </w:r>
          </w:hyperlink>
        </w:p>
        <w:p>
          <w:pPr>
            <w:pStyle w:val="9"/>
            <w:tabs>
              <w:tab w:val="right" w:leader="dot" w:pos="9026"/>
            </w:tabs>
            <w:spacing w:before="120" w:after="60"/>
          </w:pPr>
          <w:hyperlink w:anchor="_Toc100027" w:history="1">
            <w:r>
              <w:rPr>
                <w:rStyle w:val="Hyperlink"/>
              </w:rPr>
              <w:t>7. Marketplace Registration Status</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7.1 relai.fi (x402 Marketplace)</w:t>
            </w:r>
            <w:r>
              <w:tab/>
            </w:r>
            <w:r>
              <w:fldChar w:fldCharType="begin"/>
            </w:r>
            <w:r>
              <w:instrText xml:space="preserve"> PAGEREF _Toc100028 \h </w:instrText>
            </w:r>
            <w:r>
              <w:fldChar w:fldCharType="separate"/>
            </w:r>
            <w:r>
              <w:t>8</w:t>
            </w:r>
            <w:r>
              <w:fldChar w:fldCharType="end"/>
            </w:r>
          </w:hyperlink>
        </w:p>
        <w:p>
          <w:pPr>
            <w:pStyle w:val="11"/>
            <w:ind w:left="360"/>
            <w:tabs>
              <w:tab w:val="right" w:leader="dot" w:pos="9026"/>
            </w:tabs>
            <w:spacing w:before="120" w:after="60"/>
          </w:pPr>
          <w:hyperlink w:anchor="_Toc100029" w:history="1">
            <w:r>
              <w:rPr>
                <w:rStyle w:val="Hyperlink"/>
              </w:rPr>
              <w:t>7.2 Market Positioning</w:t>
            </w:r>
            <w:r>
              <w:tab/>
            </w:r>
            <w:r>
              <w:fldChar w:fldCharType="begin"/>
            </w:r>
            <w:r>
              <w:instrText xml:space="preserve"> PAGEREF _Toc100029 \h </w:instrText>
            </w:r>
            <w:r>
              <w:fldChar w:fldCharType="separate"/>
            </w:r>
            <w:r>
              <w:t>8</w:t>
            </w:r>
            <w:r>
              <w:fldChar w:fldCharType="end"/>
            </w:r>
          </w:hyperlink>
        </w:p>
        <w:p>
          <w:pPr>
            <w:pStyle w:val="9"/>
            <w:tabs>
              <w:tab w:val="right" w:leader="dot" w:pos="9026"/>
            </w:tabs>
            <w:spacing w:before="120" w:after="60"/>
          </w:pPr>
          <w:hyperlink w:anchor="_Toc100030" w:history="1">
            <w:r>
              <w:rPr>
                <w:rStyle w:val="Hyperlink"/>
              </w:rPr>
              <w:t>8. Evolution History</w:t>
            </w:r>
            <w:r>
              <w:tab/>
            </w:r>
            <w:r>
              <w:fldChar w:fldCharType="begin"/>
            </w:r>
            <w:r>
              <w:instrText xml:space="preserve"> PAGEREF _Toc100030 \h </w:instrText>
            </w:r>
            <w:r>
              <w:fldChar w:fldCharType="separate"/>
            </w:r>
            <w:r>
              <w:t>8</w:t>
            </w:r>
            <w:r>
              <w:fldChar w:fldCharType="end"/>
            </w:r>
          </w:hyperlink>
        </w:p>
        <w:p>
          <w:pPr>
            <w:pStyle w:val="9"/>
            <w:tabs>
              <w:tab w:val="right" w:leader="dot" w:pos="9026"/>
            </w:tabs>
            <w:spacing w:before="120" w:after="60"/>
          </w:pPr>
          <w:hyperlink w:anchor="_Toc100031" w:history="1">
            <w:r>
              <w:rPr>
                <w:rStyle w:val="Hyperlink"/>
              </w:rPr>
              <w:t>9. Honest Assessment and Known Issues</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9.1 Strengths</w:t>
            </w:r>
            <w:r>
              <w:tab/>
            </w:r>
            <w:r>
              <w:fldChar w:fldCharType="begin"/>
            </w:r>
            <w:r>
              <w:instrText xml:space="preserve"> PAGEREF _Toc100032 \h </w:instrText>
            </w:r>
            <w:r>
              <w:fldChar w:fldCharType="separate"/>
            </w:r>
            <w:r>
              <w:t>9</w:t>
            </w:r>
            <w:r>
              <w:fldChar w:fldCharType="end"/>
            </w:r>
          </w:hyperlink>
        </w:p>
        <w:p>
          <w:pPr>
            <w:pStyle w:val="11"/>
            <w:ind w:left="360"/>
            <w:tabs>
              <w:tab w:val="right" w:leader="dot" w:pos="9026"/>
            </w:tabs>
            <w:spacing w:before="120" w:after="60"/>
          </w:pPr>
          <w:hyperlink w:anchor="_Toc100033" w:history="1">
            <w:r>
              <w:rPr>
                <w:rStyle w:val="Hyperlink"/>
              </w:rPr>
              <w:t>9.2 Weaknesses and Risks</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9.3 Critical Questions for Analysis</w:t>
            </w:r>
            <w:r>
              <w:tab/>
            </w:r>
            <w:r>
              <w:fldChar w:fldCharType="begin"/>
            </w:r>
            <w:r>
              <w:instrText xml:space="preserve"> PAGEREF _Toc100034 \h </w:instrText>
            </w:r>
            <w:r>
              <w:fldChar w:fldCharType="separate"/>
            </w:r>
            <w:r>
              <w:t>11</w:t>
            </w:r>
            <w:r>
              <w:fldChar w:fldCharType="end"/>
            </w:r>
          </w:hyperlink>
        </w:p>
        <w:p>
          <w:pPr>
            <w:pStyle w:val="9"/>
            <w:tabs>
              <w:tab w:val="right" w:leader="dot" w:pos="9026"/>
            </w:tabs>
            <w:spacing w:before="120" w:after="60"/>
          </w:pPr>
          <w:hyperlink w:anchor="_Toc100035" w:history="1">
            <w:r>
              <w:rPr>
                <w:rStyle w:val="Hyperlink"/>
              </w:rPr>
              <w:t>10. Complete File and URL Reference</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10.1 Live URLs</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10.2 Key Files</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10.3 Key Constants</w:t>
            </w:r>
            <w:r>
              <w:tab/>
            </w:r>
            <w:r>
              <w:fldChar w:fldCharType="begin"/>
            </w:r>
            <w:r>
              <w:instrText xml:space="preserve"> PAGEREF _Toc100038 \h </w:instrText>
            </w:r>
            <w:r>
              <w:fldChar w:fldCharType="separate"/>
            </w:r>
            <w:r>
              <w:t>11</w:t>
            </w:r>
            <w:r>
              <w:fldChar w:fldCharType="end"/>
            </w:r>
          </w:hyperlink>
        </w:p>
        <w:p>
          <w:r>
            <w:fldChar w:fldCharType="end"/>
          </w:r>
        </w:p>
      </w:sdtContent>
    </w:sdt>
    <w:p>
      <w:pPr>
        <w:spacing w:before="200"/>
      </w:pPr>
      <w:r>
        <w:rPr>
          <w:rFonts w:ascii="Calibri"/>
          <w:i/>
          <w:iCs/>
          <w:color w:val="5B6B7D"/>
          <w:sz w:val="20"/>
          <w:szCs w:val="20"/>
        </w:rPr>
        <w:t xml:space="preserve">(Right-click on the Table of Contents and select "Update Field" to refresh page numbers)</w:t>
      </w:r>
    </w:p>
    <w:p>
      <w:r>
        <w:br w:type="page"/>
      </w:r>
    </w:p>
    <w:p>
      <w:pPr>
        <w:sectPr>
          <w:type w:val="nextPage"/>
          <w:pgSz w:w="11906" w:h="16838" w:orient="portrait"/>
          <w:pgMar w:top="1440" w:right="1417" w:bottom="1440" w:left="1701" w:header="708" w:footer="708" w:gutter="0"/>
          <w:pgNumType/>
          <w:docGrid w:linePitch="360"/>
        </w:sectPr>
      </w:pPr>
    </w:p>
    <w:p>
      <w:pPr>
        <w:pStyle w:val="Heading1"/>
        <w:spacing w:after="200" w:before="360"/>
      </w:pPr>
      <w:bookmarkStart w:id="100000" w:name="_Toc100000"/>
      <w:r>
        <w:rPr>
          <w:rFonts w:ascii="Calibri"/>
          <w:b/>
          <w:bCs/>
          <w:color w:val="162235"/>
          <w:sz w:val="32"/>
          <w:szCs w:val="32"/>
        </w:rPr>
        <w:t xml:space="preserve">1. Project Overview</w:t>
      </w:r>
      <w:bookmarkEnd w:id="100000"/>
    </w:p>
    <w:p>
      <w:pPr>
        <w:pStyle w:val="Heading2"/>
        <w:spacing w:after="140" w:before="280"/>
      </w:pPr>
      <w:bookmarkStart w:id="100001" w:name="_Toc100001"/>
      <w:r>
        <w:rPr>
          <w:rFonts w:ascii="Calibri"/>
          <w:b/>
          <w:bCs/>
          <w:color w:val="162235"/>
          <w:sz w:val="28"/>
          <w:szCs w:val="28"/>
        </w:rPr>
        <w:t xml:space="preserve">1.1 Concept and Purpose</w:t>
      </w:r>
      <w:bookmarkEnd w:id="100001"/>
    </w:p>
    <w:p>
      <w:pPr>
        <w:spacing w:after="120" w:line="312"/>
      </w:pPr>
      <w:r>
        <w:rPr>
          <w:rFonts w:ascii="Calibri"/>
          <w:color w:val="000000"/>
          <w:sz w:val="24"/>
          <w:szCs w:val="24"/>
        </w:rPr>
        <w:t xml:space="preserve">Kristo Intelligence is a pay-per-call API service designed for AI agents, built on the x402 protocol for machine-to-machine payments on the Base blockchain (Chain ID: 8453). The core idea is to provide real-time on-chain and DeFi intelligence data that AI agents can purchase autonomously using USDC on Base. Each API call costs 0.25 USDC, paid directly on-chain before the API returns data. This model eliminates traditional API key management and subscription billing, replacing it with a transparent, per-transaction payment system that any AI agent with a Base wallet can use.</w:t>
      </w:r>
    </w:p>
    <w:p>
      <w:pPr>
        <w:spacing w:after="120" w:line="312"/>
      </w:pPr>
      <w:r>
        <w:rPr>
          <w:rFonts w:ascii="Calibri"/>
          <w:color w:val="000000"/>
          <w:sz w:val="24"/>
          <w:szCs w:val="24"/>
        </w:rPr>
        <w:t xml:space="preserve">The project evolved through several versions. Initially it was conceived as a travel data API with hardcoded endpoints, but after honest self-analysis, it was pivoted to focus entirely on DeFi and on-chain crypto intelligence. The current v4.0 provides 6 paid endpoints, all using real-time data from on-chain RPC calls, DefiLlama, and CoinGecko. No endpoint returns static or fake data. The service is deployed on Render (free tier) for the API backend and Vercel (free tier) for the monitoring dashboard.</w:t>
      </w:r>
    </w:p>
    <w:p>
      <w:pPr>
        <w:pStyle w:val="Heading2"/>
        <w:spacing w:after="140" w:before="280"/>
      </w:pPr>
      <w:bookmarkStart w:id="100002" w:name="_Toc100002"/>
      <w:r>
        <w:rPr>
          <w:rFonts w:ascii="Calibri"/>
          <w:b/>
          <w:bCs/>
          <w:color w:val="162235"/>
          <w:sz w:val="28"/>
          <w:szCs w:val="28"/>
        </w:rPr>
        <w:t xml:space="preserve">1.2 x402 Protocol</w:t>
      </w:r>
      <w:bookmarkEnd w:id="100002"/>
    </w:p>
    <w:p>
      <w:pPr>
        <w:spacing w:after="120" w:line="312"/>
      </w:pPr>
      <w:r>
        <w:rPr>
          <w:rFonts w:ascii="Calibri"/>
          <w:color w:val="000000"/>
          <w:sz w:val="24"/>
          <w:szCs w:val="24"/>
        </w:rPr>
        <w:t xml:space="preserve">The x402 protocol is an HTTP-based payment protocol that uses the standard HTTP 402 Payment Required status code. When an AI agent calls a paid endpoint without a payment, the API returns a 402 response with an X-PAYMENT-REQUIRED header containing a JSON payload. This payload specifies the exact payment required: network (Base), asset (USDC), amount (0.25), and the recipient wallet address. The agent then constructs an on-chain USDC transfer of exactly 0.25 USDC to the specified wallet, gets a transaction hash, and retries the API call with an X-PAYMENT header containing that transaction hash. The API verifies the transaction on-chain via Base RPC before returning the actual data.</w:t>
      </w:r>
    </w:p>
    <w:p>
      <w:pPr>
        <w:spacing w:after="120" w:line="312"/>
      </w:pPr>
      <w:r>
        <w:rPr>
          <w:rFonts w:ascii="Calibri"/>
          <w:color w:val="000000"/>
          <w:sz w:val="24"/>
          <w:szCs w:val="24"/>
        </w:rPr>
        <w:t xml:space="preserve">This protocol enables fully autonomous agent-to-API commerce. No API keys, no OAuth tokens, no subscription management. The payment is atomic and verifiable. Each transaction hash can only be used once (replay protection via in-memory set). The API validates that the exact amount of USDC was sent to the correct wallet address before releasing data.</w:t>
      </w:r>
    </w:p>
    <w:p>
      <w:pPr>
        <w:pStyle w:val="Heading2"/>
        <w:spacing w:after="140" w:before="280"/>
      </w:pPr>
      <w:bookmarkStart w:id="100003" w:name="_Toc100003"/>
      <w:r>
        <w:rPr>
          <w:rFonts w:ascii="Calibri"/>
          <w:b/>
          <w:bCs/>
          <w:color w:val="162235"/>
          <w:sz w:val="28"/>
          <w:szCs w:val="28"/>
        </w:rPr>
        <w:t xml:space="preserve">1.3 Architecture Diagram (Logical)</w:t>
      </w:r>
      <w:bookmarkEnd w:id="100003"/>
    </w:p>
    <w:p>
      <w:pPr>
        <w:spacing w:after="120" w:line="312"/>
      </w:pPr>
      <w:r>
        <w:rPr>
          <w:rFonts w:ascii="Calibri"/>
          <w:color w:val="000000"/>
          <w:sz w:val="24"/>
          <w:szCs w:val="24"/>
        </w:rPr>
        <w:t xml:space="preserve">The system consists of three main components: (1) The FastAPI backend deployed on Render, which serves the 6 paid endpoints plus 4 free endpoints, handles payment verification, and fetches data from Base RPC, DefiLlama, and CoinGecko. (2) The Next.js dashboard deployed on Vercel, which provides real-time monitoring of API health, payment flow testing, and data preview for all 6 endpoints. (3) The Base blockchain itself, which serves as both the payment rail (USDC transfers) and the primary data source (on-chain balances, transfers, gas prices). All communication is stateless HTTP. The API uses in-memory caching with TTL for external data sources (DefiLlama: 5 min, CoinGecko: 60 sec) and serves stale cache on fetch failure to avoid failing paid requests.</w:t>
      </w:r>
    </w:p>
    <w:p>
      <w:pPr>
        <w:pStyle w:val="Heading1"/>
        <w:spacing w:after="200" w:before="360"/>
      </w:pPr>
      <w:bookmarkStart w:id="100004" w:name="_Toc100004"/>
      <w:r>
        <w:rPr>
          <w:rFonts w:ascii="Calibri"/>
          <w:b/>
          <w:bCs/>
          <w:color w:val="162235"/>
          <w:sz w:val="32"/>
          <w:szCs w:val="32"/>
        </w:rPr>
        <w:t xml:space="preserve">2. Infrastructure and Deployment</w:t>
      </w:r>
      <w:bookmarkEnd w:id="100004"/>
    </w:p>
    <w:p>
      <w:pPr>
        <w:pStyle w:val="Heading2"/>
        <w:spacing w:after="140" w:before="280"/>
      </w:pPr>
      <w:bookmarkStart w:id="100005" w:name="_Toc100005"/>
      <w:r>
        <w:rPr>
          <w:rFonts w:ascii="Calibri"/>
          <w:b/>
          <w:bCs/>
          <w:color w:val="162235"/>
          <w:sz w:val="28"/>
          <w:szCs w:val="28"/>
        </w:rPr>
        <w:t xml:space="preserve">2.1 Backend: Render (Free Tier)</w:t>
      </w:r>
      <w:bookmarkEnd w:id="100005"/>
    </w:p>
    <w:p>
      <w:pPr>
        <w:spacing w:after="120" w:line="312"/>
      </w:pPr>
      <w:r>
        <w:rPr>
          <w:rFonts w:ascii="Calibri"/>
          <w:color w:val="000000"/>
          <w:sz w:val="24"/>
          <w:szCs w:val="24"/>
        </w:rPr>
        <w:t xml:space="preserve">The API backend is a single-file Python application (kristo_api.py, 611 lines) deployed on Render's free tier. It uses FastAPI with uvicorn as the ASGI server. The Dockerfile uses python:3.11-slim as the base image. Dependencies are minimal: fastapi, uvicorn, and httpx. Critically, the application does NOT use the web3.py library - all blockchain interactions are done via raw JSON-RPC calls through httpx, making it deployable on any platform without special Ethereum library dependencies.</w:t>
      </w:r>
    </w:p>
    <w:p>
      <w:pPr>
        <w:spacing w:after="120" w:line="312"/>
      </w:pPr>
      <w:r>
        <w:rPr>
          <w:rFonts w:ascii="Calibri"/>
          <w:color w:val="000000"/>
          <w:sz w:val="24"/>
          <w:szCs w:val="24"/>
        </w:rPr>
        <w:t xml:space="preserve">The Render free tier has a significant limitation: the service sleeps after 15 minutes of inactivity. This means the first request after a period of inactivity will experience a cold start delay of 30-60 seconds. For a paid API service, this is a critical reliability issue. There is a keepalive mechanism discussed in the dashboard code, but it requires the dashboard to be actively open in a browser to ping the API periodically. The deployment URL is https://kristo-travel-api.onrender.com/ and the root directory for Render is scripts/deploy-ready/.</w:t>
      </w:r>
    </w:p>
    <w:p>
      <w:pPr>
        <w:spacing w:after="120" w:line="312"/>
      </w:pPr>
      <w:r>
        <w:rPr>
          <w:rFonts w:ascii="Calibri"/>
          <w:color w:val="000000"/>
          <w:sz w:val="24"/>
          <w:szCs w:val="24"/>
        </w:rPr>
        <w:t xml:space="preserve">Deployment files include: Dockerfile (python:3.11-slim, exposes port 8000), render.yaml (Render service configuration), docker-compose.yml (for local testing), railway.json (alternative deployment config for Railway platform), and requirements.txt (fastapi&gt;=0.115.0, uvicorn[standard]&gt;=0.30.0, httpx&gt;=0.27.0). The GitHub repository is hristovdimitri2-hub/kristo-travel-api and pushes to the main branch trigger automatic redeployment on Render.</w:t>
      </w:r>
    </w:p>
    <w:p>
      <w:pPr>
        <w:pStyle w:val="Heading2"/>
        <w:spacing w:after="140" w:before="280"/>
      </w:pPr>
      <w:bookmarkStart w:id="100006" w:name="_Toc100006"/>
      <w:r>
        <w:rPr>
          <w:rFonts w:ascii="Calibri"/>
          <w:b/>
          <w:bCs/>
          <w:color w:val="162235"/>
          <w:sz w:val="28"/>
          <w:szCs w:val="28"/>
        </w:rPr>
        <w:t xml:space="preserve">2.2 Frontend Dashboard: Vercel (Free Tier)</w:t>
      </w:r>
      <w:bookmarkEnd w:id="100006"/>
    </w:p>
    <w:p>
      <w:pPr>
        <w:spacing w:after="120" w:line="312"/>
      </w:pPr>
      <w:r>
        <w:rPr>
          <w:rFonts w:ascii="Calibri"/>
          <w:color w:val="000000"/>
          <w:sz w:val="24"/>
          <w:szCs w:val="24"/>
        </w:rPr>
        <w:t xml:space="preserve">The monitoring dashboard is a Next.js application deployed on Vercel at https://kristo-travel-dashboard.vercel.app. It is a single-page application (page.tsx, approximately 1500+ lines of React/TypeScript) built with shadcn/ui components and Tailwind CSS. The dashboard provides: real-time health monitoring (API status, Web3 connection, current block number), payment flow testing (connect wallet, send USDC, fetch data), live data preview for all 6 endpoints, and sales monitoring.</w:t>
      </w:r>
    </w:p>
    <w:p>
      <w:pPr>
        <w:spacing w:after="120" w:line="312"/>
      </w:pPr>
      <w:r>
        <w:rPr>
          <w:rFonts w:ascii="Calibri"/>
          <w:color w:val="000000"/>
          <w:sz w:val="24"/>
          <w:szCs w:val="24"/>
        </w:rPr>
        <w:t xml:space="preserve">The dashboard communicates with the Render API directly from the browser (CORS is enabled on the API). It features a DynamicDataDisplay component that provides unique rich visualizations for each endpoint type: DeFi yield cards with APY/TVL, TVL mover tables with 1d/7d/30d changes, token price tables with 24h change indicators, wallet profile cards with balance breakdown and risk classification, whale transfer lists with Basescan links, and gas oracle displays with transaction cost estimates and recommendations.</w:t>
      </w:r>
    </w:p>
    <w:p>
      <w:pPr>
        <w:pStyle w:val="Heading2"/>
        <w:spacing w:after="140" w:before="280"/>
      </w:pPr>
      <w:bookmarkStart w:id="100007" w:name="_Toc100007"/>
      <w:r>
        <w:rPr>
          <w:rFonts w:ascii="Calibri"/>
          <w:b/>
          <w:bCs/>
          <w:color w:val="162235"/>
          <w:sz w:val="28"/>
          <w:szCs w:val="28"/>
        </w:rPr>
        <w:t xml:space="preserve">2.3 Blockchain: Base Network</w:t>
      </w:r>
      <w:bookmarkEnd w:id="100007"/>
    </w:p>
    <w:p>
      <w:pPr>
        <w:spacing w:after="120" w:line="312"/>
      </w:pPr>
      <w:r>
        <w:rPr>
          <w:rFonts w:ascii="Calibri"/>
          <w:color w:val="000000"/>
          <w:sz w:val="24"/>
          <w:szCs w:val="24"/>
        </w:rPr>
        <w:t xml:space="preserve">All on-chain operations use the Base network (Chain ID: 8453, hex 0x2105), Coinbase's Layer 2 blockchain built on Optimism. The payment token is USDC (contract: 0x833589fCD6eDb6E08f4c7C32D4f71b54bdA02913) with 6 decimals. The price per API call is 0.25 USDC, which equals 250,000 raw units. The recipient wallet is 0xd4cdA980839C8FED4374EE37EA8DBE8c4ECfd88f. The public Base RPC endpoint (https://mainnet.base.org) is used for all blockchain queries.</w:t>
      </w:r>
    </w:p>
    <w:p>
      <w:pPr>
        <w:pStyle w:val="Heading1"/>
        <w:spacing w:after="200" w:before="360"/>
      </w:pPr>
      <w:bookmarkStart w:id="100008" w:name="_Toc100008"/>
      <w:r>
        <w:rPr>
          <w:rFonts w:ascii="Calibri"/>
          <w:b/>
          <w:bCs/>
          <w:color w:val="162235"/>
          <w:sz w:val="32"/>
          <w:szCs w:val="32"/>
        </w:rPr>
        <w:t xml:space="preserve">3. API Endpoints - Detailed Specification</w:t>
      </w:r>
      <w:bookmarkEnd w:id="100008"/>
    </w:p>
    <w:p>
      <w:pPr>
        <w:pStyle w:val="Heading2"/>
        <w:spacing w:after="140" w:before="280"/>
      </w:pPr>
      <w:bookmarkStart w:id="100009" w:name="_Toc100009"/>
      <w:r>
        <w:rPr>
          <w:rFonts w:ascii="Calibri"/>
          <w:b/>
          <w:bCs/>
          <w:color w:val="162235"/>
          <w:sz w:val="28"/>
          <w:szCs w:val="28"/>
        </w:rPr>
        <w:t xml:space="preserve">3.1 Free Endpoints</w:t>
      </w:r>
      <w:bookmarkEnd w:id="100009"/>
    </w:p>
    <w:p>
      <w:pPr>
        <w:spacing w:after="120" w:line="312"/>
      </w:pPr>
      <w:r>
        <w:rPr>
          <w:rFonts w:ascii="Calibri"/>
          <w:color w:val="000000"/>
          <w:sz w:val="24"/>
          <w:szCs w:val="24"/>
        </w:rPr>
        <w:t xml:space="preserve">The API provides 4 free endpoints that do not require payment. These serve as health checks, service discovery, and sales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W w:type="dxa" w:w="2929"/>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Endpoint</w:t>
            </w:r>
          </w:p>
        </w:tc>
        <w:tc>
          <w:tcPr>
            <w:tcW w:type="dxa" w:w="2929"/>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Method</w:t>
            </w:r>
          </w:p>
        </w:tc>
        <w:tc>
          <w:tcPr>
            <w:tcW w:type="dxa" w:w="2929"/>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Description</w:t>
            </w:r>
          </w:p>
        </w:tc>
      </w:tr>
      <w:tr>
        <w:trPr>
          <w:cantSplit/>
        </w:trPr>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GET</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Root endpoint. Returns service metadata, version, pricing info, and list of all 6 paid endpoints with descriptions.</w:t>
            </w:r>
          </w:p>
        </w:tc>
      </w:tr>
      <w:tr>
        <w:trPr>
          <w:cantSplit/>
        </w:trPr>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/health</w:t>
            </w:r>
          </w:p>
        </w:tc>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GET</w:t>
            </w:r>
          </w:p>
        </w:tc>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Health check. Returns API status, Web3 connectivity, wallet address, network, RPC URL, and current block number.</w:t>
            </w:r>
          </w:p>
        </w:tc>
      </w:tr>
      <w:tr>
        <w:trPr>
          <w:cantSplit/>
        </w:trPr>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/sales/recent</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GET</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Returns total sales count and the last 10 sales transactions (in-memory, lost on restart).</w:t>
            </w:r>
          </w:p>
        </w:tc>
      </w:tr>
      <w:tr>
        <w:trPr>
          <w:cantSplit/>
        </w:trPr>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/openapi.json</w:t>
            </w:r>
          </w:p>
        </w:tc>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GET</w:t>
            </w:r>
          </w:p>
        </w:tc>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Custom OpenAPI 3.1.0 spec with x402 pricing metadata, designed for marketplace import on relai.fi.</w:t>
            </w:r>
          </w:p>
        </w:tc>
      </w:tr>
    </w:tbl>
    <w:p>
      <w:pPr>
        <w:pStyle w:val="Heading2"/>
        <w:spacing w:after="140" w:before="280"/>
      </w:pPr>
      <w:bookmarkStart w:id="100010" w:name="_Toc100010"/>
      <w:r>
        <w:rPr>
          <w:rFonts w:ascii="Calibri"/>
          <w:b/>
          <w:bCs/>
          <w:color w:val="162235"/>
          <w:sz w:val="28"/>
          <w:szCs w:val="28"/>
        </w:rPr>
        <w:t xml:space="preserve">3.2 Paid Endpoints - DeFi Intelligence</w:t>
      </w:r>
      <w:bookmarkEnd w:id="100010"/>
    </w:p>
    <w:p>
      <w:pPr>
        <w:pStyle w:val="Heading3"/>
        <w:spacing w:after="100" w:before="200"/>
      </w:pPr>
      <w:bookmarkStart w:id="100011" w:name="_Toc100011"/>
      <w:r>
        <w:rPr>
          <w:rFonts w:ascii="Calibri"/>
          <w:b/>
          <w:bCs/>
          <w:color w:val="162235"/>
          <w:sz w:val="24"/>
          <w:szCs w:val="24"/>
        </w:rPr>
        <w:t xml:space="preserve">3.2.1 /defi/yields</w:t>
      </w:r>
      <w:bookmarkEnd w:id="100011"/>
    </w:p>
    <w:p>
      <w:pPr>
        <w:spacing w:after="120" w:line="312"/>
      </w:pPr>
      <w:r>
        <w:rPr>
          <w:rFonts w:ascii="Calibri"/>
          <w:color w:val="000000"/>
          <w:sz w:val="24"/>
          <w:szCs w:val="24"/>
        </w:rPr>
        <w:t xml:space="preserve">Returns the top 10 Base-chain DeFi yield pools sorted by TVL (Total Value Locked) in descending order. Data source: DefiLlama (yields.llama.fi/pools). The endpoint fetches all pools, filters for Base chain, sorts by TVL, and returns the top 10. Each pool entry includes: pool symbol, project name, chain, TVL in USD, APY percentage (total, base, and reward components), underlying token addresses, and reward token addresses. Uses 5-minute TTL cache. On cache miss failure, serves stale data to avoid failing paid requests. This endpoint is valuable for AI agents that need to find the best yield farming opportunities on Base.</w:t>
      </w:r>
    </w:p>
    <w:p>
      <w:pPr>
        <w:pStyle w:val="Heading3"/>
        <w:spacing w:after="100" w:before="200"/>
      </w:pPr>
      <w:bookmarkStart w:id="100012" w:name="_Toc100012"/>
      <w:r>
        <w:rPr>
          <w:rFonts w:ascii="Calibri"/>
          <w:b/>
          <w:bCs/>
          <w:color w:val="162235"/>
          <w:sz w:val="24"/>
          <w:szCs w:val="24"/>
        </w:rPr>
        <w:t xml:space="preserve">3.2.2 /defi/tvl-movers</w:t>
      </w:r>
      <w:bookmarkEnd w:id="100012"/>
    </w:p>
    <w:p>
      <w:pPr>
        <w:spacing w:after="120" w:line="312"/>
      </w:pPr>
      <w:r>
        <w:rPr>
          <w:rFonts w:ascii="Calibri"/>
          <w:color w:val="000000"/>
          <w:sz w:val="24"/>
          <w:szCs w:val="24"/>
        </w:rPr>
        <w:t xml:space="preserve">Returns Base-chain DeFi protocols with the biggest TVL changes, sorted by absolute 1-day change in either direction. Data source: DefiLlama (api.llama.fi/protocols). The endpoint fetches all protocols, filters for those active on Base, and sorts by the absolute value of their 1-day TVL change. Returns up to 15 protocols with: protocol name, category, chains, total TVL, Base-specific TVL, 1d/7d/30d percentage changes, market cap, and token symbol. Uses 5-minute TTL cache. This endpoint helps AI agents identify rapidly growing or shrinking protocols, which can signal investment opportunities or risks.</w:t>
      </w:r>
    </w:p>
    <w:p>
      <w:pPr>
        <w:pStyle w:val="Heading2"/>
        <w:spacing w:after="140" w:before="280"/>
      </w:pPr>
      <w:bookmarkStart w:id="100013" w:name="_Toc100013"/>
      <w:r>
        <w:rPr>
          <w:rFonts w:ascii="Calibri"/>
          <w:b/>
          <w:bCs/>
          <w:color w:val="162235"/>
          <w:sz w:val="28"/>
          <w:szCs w:val="28"/>
        </w:rPr>
        <w:t xml:space="preserve">3.3 Paid Endpoints - Crypto Intelligence</w:t>
      </w:r>
      <w:bookmarkEnd w:id="100013"/>
    </w:p>
    <w:p>
      <w:pPr>
        <w:pStyle w:val="Heading3"/>
        <w:spacing w:after="100" w:before="200"/>
      </w:pPr>
      <w:bookmarkStart w:id="100014" w:name="_Toc100014"/>
      <w:r>
        <w:rPr>
          <w:rFonts w:ascii="Calibri"/>
          <w:b/>
          <w:bCs/>
          <w:color w:val="162235"/>
          <w:sz w:val="24"/>
          <w:szCs w:val="24"/>
        </w:rPr>
        <w:t xml:space="preserve">3.3.1 /crypto/token-prices</w:t>
      </w:r>
      <w:bookmarkEnd w:id="100014"/>
    </w:p>
    <w:p>
      <w:pPr>
        <w:spacing w:after="120" w:line="312"/>
      </w:pPr>
      <w:r>
        <w:rPr>
          <w:rFonts w:ascii="Calibri"/>
          <w:color w:val="000000"/>
          <w:sz w:val="24"/>
          <w:szCs w:val="24"/>
        </w:rPr>
        <w:t xml:space="preserve">Returns real-time token prices in USD with 24-hour change percentage and market capitalization. Data source: CoinGecko (api.coingecko.com/api/v3/simple/price). Accepts an optional query parameter 'tokens' with comma-separated token symbols (e.g., ETH,USDC,WETH,BASE). Default tokens are ETH, USDC, WETH, BASE. The endpoint maintains an internal mapping of 12 common Base tokens to CoinGecko IDs. Unknown symbols are passed through as potential CoinGecko IDs. Returns each token's symbol, CoinGecko ID, USD price, 24h change percentage, and market cap. Uses 60-second TTL cache. This is the most generally useful endpoint for any AI agent needing current crypto price data.</w:t>
      </w:r>
    </w:p>
    <w:p>
      <w:pPr>
        <w:pStyle w:val="Heading3"/>
        <w:spacing w:after="100" w:before="200"/>
      </w:pPr>
      <w:bookmarkStart w:id="100015" w:name="_Toc100015"/>
      <w:r>
        <w:rPr>
          <w:rFonts w:ascii="Calibri"/>
          <w:b/>
          <w:bCs/>
          <w:color w:val="162235"/>
          <w:sz w:val="24"/>
          <w:szCs w:val="24"/>
        </w:rPr>
        <w:t xml:space="preserve">3.3.2 /crypto/wallet-profile</w:t>
      </w:r>
      <w:bookmarkEnd w:id="100015"/>
    </w:p>
    <w:p>
      <w:pPr>
        <w:spacing w:after="120" w:line="312"/>
      </w:pPr>
      <w:r>
        <w:rPr>
          <w:rFonts w:ascii="Calibri"/>
          <w:color w:val="000000"/>
          <w:sz w:val="24"/>
          <w:szCs w:val="24"/>
        </w:rPr>
        <w:t xml:space="preserve">Performs real-time on-chain wallet analysis on Base. Accepts a required query parameter 'address' (any Ethereum/Base wallet address). Uses raw JSON-RPC calls to Base to fetch: ETH balance, USDC balance (ERC-20), WETH balance (ERC-20), USDC transfer logs (outgoing and incoming) over the last 500 blocks, and transaction count. Classifies wallets into risk profiles based on activity: whale_institutional (&gt;100K USD volume), high_value_trader (&gt;10K), active_trader (&gt;1K), active_user (&gt;50 txns), retail_holder (any balance), or minimal_activity. All data is fetched live from the blockchain with no caching. This endpoint provides instant wallet intelligence for AI agents evaluating counterparty risk or analyzing wallet behavior.</w:t>
      </w:r>
    </w:p>
    <w:p>
      <w:pPr>
        <w:pStyle w:val="Heading3"/>
        <w:spacing w:after="100" w:before="200"/>
      </w:pPr>
      <w:bookmarkStart w:id="100016" w:name="_Toc100016"/>
      <w:r>
        <w:rPr>
          <w:rFonts w:ascii="Calibri"/>
          <w:b/>
          <w:bCs/>
          <w:color w:val="162235"/>
          <w:sz w:val="24"/>
          <w:szCs w:val="24"/>
        </w:rPr>
        <w:t xml:space="preserve">3.3.3 /crypto/whale-moves</w:t>
      </w:r>
      <w:bookmarkEnd w:id="100016"/>
    </w:p>
    <w:p>
      <w:pPr>
        <w:spacing w:after="120" w:line="312"/>
      </w:pPr>
      <w:r>
        <w:rPr>
          <w:rFonts w:ascii="Calibri"/>
          <w:color w:val="000000"/>
          <w:sz w:val="24"/>
          <w:szCs w:val="24"/>
        </w:rPr>
        <w:t xml:space="preserve">Tracks large USDC transfers on Base by scanning Transfer event logs. Accepts an optional query parameter 'min_usdc' (default: 1000) to set the minimum transfer amount that qualifies as a whale move. Scans the last 500 blocks for USDC Transfer events, filters by amount threshold, and returns up to 50 transfers sorted by amount descending. Each transfer includes: transaction hash, sender address, receiver address, USDC amount, and block number. Also returns aggregate stats: total transfers found, total USDC moved, and the current block number. All data is live from the blockchain. This endpoint is essential for AI agents monitoring whale activity for trading signals or risk assessment.</w:t>
      </w:r>
    </w:p>
    <w:p>
      <w:pPr>
        <w:pStyle w:val="Heading3"/>
        <w:spacing w:after="100" w:before="200"/>
      </w:pPr>
      <w:bookmarkStart w:id="100017" w:name="_Toc100017"/>
      <w:r>
        <w:rPr>
          <w:rFonts w:ascii="Calibri"/>
          <w:b/>
          <w:bCs/>
          <w:color w:val="162235"/>
          <w:sz w:val="24"/>
          <w:szCs w:val="24"/>
        </w:rPr>
        <w:t xml:space="preserve">3.3.4 /crypto/gas-oracle</w:t>
      </w:r>
      <w:bookmarkEnd w:id="100017"/>
    </w:p>
    <w:p>
      <w:pPr>
        <w:spacing w:after="120" w:line="312"/>
      </w:pPr>
      <w:r>
        <w:rPr>
          <w:rFonts w:ascii="Calibri"/>
          <w:color w:val="000000"/>
          <w:sz w:val="24"/>
          <w:szCs w:val="24"/>
        </w:rPr>
        <w:t xml:space="preserve">Returns the current Base network gas price with estimated transaction costs for common operation types. Uses eth_gasPrice RPC call to get the current gas price in Gwei. Calculates estimated gas costs in Gwei for: ETH transfer (21,000 gas), USDC transfer (65,000 gas), DEX swap (180,000 gas), and contract call (200,000 gas). Includes a recommendation field: 'low' (gas &lt; 0.05 Gwei), 'medium' (0.05-0.2 Gwei), or 'high' (&gt;0.2 Gwei). Also returns the current block number. All data is live. This endpoint helps AI agents optimize transaction timing and cost estimation on Base.</w:t>
      </w:r>
    </w:p>
    <w:p>
      <w:pPr>
        <w:pStyle w:val="Heading1"/>
        <w:spacing w:after="200" w:before="360"/>
      </w:pPr>
      <w:bookmarkStart w:id="100018" w:name="_Toc100018"/>
      <w:r>
        <w:rPr>
          <w:rFonts w:ascii="Calibri"/>
          <w:b/>
          <w:bCs/>
          <w:color w:val="162235"/>
          <w:sz w:val="32"/>
          <w:szCs w:val="32"/>
        </w:rPr>
        <w:t xml:space="preserve">4. Payment System Architecture</w:t>
      </w:r>
      <w:bookmarkEnd w:id="100018"/>
    </w:p>
    <w:p>
      <w:pPr>
        <w:pStyle w:val="Heading2"/>
        <w:spacing w:after="140" w:before="280"/>
      </w:pPr>
      <w:bookmarkStart w:id="100019" w:name="_Toc100019"/>
      <w:r>
        <w:rPr>
          <w:rFonts w:ascii="Calibri"/>
          <w:b/>
          <w:bCs/>
          <w:color w:val="162235"/>
          <w:sz w:val="28"/>
          <w:szCs w:val="28"/>
        </w:rPr>
        <w:t xml:space="preserve">4.1 Payment Flow</w:t>
      </w:r>
      <w:bookmarkEnd w:id="100019"/>
    </w:p>
    <w:p>
      <w:pPr>
        <w:spacing w:after="120" w:line="312"/>
      </w:pPr>
      <w:r>
        <w:rPr>
          <w:rFonts w:ascii="Calibri"/>
          <w:color w:val="000000"/>
          <w:sz w:val="24"/>
          <w:szCs w:val="24"/>
        </w:rPr>
        <w:t xml:space="preserve">The payment system follows the x402 protocol with a 3-step flow. Step 1 (Discovery): The AI agent calls a paid endpoint without any payment header. The API responds with HTTP 402 and includes an X-PAYMENT-REQUIRED header containing a JSON payload that specifies: x402_version (1), scheme (exact), network (base), asset (USDC), amount (0.25), payTo (wallet address), and a human-readable description. Step 2 (Payment): The agent constructs an ERC-20 USDC transfer transaction on Base, sending exactly 0.25 USDC (250,000 raw units) to the specified wallet address, and waits for confirmation. Step 3 (Redemption): The agent retries the original API call, this time including an X-PAYMENT header with the transaction hash. The API verifies the transaction on-chain and returns the requested data.</w:t>
      </w:r>
    </w:p>
    <w:p>
      <w:pPr>
        <w:pStyle w:val="Heading2"/>
        <w:spacing w:after="140" w:before="280"/>
      </w:pPr>
      <w:bookmarkStart w:id="100020" w:name="_Toc100020"/>
      <w:r>
        <w:rPr>
          <w:rFonts w:ascii="Calibri"/>
          <w:b/>
          <w:bCs/>
          <w:color w:val="162235"/>
          <w:sz w:val="28"/>
          <w:szCs w:val="28"/>
        </w:rPr>
        <w:t xml:space="preserve">4.2 On-Chain Payment Verification</w:t>
      </w:r>
      <w:bookmarkEnd w:id="100020"/>
    </w:p>
    <w:p>
      <w:pPr>
        <w:spacing w:after="120" w:line="312"/>
      </w:pPr>
      <w:r>
        <w:rPr>
          <w:rFonts w:ascii="Calibri"/>
          <w:color w:val="000000"/>
          <w:sz w:val="24"/>
          <w:szCs w:val="24"/>
        </w:rPr>
        <w:t xml:space="preserve">The verify_payment() function performs the following checks in order: (1) Validates the transaction hash format (must be 66 hex chars with 0x prefix). (2) Checks the replay protection set - if the transaction was already used, it is rejected. (3) Fetches the transaction receipt via eth_getTransactionReceipt RPC call. (4) Verifies the transaction was successful (status = 0x1). (5) Iterates through all logs in the receipt, looking for USDC Transfer events matching the keccak256 topic. (6) For each matching Transfer event, checks that the recipient (to address) matches the API wallet. (7) Verifies the transfer amount is exactly 250,000 raw units (0.25 USDC with 6 decimals). If all checks pass, the transaction hash is added to the used_transactions set and the sale is logged.</w:t>
      </w:r>
    </w:p>
    <w:p>
      <w:pPr>
        <w:pStyle w:val="Heading2"/>
        <w:spacing w:after="140" w:before="280"/>
      </w:pPr>
      <w:bookmarkStart w:id="100021" w:name="_Toc100021"/>
      <w:r>
        <w:rPr>
          <w:rFonts w:ascii="Calibri"/>
          <w:b/>
          <w:bCs/>
          <w:color w:val="162235"/>
          <w:sz w:val="28"/>
          <w:szCs w:val="28"/>
        </w:rPr>
        <w:t xml:space="preserve">4.3 Security Considerations</w:t>
      </w:r>
      <w:bookmarkEnd w:id="100021"/>
    </w:p>
    <w:p>
      <w:pPr>
        <w:spacing w:after="120" w:line="312"/>
      </w:pPr>
      <w:r>
        <w:rPr>
          <w:rFonts w:ascii="Calibri"/>
          <w:color w:val="000000"/>
          <w:sz w:val="24"/>
          <w:szCs w:val="24"/>
        </w:rPr>
        <w:t xml:space="preserve">The current implementation has several security characteristics worth noting. The used_transactions set is in-memory only, meaning it resets on server restart - this allows replay of previously used transaction hashes after a restart. The sales_log is also in-memory only, meaning all sales history is lost on restart. There is no rate limiting on endpoints. The API accepts payments from any wallet address (no whitelist). The payment verification is strict: the exact amount must match (no partial payments, no overpayments). The Transfer event topic is hardcoded as the keccak256 hash of the Transfer(address,address,uint256) event signature. These are acceptable trade-offs for the current stage but would need to be addressed for production scale.</w:t>
      </w:r>
    </w:p>
    <w:p>
      <w:pPr>
        <w:pStyle w:val="Heading1"/>
        <w:spacing w:after="200" w:before="360"/>
      </w:pPr>
      <w:bookmarkStart w:id="100022" w:name="_Toc100022"/>
      <w:r>
        <w:rPr>
          <w:rFonts w:ascii="Calibri"/>
          <w:b/>
          <w:bCs/>
          <w:color w:val="162235"/>
          <w:sz w:val="32"/>
          <w:szCs w:val="32"/>
        </w:rPr>
        <w:t xml:space="preserve">5. Data Sources and Caching Strategy</w:t>
      </w:r>
      <w:bookmarkEnd w:id="100022"/>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cantSplit/>
          <w:tblHeader/>
        </w:trPr>
        <w:tc>
          <w:tcPr>
            <w:tcW w:type="dxa" w:w="175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Data Source</w:t>
            </w:r>
          </w:p>
        </w:tc>
        <w:tc>
          <w:tcPr>
            <w:tcW w:type="dxa" w:w="175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URL</w:t>
            </w:r>
          </w:p>
        </w:tc>
        <w:tc>
          <w:tcPr>
            <w:tcW w:type="dxa" w:w="175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Auth Required</w:t>
            </w:r>
          </w:p>
        </w:tc>
        <w:tc>
          <w:tcPr>
            <w:tcW w:type="dxa" w:w="175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Cache TTL</w:t>
            </w:r>
          </w:p>
        </w:tc>
        <w:tc>
          <w:tcPr>
            <w:tcW w:type="dxa" w:w="175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Used By</w:t>
            </w:r>
          </w:p>
        </w:tc>
      </w:tr>
      <w:tr>
        <w:trPr>
          <w:cantSplit/>
        </w:trPr>
        <w:tc>
          <w:tcPr>
            <w:tcW w:type="dxa" w:w="1757"/>
            <w:tcBorders>
              <w:top w:val="single" w:color="C8DDE2" w:sz="1"/>
              <w:left w:val="none"/>
              <w:bottom w:val="single" w:color="C8DDE2" w:sz="1"/>
              <w:right w:val="none"/>
            </w:tcBorders>
          </w:tcPr>
          <w:p>
            <w:pPr>
              <w:spacing w:after="30" w:before="30"/>
            </w:pPr>
            <w:r>
              <w:rPr>
                <w:rFonts w:ascii="Calibri"/>
                <w:color w:val="000000"/>
                <w:sz w:val="20"/>
                <w:szCs w:val="20"/>
              </w:rPr>
              <w:t xml:space="preserve">Base RPC</w:t>
            </w:r>
          </w:p>
        </w:tc>
        <w:tc>
          <w:tcPr>
            <w:tcW w:type="dxa" w:w="1757"/>
            <w:tcBorders>
              <w:top w:val="single" w:color="C8DDE2" w:sz="1"/>
              <w:left w:val="none"/>
              <w:bottom w:val="single" w:color="C8DDE2" w:sz="1"/>
              <w:right w:val="none"/>
            </w:tcBorders>
          </w:tcPr>
          <w:p>
            <w:pPr>
              <w:spacing w:after="30" w:before="30"/>
            </w:pPr>
            <w:r>
              <w:rPr>
                <w:rFonts w:ascii="Calibri"/>
                <w:color w:val="000000"/>
                <w:sz w:val="20"/>
                <w:szCs w:val="20"/>
              </w:rPr>
              <w:t xml:space="preserve">mainnet.base.org</w:t>
            </w:r>
          </w:p>
        </w:tc>
        <w:tc>
          <w:tcPr>
            <w:tcW w:type="dxa" w:w="1757"/>
            <w:tcBorders>
              <w:top w:val="single" w:color="C8DDE2" w:sz="1"/>
              <w:left w:val="none"/>
              <w:bottom w:val="single" w:color="C8DDE2" w:sz="1"/>
              <w:right w:val="none"/>
            </w:tcBorders>
          </w:tcPr>
          <w:p>
            <w:pPr>
              <w:spacing w:after="30" w:before="30"/>
            </w:pPr>
            <w:r>
              <w:rPr>
                <w:rFonts w:ascii="Calibri"/>
                <w:color w:val="000000"/>
                <w:sz w:val="20"/>
                <w:szCs w:val="20"/>
              </w:rPr>
              <w:t xml:space="preserve">No</w:t>
            </w:r>
          </w:p>
        </w:tc>
        <w:tc>
          <w:tcPr>
            <w:tcW w:type="dxa" w:w="1757"/>
            <w:tcBorders>
              <w:top w:val="single" w:color="C8DDE2" w:sz="1"/>
              <w:left w:val="none"/>
              <w:bottom w:val="single" w:color="C8DDE2" w:sz="1"/>
              <w:right w:val="none"/>
            </w:tcBorders>
          </w:tcPr>
          <w:p>
            <w:pPr>
              <w:spacing w:after="30" w:before="30"/>
            </w:pPr>
            <w:r>
              <w:rPr>
                <w:rFonts w:ascii="Calibri"/>
                <w:color w:val="000000"/>
                <w:sz w:val="20"/>
                <w:szCs w:val="20"/>
              </w:rPr>
              <w:t xml:space="preserve">None (live)</w:t>
            </w:r>
          </w:p>
        </w:tc>
        <w:tc>
          <w:tcPr>
            <w:tcW w:type="dxa" w:w="1757"/>
            <w:tcBorders>
              <w:top w:val="single" w:color="C8DDE2" w:sz="1"/>
              <w:left w:val="none"/>
              <w:bottom w:val="single" w:color="C8DDE2" w:sz="1"/>
              <w:right w:val="none"/>
            </w:tcBorders>
          </w:tcPr>
          <w:p>
            <w:pPr>
              <w:spacing w:after="30" w:before="30"/>
            </w:pPr>
            <w:r>
              <w:rPr>
                <w:rFonts w:ascii="Calibri"/>
                <w:color w:val="000000"/>
                <w:sz w:val="20"/>
                <w:szCs w:val="20"/>
              </w:rPr>
              <w:t xml:space="preserve">wallet-profile, whale-moves, gas-oracle</w:t>
            </w:r>
          </w:p>
        </w:tc>
      </w:tr>
      <w:tr>
        <w:trPr>
          <w:cantSplit/>
        </w:trPr>
        <w:tc>
          <w:tcPr>
            <w:tcW w:type="dxa" w:w="175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DefiLlama Yields</w:t>
            </w:r>
          </w:p>
        </w:tc>
        <w:tc>
          <w:tcPr>
            <w:tcW w:type="dxa" w:w="175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yields.llama.fi/pools</w:t>
            </w:r>
          </w:p>
        </w:tc>
        <w:tc>
          <w:tcPr>
            <w:tcW w:type="dxa" w:w="175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No</w:t>
            </w:r>
          </w:p>
        </w:tc>
        <w:tc>
          <w:tcPr>
            <w:tcW w:type="dxa" w:w="175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5 minutes</w:t>
            </w:r>
          </w:p>
        </w:tc>
        <w:tc>
          <w:tcPr>
            <w:tcW w:type="dxa" w:w="175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defi/yields</w:t>
            </w:r>
          </w:p>
        </w:tc>
      </w:tr>
      <w:tr>
        <w:trPr>
          <w:cantSplit/>
        </w:trPr>
        <w:tc>
          <w:tcPr>
            <w:tcW w:type="dxa" w:w="1757"/>
            <w:tcBorders>
              <w:top w:val="single" w:color="C8DDE2" w:sz="1"/>
              <w:left w:val="none"/>
              <w:bottom w:val="single" w:color="C8DDE2" w:sz="1"/>
              <w:right w:val="none"/>
            </w:tcBorders>
          </w:tcPr>
          <w:p>
            <w:pPr>
              <w:spacing w:after="30" w:before="30"/>
            </w:pPr>
            <w:r>
              <w:rPr>
                <w:rFonts w:ascii="Calibri"/>
                <w:color w:val="000000"/>
                <w:sz w:val="20"/>
                <w:szCs w:val="20"/>
              </w:rPr>
              <w:t xml:space="preserve">DefiLama Protocols</w:t>
            </w:r>
          </w:p>
        </w:tc>
        <w:tc>
          <w:tcPr>
            <w:tcW w:type="dxa" w:w="1757"/>
            <w:tcBorders>
              <w:top w:val="single" w:color="C8DDE2" w:sz="1"/>
              <w:left w:val="none"/>
              <w:bottom w:val="single" w:color="C8DDE2" w:sz="1"/>
              <w:right w:val="none"/>
            </w:tcBorders>
          </w:tcPr>
          <w:p>
            <w:pPr>
              <w:spacing w:after="30" w:before="30"/>
            </w:pPr>
            <w:r>
              <w:rPr>
                <w:rFonts w:ascii="Calibri"/>
                <w:color w:val="000000"/>
                <w:sz w:val="20"/>
                <w:szCs w:val="20"/>
              </w:rPr>
              <w:t xml:space="preserve">api.llama.fi/protocols</w:t>
            </w:r>
          </w:p>
        </w:tc>
        <w:tc>
          <w:tcPr>
            <w:tcW w:type="dxa" w:w="1757"/>
            <w:tcBorders>
              <w:top w:val="single" w:color="C8DDE2" w:sz="1"/>
              <w:left w:val="none"/>
              <w:bottom w:val="single" w:color="C8DDE2" w:sz="1"/>
              <w:right w:val="none"/>
            </w:tcBorders>
          </w:tcPr>
          <w:p>
            <w:pPr>
              <w:spacing w:after="30" w:before="30"/>
            </w:pPr>
            <w:r>
              <w:rPr>
                <w:rFonts w:ascii="Calibri"/>
                <w:color w:val="000000"/>
                <w:sz w:val="20"/>
                <w:szCs w:val="20"/>
              </w:rPr>
              <w:t xml:space="preserve">No</w:t>
            </w:r>
          </w:p>
        </w:tc>
        <w:tc>
          <w:tcPr>
            <w:tcW w:type="dxa" w:w="1757"/>
            <w:tcBorders>
              <w:top w:val="single" w:color="C8DDE2" w:sz="1"/>
              <w:left w:val="none"/>
              <w:bottom w:val="single" w:color="C8DDE2" w:sz="1"/>
              <w:right w:val="none"/>
            </w:tcBorders>
          </w:tcPr>
          <w:p>
            <w:pPr>
              <w:spacing w:after="30" w:before="30"/>
            </w:pPr>
            <w:r>
              <w:rPr>
                <w:rFonts w:ascii="Calibri"/>
                <w:color w:val="000000"/>
                <w:sz w:val="20"/>
                <w:szCs w:val="20"/>
              </w:rPr>
              <w:t xml:space="preserve">5 minutes</w:t>
            </w:r>
          </w:p>
        </w:tc>
        <w:tc>
          <w:tcPr>
            <w:tcW w:type="dxa" w:w="1757"/>
            <w:tcBorders>
              <w:top w:val="single" w:color="C8DDE2" w:sz="1"/>
              <w:left w:val="none"/>
              <w:bottom w:val="single" w:color="C8DDE2" w:sz="1"/>
              <w:right w:val="none"/>
            </w:tcBorders>
          </w:tcPr>
          <w:p>
            <w:pPr>
              <w:spacing w:after="30" w:before="30"/>
            </w:pPr>
            <w:r>
              <w:rPr>
                <w:rFonts w:ascii="Calibri"/>
                <w:color w:val="000000"/>
                <w:sz w:val="20"/>
                <w:szCs w:val="20"/>
              </w:rPr>
              <w:t xml:space="preserve">defi/tvl-movers</w:t>
            </w:r>
          </w:p>
        </w:tc>
      </w:tr>
      <w:tr>
        <w:trPr>
          <w:cantSplit/>
        </w:trPr>
        <w:tc>
          <w:tcPr>
            <w:tcW w:type="dxa" w:w="175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CoinGecko Prices</w:t>
            </w:r>
          </w:p>
        </w:tc>
        <w:tc>
          <w:tcPr>
            <w:tcW w:type="dxa" w:w="175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api.coingecko.com/api/v3/simple/price</w:t>
            </w:r>
          </w:p>
        </w:tc>
        <w:tc>
          <w:tcPr>
            <w:tcW w:type="dxa" w:w="175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No</w:t>
            </w:r>
          </w:p>
        </w:tc>
        <w:tc>
          <w:tcPr>
            <w:tcW w:type="dxa" w:w="175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60 seconds</w:t>
            </w:r>
          </w:p>
        </w:tc>
        <w:tc>
          <w:tcPr>
            <w:tcW w:type="dxa" w:w="175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crypto/token-prices</w:t>
            </w:r>
          </w:p>
        </w:tc>
      </w:tr>
    </w:tbl>
    <w:p>
      <w:pPr>
        <w:spacing w:after="120" w:line="312"/>
      </w:pPr>
      <w:r>
        <w:rPr>
          <w:rFonts w:ascii="Calibri"/>
          <w:color w:val="000000"/>
          <w:sz w:val="24"/>
          <w:szCs w:val="24"/>
        </w:rPr>
        <w:t xml:space="preserve">All external data sources are free and require no API keys. The caching strategy uses a simple in-memory TTL cache with a get_cached() helper function. When a cache entry is fresh (within TTL), it returns the cached data marked as 'cache' source. When expired, it attempts to fetch fresh data. On fetch failure, it serves the stale cached data (marked as 'stale' source) rather than failing a paid request. This graceful degradation ensures that paying customers always receive data, even if an external source is temporarily unavailable. The data_source field in each response indicates whether the data came from cache, fresh fetch, or stale fallback.</w:t>
      </w:r>
    </w:p>
    <w:p>
      <w:pPr>
        <w:spacing w:after="120" w:line="312"/>
      </w:pPr>
      <w:r>
        <w:rPr>
          <w:rFonts w:ascii="Calibri"/>
          <w:color w:val="000000"/>
          <w:sz w:val="24"/>
          <w:szCs w:val="24"/>
        </w:rPr>
        <w:t xml:space="preserve">For on-chain data (wallet-profile, whale-moves, gas-oracle), there is no caching - every request makes live RPC calls to Base. This ensures maximum data freshness for blockchain intelligence. The trade-off is higher latency and RPC rate limiting risk. The Base public RPC endpoint is generally reliable but has rate limits that could affect throughput under high load.</w:t>
      </w:r>
    </w:p>
    <w:p>
      <w:pPr>
        <w:pStyle w:val="Heading1"/>
        <w:spacing w:after="200" w:before="360"/>
      </w:pPr>
      <w:bookmarkStart w:id="100023" w:name="_Toc100023"/>
      <w:r>
        <w:rPr>
          <w:rFonts w:ascii="Calibri"/>
          <w:b/>
          <w:bCs/>
          <w:color w:val="162235"/>
          <w:sz w:val="32"/>
          <w:szCs w:val="32"/>
        </w:rPr>
        <w:t xml:space="preserve">6. Code Structure and Technical Details</w:t>
      </w:r>
      <w:bookmarkEnd w:id="100023"/>
    </w:p>
    <w:p>
      <w:pPr>
        <w:pStyle w:val="Heading2"/>
        <w:spacing w:after="140" w:before="280"/>
      </w:pPr>
      <w:bookmarkStart w:id="100024" w:name="_Toc100024"/>
      <w:r>
        <w:rPr>
          <w:rFonts w:ascii="Calibri"/>
          <w:b/>
          <w:bCs/>
          <w:color w:val="162235"/>
          <w:sz w:val="28"/>
          <w:szCs w:val="28"/>
        </w:rPr>
        <w:t xml:space="preserve">6.1 API Code Organization (kristo_api.py - 611 lines)</w:t>
      </w:r>
      <w:bookmarkEnd w:id="100024"/>
    </w:p>
    <w:p>
      <w:pPr>
        <w:spacing w:after="120" w:line="312"/>
      </w:pPr>
      <w:r>
        <w:rPr>
          <w:rFonts w:ascii="Calibri"/>
          <w:color w:val="000000"/>
          <w:sz w:val="24"/>
          <w:szCs w:val="24"/>
        </w:rPr>
        <w:t xml:space="preserve">The API is a single-file Python application organized into 6 sections: (1) CONFIG (lines 1-55): Constants, environment variables, cache settings, HTTP clients. (2) BASE-RPC HELPERS (lines 80-136): Raw JSON-RPC functions for eth_blockNumber, eth_getBalance, eth_call (ERC-20 balance), eth_gasPrice, eth_getTransactionCount, eth_getTransactionReceipt, eth_getLogs. (3) EXTERNAL DATA FETCHERS (lines 139-196): Async functions for DefiLlama yields, DefiLlama protocols, CoinGecko prices, including token symbol to CoinGecko ID mapping for 12 tokens. (4) PAYMENT VALIDATION (lines 199-283): verify_payment(), make_402(), handle_paid_endpoint() - the complete x402 payment flow. (5) API SERVER (lines 285-594): FastAPI app definition, all 10 endpoints (4 free + 6 paid), custom OpenAPI spec. (6) START (lines 597-611): uvicorn server startup with configuration printout.</w:t>
      </w:r>
    </w:p>
    <w:p>
      <w:pPr>
        <w:pStyle w:val="Heading2"/>
        <w:spacing w:after="140" w:before="280"/>
      </w:pPr>
      <w:bookmarkStart w:id="100025" w:name="_Toc100025"/>
      <w:r>
        <w:rPr>
          <w:rFonts w:ascii="Calibri"/>
          <w:b/>
          <w:bCs/>
          <w:color w:val="162235"/>
          <w:sz w:val="28"/>
          <w:szCs w:val="28"/>
        </w:rPr>
        <w:t xml:space="preserve">6.2 Dashboard Code Organization (page.tsx - ~1500 lines)</w:t>
      </w:r>
      <w:bookmarkEnd w:id="100025"/>
    </w:p>
    <w:p>
      <w:pPr>
        <w:spacing w:after="120" w:line="312"/>
      </w:pPr>
      <w:r>
        <w:rPr>
          <w:rFonts w:ascii="Calibri"/>
          <w:color w:val="000000"/>
          <w:sz w:val="24"/>
          <w:szCs w:val="24"/>
        </w:rPr>
        <w:t xml:space="preserve">The dashboard is a single-page React application with the following major components and features: StatusDot - visual online/offline indicator. PaymentFlow - complete x402 payment flow UI (connect wallet, send USDC, fetch data with Ethers.js v6). DynamicDataDisplay - unique visualization for each of the 6 endpoints. BasescanTable - USDC transaction monitoring from Basescan API. KeepaliveManager - periodic pinging to prevent Render cold starts. SalesMonitor - real-time sales tracking. The dashboard uses shadcn/ui components (Card, Badge, Button, etc.) and Lucide icons. It communicates with the Render API directly from the browser. State management is via React hooks (useState, useEffect, useCallback, useRef).</w:t>
      </w:r>
    </w:p>
    <w:p>
      <w:pPr>
        <w:pStyle w:val="Heading2"/>
        <w:spacing w:after="140" w:before="280"/>
      </w:pPr>
      <w:bookmarkStart w:id="100026" w:name="_Toc100026"/>
      <w:r>
        <w:rPr>
          <w:rFonts w:ascii="Calibri"/>
          <w:b/>
          <w:bCs/>
          <w:color w:val="162235"/>
          <w:sz w:val="28"/>
          <w:szCs w:val="28"/>
        </w:rPr>
        <w:t xml:space="preserve">6.3 Dependencies</w:t>
      </w:r>
      <w:bookmarkEnd w:id="100026"/>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dxa" w:w="219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Component</w:t>
            </w:r>
          </w:p>
        </w:tc>
        <w:tc>
          <w:tcPr>
            <w:tcW w:type="dxa" w:w="219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Dependency</w:t>
            </w:r>
          </w:p>
        </w:tc>
        <w:tc>
          <w:tcPr>
            <w:tcW w:type="dxa" w:w="219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Version</w:t>
            </w:r>
          </w:p>
        </w:tc>
        <w:tc>
          <w:tcPr>
            <w:tcW w:type="dxa" w:w="219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Purpose</w:t>
            </w:r>
          </w:p>
        </w:tc>
      </w:tr>
      <w:tr>
        <w:trPr>
          <w:cantSplit/>
        </w:trPr>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API Backend</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fastapi</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&gt;=0.115.0</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Web framework</w:t>
            </w:r>
          </w:p>
        </w:tc>
      </w:tr>
      <w:tr>
        <w:trPr>
          <w:cantSplit/>
        </w:trPr>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API Backend</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uvicorn[standard]</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&gt;=0.30.0</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ASGI server</w:t>
            </w:r>
          </w:p>
        </w:tc>
      </w:tr>
      <w:tr>
        <w:trPr>
          <w:cantSplit/>
        </w:trPr>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API Backend</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httpx</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&gt;=0.27.0</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Async HTTP client (RPC + external APIs)</w:t>
            </w:r>
          </w:p>
        </w:tc>
      </w:tr>
      <w:tr>
        <w:trPr>
          <w:cantSplit/>
        </w:trPr>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Dashboard</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next.js</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16</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React framework</w:t>
            </w:r>
          </w:p>
        </w:tc>
      </w:tr>
      <w:tr>
        <w:trPr>
          <w:cantSplit/>
        </w:trPr>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Dashboard</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shadcn/ui</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latest</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UI component library</w:t>
            </w:r>
          </w:p>
        </w:tc>
      </w:tr>
      <w:tr>
        <w:trPr>
          <w:cantSplit/>
        </w:trPr>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Dashboard</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tailwindcss</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4</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Utility-first CSS</w:t>
            </w:r>
          </w:p>
        </w:tc>
      </w:tr>
      <w:tr>
        <w:trPr>
          <w:cantSplit/>
        </w:trPr>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Dashboard</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ethers</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v6</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Blockchain wallet interaction</w:t>
            </w:r>
          </w:p>
        </w:tc>
      </w:tr>
      <w:tr>
        <w:trPr>
          <w:cantSplit/>
        </w:trPr>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Dashboard</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lucide-react</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latest</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Icon library</w:t>
            </w:r>
          </w:p>
        </w:tc>
      </w:tr>
    </w:tbl>
    <w:p>
      <w:pPr>
        <w:pStyle w:val="Heading1"/>
        <w:spacing w:after="200" w:before="360"/>
      </w:pPr>
      <w:bookmarkStart w:id="100027" w:name="_Toc100027"/>
      <w:r>
        <w:rPr>
          <w:rFonts w:ascii="Calibri"/>
          <w:b/>
          <w:bCs/>
          <w:color w:val="162235"/>
          <w:sz w:val="32"/>
          <w:szCs w:val="32"/>
        </w:rPr>
        <w:t xml:space="preserve">7. Marketplace Registration Status</w:t>
      </w:r>
      <w:bookmarkEnd w:id="100027"/>
    </w:p>
    <w:p>
      <w:pPr>
        <w:pStyle w:val="Heading2"/>
        <w:spacing w:after="140" w:before="280"/>
      </w:pPr>
      <w:bookmarkStart w:id="100028" w:name="_Toc100028"/>
      <w:r>
        <w:rPr>
          <w:rFonts w:ascii="Calibri"/>
          <w:b/>
          <w:bCs/>
          <w:color w:val="162235"/>
          <w:sz w:val="28"/>
          <w:szCs w:val="28"/>
        </w:rPr>
        <w:t xml:space="preserve">7.1 relai.fi (x402 Marketplace)</w:t>
      </w:r>
      <w:bookmarkEnd w:id="100028"/>
    </w:p>
    <w:p>
      <w:pPr>
        <w:spacing w:after="120" w:line="312"/>
      </w:pPr>
      <w:r>
        <w:rPr>
          <w:rFonts w:ascii="Calibri"/>
          <w:color w:val="000000"/>
          <w:sz w:val="24"/>
          <w:szCs w:val="24"/>
        </w:rPr>
        <w:t xml:space="preserve">An account has been registered on relai.fi, the primary x402 marketplace for discovering pay-per-call APIs. The registration process involves adding each endpoint manually through a web form. Each endpoint requires: path, HTTP method, token (USDC on Base), token contract address, chain ID (8453), price in human-readable form (0.25), price in raw units (250000), and a text description. The OpenAPI spec endpoint (/openapi.json) was added to facilitate potential automatic import, though the marketplace's manual entry form was used for the first endpoint. Registration was not completed due to mobile usability issues - the form state was lost when switching between the relai.fi website and a wallet app for payment. The plan is to complete registration from a desktop computer.</w:t>
      </w:r>
    </w:p>
    <w:p>
      <w:pPr>
        <w:pStyle w:val="Heading2"/>
        <w:spacing w:after="140" w:before="280"/>
      </w:pPr>
      <w:bookmarkStart w:id="100029" w:name="_Toc100029"/>
      <w:r>
        <w:rPr>
          <w:rFonts w:ascii="Calibri"/>
          <w:b/>
          <w:bCs/>
          <w:color w:val="162235"/>
          <w:sz w:val="28"/>
          <w:szCs w:val="28"/>
        </w:rPr>
        <w:t xml:space="preserve">7.2 Market Positioning</w:t>
      </w:r>
      <w:bookmarkEnd w:id="100029"/>
    </w:p>
    <w:p>
      <w:pPr>
        <w:spacing w:after="120" w:line="312"/>
      </w:pPr>
      <w:r>
        <w:rPr>
          <w:rFonts w:ascii="Calibri"/>
          <w:color w:val="000000"/>
          <w:sz w:val="24"/>
          <w:szCs w:val="24"/>
        </w:rPr>
        <w:t xml:space="preserve">The x402 ecosystem is very new and there are almost no active agent consumers yet. This represents both a challenge and an opportunity. The challenge is that there is minimal existing demand for x402 APIs. The opportunity is that early entrants can establish themselves as the go-to data providers before the market matures. The current 6 endpoints focus on Base-chain DeFi intelligence, which aligns with the growing interest in Base as a major L2 network. The pricing of 0.25 USDC per call is competitive for real-time on-chain data, though the total addressable market is limited by the current x402 adoption rate.</w:t>
      </w:r>
    </w:p>
    <w:p>
      <w:pPr>
        <w:pStyle w:val="Heading1"/>
        <w:spacing w:after="200" w:before="360"/>
      </w:pPr>
      <w:bookmarkStart w:id="100030" w:name="_Toc100030"/>
      <w:r>
        <w:rPr>
          <w:rFonts w:ascii="Calibri"/>
          <w:b/>
          <w:bCs/>
          <w:color w:val="162235"/>
          <w:sz w:val="32"/>
          <w:szCs w:val="32"/>
        </w:rPr>
        <w:t xml:space="preserve">8. Evolution History</w:t>
      </w:r>
      <w:bookmarkEnd w:id="100030"/>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dxa" w:w="219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Version</w:t>
            </w:r>
          </w:p>
        </w:tc>
        <w:tc>
          <w:tcPr>
            <w:tcW w:type="dxa" w:w="219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Focus</w:t>
            </w:r>
          </w:p>
        </w:tc>
        <w:tc>
          <w:tcPr>
            <w:tcW w:type="dxa" w:w="219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Endpoints</w:t>
            </w:r>
          </w:p>
        </w:tc>
        <w:tc>
          <w:tcPr>
            <w:tcW w:type="dxa" w:w="2197"/>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Data Quality</w:t>
            </w:r>
          </w:p>
        </w:tc>
      </w:tr>
      <w:tr>
        <w:trPr>
          <w:cantSplit/>
        </w:trPr>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v1.0-v2.0</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Travel + Crypto</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3 travel + 3 crypto</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Mixed (travel: hardcoded)</w:t>
            </w:r>
          </w:p>
        </w:tc>
      </w:tr>
      <w:tr>
        <w:trPr>
          <w:cantSplit/>
        </w:trPr>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v3.0</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Pivot to crypto</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3 travel + 3 crypto</w:t>
            </w:r>
          </w:p>
        </w:tc>
        <w:tc>
          <w:tcPr>
            <w:tcW w:type="dxa" w:w="2197"/>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3 real + 3 hardcoded</w:t>
            </w:r>
          </w:p>
        </w:tc>
      </w:tr>
      <w:tr>
        <w:trPr>
          <w:cantSplit/>
        </w:trPr>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v4.0 (current)</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Pure DeFi/Crypto</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2 DeFi + 4 crypto</w:t>
            </w:r>
          </w:p>
        </w:tc>
        <w:tc>
          <w:tcPr>
            <w:tcW w:type="dxa" w:w="2197"/>
            <w:tcBorders>
              <w:top w:val="single" w:color="C8DDE2" w:sz="1"/>
              <w:left w:val="none"/>
              <w:bottom w:val="single" w:color="C8DDE2" w:sz="1"/>
              <w:right w:val="none"/>
            </w:tcBorders>
          </w:tcPr>
          <w:p>
            <w:pPr>
              <w:spacing w:after="30" w:before="30"/>
            </w:pPr>
            <w:r>
              <w:rPr>
                <w:rFonts w:ascii="Calibri"/>
                <w:color w:val="000000"/>
                <w:sz w:val="20"/>
                <w:szCs w:val="20"/>
              </w:rPr>
              <w:t xml:space="preserve">All real-time data</w:t>
            </w:r>
          </w:p>
        </w:tc>
      </w:tr>
    </w:tbl>
    <w:p>
      <w:pPr>
        <w:spacing w:after="120" w:line="312"/>
      </w:pPr>
      <w:r>
        <w:rPr>
          <w:rFonts w:ascii="Calibri"/>
          <w:color w:val="000000"/>
          <w:sz w:val="24"/>
          <w:szCs w:val="24"/>
        </w:rPr>
        <w:t xml:space="preserve">The project started with a mixed travel and crypto offering. The original concept included travel destination scoring, flight intelligence, and hotel rates - all with hardcoded/static data. After honest self-analysis, it became clear that selling fake data to AI agents is not sustainable. The v4.0 pivot replaced all 3 travel endpoints with 2 DeFi endpoints (yields, TVL movers from DefiLlama) and kept the 3 real crypto endpoints (wallet profile, whale moves, gas oracle), adding a token prices endpoint from CoinGecko. The travel domain was abandoned entirely in favor of pure on-chain/DeFi intelligence where real-time data is readily available from free public sources.</w:t>
      </w:r>
    </w:p>
    <w:p>
      <w:pPr>
        <w:pStyle w:val="Heading1"/>
        <w:spacing w:after="200" w:before="360"/>
      </w:pPr>
      <w:bookmarkStart w:id="100031" w:name="_Toc100031"/>
      <w:r>
        <w:rPr>
          <w:rFonts w:ascii="Calibri"/>
          <w:b/>
          <w:bCs/>
          <w:color w:val="162235"/>
          <w:sz w:val="32"/>
          <w:szCs w:val="32"/>
        </w:rPr>
        <w:t xml:space="preserve">9. Honest Assessment and Known Issues</w:t>
      </w:r>
      <w:bookmarkEnd w:id="100031"/>
    </w:p>
    <w:p>
      <w:pPr>
        <w:pStyle w:val="Heading2"/>
        <w:spacing w:after="140" w:before="280"/>
      </w:pPr>
      <w:bookmarkStart w:id="100032" w:name="_Toc100032"/>
      <w:r>
        <w:rPr>
          <w:rFonts w:ascii="Calibri"/>
          <w:b/>
          <w:bCs/>
          <w:color w:val="162235"/>
          <w:sz w:val="28"/>
          <w:szCs w:val="28"/>
        </w:rPr>
        <w:t xml:space="preserve">9.1 Strengths</w:t>
      </w:r>
      <w:bookmarkEnd w:id="100032"/>
    </w:p>
    <w:p>
      <w:pPr>
        <w:spacing w:after="60" w:line="312"/>
        <w:ind w:left="480" w:hanging="240"/>
      </w:pPr>
      <w:r>
        <w:rPr>
          <w:rFonts w:ascii="Calibri"/>
          <w:color w:val="37DCF2"/>
          <w:sz w:val="24"/>
          <w:szCs w:val="24"/>
        </w:rPr>
        <w:t xml:space="preserve">• </w:t>
      </w:r>
      <w:r>
        <w:rPr>
          <w:rFonts w:ascii="Calibri"/>
          <w:color w:val="000000"/>
          <w:sz w:val="24"/>
          <w:szCs w:val="24"/>
        </w:rPr>
        <w:t xml:space="preserve">All 6 endpoints now use real-time data from authoritative sources (DefiLlama, CoinGecko, Base RPC). No fake or hardcoded data.</w:t>
      </w:r>
    </w:p>
    <w:p>
      <w:pPr>
        <w:spacing w:after="60" w:line="312"/>
        <w:ind w:left="480" w:hanging="240"/>
      </w:pPr>
      <w:r>
        <w:rPr>
          <w:rFonts w:ascii="Calibri"/>
          <w:color w:val="37DCF2"/>
          <w:sz w:val="24"/>
          <w:szCs w:val="24"/>
        </w:rPr>
        <w:t xml:space="preserve">• </w:t>
      </w:r>
      <w:r>
        <w:rPr>
          <w:rFonts w:ascii="Calibri"/>
          <w:color w:val="000000"/>
          <w:sz w:val="24"/>
          <w:szCs w:val="24"/>
        </w:rPr>
        <w:t xml:space="preserve">Clean x402 protocol implementation with proper payment verification, replay protection, and error handling.</w:t>
      </w:r>
    </w:p>
    <w:p>
      <w:pPr>
        <w:spacing w:after="60" w:line="312"/>
        <w:ind w:left="480" w:hanging="240"/>
      </w:pPr>
      <w:r>
        <w:rPr>
          <w:rFonts w:ascii="Calibri"/>
          <w:color w:val="37DCF2"/>
          <w:sz w:val="24"/>
          <w:szCs w:val="24"/>
        </w:rPr>
        <w:t xml:space="preserve">• </w:t>
      </w:r>
      <w:r>
        <w:rPr>
          <w:rFonts w:ascii="Calibri"/>
          <w:color w:val="000000"/>
          <w:sz w:val="24"/>
          <w:szCs w:val="24"/>
        </w:rPr>
        <w:t xml:space="preserve">Zero-cost data sources - all external APIs are free with no API keys required.</w:t>
      </w:r>
    </w:p>
    <w:p>
      <w:pPr>
        <w:spacing w:after="60" w:line="312"/>
        <w:ind w:left="480" w:hanging="240"/>
      </w:pPr>
      <w:r>
        <w:rPr>
          <w:rFonts w:ascii="Calibri"/>
          <w:color w:val="37DCF2"/>
          <w:sz w:val="24"/>
          <w:szCs w:val="24"/>
        </w:rPr>
        <w:t xml:space="preserve">• </w:t>
      </w:r>
      <w:r>
        <w:rPr>
          <w:rFonts w:ascii="Calibri"/>
          <w:color w:val="000000"/>
          <w:sz w:val="24"/>
          <w:szCs w:val="24"/>
        </w:rPr>
        <w:t xml:space="preserve">Minimal dependencies - no web3.py, no database, no Redis. Just fastapi + httpx.</w:t>
      </w:r>
    </w:p>
    <w:p>
      <w:pPr>
        <w:spacing w:after="60" w:line="312"/>
        <w:ind w:left="480" w:hanging="240"/>
      </w:pPr>
      <w:r>
        <w:rPr>
          <w:rFonts w:ascii="Calibri"/>
          <w:color w:val="37DCF2"/>
          <w:sz w:val="24"/>
          <w:szCs w:val="24"/>
        </w:rPr>
        <w:t xml:space="preserve">• </w:t>
      </w:r>
      <w:r>
        <w:rPr>
          <w:rFonts w:ascii="Calibri"/>
          <w:color w:val="000000"/>
          <w:sz w:val="24"/>
          <w:szCs w:val="24"/>
        </w:rPr>
        <w:t xml:space="preserve">Graceful degradation with stale cache serving on external API failures.</w:t>
      </w:r>
    </w:p>
    <w:p>
      <w:pPr>
        <w:spacing w:after="60" w:line="312"/>
        <w:ind w:left="480" w:hanging="240"/>
      </w:pPr>
      <w:r>
        <w:rPr>
          <w:rFonts w:ascii="Calibri"/>
          <w:color w:val="37DCF2"/>
          <w:sz w:val="24"/>
          <w:szCs w:val="24"/>
        </w:rPr>
        <w:t xml:space="preserve">• </w:t>
      </w:r>
      <w:r>
        <w:rPr>
          <w:rFonts w:ascii="Calibri"/>
          <w:color w:val="000000"/>
          <w:sz w:val="24"/>
          <w:szCs w:val="24"/>
        </w:rPr>
        <w:t xml:space="preserve">Professional monitoring dashboard with live data preview for all endpoints.</w:t>
      </w:r>
    </w:p>
    <w:p>
      <w:pPr>
        <w:spacing w:after="60" w:line="312"/>
        <w:ind w:left="480" w:hanging="240"/>
      </w:pPr>
      <w:r>
        <w:rPr>
          <w:rFonts w:ascii="Calibri"/>
          <w:color w:val="37DCF2"/>
          <w:sz w:val="24"/>
          <w:szCs w:val="24"/>
        </w:rPr>
        <w:t xml:space="preserve">• </w:t>
      </w:r>
      <w:r>
        <w:rPr>
          <w:rFonts w:ascii="Calibri"/>
          <w:color w:val="000000"/>
          <w:sz w:val="24"/>
          <w:szCs w:val="24"/>
        </w:rPr>
        <w:t xml:space="preserve">Custom OpenAPI spec with x402 metadata for marketplace compatibility.</w:t>
      </w:r>
    </w:p>
    <w:p>
      <w:pPr>
        <w:pStyle w:val="Heading2"/>
        <w:spacing w:after="140" w:before="280"/>
      </w:pPr>
      <w:bookmarkStart w:id="100033" w:name="_Toc100033"/>
      <w:r>
        <w:rPr>
          <w:rFonts w:ascii="Calibri"/>
          <w:b/>
          <w:bCs/>
          <w:color w:val="162235"/>
          <w:sz w:val="28"/>
          <w:szCs w:val="28"/>
        </w:rPr>
        <w:t xml:space="preserve">9.2 Weaknesses and Risks</w:t>
      </w:r>
      <w:bookmarkEnd w:id="100033"/>
    </w:p>
    <w:p>
      <w:pPr>
        <w:spacing w:after="60" w:line="312"/>
        <w:ind w:left="480" w:hanging="240"/>
      </w:pPr>
      <w:r>
        <w:rPr>
          <w:rFonts w:ascii="Calibri"/>
          <w:color w:val="37DCF2"/>
          <w:sz w:val="24"/>
          <w:szCs w:val="24"/>
        </w:rPr>
        <w:t xml:space="preserve">• </w:t>
      </w:r>
      <w:r>
        <w:rPr>
          <w:rFonts w:ascii="Calibri"/>
          <w:color w:val="000000"/>
          <w:sz w:val="24"/>
          <w:szCs w:val="24"/>
        </w:rPr>
        <w:t xml:space="preserve">Render free tier sleeps after 15 minutes of inactivity - unacceptable for a paid service. Needs a paid hosting plan or a reliable keepalive mechanism.</w:t>
      </w:r>
    </w:p>
    <w:p>
      <w:pPr>
        <w:spacing w:after="60" w:line="312"/>
        <w:ind w:left="480" w:hanging="240"/>
      </w:pPr>
      <w:r>
        <w:rPr>
          <w:rFonts w:ascii="Calibri"/>
          <w:color w:val="37DCF2"/>
          <w:sz w:val="24"/>
          <w:szCs w:val="24"/>
        </w:rPr>
        <w:t xml:space="preserve">• </w:t>
      </w:r>
      <w:r>
        <w:rPr>
          <w:rFonts w:ascii="Calibri"/>
          <w:color w:val="000000"/>
          <w:sz w:val="24"/>
          <w:szCs w:val="24"/>
        </w:rPr>
        <w:t xml:space="preserve">In-memory state (used_transactions, sales_log, cache) is lost on every server restart. No persistent storage.</w:t>
      </w:r>
    </w:p>
    <w:p>
      <w:pPr>
        <w:spacing w:after="60" w:line="312"/>
        <w:ind w:left="480" w:hanging="240"/>
      </w:pPr>
      <w:r>
        <w:rPr>
          <w:rFonts w:ascii="Calibri"/>
          <w:color w:val="37DCF2"/>
          <w:sz w:val="24"/>
          <w:szCs w:val="24"/>
        </w:rPr>
        <w:t xml:space="preserve">• </w:t>
      </w:r>
      <w:r>
        <w:rPr>
          <w:rFonts w:ascii="Calibri"/>
          <w:color w:val="000000"/>
          <w:sz w:val="24"/>
          <w:szCs w:val="24"/>
        </w:rPr>
        <w:t xml:space="preserve">No rate limiting - a single agent could drain the service or cause RPC rate limiting.</w:t>
      </w:r>
    </w:p>
    <w:p>
      <w:pPr>
        <w:spacing w:after="60" w:line="312"/>
        <w:ind w:left="480" w:hanging="240"/>
      </w:pPr>
      <w:r>
        <w:rPr>
          <w:rFonts w:ascii="Calibri"/>
          <w:color w:val="37DCF2"/>
          <w:sz w:val="24"/>
          <w:szCs w:val="24"/>
        </w:rPr>
        <w:t xml:space="preserve">• </w:t>
      </w:r>
      <w:r>
        <w:rPr>
          <w:rFonts w:ascii="Calibri"/>
          <w:color w:val="000000"/>
          <w:sz w:val="24"/>
          <w:szCs w:val="24"/>
        </w:rPr>
        <w:t xml:space="preserve">x402 ecosystem is extremely early with almost no active agent consumers. Revenue potential is theoretical.</w:t>
      </w:r>
    </w:p>
    <w:p>
      <w:pPr>
        <w:spacing w:after="60" w:line="312"/>
        <w:ind w:left="480" w:hanging="240"/>
      </w:pPr>
      <w:r>
        <w:rPr>
          <w:rFonts w:ascii="Calibri"/>
          <w:color w:val="37DCF2"/>
          <w:sz w:val="24"/>
          <w:szCs w:val="24"/>
        </w:rPr>
        <w:t xml:space="preserve">• </w:t>
      </w:r>
      <w:r>
        <w:rPr>
          <w:rFonts w:ascii="Calibri"/>
          <w:color w:val="000000"/>
          <w:sz w:val="24"/>
          <w:szCs w:val="24"/>
        </w:rPr>
        <w:t xml:space="preserve">500-block scan window for whale-moves and wallet-profile may miss transfers in high-activity periods.</w:t>
      </w:r>
    </w:p>
    <w:p>
      <w:pPr>
        <w:spacing w:after="60" w:line="312"/>
        <w:ind w:left="480" w:hanging="240"/>
      </w:pPr>
      <w:r>
        <w:rPr>
          <w:rFonts w:ascii="Calibri"/>
          <w:color w:val="37DCF2"/>
          <w:sz w:val="24"/>
          <w:szCs w:val="24"/>
        </w:rPr>
        <w:t xml:space="preserve">• </w:t>
      </w:r>
      <w:r>
        <w:rPr>
          <w:rFonts w:ascii="Calibri"/>
          <w:color w:val="000000"/>
          <w:sz w:val="24"/>
          <w:szCs w:val="24"/>
        </w:rPr>
        <w:t xml:space="preserve">No authentication or access control beyond the x402 payment itself.</w:t>
      </w:r>
    </w:p>
    <w:p>
      <w:pPr>
        <w:spacing w:after="60" w:line="312"/>
        <w:ind w:left="480" w:hanging="240"/>
      </w:pPr>
      <w:r>
        <w:rPr>
          <w:rFonts w:ascii="Calibri"/>
          <w:color w:val="37DCF2"/>
          <w:sz w:val="24"/>
          <w:szCs w:val="24"/>
        </w:rPr>
        <w:t xml:space="preserve">• </w:t>
      </w:r>
      <w:r>
        <w:rPr>
          <w:rFonts w:ascii="Calibri"/>
          <w:color w:val="000000"/>
          <w:sz w:val="24"/>
          <w:szCs w:val="24"/>
        </w:rPr>
        <w:t xml:space="preserve">CoinGecko free tier has rate limits that could affect the token-prices endpoint under load.</w:t>
      </w:r>
    </w:p>
    <w:p>
      <w:pPr>
        <w:spacing w:after="60" w:line="312"/>
        <w:ind w:left="480" w:hanging="240"/>
      </w:pPr>
      <w:r>
        <w:rPr>
          <w:rFonts w:ascii="Calibri"/>
          <w:color w:val="37DCF2"/>
          <w:sz w:val="24"/>
          <w:szCs w:val="24"/>
        </w:rPr>
        <w:t xml:space="preserve">• </w:t>
      </w:r>
      <w:r>
        <w:rPr>
          <w:rFonts w:ascii="Calibri"/>
          <w:color w:val="000000"/>
          <w:sz w:val="24"/>
          <w:szCs w:val="24"/>
        </w:rPr>
        <w:t xml:space="preserve">Single point of failure - only one API instance on one hosting platform.</w:t>
      </w:r>
    </w:p>
    <w:p>
      <w:pPr>
        <w:pStyle w:val="Heading2"/>
        <w:spacing w:after="140" w:before="280"/>
      </w:pPr>
      <w:bookmarkStart w:id="100034" w:name="_Toc100034"/>
      <w:r>
        <w:rPr>
          <w:rFonts w:ascii="Calibri"/>
          <w:b/>
          <w:bCs/>
          <w:color w:val="162235"/>
          <w:sz w:val="28"/>
          <w:szCs w:val="28"/>
        </w:rPr>
        <w:t xml:space="preserve">9.3 Critical Questions for Analysis</w:t>
      </w:r>
      <w:bookmarkEnd w:id="100034"/>
    </w:p>
    <w:p>
      <w:pPr>
        <w:spacing w:after="120" w:line="312"/>
      </w:pPr>
      <w:r>
        <w:rPr>
          <w:rFonts w:ascii="Calibri"/>
          <w:color w:val="000000"/>
          <w:sz w:val="24"/>
          <w:szCs w:val="24"/>
        </w:rPr>
        <w:t xml:space="preserve">What data types are AI agents most likely to purchase via x402 or similar pay-per-call protocols? Is Base-chain DeFi intelligence the right niche, or would a different data domain (real-time prices across all chains, NFT floor prices, governance proposals, airdrop tracking) have higher demand? How should pricing be structured - flat per-call, tiered by data value, or subscription-based? What is the minimum viable infrastructure to make this a reliable paid service (persistent storage, rate limiting, SLA guarantees)? Are there other x402 marketplaces beyond relai.fi where this API should be listed? What competitive APIs exist and how do they differentiate?</w:t>
      </w:r>
    </w:p>
    <w:p>
      <w:pPr>
        <w:pStyle w:val="Heading1"/>
        <w:spacing w:after="200" w:before="360"/>
      </w:pPr>
      <w:bookmarkStart w:id="100035" w:name="_Toc100035"/>
      <w:r>
        <w:rPr>
          <w:rFonts w:ascii="Calibri"/>
          <w:b/>
          <w:bCs/>
          <w:color w:val="162235"/>
          <w:sz w:val="32"/>
          <w:szCs w:val="32"/>
        </w:rPr>
        <w:t xml:space="preserve">10. Complete File and URL Reference</w:t>
      </w:r>
      <w:bookmarkEnd w:id="100035"/>
    </w:p>
    <w:p>
      <w:pPr>
        <w:pStyle w:val="Heading2"/>
        <w:spacing w:after="140" w:before="280"/>
      </w:pPr>
      <w:bookmarkStart w:id="100036" w:name="_Toc100036"/>
      <w:r>
        <w:rPr>
          <w:rFonts w:ascii="Calibri"/>
          <w:b/>
          <w:bCs/>
          <w:color w:val="162235"/>
          <w:sz w:val="28"/>
          <w:szCs w:val="28"/>
        </w:rPr>
        <w:t xml:space="preserve">10.1 Live URLs</w:t>
      </w:r>
      <w:bookmarkEnd w:id="100036"/>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W w:type="dxa" w:w="4394"/>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Resource</w:t>
            </w:r>
          </w:p>
        </w:tc>
        <w:tc>
          <w:tcPr>
            <w:tcW w:type="dxa" w:w="4394"/>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URL</w:t>
            </w:r>
          </w:p>
        </w:tc>
      </w:tr>
      <w:tr>
        <w:trPr>
          <w:cantSplit/>
        </w:trPr>
        <w:tc>
          <w:tcPr>
            <w:tcW w:type="dxa" w:w="4394"/>
            <w:tcBorders>
              <w:top w:val="single" w:color="C8DDE2" w:sz="1"/>
              <w:left w:val="none"/>
              <w:bottom w:val="single" w:color="C8DDE2" w:sz="1"/>
              <w:right w:val="none"/>
            </w:tcBorders>
          </w:tcPr>
          <w:p>
            <w:pPr>
              <w:spacing w:after="30" w:before="30"/>
            </w:pPr>
            <w:r>
              <w:rPr>
                <w:rFonts w:ascii="Calibri"/>
                <w:color w:val="000000"/>
                <w:sz w:val="20"/>
                <w:szCs w:val="20"/>
              </w:rPr>
              <w:t xml:space="preserve">API Production</w:t>
            </w:r>
          </w:p>
        </w:tc>
        <w:tc>
          <w:tcPr>
            <w:tcW w:type="dxa" w:w="4394"/>
            <w:tcBorders>
              <w:top w:val="single" w:color="C8DDE2" w:sz="1"/>
              <w:left w:val="none"/>
              <w:bottom w:val="single" w:color="C8DDE2" w:sz="1"/>
              <w:right w:val="none"/>
            </w:tcBorders>
          </w:tcPr>
          <w:p>
            <w:pPr>
              <w:spacing w:after="30" w:before="30"/>
            </w:pPr>
            <w:r>
              <w:rPr>
                <w:rFonts w:ascii="Calibri"/>
                <w:color w:val="000000"/>
                <w:sz w:val="20"/>
                <w:szCs w:val="20"/>
              </w:rPr>
              <w:t xml:space="preserve">https://kristo-travel-api.onrender.com/</w:t>
            </w:r>
          </w:p>
        </w:tc>
      </w:tr>
      <w:tr>
        <w:trPr>
          <w:cantSplit/>
        </w:trPr>
        <w:tc>
          <w:tcPr>
            <w:tcW w:type="dxa" w:w="4394"/>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Dashboard</w:t>
            </w:r>
          </w:p>
        </w:tc>
        <w:tc>
          <w:tcPr>
            <w:tcW w:type="dxa" w:w="4394"/>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https://kristo-travel-dashboard.vercel.app</w:t>
            </w:r>
          </w:p>
        </w:tc>
      </w:tr>
      <w:tr>
        <w:trPr>
          <w:cantSplit/>
        </w:trPr>
        <w:tc>
          <w:tcPr>
            <w:tcW w:type="dxa" w:w="4394"/>
            <w:tcBorders>
              <w:top w:val="single" w:color="C8DDE2" w:sz="1"/>
              <w:left w:val="none"/>
              <w:bottom w:val="single" w:color="C8DDE2" w:sz="1"/>
              <w:right w:val="none"/>
            </w:tcBorders>
          </w:tcPr>
          <w:p>
            <w:pPr>
              <w:spacing w:after="30" w:before="30"/>
            </w:pPr>
            <w:r>
              <w:rPr>
                <w:rFonts w:ascii="Calibri"/>
                <w:color w:val="000000"/>
                <w:sz w:val="20"/>
                <w:szCs w:val="20"/>
              </w:rPr>
              <w:t xml:space="preserve">GitHub Repository</w:t>
            </w:r>
          </w:p>
        </w:tc>
        <w:tc>
          <w:tcPr>
            <w:tcW w:type="dxa" w:w="4394"/>
            <w:tcBorders>
              <w:top w:val="single" w:color="C8DDE2" w:sz="1"/>
              <w:left w:val="none"/>
              <w:bottom w:val="single" w:color="C8DDE2" w:sz="1"/>
              <w:right w:val="none"/>
            </w:tcBorders>
          </w:tcPr>
          <w:p>
            <w:pPr>
              <w:spacing w:after="30" w:before="30"/>
            </w:pPr>
            <w:r>
              <w:rPr>
                <w:rFonts w:ascii="Calibri"/>
                <w:color w:val="000000"/>
                <w:sz w:val="20"/>
                <w:szCs w:val="20"/>
              </w:rPr>
              <w:t xml:space="preserve">hristovdimitri2-hub/kristo-travel-api</w:t>
            </w:r>
          </w:p>
        </w:tc>
      </w:tr>
      <w:tr>
        <w:trPr>
          <w:cantSplit/>
        </w:trPr>
        <w:tc>
          <w:tcPr>
            <w:tcW w:type="dxa" w:w="4394"/>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Marketplace (relai.fi)</w:t>
            </w:r>
          </w:p>
        </w:tc>
        <w:tc>
          <w:tcPr>
            <w:tcW w:type="dxa" w:w="4394"/>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https://relai.fi</w:t>
            </w:r>
          </w:p>
        </w:tc>
      </w:tr>
    </w:tbl>
    <w:p>
      <w:pPr>
        <w:pStyle w:val="Heading2"/>
        <w:spacing w:after="140" w:before="280"/>
      </w:pPr>
      <w:bookmarkStart w:id="100037" w:name="_Toc100037"/>
      <w:r>
        <w:rPr>
          <w:rFonts w:ascii="Calibri"/>
          <w:b/>
          <w:bCs/>
          <w:color w:val="162235"/>
          <w:sz w:val="28"/>
          <w:szCs w:val="28"/>
        </w:rPr>
        <w:t xml:space="preserve">10.2 Key Files</w:t>
      </w:r>
      <w:bookmarkEnd w:id="100037"/>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cantSplit/>
          <w:tblHeader/>
        </w:trPr>
        <w:tc>
          <w:tcPr>
            <w:tcW w:type="dxa" w:w="2929"/>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File</w:t>
            </w:r>
          </w:p>
        </w:tc>
        <w:tc>
          <w:tcPr>
            <w:tcW w:type="dxa" w:w="2929"/>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Lines</w:t>
            </w:r>
          </w:p>
        </w:tc>
        <w:tc>
          <w:tcPr>
            <w:tcW w:type="dxa" w:w="2929"/>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Description</w:t>
            </w:r>
          </w:p>
        </w:tc>
      </w:tr>
      <w:tr>
        <w:trPr>
          <w:cantSplit/>
        </w:trPr>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scripts/deploy-ready/kristo_api.py</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611</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Main API (FastAPI, x402, all endpoints)</w:t>
            </w:r>
          </w:p>
        </w:tc>
      </w:tr>
      <w:tr>
        <w:trPr>
          <w:cantSplit/>
        </w:trPr>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scripts/deploy-ready/requirements.txt</w:t>
            </w:r>
          </w:p>
        </w:tc>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3</w:t>
            </w:r>
          </w:p>
        </w:tc>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Python dependencies</w:t>
            </w:r>
          </w:p>
        </w:tc>
      </w:tr>
      <w:tr>
        <w:trPr>
          <w:cantSplit/>
        </w:trPr>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scripts/deploy-ready/Dockerfile</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17</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Docker build config (python:3.11-slim)</w:t>
            </w:r>
          </w:p>
        </w:tc>
      </w:tr>
      <w:tr>
        <w:trPr>
          <w:cantSplit/>
        </w:trPr>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scripts/deploy-ready/render.yaml</w:t>
            </w:r>
          </w:p>
        </w:tc>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w:t>
            </w:r>
          </w:p>
        </w:tc>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Render deployment config</w:t>
            </w:r>
          </w:p>
        </w:tc>
      </w:tr>
      <w:tr>
        <w:trPr>
          <w:cantSplit/>
        </w:trPr>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scripts/deploy-ready/docker-compose.yml</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Local Docker testing config</w:t>
            </w:r>
          </w:p>
        </w:tc>
      </w:tr>
      <w:tr>
        <w:trPr>
          <w:cantSplit/>
        </w:trPr>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src/app/page.tsx</w:t>
            </w:r>
          </w:p>
        </w:tc>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~1500</w:t>
            </w:r>
          </w:p>
        </w:tc>
        <w:tc>
          <w:tcPr>
            <w:tcW w:type="dxa" w:w="2929"/>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Dashboard UI (Next.js, React, shadcn/ui)</w:t>
            </w:r>
          </w:p>
        </w:tc>
      </w:tr>
      <w:tr>
        <w:trPr>
          <w:cantSplit/>
        </w:trPr>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vercel.json</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1</w:t>
            </w:r>
          </w:p>
        </w:tc>
        <w:tc>
          <w:tcPr>
            <w:tcW w:type="dxa" w:w="2929"/>
            <w:tcBorders>
              <w:top w:val="single" w:color="C8DDE2" w:sz="1"/>
              <w:left w:val="none"/>
              <w:bottom w:val="single" w:color="C8DDE2" w:sz="1"/>
              <w:right w:val="none"/>
            </w:tcBorders>
          </w:tcPr>
          <w:p>
            <w:pPr>
              <w:spacing w:after="30" w:before="30"/>
            </w:pPr>
            <w:r>
              <w:rPr>
                <w:rFonts w:ascii="Calibri"/>
                <w:color w:val="000000"/>
                <w:sz w:val="20"/>
                <w:szCs w:val="20"/>
              </w:rPr>
              <w:t xml:space="preserve">Vercel config (framework: nextjs)</w:t>
            </w:r>
          </w:p>
        </w:tc>
      </w:tr>
    </w:tbl>
    <w:p>
      <w:pPr>
        <w:pStyle w:val="Heading2"/>
        <w:spacing w:after="140" w:before="280"/>
      </w:pPr>
      <w:bookmarkStart w:id="100038" w:name="_Toc100038"/>
      <w:r>
        <w:rPr>
          <w:rFonts w:ascii="Calibri"/>
          <w:b/>
          <w:bCs/>
          <w:color w:val="162235"/>
          <w:sz w:val="28"/>
          <w:szCs w:val="28"/>
        </w:rPr>
        <w:t xml:space="preserve">10.3 Key Constants</w:t>
      </w:r>
      <w:bookmarkEnd w:id="100038"/>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cantSplit/>
          <w:tblHeader/>
        </w:trPr>
        <w:tc>
          <w:tcPr>
            <w:tcW w:type="dxa" w:w="4394"/>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Constant</w:t>
            </w:r>
          </w:p>
        </w:tc>
        <w:tc>
          <w:tcPr>
            <w:tcW w:type="dxa" w:w="4394"/>
            <w:tcBorders>
              <w:top w:val="single" w:color="1B6B7A" w:sz="2"/>
              <w:left w:val="none"/>
              <w:bottom w:val="single" w:color="1B6B7A" w:sz="2"/>
              <w:right w:val="none"/>
            </w:tcBorders>
            <w:shd w:fill="1B6B7A" w:val="clear"/>
          </w:tcPr>
          <w:p>
            <w:pPr>
              <w:spacing w:after="40" w:before="40"/>
              <w:jc w:val="center"/>
            </w:pPr>
            <w:r>
              <w:rPr>
                <w:rFonts w:ascii="Calibri"/>
                <w:b/>
                <w:bCs/>
                <w:color w:val="FFFFFF"/>
                <w:sz w:val="20"/>
                <w:szCs w:val="20"/>
              </w:rPr>
              <w:t xml:space="preserve">Value</w:t>
            </w:r>
          </w:p>
        </w:tc>
      </w:tr>
      <w:tr>
        <w:trPr>
          <w:cantSplit/>
        </w:trPr>
        <w:tc>
          <w:tcPr>
            <w:tcW w:type="dxa" w:w="4394"/>
            <w:tcBorders>
              <w:top w:val="single" w:color="C8DDE2" w:sz="1"/>
              <w:left w:val="none"/>
              <w:bottom w:val="single" w:color="C8DDE2" w:sz="1"/>
              <w:right w:val="none"/>
            </w:tcBorders>
          </w:tcPr>
          <w:p>
            <w:pPr>
              <w:spacing w:after="30" w:before="30"/>
            </w:pPr>
            <w:r>
              <w:rPr>
                <w:rFonts w:ascii="Calibri"/>
                <w:color w:val="000000"/>
                <w:sz w:val="20"/>
                <w:szCs w:val="20"/>
              </w:rPr>
              <w:t xml:space="preserve">Wallet Address</w:t>
            </w:r>
          </w:p>
        </w:tc>
        <w:tc>
          <w:tcPr>
            <w:tcW w:type="dxa" w:w="4394"/>
            <w:tcBorders>
              <w:top w:val="single" w:color="C8DDE2" w:sz="1"/>
              <w:left w:val="none"/>
              <w:bottom w:val="single" w:color="C8DDE2" w:sz="1"/>
              <w:right w:val="none"/>
            </w:tcBorders>
          </w:tcPr>
          <w:p>
            <w:pPr>
              <w:spacing w:after="30" w:before="30"/>
            </w:pPr>
            <w:r>
              <w:rPr>
                <w:rFonts w:ascii="Calibri"/>
                <w:color w:val="000000"/>
                <w:sz w:val="20"/>
                <w:szCs w:val="20"/>
              </w:rPr>
              <w:t xml:space="preserve">0xd4cdA980839C8FED4374EE37EA8DBE8c4ECfd88f</w:t>
            </w:r>
          </w:p>
        </w:tc>
      </w:tr>
      <w:tr>
        <w:trPr>
          <w:cantSplit/>
        </w:trPr>
        <w:tc>
          <w:tcPr>
            <w:tcW w:type="dxa" w:w="4394"/>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USDC Contract (Base)</w:t>
            </w:r>
          </w:p>
        </w:tc>
        <w:tc>
          <w:tcPr>
            <w:tcW w:type="dxa" w:w="4394"/>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0x833589fCD6eDb6E08f4c7C32D4f71b54bdA02913</w:t>
            </w:r>
          </w:p>
        </w:tc>
      </w:tr>
      <w:tr>
        <w:trPr>
          <w:cantSplit/>
        </w:trPr>
        <w:tc>
          <w:tcPr>
            <w:tcW w:type="dxa" w:w="4394"/>
            <w:tcBorders>
              <w:top w:val="single" w:color="C8DDE2" w:sz="1"/>
              <w:left w:val="none"/>
              <w:bottom w:val="single" w:color="C8DDE2" w:sz="1"/>
              <w:right w:val="none"/>
            </w:tcBorders>
          </w:tcPr>
          <w:p>
            <w:pPr>
              <w:spacing w:after="30" w:before="30"/>
            </w:pPr>
            <w:r>
              <w:rPr>
                <w:rFonts w:ascii="Calibri"/>
                <w:color w:val="000000"/>
                <w:sz w:val="20"/>
                <w:szCs w:val="20"/>
              </w:rPr>
              <w:t xml:space="preserve">WETH Contract (Base)</w:t>
            </w:r>
          </w:p>
        </w:tc>
        <w:tc>
          <w:tcPr>
            <w:tcW w:type="dxa" w:w="4394"/>
            <w:tcBorders>
              <w:top w:val="single" w:color="C8DDE2" w:sz="1"/>
              <w:left w:val="none"/>
              <w:bottom w:val="single" w:color="C8DDE2" w:sz="1"/>
              <w:right w:val="none"/>
            </w:tcBorders>
          </w:tcPr>
          <w:p>
            <w:pPr>
              <w:spacing w:after="30" w:before="30"/>
            </w:pPr>
            <w:r>
              <w:rPr>
                <w:rFonts w:ascii="Calibri"/>
                <w:color w:val="000000"/>
                <w:sz w:val="20"/>
                <w:szCs w:val="20"/>
              </w:rPr>
              <w:t xml:space="preserve">0x4200000000000000000000000000000000000006</w:t>
            </w:r>
          </w:p>
        </w:tc>
      </w:tr>
      <w:tr>
        <w:trPr>
          <w:cantSplit/>
        </w:trPr>
        <w:tc>
          <w:tcPr>
            <w:tcW w:type="dxa" w:w="4394"/>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Price Per Call</w:t>
            </w:r>
          </w:p>
        </w:tc>
        <w:tc>
          <w:tcPr>
            <w:tcW w:type="dxa" w:w="4394"/>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0.25 USDC (250,000 raw units)</w:t>
            </w:r>
          </w:p>
        </w:tc>
      </w:tr>
      <w:tr>
        <w:trPr>
          <w:cantSplit/>
        </w:trPr>
        <w:tc>
          <w:tcPr>
            <w:tcW w:type="dxa" w:w="4394"/>
            <w:tcBorders>
              <w:top w:val="single" w:color="C8DDE2" w:sz="1"/>
              <w:left w:val="none"/>
              <w:bottom w:val="single" w:color="C8DDE2" w:sz="1"/>
              <w:right w:val="none"/>
            </w:tcBorders>
          </w:tcPr>
          <w:p>
            <w:pPr>
              <w:spacing w:after="30" w:before="30"/>
            </w:pPr>
            <w:r>
              <w:rPr>
                <w:rFonts w:ascii="Calibri"/>
                <w:color w:val="000000"/>
                <w:sz w:val="20"/>
                <w:szCs w:val="20"/>
              </w:rPr>
              <w:t xml:space="preserve">Base Chain ID</w:t>
            </w:r>
          </w:p>
        </w:tc>
        <w:tc>
          <w:tcPr>
            <w:tcW w:type="dxa" w:w="4394"/>
            <w:tcBorders>
              <w:top w:val="single" w:color="C8DDE2" w:sz="1"/>
              <w:left w:val="none"/>
              <w:bottom w:val="single" w:color="C8DDE2" w:sz="1"/>
              <w:right w:val="none"/>
            </w:tcBorders>
          </w:tcPr>
          <w:p>
            <w:pPr>
              <w:spacing w:after="30" w:before="30"/>
            </w:pPr>
            <w:r>
              <w:rPr>
                <w:rFonts w:ascii="Calibri"/>
                <w:color w:val="000000"/>
                <w:sz w:val="20"/>
                <w:szCs w:val="20"/>
              </w:rPr>
              <w:t xml:space="preserve">8453 (hex: 0x2105)</w:t>
            </w:r>
          </w:p>
        </w:tc>
      </w:tr>
      <w:tr>
        <w:trPr>
          <w:cantSplit/>
        </w:trPr>
        <w:tc>
          <w:tcPr>
            <w:tcW w:type="dxa" w:w="4394"/>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Base RPC</w:t>
            </w:r>
          </w:p>
        </w:tc>
        <w:tc>
          <w:tcPr>
            <w:tcW w:type="dxa" w:w="4394"/>
            <w:tcBorders>
              <w:top w:val="single" w:color="C8DDE2" w:sz="1"/>
              <w:left w:val="none"/>
              <w:bottom w:val="single" w:color="C8DDE2" w:sz="1"/>
              <w:right w:val="none"/>
            </w:tcBorders>
            <w:shd w:fill="EDF3F5" w:val="clear"/>
          </w:tcPr>
          <w:p>
            <w:pPr>
              <w:spacing w:after="30" w:before="30"/>
            </w:pPr>
            <w:r>
              <w:rPr>
                <w:rFonts w:ascii="Calibri"/>
                <w:color w:val="000000"/>
                <w:sz w:val="20"/>
                <w:szCs w:val="20"/>
              </w:rPr>
              <w:t xml:space="preserve">https://mainnet.base.org</w:t>
            </w:r>
          </w:p>
        </w:tc>
      </w:tr>
    </w:tbl>
    <w:sectPr>
      <w:headerReference w:type="default" r:id="rId7"/>
      <w:footerReference w:type="default" r:id="rId8"/>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8"/>
        <w:szCs w:val="18"/>
      </w:rPr>
      <w:t xml:space="preserve">Page </w:t>
    </w:r>
    <w:r>
      <w:rPr>
        <w:rFonts w:ascii="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6"/>
        <w:szCs w:val="16"/>
      </w:rPr>
      <w:t xml:space="preserve">Kristo Intelligence API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b/>
      <w:bCs/>
      <w:color w:val="162235"/>
      <w:sz w:val="32"/>
      <w:szCs w:val="32"/>
    </w:rPr>
  </w:style>
  <w:style w:type="paragraph" w:styleId="Heading2">
    <w:pPr>
      <w:outlineLvl w:val="1"/>
    </w:pPr>
    <w:name w:val="Heading 2"/>
    <w:basedOn w:val="Normal"/>
    <w:next w:val="Normal"/>
    <w:qFormat/>
    <w:rPr>
      <w:rFonts w:ascii="Calibri"/>
      <w:b/>
      <w:bCs/>
      <w:color w:val="162235"/>
      <w:sz w:val="28"/>
      <w:szCs w:val="28"/>
    </w:rPr>
  </w:style>
  <w:style w:type="paragraph" w:styleId="Heading3">
    <w:pPr>
      <w:outlineLvl w:val="2"/>
    </w:pPr>
    <w:name w:val="Heading 3"/>
    <w:basedOn w:val="Normal"/>
    <w:next w:val="Normal"/>
    <w:qFormat/>
    <w:rPr>
      <w:rFonts w:ascii="Calibr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2026-07-26T13:04:33.668Z</dcterms:created>
  <dcterms:modified xsi:type="dcterms:W3CDTF">2026-07-26T13:04:33.668Z</dcterms:modified>
</cp:coreProperties>
</file>

<file path=docProps/custom.xml><?xml version="1.0" encoding="utf-8"?>
<Properties xmlns="http://schemas.openxmlformats.org/officeDocument/2006/custom-properties" xmlns:vt="http://schemas.openxmlformats.org/officeDocument/2006/docPropsVTypes"/>
</file>