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Christo Project Submission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1"/>
      </w:pPr>
      <w:r>
        <w:t>Техническо Резюме за Оценъчната Комисия</w:t>
      </w:r>
    </w:p>
    <w:p>
      <w:r>
        <w:t>Проектът за трансформация на бившата Текстилна школа в Габрово оформя институционално строго, мултидисциплинарно предложение за Център за съвременно изкуство, което отговаря на международните конкурсни критерии за архитектурно качество, инженерна устойчивост и финансово изпълнение.</w:t>
      </w:r>
    </w:p>
    <w:p>
      <w:pPr>
        <w:pStyle w:val="Heading2"/>
      </w:pPr>
      <w:r>
        <w:t>Системна архитектура и покривна стратегия</w:t>
      </w:r>
    </w:p>
    <w:p>
      <w:pPr>
        <w:pStyle w:val="ListBullet"/>
      </w:pPr>
      <w:r>
        <w:t>Проектът залага на изцяло активна Roof Integrated Photovoltaics (BIPV) система върху цялата покривна площ. Структурните соларни слатове се интегрират като конструктивен елемент и визуално се сливат с индустриалната цветова палитра на наследната зидария.</w:t>
      </w:r>
    </w:p>
    <w:p>
      <w:pPr>
        <w:pStyle w:val="ListBullet"/>
      </w:pPr>
      <w:r>
        <w:t>Покривната инсталация е проектирана за тежки габровски зимни натоварвания. Автоматизираната нисковолтова термична дейсинг матрица се активира при снежна покривка и осигурява експлоатационна надеждност чрез централен BESS със Lithium-Iron-Phosphate клетки.</w:t>
      </w:r>
    </w:p>
    <w:p>
      <w:pPr>
        <w:pStyle w:val="ListBullet"/>
      </w:pPr>
      <w:r>
        <w:t>Тази конфигурация гарантира устойчиво управление на покривната енергия и одържава способностите на системата за сертифициран net-zero баланс по експлоатационни критерии.</w:t>
      </w:r>
    </w:p>
    <w:p>
      <w:pPr>
        <w:pStyle w:val="Heading2"/>
      </w:pPr>
      <w:r>
        <w:t>Геотермална MEP подкрепа</w:t>
      </w:r>
    </w:p>
    <w:p>
      <w:pPr>
        <w:pStyle w:val="ListBullet"/>
      </w:pPr>
      <w:r>
        <w:t>HVAC стратегията е базирана на затворен Earth-Water геотермален кръг, реализиран чрез вертикални сондажи, разположени в централния вътрешен двор.</w:t>
      </w:r>
    </w:p>
    <w:p>
      <w:pPr>
        <w:pStyle w:val="ListBullet"/>
      </w:pPr>
      <w:r>
        <w:t>Геотермалният цикъл покрива 100% от базовото отопление, охлаждане и вентилационни нужди, осигурявайки стабилна термична поддръжка и ограничено въглеродно въздействие.</w:t>
      </w:r>
    </w:p>
    <w:p>
      <w:pPr>
        <w:pStyle w:val="ListBullet"/>
      </w:pPr>
      <w:r>
        <w:t>Системата е интегрирана с AI ​​микромрежов оркестратор, който използва прогностични метеорологични данни и visitor-density сензори за управление на пиковото натоварване и енергийното потребление.</w:t>
      </w:r>
    </w:p>
    <w:p>
      <w:pPr>
        <w:pStyle w:val="Heading2"/>
      </w:pPr>
      <w:r>
        <w:t>Пространствено програмиране и интериорен език</w:t>
      </w:r>
    </w:p>
    <w:p>
      <w:pPr>
        <w:pStyle w:val="ListBullet"/>
      </w:pPr>
      <w:r>
        <w:t>Ниво 0 е дефинирано като high-clearance, open-span мултимедиен павилион, предназначен за аудио-визуални изложби, сценични продукции и адаптивни инсталации.</w:t>
      </w:r>
    </w:p>
    <w:p>
      <w:pPr>
        <w:pStyle w:val="ListBullet"/>
      </w:pPr>
      <w:r>
        <w:t>Адаптивните прегради са тежки моторизирани акустични панели, вградени в таваните, които поддържат полупрозрачни структурни стъклени прегради, обвити в индустриални, неотразяващи акустични полимери.</w:t>
      </w:r>
    </w:p>
    <w:p>
      <w:pPr>
        <w:pStyle w:val="ListBullet"/>
      </w:pPr>
      <w:r>
        <w:t>Интериорното обзавеждане се реализира чрез тактилен upcycling на автентични габровски текстилни машини: cast-iron тъкачни колела, дървени цилиндри и метални рамки се синтезират в приемни мебели, пейки и архитектурни акценти.</w:t>
      </w:r>
    </w:p>
    <w:p>
      <w:pPr>
        <w:pStyle w:val="ListBullet"/>
      </w:pPr>
      <w:r>
        <w:t>Този подход надгражда идентичността на сградата като чест прагматичен корпус, който свързва индустриалното наследство с цифровата художествена продукция и функционалната експлоатация.</w:t>
      </w:r>
    </w:p>
    <w:p>
      <w:pPr>
        <w:pStyle w:val="Heading2"/>
      </w:pPr>
      <w:r>
        <w:t>Финансово управление и бюджетна дисциплина</w:t>
      </w:r>
    </w:p>
    <w:p>
      <w:pPr>
        <w:pStyle w:val="ListBullet"/>
      </w:pPr>
      <w:r>
        <w:t>Проектният портфейл се структурира в трите несвърними CapEx фази, оптимизирани спрямо нетния инвестиционен лимит от 11,261,103 EUR.</w:t>
      </w:r>
    </w:p>
    <w:p>
      <w:pPr>
        <w:pStyle w:val="ListBullet"/>
      </w:pPr>
      <w:r>
        <w:t>Фаза 1 включва структурно запазване, BIPV термичен покрив и envelope remediation и е фиксирана на 25% от общия бюджет.</w:t>
      </w:r>
    </w:p>
    <w:p>
      <w:pPr>
        <w:pStyle w:val="ListBullet"/>
      </w:pPr>
      <w:r>
        <w:t>Фаза 2 покрива основно MEP инженерство, геотермално дълбоко сондиране, AI микромрежа и моторизирани акустични системи и е фиксирана на 40%.</w:t>
      </w:r>
    </w:p>
    <w:p>
      <w:pPr>
        <w:pStyle w:val="ListBullet"/>
      </w:pPr>
      <w:r>
        <w:t>Фаза 3 включва интериорно изпълнение, upcycled обзавеждане, специализирано музейно осветление и дигитални лаборатории и е фиксирана на 35%.</w:t>
      </w:r>
    </w:p>
    <w:p>
      <w:pPr>
        <w:pStyle w:val="ListBullet"/>
      </w:pPr>
      <w:r>
        <w:t>ДДС 20% се отчита отделно и е калкулирано на 2,252,220.60 EUR, което осигурява пълно съответствие с българските и европейските изисквания.</w:t>
      </w:r>
    </w:p>
    <w:p>
      <w:pPr>
        <w:pStyle w:val="Heading2"/>
      </w:pPr>
      <w:r>
        <w:t>Оценъчно основание</w:t>
      </w:r>
    </w:p>
    <w:p>
      <w:pPr>
        <w:pStyle w:val="ListBullet"/>
      </w:pPr>
      <w:r>
        <w:t>Предложението е формулирано като интегрирана архитектурна и инженерна концепция, която съчетава устойчиви технологии, функционална гъвкавост и бюджетна стриктност.</w:t>
      </w:r>
    </w:p>
    <w:p>
      <w:pPr>
        <w:pStyle w:val="ListBullet"/>
      </w:pPr>
      <w:r>
        <w:t>Дизайнът отговаря на изискванията за висока оценка по критериите за иновация, устойчивост, конструктивна интеграция и конкурентоспособност на международно ниво.</w:t>
      </w:r>
    </w:p>
    <w:p>
      <w:pPr>
        <w:pStyle w:val="ListBullet"/>
      </w:pPr>
      <w:r>
        <w:t>Проектът предлага доказуема оперативна прозрачност и експлоатационна надеждност, необходими за одобрение на етап 1 на конкурса.</w:t>
      </w:r>
    </w:p>
    <w:p>
      <w:r>
        <w:br w:type="page"/>
      </w:r>
    </w:p>
    <w:p>
      <w:pPr>
        <w:pStyle w:val="Heading1"/>
      </w:pPr>
      <w:r>
        <w:t>1</w:t>
      </w:r>
    </w:p>
    <w:p>
      <w:pPr>
        <w:pStyle w:val="Heading1"/>
      </w:pPr>
      <w:r>
        <w:t>Табло 1 — Концепция и програма</w:t>
      </w:r>
    </w:p>
    <w:p>
      <w:pPr>
        <w:pStyle w:val="Heading2"/>
      </w:pPr>
      <w:r>
        <w:t>Архитектурна рамка</w:t>
      </w:r>
    </w:p>
    <w:p>
      <w:pPr>
        <w:pStyle w:val="ListBullet"/>
      </w:pPr>
      <w:r>
        <w:t>Име на проекта: Christo and Jeanne-Claude Contemporary Art Center — Степен 1.</w:t>
      </w:r>
    </w:p>
    <w:p>
      <w:pPr>
        <w:pStyle w:val="ListBullet"/>
      </w:pPr>
      <w:r>
        <w:t>Обхват: международен конкурс за адаптация на бившата Текстилна школа на Община Габрово в институционален център за съвременно изкуство, образование и цифрово творчество.</w:t>
      </w:r>
    </w:p>
    <w:p>
      <w:pPr>
        <w:pStyle w:val="ListBullet"/>
      </w:pPr>
      <w:r>
        <w:t>Цел: съчетание на автентично индустриално наследство и висока технологична архитектура с осигуряване на безупречно съответствие към конкурсните изисквания.</w:t>
      </w:r>
    </w:p>
    <w:p>
      <w:pPr>
        <w:pStyle w:val="Heading2"/>
      </w:pPr>
      <w:r>
        <w:t>Основна визия</w:t>
      </w:r>
    </w:p>
    <w:p>
      <w:pPr>
        <w:pStyle w:val="ListBullet"/>
      </w:pPr>
      <w:r>
        <w:t>Проектът третира бившия корпус като конструктивно свидетелство, въвеждайки стабилно, но лирично съжителство между тежката носеща рамка, стоманените колони и транспарентните визуални периферии.</w:t>
      </w:r>
    </w:p>
    <w:p>
      <w:pPr>
        <w:pStyle w:val="ListBullet"/>
      </w:pPr>
      <w:r>
        <w:t>Концепцията рязко отделя функциите на ниво 0 като основен мултимедиен павилион с минимум колони, за да изпълни изискването за high-clearance, open-span пространствена логика.</w:t>
      </w:r>
    </w:p>
    <w:p>
      <w:pPr>
        <w:pStyle w:val="ListBullet"/>
      </w:pPr>
      <w:r>
        <w:t>Архитектурното намерение е да превърне индустриалните остатъци в тактилно-структурен език, който говори чрез културни, технически и енергийни системи.</w:t>
      </w:r>
    </w:p>
    <w:p>
      <w:pPr>
        <w:pStyle w:val="Heading2"/>
      </w:pPr>
      <w:r>
        <w:t>Програмно ядро</w:t>
      </w:r>
    </w:p>
    <w:p>
      <w:pPr>
        <w:pStyle w:val="ListBullet"/>
      </w:pPr>
      <w:r>
        <w:t>Ниво 0:</w:t>
      </w:r>
    </w:p>
    <w:p>
      <w:pPr>
        <w:pStyle w:val="ListBullet"/>
      </w:pPr>
      <w:r>
        <w:t>високопространствен мултимедиен зален павилион с свободно носещи пролети, оптимизиран за аудио-визуални, холографски и сценични конфигурации.</w:t>
      </w:r>
    </w:p>
    <w:p>
      <w:pPr>
        <w:pStyle w:val="ListBullet"/>
      </w:pPr>
      <w:r>
        <w:t>гъвкави изложбени острови, монтажни канали и товарни коридори за сценографска мобилност.</w:t>
      </w:r>
    </w:p>
    <w:p>
      <w:pPr>
        <w:pStyle w:val="ListBullet"/>
      </w:pPr>
      <w:r>
        <w:t>централен публичен фоайе с адаптивни „reception hubs“ и информационни терминали, изградени чрез upcycling на габровски тъкачни машини.</w:t>
      </w:r>
    </w:p>
    <w:p>
      <w:pPr>
        <w:pStyle w:val="ListBullet"/>
      </w:pPr>
      <w:r>
        <w:t>обслужващи ядра за сглобяване, логистика и техническа поддръжка.</w:t>
      </w:r>
    </w:p>
    <w:p>
      <w:pPr>
        <w:pStyle w:val="ListBullet"/>
      </w:pPr>
      <w:r>
        <w:t>Ниво 1:</w:t>
      </w:r>
    </w:p>
    <w:p>
      <w:pPr>
        <w:pStyle w:val="ListBullet"/>
      </w:pPr>
      <w:r>
        <w:t>артистични резиденции и творчески студия, предназначени за колективни и солови практики.</w:t>
      </w:r>
    </w:p>
    <w:p>
      <w:pPr>
        <w:pStyle w:val="ListBullet"/>
      </w:pPr>
      <w:r>
        <w:t>AI/ML лаборатория за медийни изследвания и виртуална продукция.</w:t>
      </w:r>
    </w:p>
    <w:p>
      <w:pPr>
        <w:pStyle w:val="ListBullet"/>
      </w:pPr>
      <w:r>
        <w:t>работни станции за цифрово производство, колаборативни зони и прозоречни работилници.</w:t>
      </w:r>
    </w:p>
    <w:p>
      <w:pPr>
        <w:pStyle w:val="ListBullet"/>
      </w:pPr>
      <w:r>
        <w:t>Ниво 2:</w:t>
      </w:r>
    </w:p>
    <w:p>
      <w:pPr>
        <w:pStyle w:val="ListBullet"/>
      </w:pPr>
      <w:r>
        <w:t>гъвкави изложбени зали, архивни модули, специализирани технически обеми и резервни площи.</w:t>
      </w:r>
    </w:p>
    <w:p>
      <w:pPr>
        <w:pStyle w:val="ListBullet"/>
      </w:pPr>
      <w:r>
        <w:t>места за демонстрация на проектни прототипи и образователни инсталации.</w:t>
      </w:r>
    </w:p>
    <w:p>
      <w:pPr>
        <w:pStyle w:val="Heading2"/>
      </w:pPr>
      <w:r>
        <w:t>Принципи на организация</w:t>
      </w:r>
    </w:p>
    <w:p>
      <w:pPr>
        <w:pStyle w:val="ListBullet"/>
      </w:pPr>
      <w:r>
        <w:t>Строго разграничение между публични, полу-публични и технически зони, постигнато чрез сериозен функционален план и обоснован поток на посетителите.</w:t>
      </w:r>
    </w:p>
    <w:p>
      <w:pPr>
        <w:pStyle w:val="ListBullet"/>
      </w:pPr>
      <w:r>
        <w:t>Главен културен коридор, който организира вертикалната връзка между нивата и позволява логично редуване на зрителни и творчески преживявания.</w:t>
      </w:r>
    </w:p>
    <w:p>
      <w:pPr>
        <w:pStyle w:val="ListBullet"/>
      </w:pPr>
      <w:r>
        <w:t>Всеки сектор е проектиран като автономна, но взаимосвързана единица, която може да функционира независимо при фазирани строителни работи.</w:t>
      </w:r>
    </w:p>
    <w:p>
      <w:pPr>
        <w:pStyle w:val="ListBullet"/>
      </w:pPr>
      <w:r>
        <w:t>Архитектурното решение осигурява максимална оперативна прозрачност, техническа поддръжка и контрол като основни критерии за оценките на етап 1.</w:t>
      </w:r>
    </w:p>
    <w:p>
      <w:r>
        <w:br w:type="page"/>
      </w:r>
    </w:p>
    <w:p>
      <w:pPr>
        <w:pStyle w:val="Heading1"/>
      </w:pPr>
      <w:r>
        <w:t>2</w:t>
      </w:r>
    </w:p>
    <w:p>
      <w:pPr>
        <w:pStyle w:val="Heading1"/>
      </w:pPr>
      <w:r>
        <w:t>Табло 2 — Архитектура и планове</w:t>
      </w:r>
    </w:p>
    <w:p>
      <w:pPr>
        <w:pStyle w:val="Heading2"/>
      </w:pPr>
      <w:r>
        <w:t>Пространствено разпределение</w:t>
      </w:r>
    </w:p>
    <w:p>
      <w:pPr>
        <w:pStyle w:val="ListBullet"/>
      </w:pPr>
      <w:r>
        <w:t>Ниво 0:</w:t>
      </w:r>
    </w:p>
    <w:p>
      <w:pPr>
        <w:pStyle w:val="ListBullet"/>
      </w:pPr>
      <w:r>
        <w:t>високопространствен мултимедиен павилион с висока ясна ос, широки свободни пролети и изцяло отворена подова конфигурация.</w:t>
      </w:r>
    </w:p>
    <w:p>
      <w:pPr>
        <w:pStyle w:val="ListBullet"/>
      </w:pPr>
      <w:r>
        <w:t>гъвкава изложбена зона с полупрозрачни структурни панели и монтажни трасета.</w:t>
      </w:r>
    </w:p>
    <w:p>
      <w:pPr>
        <w:pStyle w:val="ListBullet"/>
      </w:pPr>
      <w:r>
        <w:t>обществено фоайе със специализирани приемни хъбове, ритерни станции и бърз достъп за посетителски потоци.</w:t>
      </w:r>
    </w:p>
    <w:p>
      <w:pPr>
        <w:pStyle w:val="ListBullet"/>
      </w:pPr>
      <w:r>
        <w:t>технически ядро за логистика, сценичен монтаж и интервентни действия.</w:t>
      </w:r>
    </w:p>
    <w:p>
      <w:pPr>
        <w:pStyle w:val="ListBullet"/>
      </w:pPr>
      <w:r>
        <w:t>Ниво 1:</w:t>
      </w:r>
    </w:p>
    <w:p>
      <w:pPr>
        <w:pStyle w:val="ListBullet"/>
      </w:pPr>
      <w:r>
        <w:t>студия за артисти и резидентни пространства с директен достъп до AI/ML лаборатория.</w:t>
      </w:r>
    </w:p>
    <w:p>
      <w:pPr>
        <w:pStyle w:val="ListBullet"/>
      </w:pPr>
      <w:r>
        <w:t>лабораторни модули за медийни изследвания, цифрова продукция и публични workshops.</w:t>
      </w:r>
    </w:p>
    <w:p>
      <w:pPr>
        <w:pStyle w:val="ListBullet"/>
      </w:pPr>
      <w:r>
        <w:t>пространства за колаборативен дизайн, визуални презентации и тестови инсталации.</w:t>
      </w:r>
    </w:p>
    <w:p>
      <w:pPr>
        <w:pStyle w:val="ListBullet"/>
      </w:pPr>
      <w:r>
        <w:t>Ниво 2:</w:t>
      </w:r>
    </w:p>
    <w:p>
      <w:pPr>
        <w:pStyle w:val="ListBullet"/>
      </w:pPr>
      <w:r>
        <w:t>експозиционни зали с модулен характер, архивни помещения и резервни технически обеми.</w:t>
      </w:r>
    </w:p>
    <w:p>
      <w:pPr>
        <w:pStyle w:val="ListBullet"/>
      </w:pPr>
      <w:r>
        <w:t>зони за специализирани демонстрации, интелигентни архиви и временни изложбени формати.</w:t>
      </w:r>
    </w:p>
    <w:p>
      <w:pPr>
        <w:pStyle w:val="Heading2"/>
      </w:pPr>
      <w:r>
        <w:t>Интериорно зониране и адаптивни прегради</w:t>
      </w:r>
    </w:p>
    <w:p>
      <w:pPr>
        <w:pStyle w:val="ListBullet"/>
      </w:pPr>
      <w:r>
        <w:t>Тежките таванни моторизирани акустични релси са интегрирани в окачения таван и позволяват управление на преградите като част от експозиционния сценарий.</w:t>
      </w:r>
    </w:p>
    <w:p>
      <w:pPr>
        <w:pStyle w:val="ListBullet"/>
      </w:pPr>
      <w:r>
        <w:t>Полу-прозрачни структурни стъклени панели, обвити в индустриални, матови акустични полимери, осигуряват визуална комуникация, акустичен контрол и противопожарно поведение.</w:t>
      </w:r>
    </w:p>
    <w:p>
      <w:pPr>
        <w:pStyle w:val="ListBullet"/>
      </w:pPr>
      <w:r>
        <w:t>Системата не е декорация, а инженерно структурен елемент: преградите участват като кинетичен корпус, който реорганизира пространството в съответствие с програмата на изложбата.</w:t>
      </w:r>
    </w:p>
    <w:p>
      <w:pPr>
        <w:pStyle w:val="ListBullet"/>
      </w:pPr>
      <w:r>
        <w:t>Акустично-структурните шини са проектирани за натоварвания, сертифицирани към нормативите за безопасност и управление на човешкия трафик.</w:t>
      </w:r>
    </w:p>
    <w:p>
      <w:pPr>
        <w:pStyle w:val="Heading2"/>
      </w:pPr>
      <w:r>
        <w:t>Обзавеждане и пространствени акценти</w:t>
      </w:r>
    </w:p>
    <w:p>
      <w:pPr>
        <w:pStyle w:val="ListBullet"/>
      </w:pPr>
      <w:r>
        <w:t>Приемни хъбове, барове и информационни стойки се реализират чрез директен архитектурен upcycling на автентични габровски текстилни машини.</w:t>
      </w:r>
    </w:p>
    <w:p>
      <w:pPr>
        <w:pStyle w:val="ListBullet"/>
      </w:pPr>
      <w:r>
        <w:t>Каст-ирон тъкачни колела, дървени цилиндри и метални рами от тъкачни станове се синтезират в конкретни мебели, парапети, пейки и рамки за функционални инсталации.</w:t>
      </w:r>
    </w:p>
    <w:p>
      <w:pPr>
        <w:pStyle w:val="ListBullet"/>
      </w:pPr>
      <w:r>
        <w:t>Този подход е честен тактилен език: мебелите са носещи, програмно активни и свързват индустриалното наследство със съвременната дигитална творческа продукция.</w:t>
      </w:r>
    </w:p>
    <w:p>
      <w:pPr>
        <w:pStyle w:val="ListBullet"/>
      </w:pPr>
      <w:r>
        <w:t>Всеки елемент на обзавеждане е инструментиран за монтаж, демонтаж и поддръжка като част от техническата документация.</w:t>
      </w:r>
    </w:p>
    <w:p>
      <w:pPr>
        <w:pStyle w:val="Heading2"/>
      </w:pPr>
      <w:r>
        <w:t>Пространствена логика</w:t>
      </w:r>
    </w:p>
    <w:p>
      <w:pPr>
        <w:pStyle w:val="ListBullet"/>
      </w:pPr>
      <w:r>
        <w:t>Зоните за посещение, творческа дейност и техническа поддръжка са организирани чрез ясно структурирани кръстовища и отворени автомати.</w:t>
      </w:r>
    </w:p>
    <w:p>
      <w:pPr>
        <w:pStyle w:val="ListBullet"/>
      </w:pPr>
      <w:r>
        <w:t>Главните оси на движение осигуряват отделяне на публичния поток от логистичния и на артистичния поток от обслужващия.</w:t>
      </w:r>
    </w:p>
    <w:p>
      <w:pPr>
        <w:pStyle w:val="ListBullet"/>
      </w:pPr>
      <w:r>
        <w:t>Нивото на простор и гъвкавост е калибрирано спрямо изисквания за евакуация, достъпност и музеефикация.</w:t>
      </w:r>
    </w:p>
    <w:p>
      <w:r>
        <w:br w:type="page"/>
      </w:r>
    </w:p>
    <w:p>
      <w:pPr>
        <w:pStyle w:val="Heading1"/>
      </w:pPr>
      <w:r>
        <w:t>3</w:t>
      </w:r>
    </w:p>
    <w:p>
      <w:pPr>
        <w:pStyle w:val="Heading1"/>
      </w:pPr>
      <w:r>
        <w:t>Табло 3 — Визуализации и материали</w:t>
      </w:r>
    </w:p>
    <w:p>
      <w:pPr>
        <w:pStyle w:val="Heading2"/>
      </w:pPr>
      <w:r>
        <w:t>Визуална идентичност</w:t>
      </w:r>
    </w:p>
    <w:p>
      <w:pPr>
        <w:pStyle w:val="ListBullet"/>
      </w:pPr>
      <w:r>
        <w:t>Проектът се представя чрез академичен визуален език, който подчертава индустриалната корпусност, минималната геометрия и диференцираното осветление.</w:t>
      </w:r>
    </w:p>
    <w:p>
      <w:pPr>
        <w:pStyle w:val="ListBullet"/>
      </w:pPr>
      <w:r>
        <w:t>Образите акцентират върху обемите, материалните връзки и архитектурните потоци, без никаква илюстрация на идентичности или специфични арт събития.</w:t>
      </w:r>
    </w:p>
    <w:p>
      <w:pPr>
        <w:pStyle w:val="ListBullet"/>
      </w:pPr>
      <w:r>
        <w:t>Визуализациите демонстрират архитектурни разрези, покривни решения и интегрирани технологични системи като част от програмен и инфраструктурен анализ.</w:t>
      </w:r>
    </w:p>
    <w:p>
      <w:pPr>
        <w:pStyle w:val="Heading2"/>
      </w:pPr>
      <w:r>
        <w:t>Материали и палитра</w:t>
      </w:r>
    </w:p>
    <w:p>
      <w:pPr>
        <w:pStyle w:val="ListBullet"/>
      </w:pPr>
      <w:r>
        <w:t>Покривно тяло: BIPV структурни слатове с индустриално матово покритие, съвместено с старата зидария.</w:t>
      </w:r>
    </w:p>
    <w:p>
      <w:pPr>
        <w:pStyle w:val="ListBullet"/>
      </w:pPr>
      <w:r>
        <w:t>Фасадни повърхности: бетонни панели, стоманени профили, полирано структурно стъкло с антибликов акустичен филм.</w:t>
      </w:r>
    </w:p>
    <w:p>
      <w:pPr>
        <w:pStyle w:val="ListBullet"/>
      </w:pPr>
      <w:r>
        <w:t>Интериори: дървени елементи от възстановени тъкачни цилиндри, каст-ирон механизми и премахнати машинни рамки.</w:t>
      </w:r>
    </w:p>
    <w:p>
      <w:pPr>
        <w:pStyle w:val="ListBullet"/>
      </w:pPr>
      <w:r>
        <w:t>Допълнителни слоеве: рециклиран изолационен материал с нисък въглероден отпечатък, екологични мазилки и активни повърхности за интегриран мониторинг.</w:t>
      </w:r>
    </w:p>
    <w:p>
      <w:pPr>
        <w:pStyle w:val="Heading2"/>
      </w:pPr>
      <w:r>
        <w:t>Визуални акценти</w:t>
      </w:r>
    </w:p>
    <w:p>
      <w:pPr>
        <w:pStyle w:val="ListBullet"/>
      </w:pPr>
      <w:r>
        <w:t>Динамични разрези, включващи BIPV покрив с де-icing матрица и LFP BESS.</w:t>
      </w:r>
    </w:p>
    <w:p>
      <w:pPr>
        <w:pStyle w:val="ListBullet"/>
      </w:pPr>
      <w:r>
        <w:t>Схеми на затворения Earth-Water геотермален цикъл и AI микромрежата.</w:t>
      </w:r>
    </w:p>
    <w:p>
      <w:pPr>
        <w:pStyle w:val="ListBullet"/>
      </w:pPr>
      <w:r>
        <w:t>Интериорни сцени с моторизирани акустични шини и полупрозрачни панели.</w:t>
      </w:r>
    </w:p>
    <w:p>
      <w:pPr>
        <w:pStyle w:val="ListBullet"/>
      </w:pPr>
      <w:r>
        <w:t>Фотографски композиции на upcycled обзавеждане и тактилни индустриални детайли.</w:t>
      </w:r>
    </w:p>
    <w:p>
      <w:pPr>
        <w:pStyle w:val="Heading2"/>
      </w:pPr>
      <w:r>
        <w:t>Архитектурен език</w:t>
      </w:r>
    </w:p>
    <w:p>
      <w:pPr>
        <w:pStyle w:val="ListBullet"/>
      </w:pPr>
      <w:r>
        <w:t>Визуалната презентация утвърждава тактилната честност на сградата и подчертава функционалния аспект на всеки материален избор.</w:t>
      </w:r>
    </w:p>
    <w:p>
      <w:pPr>
        <w:pStyle w:val="ListBullet"/>
      </w:pPr>
      <w:r>
        <w:t>Презентацията целево демонстрира, че архитектурната конструкция и инженерните системи са интегрирани и анализирани като едно цяло.</w:t>
      </w:r>
    </w:p>
    <w:p>
      <w:r>
        <w:br w:type="page"/>
      </w:r>
    </w:p>
    <w:p>
      <w:pPr>
        <w:pStyle w:val="Heading1"/>
      </w:pPr>
      <w:r>
        <w:t>4</w:t>
      </w:r>
    </w:p>
    <w:p>
      <w:pPr>
        <w:pStyle w:val="Heading1"/>
      </w:pPr>
      <w:r>
        <w:t>Табло 4 — Имплементация, устойчивост и AI интеграция</w:t>
      </w:r>
    </w:p>
    <w:p>
      <w:pPr>
        <w:pStyle w:val="Heading2"/>
      </w:pPr>
      <w:r>
        <w:t>4. Покрив и енергийна устойчивост</w:t>
      </w:r>
    </w:p>
    <w:p>
      <w:pPr>
        <w:pStyle w:val="ListBullet"/>
      </w:pPr>
      <w:r>
        <w:t>Покривното тяло се реализира като изцяло активна BIPV система, обхващаща цялата покривна площ на бившата Текстилна школа.</w:t>
      </w:r>
    </w:p>
    <w:p>
      <w:pPr>
        <w:pStyle w:val="ListBullet"/>
      </w:pPr>
      <w:r>
        <w:t>Соларните слатове са структурно интегрирани, с индустриален матов нюанс, съвместим с цялостния характер на наследната зидария.</w:t>
      </w:r>
    </w:p>
    <w:p>
      <w:pPr>
        <w:pStyle w:val="ListBullet"/>
      </w:pPr>
      <w:r>
        <w:t>За максимална експлоатационна надеждност сградата използва автоматизирана нисковолтова термична дейсинг матрица, активирана при снежни натоварвания и замръзване.</w:t>
      </w:r>
    </w:p>
    <w:p>
      <w:pPr>
        <w:pStyle w:val="ListBullet"/>
      </w:pPr>
      <w:r>
        <w:t>Системата е захранвана от централен Battery Energy Storage System (BESS) с литиево-железо-фосфатни (LFP) клетки, осигуряващи точен енергиен резерв и дългосрочна цикличност.</w:t>
      </w:r>
    </w:p>
    <w:p>
      <w:pPr>
        <w:pStyle w:val="Heading2"/>
      </w:pPr>
      <w:r>
        <w:t>4.2 Геотермална HVAC подкрепа и микромрежова оркестрация</w:t>
      </w:r>
    </w:p>
    <w:p>
      <w:pPr>
        <w:pStyle w:val="ListBullet"/>
      </w:pPr>
      <w:r>
        <w:t>HVAC базата се поддържа на 100% чрез затворен Earth-Water геотермален кръг, изградена върху вертикални сондажи в централния двор.</w:t>
      </w:r>
    </w:p>
    <w:p>
      <w:pPr>
        <w:pStyle w:val="ListBullet"/>
      </w:pPr>
      <w:r>
        <w:t>Геотермалният цикъл е интегриран с термодинамичен помпен модул за отопление, охлаждане и прецизен хидравличен контрол.</w:t>
      </w:r>
    </w:p>
    <w:p>
      <w:pPr>
        <w:pStyle w:val="ListBullet"/>
      </w:pPr>
      <w:r>
        <w:t>AI-driven Microgrid Orchestrator използва прогнозни метеорологични данни и sensor nodes за visitor-density, за да управлява активно peak-shaving и енергийната търговия в реално време.</w:t>
      </w:r>
    </w:p>
    <w:p>
      <w:pPr>
        <w:pStyle w:val="ListBullet"/>
      </w:pPr>
      <w:r>
        <w:t>Целта е сертифициран operational net-zero carbon баланс, с акцент върху сгъстено управление на пиковите товари и изискванията на етап 1.</w:t>
      </w:r>
    </w:p>
    <w:p>
      <w:pPr>
        <w:pStyle w:val="Heading2"/>
      </w:pPr>
      <w:r>
        <w:t>Технологична рамка</w:t>
      </w:r>
    </w:p>
    <w:p>
      <w:pPr>
        <w:pStyle w:val="ListBullet"/>
      </w:pPr>
      <w:r>
        <w:t>Интегрирана платформа за управление (BMS/BAS) обединява климатични, осветителни, енергийни и пожарообезпечителни функции.</w:t>
      </w:r>
    </w:p>
    <w:p>
      <w:pPr>
        <w:pStyle w:val="ListBullet"/>
      </w:pPr>
      <w:r>
        <w:t>Реактивна фасада и adaptive shading системи регулират дневната светлина спрямо слънчевите условия и вътрешните натоварвания.</w:t>
      </w:r>
    </w:p>
    <w:p>
      <w:pPr>
        <w:pStyle w:val="ListBullet"/>
      </w:pPr>
      <w:r>
        <w:t>Сензорната мрежа следи температура, влажност, CO2, присъствие и осветеност, за да гарантира енергийна ефективност, комфорт и безопасност.</w:t>
      </w:r>
    </w:p>
    <w:p>
      <w:pPr>
        <w:pStyle w:val="Heading2"/>
      </w:pPr>
      <w:r>
        <w:t>AI и операционна интелигентност</w:t>
      </w:r>
    </w:p>
    <w:p>
      <w:pPr>
        <w:pStyle w:val="ListBullet"/>
      </w:pPr>
      <w:r>
        <w:t>Microgrid Orchestrator осигурява динамично управление на BIPV, BESS, геотермално отопление и building load, като приоритизира собствено потребление и минимизира мрежовите импулси.</w:t>
      </w:r>
    </w:p>
    <w:p>
      <w:pPr>
        <w:pStyle w:val="ListBullet"/>
      </w:pPr>
      <w:r>
        <w:t>Предиктивната поддръжка се основава на машинно обучение и анализ на експлоатационни модели.</w:t>
      </w:r>
    </w:p>
    <w:p>
      <w:pPr>
        <w:pStyle w:val="ListBullet"/>
      </w:pPr>
      <w:r>
        <w:t>Интерактивни контроли за посетители и адаптивна навигация позволяват управление на потоците според текущия натиск и програмата.</w:t>
      </w:r>
    </w:p>
    <w:p>
      <w:pPr>
        <w:pStyle w:val="ListBullet"/>
      </w:pPr>
      <w:r>
        <w:t>Digital twin подходът комбинира архитектурна информация, MEP данни и енергиен мониторинг за оперативна прозрачност.</w:t>
      </w:r>
    </w:p>
    <w:p>
      <w:pPr>
        <w:pStyle w:val="Heading2"/>
      </w:pPr>
      <w:r>
        <w:t>Устойчивост и експлоатационна дисциплина</w:t>
      </w:r>
    </w:p>
    <w:p>
      <w:pPr>
        <w:pStyle w:val="ListBullet"/>
      </w:pPr>
      <w:r>
        <w:t>Сградата се третира като терминално реставрационно тяло с максимално използване на съществуващата конструкция.</w:t>
      </w:r>
    </w:p>
    <w:p>
      <w:pPr>
        <w:pStyle w:val="ListBullet"/>
      </w:pPr>
      <w:r>
        <w:t>Използват се рециклирани материали, екологични изолации и решения с нисък жизнен цикъл на емисията.</w:t>
      </w:r>
    </w:p>
    <w:p>
      <w:pPr>
        <w:pStyle w:val="ListBullet"/>
      </w:pPr>
      <w:r>
        <w:t>Устойчивостта е интегрирана в архитектурния и инженерния дизайн като основен рейтинг критерий за оценка в конкурса.</w:t>
      </w:r>
    </w:p>
    <w:p>
      <w:r>
        <w:br w:type="page"/>
      </w:r>
    </w:p>
    <w:p>
      <w:pPr>
        <w:pStyle w:val="Heading1"/>
      </w:pPr>
      <w:r>
        <w:t>FINANCIAL PROPOSAL</w:t>
      </w:r>
    </w:p>
    <w:p>
      <w:pPr>
        <w:pStyle w:val="Heading1"/>
      </w:pPr>
      <w:r>
        <w:t>Финансово предложение</w:t>
      </w:r>
    </w:p>
    <w:p>
      <w:pPr>
        <w:pStyle w:val="Heading2"/>
      </w:pPr>
      <w:r>
        <w:t>Общи условия</w:t>
      </w:r>
    </w:p>
    <w:p>
      <w:pPr>
        <w:pStyle w:val="ListBullet"/>
      </w:pPr>
      <w:r>
        <w:t>Нетният инвестиционен обем на проекта е 11,261,103 EUR.</w:t>
      </w:r>
    </w:p>
    <w:p>
      <w:pPr>
        <w:pStyle w:val="ListBullet"/>
      </w:pPr>
      <w:r>
        <w:t>Всички стойности са представени в EUR, без включен ДДС.</w:t>
      </w:r>
    </w:p>
    <w:p>
      <w:pPr>
        <w:pStyle w:val="ListBullet"/>
      </w:pPr>
      <w:r>
        <w:t>ДДС 20% се отчита отделно като задължителен фискален ред в съответствие с българските и европейските регламенти.</w:t>
      </w:r>
    </w:p>
    <w:p>
      <w:pPr>
        <w:pStyle w:val="Heading2"/>
      </w:pPr>
      <w:r>
        <w:t>Трите фази на капиталови разходи (CapEx)</w:t>
      </w:r>
    </w:p>
    <w:p>
      <w:pPr>
        <w:pStyle w:val="Heading3"/>
      </w:pPr>
      <w:r>
        <w:t>Фаза 1 — Структурно запазване, BIPV топъл покрив и ремедиация на обвивката</w:t>
      </w:r>
    </w:p>
    <w:p>
      <w:pPr>
        <w:pStyle w:val="ListBullet"/>
      </w:pPr>
      <w:r>
        <w:t>Процент от бюджета: 25%</w:t>
      </w:r>
    </w:p>
    <w:p>
      <w:pPr>
        <w:pStyle w:val="ListBullet"/>
      </w:pPr>
      <w:r>
        <w:t>Сума: 2,815,275.75 EUR</w:t>
      </w:r>
    </w:p>
    <w:p>
      <w:pPr>
        <w:pStyle w:val="ListBullet"/>
      </w:pPr>
      <w:r>
        <w:t>Покритие: конструктивно укрепване на носещия ред, възстановяване на покривната хидроизолация, интегриране на активни BIPV слатове и нови термични покритни слоеве.</w:t>
      </w:r>
    </w:p>
    <w:p>
      <w:pPr>
        <w:pStyle w:val="ListBullet"/>
      </w:pPr>
      <w:r>
        <w:t>Включени дейности: обследване и реставрация на конструкцията, обвивна реконструкция, дефиниране на покривни отвори и подготовка за система за снегова секвестрация.</w:t>
      </w:r>
    </w:p>
    <w:p>
      <w:pPr>
        <w:pStyle w:val="Heading3"/>
      </w:pPr>
      <w:r>
        <w:t>Фаза 2 — Ядро MEP, геотермално сондиране, AI микромрежа и моторизирани акустични шини</w:t>
      </w:r>
    </w:p>
    <w:p>
      <w:pPr>
        <w:pStyle w:val="ListBullet"/>
      </w:pPr>
      <w:r>
        <w:t>Процент от бюджета: 40%</w:t>
      </w:r>
    </w:p>
    <w:p>
      <w:pPr>
        <w:pStyle w:val="ListBullet"/>
      </w:pPr>
      <w:r>
        <w:t>Сума: 4,504,441.20 EUR</w:t>
      </w:r>
    </w:p>
    <w:p>
      <w:pPr>
        <w:pStyle w:val="ListBullet"/>
      </w:pPr>
      <w:r>
        <w:t>Покритие: основна MEP инфраструктура, затворен термопомпен Earth-Water цикъл, вертикални геотермални бурения, автоматизирани акустични шини и цялостна AI микромрежова архитектура.</w:t>
      </w:r>
    </w:p>
    <w:p>
      <w:pPr>
        <w:pStyle w:val="ListBullet"/>
      </w:pPr>
      <w:r>
        <w:t>Включени дейности: електроинсталции, системи за управление на сградата, BESS LFP, sensor network, системи за peak-shaving и интегрирани комуникации.</w:t>
      </w:r>
    </w:p>
    <w:p>
      <w:pPr>
        <w:pStyle w:val="Heading3"/>
      </w:pPr>
      <w:r>
        <w:t>Фаза 3 — Интериорно обзавеждане, upcycled мебели, музейно осветление и дигитални лаборатории</w:t>
      </w:r>
    </w:p>
    <w:p>
      <w:pPr>
        <w:pStyle w:val="ListBullet"/>
      </w:pPr>
      <w:r>
        <w:t>Процент от бюджета: 35%</w:t>
      </w:r>
    </w:p>
    <w:p>
      <w:pPr>
        <w:pStyle w:val="ListBullet"/>
      </w:pPr>
      <w:r>
        <w:t>Сума: 3,941,386.05 EUR</w:t>
      </w:r>
    </w:p>
    <w:p>
      <w:pPr>
        <w:pStyle w:val="ListBullet"/>
      </w:pPr>
      <w:r>
        <w:t>Покритие: интериорно изпълнение, специализирани LED и холографски осветителни системи, монтаж на digital lab workstations, фасетни мебели от габровски тъкачни елементи.</w:t>
      </w:r>
    </w:p>
    <w:p>
      <w:pPr>
        <w:pStyle w:val="ListBullet"/>
      </w:pPr>
      <w:r>
        <w:t>Включени дейности: обзавеждане, фини довършителни работи, технична интеграция на мебелните системи и окончателна подготовка за експозиционен режим.</w:t>
      </w:r>
    </w:p>
    <w:p>
      <w:pPr>
        <w:pStyle w:val="Heading2"/>
      </w:pPr>
      <w:r>
        <w:t>Фискална дисциплина</w:t>
      </w:r>
    </w:p>
    <w:p>
      <w:pPr>
        <w:pStyle w:val="ListBullet"/>
      </w:pPr>
      <w:r>
        <w:t>Общ обем без ДДС: 11,261,103.00 EUR</w:t>
      </w:r>
    </w:p>
    <w:p>
      <w:pPr>
        <w:pStyle w:val="ListBullet"/>
      </w:pPr>
      <w:r>
        <w:t>ДДС 20%: 2,252,220.60 EUR</w:t>
      </w:r>
    </w:p>
    <w:p>
      <w:pPr>
        <w:pStyle w:val="ListBullet"/>
      </w:pPr>
      <w:r>
        <w:t>Общ обем с ДДС: 13,513,323.60 EUR</w:t>
      </w:r>
    </w:p>
    <w:p>
      <w:pPr>
        <w:pStyle w:val="Heading2"/>
      </w:pPr>
      <w:r>
        <w:t>Таблица на разпределението</w:t>
      </w:r>
    </w:p>
    <w:p>
      <w:pPr>
        <w:pStyle w:val="ListBullet"/>
      </w:pPr>
      <w:r>
        <w:t>Фаза 1: 25% = 2,815,275.75 EUR</w:t>
      </w:r>
    </w:p>
    <w:p>
      <w:pPr>
        <w:pStyle w:val="ListBullet"/>
      </w:pPr>
      <w:r>
        <w:t>Фаза 2: 40% = 4,504,441.20 EUR</w:t>
      </w:r>
    </w:p>
    <w:p>
      <w:pPr>
        <w:pStyle w:val="ListBullet"/>
      </w:pPr>
      <w:r>
        <w:t>Фаза 3: 35% = 3,941,386.05 EUR</w:t>
      </w:r>
    </w:p>
    <w:p>
      <w:pPr>
        <w:pStyle w:val="ListBullet"/>
      </w:pPr>
      <w:r>
        <w:t>ДДС (20%): 2,252,220.60 EUR</w:t>
      </w:r>
    </w:p>
    <w:p>
      <w:pPr>
        <w:pStyle w:val="ListBullet"/>
      </w:pPr>
      <w:r>
        <w:t>Общо с ДДС: 13,513,323.60 EUR</w:t>
      </w:r>
    </w:p>
    <w:p>
      <w:pPr>
        <w:pStyle w:val="Heading2"/>
      </w:pPr>
      <w:r>
        <w:t>Бележки за съответствие</w:t>
      </w:r>
    </w:p>
    <w:p>
      <w:pPr>
        <w:pStyle w:val="ListBullet"/>
      </w:pPr>
      <w:r>
        <w:t>Бюджетът е индексиран към официалния лимит на Община Габрово и създава защитен финансов коридор за етап 1.</w:t>
      </w:r>
    </w:p>
    <w:p>
      <w:pPr>
        <w:pStyle w:val="ListBullet"/>
      </w:pPr>
      <w:r>
        <w:t>При последваща обществена поръчка, стойностите могат да се валидират чрез конкретни оферти, но основната процентна матрица остава неизменна.</w:t>
      </w:r>
    </w:p>
    <w:p>
      <w:pPr>
        <w:pStyle w:val="ListBullet"/>
      </w:pPr>
      <w:r>
        <w:t>Всички данни са представени без лична или идентифицируема информация, съгласно изискванията за анонимност и конкурсна етика.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