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6375E"/>
          <w:sz w:val="52"/>
          <w:szCs w:val="52"/>
        </w:rPr>
        <w:t xml:space="preserve">POD2 — Plan of the Day</w:t>
      </w:r>
    </w:p>
    <w:p>
      <w:pPr>
        <w:spacing w:after="40"/>
        <w:jc w:val="center"/>
      </w:pPr>
      <w:r>
        <w:rPr>
          <w:color w:val="2F6BDD"/>
          <w:sz w:val="26"/>
          <w:szCs w:val="26"/>
        </w:rPr>
        <w:t xml:space="preserve">Entry Touchpoint: Data Construction, Cross-Dataset Comparison</w:t>
      </w:r>
    </w:p>
    <w:p>
      <w:pPr>
        <w:spacing w:after="40"/>
        <w:jc w:val="center"/>
      </w:pPr>
      <w:r>
        <w:rPr>
          <w:color w:val="2F6BDD"/>
          <w:sz w:val="26"/>
          <w:szCs w:val="26"/>
        </w:rPr>
        <w:t xml:space="preserve">and the Finalised Entry Dataset (Bhogapuram / VTZ)</w:t>
      </w:r>
    </w:p>
    <w:p>
      <w:pPr>
        <w:spacing w:before="280"/>
        <w:jc w:val="center"/>
      </w:pPr>
      <w:r>
        <w:rPr>
          <w:i/>
          <w:iCs/>
          <w:color w:val="5B6B7B"/>
          <w:sz w:val="20"/>
          <w:szCs w:val="20"/>
        </w:rPr>
        <w:t xml:space="preserve">Rebuilt end-to-end on the real product-owner data</w:t>
      </w:r>
    </w:p>
    <w:p>
      <w:pPr>
        <w:spacing w:before="1600"/>
        <w:jc w:val="center"/>
      </w:pPr>
      <w:r>
        <w:rPr>
          <w:color w:val="5B6B7B"/>
          <w:sz w:val="18"/>
          <w:szCs w:val="18"/>
        </w:rPr>
        <w:t xml:space="preserve">Scope: Entry touchpoint only, pending Avra’s confirmation before replicating to other touchpoints.</w:t>
      </w:r>
    </w:p>
    <w:p>
      <w:r>
        <w:br w:type="page"/>
      </w:r>
    </w:p>
    <w:p>
      <w:pPr>
        <w:pStyle w:val="Heading1"/>
        <w:spacing w:after="120" w:before="240"/>
      </w:pPr>
      <w:r>
        <w:rPr>
          <w:b/>
          <w:bCs/>
          <w:color w:val="16375E"/>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b/>
          <w:bCs/>
          <w:color w:val="16375E"/>
        </w:rPr>
        <w:t xml:space="preserve">1. Executive summary</w:t>
      </w:r>
    </w:p>
    <w:p>
      <w:pPr>
        <w:spacing w:after="120" w:line="276"/>
      </w:pPr>
      <w:r>
        <w:t xml:space="preserve">This document records how the POD2 Entry dataset was rebuilt from scratch using only the datasets the product owner (Avra) shared, following the construct he walked us through. Every step is a simple, auditable calculation — there is no machine learning at this stage; modelling begins only after Avra confirms the Entry approach.</w:t>
      </w:r>
    </w:p>
    <w:p>
      <w:pPr>
        <w:spacing w:after="120" w:line="276"/>
      </w:pPr>
      <w:r>
        <w:t xml:space="preserve">Three datasets were used: </w:t>
      </w:r>
      <w:r>
        <w:rPr>
          <w:b/>
          <w:bCs/>
        </w:rPr>
        <w:t xml:space="preserve">(1) June load actuals</w:t>
      </w:r>
      <w:r>
        <w:t xml:space="preserve"> — real daily load factor and passenger volume by aircraft category; </w:t>
      </w:r>
      <w:r>
        <w:rPr>
          <w:b/>
          <w:bCs/>
        </w:rPr>
        <w:t xml:space="preserve">(2) HYD e-boarding</w:t>
      </w:r>
      <w:r>
        <w:t xml:space="preserve"> — real passenger-level terminal-entry scan times; and </w:t>
      </w:r>
      <w:r>
        <w:rPr>
          <w:b/>
          <w:bCs/>
        </w:rPr>
        <w:t xml:space="preserve">(3) the digital twin</w:t>
      </w:r>
      <w:r>
        <w:t xml:space="preserve"> — the generated Bhogapuram/VTZ schedule and passenger model.</w:t>
      </w:r>
    </w:p>
    <w:p>
      <w:pPr>
        <w:spacing w:after="120" w:line="276"/>
      </w:pPr>
      <w:r>
        <w:t xml:space="preserve">Key findings:</w:t>
      </w:r>
    </w:p>
    <w:p>
      <w:pPr>
        <w:pStyle w:val="ListParagraph"/>
        <w:numPr>
          <w:ilvl w:val="0"/>
          <w:numId w:val="2"/>
        </w:numPr>
        <w:spacing w:after="60" w:line="270"/>
      </w:pPr>
      <w:r>
        <w:t xml:space="preserve">The twin reproduces the real </w:t>
      </w:r>
      <w:r>
        <w:rPr>
          <w:b/>
          <w:bCs/>
        </w:rPr>
        <w:t xml:space="preserve">fleet/volume structure</w:t>
      </w:r>
      <w:r>
        <w:t xml:space="preserve"> almost exactly (aircraft mix within 0.2 percentage points of June actuals).</w:t>
      </w:r>
    </w:p>
    <w:p>
      <w:pPr>
        <w:pStyle w:val="ListParagraph"/>
        <w:numPr>
          <w:ilvl w:val="0"/>
          <w:numId w:val="2"/>
        </w:numPr>
        <w:spacing w:after="60" w:line="270"/>
      </w:pPr>
      <w:r>
        <w:t xml:space="preserve">The twin </w:t>
      </w:r>
      <w:r>
        <w:rPr>
          <w:b/>
          <w:bCs/>
        </w:rPr>
        <w:t xml:space="preserve">mis-models two behaviours</w:t>
      </w:r>
      <w:r>
        <w:t xml:space="preserve">: load factor is ~4 points low and flat across the week (real data rises Mon 78% → Sun 88%), and the terminal show-up window is too narrow (0% of passengers show up more than 150 minutes early, vs ~20% in the real e-boarding).</w:t>
      </w:r>
    </w:p>
    <w:p>
      <w:pPr>
        <w:pStyle w:val="ListParagraph"/>
        <w:numPr>
          <w:ilvl w:val="0"/>
          <w:numId w:val="2"/>
        </w:numPr>
        <w:spacing w:after="60" w:line="270"/>
      </w:pPr>
      <w:r>
        <w:t xml:space="preserve">Both were corrected in the </w:t>
      </w:r>
      <w:r>
        <w:rPr>
          <w:b/>
          <w:bCs/>
        </w:rPr>
        <w:t xml:space="preserve">finalised Entry dataset</w:t>
      </w:r>
      <w:r>
        <w:t xml:space="preserve">: real load factor by day-of-week, and passenger show-up driven by the measured e-boarding profile.</w:t>
      </w:r>
    </w:p>
    <w:p>
      <w:pPr>
        <w:spacing w:after="120" w:line="276"/>
      </w:pPr>
      <w:r>
        <w:t xml:space="preserve">Finalised Entry result (VTZ S26 season): </w:t>
      </w:r>
      <w:r>
        <w:rPr>
          <w:b/>
          <w:bCs/>
        </w:rPr>
        <w:t xml:space="preserve">5,820 departures, 873,509 entry passengers, peak requirement of 4 entry lanes</w:t>
      </w:r>
      <w:r>
        <w:t xml:space="preserve">. This dataset is ready to take to Avra for confirmation.</w:t>
      </w:r>
    </w:p>
    <w:p>
      <w:pPr>
        <w:pStyle w:val="Heading1"/>
        <w:spacing w:after="120" w:before="240"/>
      </w:pPr>
      <w:r>
        <w:rPr>
          <w:b/>
          <w:bCs/>
          <w:color w:val="16375E"/>
        </w:rPr>
        <w:t xml:space="preserve">2. Background — the construct and the three datasets</w:t>
      </w:r>
    </w:p>
    <w:p>
      <w:pPr>
        <w:spacing w:after="120" w:line="276"/>
      </w:pPr>
      <w:r>
        <w:t xml:space="preserve">Avra’s Entry construct is a chain of simple formulas: how many passengers a flight carries (seats × load factor), when those passengers show up at terminal entry (a show-up profile measured in minutes before departure), and therefore how much entry demand and how many lanes are needed in each time window. Each of our datasets covers part of this chain.</w:t>
      </w:r>
    </w:p>
    <w:p>
      <w:pPr>
        <w:spacing w:after="120" w:line="276"/>
      </w:pPr>
      <w:r>
        <w:rPr>
          <w:b/>
          <w:bCs/>
        </w:rPr>
        <w:t xml:space="preserve">Note: </w:t>
      </w:r>
      <w:r>
        <w:t xml:space="preserve">Avra’s own dashboard is only a style template for how the analysis should look. It is not a POD dataset and is not used as a comparison series anywhere in this work.</w:t>
      </w:r>
    </w:p>
    <w:p>
      <w:pPr>
        <w:pStyle w:val="Heading2"/>
        <w:spacing w:after="80" w:before="180"/>
      </w:pPr>
      <w:r>
        <w:rPr>
          <w:b/>
          <w:bCs/>
          <w:color w:val="16375E"/>
        </w:rPr>
        <w:t xml:space="preserve">Which dataset can speak to which Entry dimension</w:t>
      </w:r>
    </w:p>
    <w:tbl>
      <w:tblPr>
        <w:tblW w:type="dxa" w:w="9360"/>
        <w:tblBorders>
          <w:top w:val="single" w:color="B7C3D6" w:sz="4"/>
          <w:left w:val="single" w:color="B7C3D6" w:sz="4"/>
          <w:bottom w:val="single" w:color="B7C3D6" w:sz="4"/>
          <w:right w:val="single" w:color="B7C3D6" w:sz="4"/>
          <w:insideH w:val="single" w:color="B7C3D6" w:sz="4"/>
          <w:insideV w:val="single" w:color="B7C3D6" w:sz="4"/>
        </w:tblBorders>
      </w:tblPr>
      <w:tblGrid>
        <w:gridCol w:w="2760"/>
        <w:gridCol w:w="2200"/>
        <w:gridCol w:w="2200"/>
        <w:gridCol w:w="2200"/>
      </w:tblGrid>
      <w:tr>
        <w:trPr>
          <w:tblHeader/>
        </w:trPr>
        <w:tc>
          <w:tcPr>
            <w:tcW w:type="dxa" w:w="2760"/>
            <w:shd w:fill="D9E2F3" w:color="auto" w:val="clear"/>
            <w:tcMar>
              <w:top w:type="dxa" w:w="60"/>
              <w:left w:type="dxa" w:w="100"/>
              <w:bottom w:type="dxa" w:w="60"/>
              <w:right w:type="dxa" w:w="100"/>
            </w:tcMar>
          </w:tcPr>
          <w:p>
            <w:pPr>
              <w:spacing w:after="0" w:before="0"/>
            </w:pPr>
            <w:r>
              <w:rPr>
                <w:b/>
                <w:bCs/>
                <w:sz w:val="19"/>
                <w:szCs w:val="19"/>
              </w:rPr>
              <w:t xml:space="preserve">Dimension (Entry)</w:t>
            </w:r>
          </w:p>
        </w:tc>
        <w:tc>
          <w:tcPr>
            <w:tcW w:type="dxa" w:w="2200"/>
            <w:shd w:fill="D9E2F3" w:color="auto" w:val="clear"/>
            <w:tcMar>
              <w:top w:type="dxa" w:w="60"/>
              <w:left w:type="dxa" w:w="100"/>
              <w:bottom w:type="dxa" w:w="60"/>
              <w:right w:type="dxa" w:w="100"/>
            </w:tcMar>
          </w:tcPr>
          <w:p>
            <w:pPr>
              <w:spacing w:after="0" w:before="0"/>
            </w:pPr>
            <w:r>
              <w:rPr>
                <w:b/>
                <w:bCs/>
                <w:sz w:val="19"/>
                <w:szCs w:val="19"/>
              </w:rPr>
              <w:t xml:space="preserve">June loads</w:t>
            </w:r>
          </w:p>
        </w:tc>
        <w:tc>
          <w:tcPr>
            <w:tcW w:type="dxa" w:w="2200"/>
            <w:shd w:fill="D9E2F3" w:color="auto" w:val="clear"/>
            <w:tcMar>
              <w:top w:type="dxa" w:w="60"/>
              <w:left w:type="dxa" w:w="100"/>
              <w:bottom w:type="dxa" w:w="60"/>
              <w:right w:type="dxa" w:w="100"/>
            </w:tcMar>
          </w:tcPr>
          <w:p>
            <w:pPr>
              <w:spacing w:after="0" w:before="0"/>
            </w:pPr>
            <w:r>
              <w:rPr>
                <w:b/>
                <w:bCs/>
                <w:sz w:val="19"/>
                <w:szCs w:val="19"/>
              </w:rPr>
              <w:t xml:space="preserve">HYD e-boarding</w:t>
            </w:r>
          </w:p>
        </w:tc>
        <w:tc>
          <w:tcPr>
            <w:tcW w:type="dxa" w:w="2200"/>
            <w:shd w:fill="D9E2F3" w:color="auto" w:val="clear"/>
            <w:tcMar>
              <w:top w:type="dxa" w:w="60"/>
              <w:left w:type="dxa" w:w="100"/>
              <w:bottom w:type="dxa" w:w="60"/>
              <w:right w:type="dxa" w:w="100"/>
            </w:tcMar>
          </w:tcPr>
          <w:p>
            <w:pPr>
              <w:spacing w:after="0" w:before="0"/>
            </w:pPr>
            <w:r>
              <w:rPr>
                <w:b/>
                <w:bCs/>
                <w:sz w:val="19"/>
                <w:szCs w:val="19"/>
              </w:rPr>
              <w:t xml:space="preserve">Digital twin</w:t>
            </w:r>
          </w:p>
        </w:tc>
      </w:tr>
      <w:tr>
        <w:tc>
          <w:tcPr>
            <w:tcW w:type="dxa" w:w="2760"/>
            <w:tcMar>
              <w:top w:type="dxa" w:w="60"/>
              <w:left w:type="dxa" w:w="100"/>
              <w:bottom w:type="dxa" w:w="60"/>
              <w:right w:type="dxa" w:w="100"/>
            </w:tcMar>
          </w:tcPr>
          <w:p>
            <w:pPr>
              <w:spacing w:after="0" w:before="0"/>
            </w:pPr>
            <w:r>
              <w:rPr>
                <w:b w:val="false"/>
                <w:bCs w:val="false"/>
                <w:sz w:val="19"/>
                <w:szCs w:val="19"/>
              </w:rPr>
              <w:t xml:space="preserve">Passenger volume</w:t>
            </w:r>
          </w:p>
        </w:tc>
        <w:tc>
          <w:tcPr>
            <w:tcW w:type="dxa" w:w="2200"/>
            <w:tcMar>
              <w:top w:type="dxa" w:w="60"/>
              <w:left w:type="dxa" w:w="100"/>
              <w:bottom w:type="dxa" w:w="60"/>
              <w:right w:type="dxa" w:w="100"/>
            </w:tcMar>
          </w:tcPr>
          <w:p>
            <w:pPr>
              <w:spacing w:after="0" w:before="0"/>
            </w:pPr>
            <w:r>
              <w:rPr>
                <w:b w:val="false"/>
                <w:bCs w:val="false"/>
                <w:sz w:val="19"/>
                <w:szCs w:val="19"/>
              </w:rPr>
              <w:t xml:space="preserve">Real (daily)</w:t>
            </w:r>
          </w:p>
        </w:tc>
        <w:tc>
          <w:tcPr>
            <w:tcW w:type="dxa" w:w="2200"/>
            <w:tcMar>
              <w:top w:type="dxa" w:w="60"/>
              <w:left w:type="dxa" w:w="100"/>
              <w:bottom w:type="dxa" w:w="60"/>
              <w:right w:type="dxa" w:w="100"/>
            </w:tcMar>
          </w:tcPr>
          <w:p>
            <w:pPr>
              <w:spacing w:after="0" w:before="0"/>
            </w:pPr>
            <w:r>
              <w:rPr>
                <w:b w:val="false"/>
                <w:bCs w:val="false"/>
                <w:sz w:val="19"/>
                <w:szCs w:val="19"/>
              </w:rPr>
              <w:t xml:space="preserve">Real, 2 days only</w:t>
            </w:r>
          </w:p>
        </w:tc>
        <w:tc>
          <w:tcPr>
            <w:tcW w:type="dxa" w:w="2200"/>
            <w:tcMar>
              <w:top w:type="dxa" w:w="60"/>
              <w:left w:type="dxa" w:w="100"/>
              <w:bottom w:type="dxa" w:w="60"/>
              <w:right w:type="dxa" w:w="100"/>
            </w:tcMar>
          </w:tcPr>
          <w:p>
            <w:pPr>
              <w:spacing w:after="0" w:before="0"/>
            </w:pPr>
            <w:r>
              <w:rPr>
                <w:b w:val="false"/>
                <w:bCs w:val="false"/>
                <w:sz w:val="19"/>
                <w:szCs w:val="19"/>
              </w:rPr>
              <w:t xml:space="preserve">Modelled</w:t>
            </w:r>
          </w:p>
        </w:tc>
      </w:tr>
      <w:tr>
        <w:tc>
          <w:tcPr>
            <w:tcW w:type="dxa" w:w="2760"/>
            <w:tcMar>
              <w:top w:type="dxa" w:w="60"/>
              <w:left w:type="dxa" w:w="100"/>
              <w:bottom w:type="dxa" w:w="60"/>
              <w:right w:type="dxa" w:w="100"/>
            </w:tcMar>
          </w:tcPr>
          <w:p>
            <w:pPr>
              <w:spacing w:after="0" w:before="0"/>
            </w:pPr>
            <w:r>
              <w:rPr>
                <w:b w:val="false"/>
                <w:bCs w:val="false"/>
                <w:sz w:val="19"/>
                <w:szCs w:val="19"/>
              </w:rPr>
              <w:t xml:space="preserve">Load factor</w:t>
            </w:r>
          </w:p>
        </w:tc>
        <w:tc>
          <w:tcPr>
            <w:tcW w:type="dxa" w:w="2200"/>
            <w:tcMar>
              <w:top w:type="dxa" w:w="60"/>
              <w:left w:type="dxa" w:w="100"/>
              <w:bottom w:type="dxa" w:w="60"/>
              <w:right w:type="dxa" w:w="100"/>
            </w:tcMar>
          </w:tcPr>
          <w:p>
            <w:pPr>
              <w:spacing w:after="0" w:before="0"/>
            </w:pPr>
            <w:r>
              <w:rPr>
                <w:b w:val="false"/>
                <w:bCs w:val="false"/>
                <w:sz w:val="19"/>
                <w:szCs w:val="19"/>
              </w:rPr>
              <w:t xml:space="preserve">Real</w:t>
            </w:r>
          </w:p>
        </w:tc>
        <w:tc>
          <w:tcPr>
            <w:tcW w:type="dxa" w:w="2200"/>
            <w:tcMar>
              <w:top w:type="dxa" w:w="60"/>
              <w:left w:type="dxa" w:w="100"/>
              <w:bottom w:type="dxa" w:w="60"/>
              <w:right w:type="dxa" w:w="100"/>
            </w:tcMar>
          </w:tcPr>
          <w:p>
            <w:pPr>
              <w:spacing w:after="0" w:before="0"/>
            </w:pPr>
            <w:r>
              <w:rPr>
                <w:b w:val="false"/>
                <w:bCs w:val="false"/>
                <w:sz w:val="19"/>
                <w:szCs w:val="19"/>
              </w:rPr>
              <w:t xml:space="preserve">No seat/LF field</w:t>
            </w:r>
          </w:p>
        </w:tc>
        <w:tc>
          <w:tcPr>
            <w:tcW w:type="dxa" w:w="2200"/>
            <w:tcMar>
              <w:top w:type="dxa" w:w="60"/>
              <w:left w:type="dxa" w:w="100"/>
              <w:bottom w:type="dxa" w:w="60"/>
              <w:right w:type="dxa" w:w="100"/>
            </w:tcMar>
          </w:tcPr>
          <w:p>
            <w:pPr>
              <w:spacing w:after="0" w:before="0"/>
            </w:pPr>
            <w:r>
              <w:rPr>
                <w:b w:val="false"/>
                <w:bCs w:val="false"/>
                <w:sz w:val="19"/>
                <w:szCs w:val="19"/>
              </w:rPr>
              <w:t xml:space="preserve">Modelled</w:t>
            </w:r>
          </w:p>
        </w:tc>
      </w:tr>
      <w:tr>
        <w:tc>
          <w:tcPr>
            <w:tcW w:type="dxa" w:w="2760"/>
            <w:tcMar>
              <w:top w:type="dxa" w:w="60"/>
              <w:left w:type="dxa" w:w="100"/>
              <w:bottom w:type="dxa" w:w="60"/>
              <w:right w:type="dxa" w:w="100"/>
            </w:tcMar>
          </w:tcPr>
          <w:p>
            <w:pPr>
              <w:spacing w:after="0" w:before="0"/>
            </w:pPr>
            <w:r>
              <w:rPr>
                <w:b w:val="false"/>
                <w:bCs w:val="false"/>
                <w:sz w:val="19"/>
                <w:szCs w:val="19"/>
              </w:rPr>
              <w:t xml:space="preserve">Aircraft mix</w:t>
            </w:r>
          </w:p>
        </w:tc>
        <w:tc>
          <w:tcPr>
            <w:tcW w:type="dxa" w:w="2200"/>
            <w:tcMar>
              <w:top w:type="dxa" w:w="60"/>
              <w:left w:type="dxa" w:w="100"/>
              <w:bottom w:type="dxa" w:w="60"/>
              <w:right w:type="dxa" w:w="100"/>
            </w:tcMar>
          </w:tcPr>
          <w:p>
            <w:pPr>
              <w:spacing w:after="0" w:before="0"/>
            </w:pPr>
            <w:r>
              <w:rPr>
                <w:b w:val="false"/>
                <w:bCs w:val="false"/>
                <w:sz w:val="19"/>
                <w:szCs w:val="19"/>
              </w:rPr>
              <w:t xml:space="preserve">Real</w:t>
            </w:r>
          </w:p>
        </w:tc>
        <w:tc>
          <w:tcPr>
            <w:tcW w:type="dxa" w:w="2200"/>
            <w:tcMar>
              <w:top w:type="dxa" w:w="60"/>
              <w:left w:type="dxa" w:w="100"/>
              <w:bottom w:type="dxa" w:w="60"/>
              <w:right w:type="dxa" w:w="100"/>
            </w:tcMar>
          </w:tcPr>
          <w:p>
            <w:pPr>
              <w:spacing w:after="0" w:before="0"/>
            </w:pPr>
            <w:r>
              <w:rPr>
                <w:b w:val="false"/>
                <w:bCs w:val="false"/>
                <w:sz w:val="19"/>
                <w:szCs w:val="19"/>
              </w:rPr>
              <w:t xml:space="preserve">Per-flight</w:t>
            </w:r>
          </w:p>
        </w:tc>
        <w:tc>
          <w:tcPr>
            <w:tcW w:type="dxa" w:w="2200"/>
            <w:tcMar>
              <w:top w:type="dxa" w:w="60"/>
              <w:left w:type="dxa" w:w="100"/>
              <w:bottom w:type="dxa" w:w="60"/>
              <w:right w:type="dxa" w:w="100"/>
            </w:tcMar>
          </w:tcPr>
          <w:p>
            <w:pPr>
              <w:spacing w:after="0" w:before="0"/>
            </w:pPr>
            <w:r>
              <w:rPr>
                <w:b w:val="false"/>
                <w:bCs w:val="false"/>
                <w:sz w:val="19"/>
                <w:szCs w:val="19"/>
              </w:rPr>
              <w:t xml:space="preserve">Modelled</w:t>
            </w:r>
          </w:p>
        </w:tc>
      </w:tr>
      <w:tr>
        <w:tc>
          <w:tcPr>
            <w:tcW w:type="dxa" w:w="2760"/>
            <w:tcMar>
              <w:top w:type="dxa" w:w="60"/>
              <w:left w:type="dxa" w:w="100"/>
              <w:bottom w:type="dxa" w:w="60"/>
              <w:right w:type="dxa" w:w="100"/>
            </w:tcMar>
          </w:tcPr>
          <w:p>
            <w:pPr>
              <w:spacing w:after="0"/>
            </w:pPr>
            <w:r>
              <w:rPr>
                <w:b/>
                <w:bCs/>
                <w:sz w:val="19"/>
                <w:szCs w:val="19"/>
              </w:rPr>
              <w:t xml:space="preserve">Entry show-up profile</w:t>
            </w:r>
          </w:p>
        </w:tc>
        <w:tc>
          <w:tcPr>
            <w:tcW w:type="dxa" w:w="2200"/>
            <w:tcMar>
              <w:top w:type="dxa" w:w="60"/>
              <w:left w:type="dxa" w:w="100"/>
              <w:bottom w:type="dxa" w:w="60"/>
              <w:right w:type="dxa" w:w="100"/>
            </w:tcMar>
          </w:tcPr>
          <w:p>
            <w:pPr>
              <w:spacing w:after="0"/>
            </w:pPr>
            <w:r>
              <w:rPr>
                <w:b/>
                <w:bCs/>
                <w:color w:val="B00000"/>
                <w:sz w:val="19"/>
                <w:szCs w:val="19"/>
              </w:rPr>
              <w:t xml:space="preserve">None</w:t>
            </w:r>
          </w:p>
        </w:tc>
        <w:tc>
          <w:tcPr>
            <w:tcW w:type="dxa" w:w="2200"/>
            <w:tcMar>
              <w:top w:type="dxa" w:w="60"/>
              <w:left w:type="dxa" w:w="100"/>
              <w:bottom w:type="dxa" w:w="60"/>
              <w:right w:type="dxa" w:w="100"/>
            </w:tcMar>
          </w:tcPr>
          <w:p>
            <w:pPr>
              <w:spacing w:after="0"/>
            </w:pPr>
            <w:r>
              <w:rPr>
                <w:color w:val="2E7D32"/>
                <w:sz w:val="19"/>
                <w:szCs w:val="19"/>
              </w:rPr>
              <w:t xml:space="preserve">Real</w:t>
            </w:r>
          </w:p>
        </w:tc>
        <w:tc>
          <w:tcPr>
            <w:tcW w:type="dxa" w:w="2200"/>
            <w:tcMar>
              <w:top w:type="dxa" w:w="60"/>
              <w:left w:type="dxa" w:w="100"/>
              <w:bottom w:type="dxa" w:w="60"/>
              <w:right w:type="dxa" w:w="100"/>
            </w:tcMar>
          </w:tcPr>
          <w:p>
            <w:pPr>
              <w:spacing w:after="0"/>
            </w:pPr>
            <w:r>
              <w:rPr>
                <w:color w:val="2E7D32"/>
                <w:sz w:val="19"/>
                <w:szCs w:val="19"/>
              </w:rPr>
              <w:t xml:space="preserve">Modelled</w:t>
            </w:r>
          </w:p>
        </w:tc>
      </w:tr>
      <w:tr>
        <w:tc>
          <w:tcPr>
            <w:tcW w:type="dxa" w:w="2760"/>
            <w:tcMar>
              <w:top w:type="dxa" w:w="60"/>
              <w:left w:type="dxa" w:w="100"/>
              <w:bottom w:type="dxa" w:w="60"/>
              <w:right w:type="dxa" w:w="100"/>
            </w:tcMar>
          </w:tcPr>
          <w:p>
            <w:pPr>
              <w:spacing w:after="0"/>
            </w:pPr>
            <w:r>
              <w:rPr>
                <w:b/>
                <w:bCs/>
                <w:sz w:val="19"/>
                <w:szCs w:val="19"/>
              </w:rPr>
              <w:t xml:space="preserve">Entry hourly demand</w:t>
            </w:r>
          </w:p>
        </w:tc>
        <w:tc>
          <w:tcPr>
            <w:tcW w:type="dxa" w:w="2200"/>
            <w:tcMar>
              <w:top w:type="dxa" w:w="60"/>
              <w:left w:type="dxa" w:w="100"/>
              <w:bottom w:type="dxa" w:w="60"/>
              <w:right w:type="dxa" w:w="100"/>
            </w:tcMar>
          </w:tcPr>
          <w:p>
            <w:pPr>
              <w:spacing w:after="0"/>
            </w:pPr>
            <w:r>
              <w:rPr>
                <w:b/>
                <w:bCs/>
                <w:color w:val="B00000"/>
                <w:sz w:val="19"/>
                <w:szCs w:val="19"/>
              </w:rPr>
              <w:t xml:space="preserve">None</w:t>
            </w:r>
          </w:p>
        </w:tc>
        <w:tc>
          <w:tcPr>
            <w:tcW w:type="dxa" w:w="2200"/>
            <w:tcMar>
              <w:top w:type="dxa" w:w="60"/>
              <w:left w:type="dxa" w:w="100"/>
              <w:bottom w:type="dxa" w:w="60"/>
              <w:right w:type="dxa" w:w="100"/>
            </w:tcMar>
          </w:tcPr>
          <w:p>
            <w:pPr>
              <w:spacing w:after="0"/>
            </w:pPr>
            <w:r>
              <w:rPr>
                <w:color w:val="2E7D32"/>
                <w:sz w:val="19"/>
                <w:szCs w:val="19"/>
              </w:rPr>
              <w:t xml:space="preserve">Real</w:t>
            </w:r>
          </w:p>
        </w:tc>
        <w:tc>
          <w:tcPr>
            <w:tcW w:type="dxa" w:w="2200"/>
            <w:tcMar>
              <w:top w:type="dxa" w:w="60"/>
              <w:left w:type="dxa" w:w="100"/>
              <w:bottom w:type="dxa" w:w="60"/>
              <w:right w:type="dxa" w:w="100"/>
            </w:tcMar>
          </w:tcPr>
          <w:p>
            <w:pPr>
              <w:spacing w:after="0"/>
            </w:pPr>
            <w:r>
              <w:rPr>
                <w:color w:val="2E7D32"/>
                <w:sz w:val="19"/>
                <w:szCs w:val="19"/>
              </w:rPr>
              <w:t xml:space="preserve">Modelled</w:t>
            </w:r>
          </w:p>
        </w:tc>
      </w:tr>
    </w:tbl>
    <w:p>
      <w:pPr>
        <w:spacing w:after="120" w:line="276"/>
      </w:pPr>
      <w:r>
        <w:rPr>
          <w:b/>
          <w:bCs/>
        </w:rPr>
        <w:t xml:space="preserve">Consequence: </w:t>
      </w:r>
      <w:r>
        <w:t xml:space="preserve">June loads has no scan times, no per-passenger rows and no time-of-day, so it cannot participate in the Entry show-up / timing comparison at all — its only role at Entry is the upstream volume + load-factor input. The Entry show-up comparison is therefore two-way: HYD e-boarding (real) vs digital twin (modelled).</w:t>
      </w:r>
    </w:p>
    <w:p>
      <w:pPr>
        <w:pStyle w:val="Heading1"/>
        <w:spacing w:after="120" w:before="240"/>
      </w:pPr>
      <w:r>
        <w:rPr>
          <w:b/>
          <w:bCs/>
          <w:color w:val="16375E"/>
        </w:rPr>
        <w:t xml:space="preserve">3. Step 1 — Isolate the clean June data</w:t>
      </w:r>
    </w:p>
    <w:p>
      <w:pPr>
        <w:spacing w:after="120" w:line="276"/>
      </w:pPr>
      <w:r>
        <w:rPr>
          <w:b/>
          <w:bCs/>
        </w:rPr>
        <w:t xml:space="preserve">File / method: </w:t>
      </w:r>
      <w:r>
        <w:rPr>
          <w:rFonts w:ascii="Consolas" w:cs="Consolas" w:eastAsia="Consolas" w:hAnsi="Consolas"/>
          <w:sz w:val="19"/>
          <w:szCs w:val="19"/>
        </w:rPr>
        <w:t xml:space="preserve">step1_june_data/extract_june.py</w:t>
      </w:r>
      <w:r>
        <w:t xml:space="preserve"> reads only the trusted June “Acft” sheet from the workbook Avra shared (the second, July-labelled sheet is a calculated copy and was set aside). Output: </w:t>
      </w:r>
      <w:r>
        <w:rPr>
          <w:rFonts w:ascii="Consolas" w:cs="Consolas" w:eastAsia="Consolas" w:hAnsi="Consolas"/>
          <w:sz w:val="19"/>
          <w:szCs w:val="19"/>
        </w:rPr>
        <w:t xml:space="preserve">june_load_daily.csv</w:t>
      </w:r>
      <w:r>
        <w:t xml:space="preserve"> — a tidy table, one row per date × aircraft category × direction, with load factor and passenger count.</w:t>
      </w:r>
    </w:p>
    <w:p>
      <w:pPr>
        <w:spacing w:after="120" w:line="276"/>
      </w:pPr>
      <w:r>
        <w:rPr>
          <w:b/>
          <w:bCs/>
        </w:rPr>
        <w:t xml:space="preserve">Outcome: </w:t>
      </w:r>
      <w:r>
        <w:t xml:space="preserve">180 rows over 30 days (1–30 June). 220,886 total passengers (108,487 departing + 112,399 arriving). Aircraft mix: Category C narrow-body 95.3% of departing passengers, B (ATR-72) ~4.6%, A (9-seater) ~0.1%. Narrow-body departure load factor 82% on average, ranging 68–94% day to day.</w:t>
      </w:r>
    </w:p>
    <w:p>
      <w:pPr>
        <w:pStyle w:val="Heading1"/>
        <w:spacing w:after="120" w:before="240"/>
      </w:pPr>
      <w:r>
        <w:rPr>
          <w:b/>
          <w:bCs/>
          <w:color w:val="16375E"/>
        </w:rPr>
        <w:t xml:space="preserve">4. Step 2 — Avra-style analysis on the June data</w:t>
      </w:r>
    </w:p>
    <w:p>
      <w:pPr>
        <w:spacing w:after="120" w:line="276"/>
      </w:pPr>
      <w:r>
        <w:rPr>
          <w:b/>
          <w:bCs/>
        </w:rPr>
        <w:t xml:space="preserve">File / method: </w:t>
      </w:r>
      <w:r>
        <w:rPr>
          <w:rFonts w:ascii="Consolas" w:cs="Consolas" w:eastAsia="Consolas" w:hAnsi="Consolas"/>
          <w:sz w:val="19"/>
          <w:szCs w:val="19"/>
        </w:rPr>
        <w:t xml:space="preserve">step2_june_analysis/analyze_june.py</w:t>
      </w:r>
      <w:r>
        <w:t xml:space="preserve"> produces a four-panel dashboard on what the June data supports: passenger share by aircraft category, total passengers by date, departure load factor by day-of-week, and daily load factor across June.</w:t>
      </w:r>
    </w:p>
    <w:p>
      <w:pPr>
        <w:spacing w:after="120" w:line="276"/>
      </w:pPr>
      <w:r>
        <w:rPr>
          <w:b/>
          <w:bCs/>
        </w:rPr>
        <w:t xml:space="preserve">Note: </w:t>
      </w:r>
      <w:r>
        <w:t xml:space="preserve">the June data has no per-passenger scan times, so the show-up profile (the minutes-before-departure chart) cannot be built here — that requires the e-boarding data in Step 3.</w:t>
      </w:r>
    </w:p>
    <w:p>
      <w:pPr>
        <w:spacing w:after="80" w:before="80"/>
        <w:jc w:val="center"/>
      </w:pPr>
      <w:r>
        <w:drawing>
          <wp:inline distT="0" distB="0" distL="0" distR="0">
            <wp:extent cx="59436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543300"/>
                    </a:xfrm>
                    <a:prstGeom prst="rect">
                      <a:avLst/>
                    </a:prstGeom>
                  </pic:spPr>
                </pic:pic>
              </a:graphicData>
            </a:graphic>
          </wp:inline>
        </w:drawing>
      </w:r>
    </w:p>
    <w:p>
      <w:pPr>
        <w:spacing w:after="160"/>
        <w:jc w:val="center"/>
      </w:pPr>
      <w:r>
        <w:rPr>
          <w:i/>
          <w:iCs/>
          <w:color w:val="5B6B7B"/>
          <w:sz w:val="17"/>
          <w:szCs w:val="17"/>
        </w:rPr>
        <w:t xml:space="preserve">Step 2 — June load actuals: volume and load-factor patterns (real data).</w:t>
      </w:r>
    </w:p>
    <w:p>
      <w:pPr>
        <w:spacing w:after="120" w:line="276"/>
      </w:pPr>
      <w:r>
        <w:rPr>
          <w:b/>
          <w:bCs/>
        </w:rPr>
        <w:t xml:space="preserve">Outcome: </w:t>
      </w:r>
      <w:r>
        <w:t xml:space="preserve">narrow-body departure load factor averages 82%; quietest day Monday (78%), busiest Sunday (88%) — a clear weekly rise that becomes important in Step 5.</w:t>
      </w:r>
    </w:p>
    <w:p>
      <w:pPr>
        <w:pStyle w:val="Heading1"/>
        <w:spacing w:after="120" w:before="240"/>
      </w:pPr>
      <w:r>
        <w:rPr>
          <w:b/>
          <w:bCs/>
          <w:color w:val="16375E"/>
        </w:rPr>
        <w:t xml:space="preserve">5. Step 3 — Entry show-up profile from the HYD e-boarding</w:t>
      </w:r>
    </w:p>
    <w:p>
      <w:pPr>
        <w:spacing w:after="120" w:line="276"/>
      </w:pPr>
      <w:r>
        <w:rPr>
          <w:b/>
          <w:bCs/>
        </w:rPr>
        <w:t xml:space="preserve">File / method: </w:t>
      </w:r>
      <w:r>
        <w:rPr>
          <w:rFonts w:ascii="Consolas" w:cs="Consolas" w:eastAsia="Consolas" w:hAnsi="Consolas"/>
          <w:sz w:val="19"/>
          <w:szCs w:val="19"/>
        </w:rPr>
        <w:t xml:space="preserve">step3_ews_eboarding/analyze_ews_entry.py</w:t>
      </w:r>
      <w:r>
        <w:t xml:space="preserve"> derives the terminal-entry show-up profile from the real passenger-level e-boarding data: </w:t>
      </w:r>
      <w:r>
        <w:rPr>
          <w:rFonts w:ascii="Consolas" w:cs="Consolas" w:eastAsia="Consolas" w:hAnsi="Consolas"/>
          <w:sz w:val="19"/>
          <w:szCs w:val="19"/>
        </w:rPr>
        <w:t xml:space="preserve">minutes early = FLIGHT_TIME − TRML_ENT_SCAN_TIME</w:t>
      </w:r>
      <w:r>
        <w:t xml:space="preserve">, bucketed into &lt;60 / 60–90 / 90–120 / 120–150 / 150–180 / &gt;180, plus the demand curve by entry-scan hour.</w:t>
      </w:r>
    </w:p>
    <w:p>
      <w:pPr>
        <w:spacing w:after="120" w:line="276"/>
      </w:pPr>
      <w:r>
        <w:rPr>
          <w:b/>
          <w:bCs/>
        </w:rPr>
        <w:t xml:space="preserve">Privacy: </w:t>
      </w:r>
      <w:r>
        <w:t xml:space="preserve">the raw e-boarding file contains passenger PII (names, PNR, e-ticket) and is NOT committed. Only the aggregated outputs (percentages, hourly counts, dashboard) are saved.</w:t>
      </w:r>
    </w:p>
    <w:p>
      <w:pPr>
        <w:spacing w:after="80" w:before="80"/>
        <w:jc w:val="center"/>
      </w:pPr>
      <w:r>
        <w:drawing>
          <wp:inline distT="0" distB="0" distL="0" distR="0">
            <wp:extent cx="59436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28850"/>
                    </a:xfrm>
                    <a:prstGeom prst="rect">
                      <a:avLst/>
                    </a:prstGeom>
                  </pic:spPr>
                </pic:pic>
              </a:graphicData>
            </a:graphic>
          </wp:inline>
        </w:drawing>
      </w:r>
    </w:p>
    <w:p>
      <w:pPr>
        <w:spacing w:after="160"/>
        <w:jc w:val="center"/>
      </w:pPr>
      <w:r>
        <w:rPr>
          <w:i/>
          <w:iCs/>
          <w:color w:val="5B6B7B"/>
          <w:sz w:val="17"/>
          <w:szCs w:val="17"/>
        </w:rPr>
        <w:t xml:space="preserve">Step 3 — Entry show-up profile from the real HYD e-boarding (12–13 Apr).</w:t>
      </w:r>
    </w:p>
    <w:p>
      <w:pPr>
        <w:spacing w:after="120" w:line="276"/>
      </w:pPr>
      <w:r>
        <w:rPr>
          <w:b/>
          <w:bCs/>
        </w:rPr>
        <w:t xml:space="preserve">Outcome: </w:t>
      </w:r>
      <w:r>
        <w:t xml:space="preserve">20,079 valid entry records. Show-up profile: &lt;60 = 4.3%, 60–90 = 23.2%, 90–120 = 32.0%, 120–150 = 20.5%, 150–180 = 9.5%, &gt;180 = 10.5%. Peak entry hour 08:00. Data caveat: the file holds only 2 days, enough for a stable overall profile but not day-of-week splits.</w:t>
      </w:r>
    </w:p>
    <w:p>
      <w:pPr>
        <w:pStyle w:val="Heading1"/>
        <w:spacing w:after="120" w:before="240"/>
      </w:pPr>
      <w:r>
        <w:rPr>
          <w:b/>
          <w:bCs/>
          <w:color w:val="16375E"/>
        </w:rPr>
        <w:t xml:space="preserve">6. Step 4 — Entry show-up profile from the digital twin</w:t>
      </w:r>
    </w:p>
    <w:p>
      <w:pPr>
        <w:spacing w:after="120" w:line="276"/>
      </w:pPr>
      <w:r>
        <w:rPr>
          <w:b/>
          <w:bCs/>
        </w:rPr>
        <w:t xml:space="preserve">File / method: </w:t>
      </w:r>
      <w:r>
        <w:rPr>
          <w:rFonts w:ascii="Consolas" w:cs="Consolas" w:eastAsia="Consolas" w:hAnsi="Consolas"/>
          <w:sz w:val="19"/>
          <w:szCs w:val="19"/>
        </w:rPr>
        <w:t xml:space="preserve">step4_twin_entry/analyze_twin_entry.py</w:t>
      </w:r>
      <w:r>
        <w:t xml:space="preserve"> reconstructs the twin’s Entry minutes-early distribution from its show-up window (</w:t>
      </w:r>
      <w:r>
        <w:rPr>
          <w:rFonts w:ascii="Consolas" w:cs="Consolas" w:eastAsia="Consolas" w:hAnsi="Consolas"/>
          <w:sz w:val="19"/>
          <w:szCs w:val="19"/>
        </w:rPr>
        <w:t xml:space="preserve">DEP_ENTER = (-150, -40, -85)</w:t>
      </w:r>
      <w:r>
        <w:t xml:space="preserve">), bucketed the same way as Step 3 so the two are directly comparable. Departures only, matching Step 3’s "minutes before departure".</w:t>
      </w:r>
    </w:p>
    <w:p>
      <w:pPr>
        <w:spacing w:after="80" w:before="80"/>
        <w:jc w:val="center"/>
      </w:pPr>
      <w:r>
        <w:drawing>
          <wp:inline distT="0" distB="0" distL="0" distR="0">
            <wp:extent cx="59436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28850"/>
                    </a:xfrm>
                    <a:prstGeom prst="rect">
                      <a:avLst/>
                    </a:prstGeom>
                  </pic:spPr>
                </pic:pic>
              </a:graphicData>
            </a:graphic>
          </wp:inline>
        </w:drawing>
      </w:r>
    </w:p>
    <w:p>
      <w:pPr>
        <w:spacing w:after="160"/>
        <w:jc w:val="center"/>
      </w:pPr>
      <w:r>
        <w:rPr>
          <w:i/>
          <w:iCs/>
          <w:color w:val="5B6B7B"/>
          <w:sz w:val="17"/>
          <w:szCs w:val="17"/>
        </w:rPr>
        <w:t xml:space="preserve">Step 4 — Entry show-up profile from the digital twin (generated).</w:t>
      </w:r>
    </w:p>
    <w:p>
      <w:pPr>
        <w:spacing w:after="120" w:line="276"/>
      </w:pPr>
      <w:r>
        <w:rPr>
          <w:b/>
          <w:bCs/>
        </w:rPr>
        <w:t xml:space="preserve">Outcome: </w:t>
      </w:r>
      <w:r>
        <w:t xml:space="preserve">the twin puts 0% of passengers in the 150–180 and &gt;180 buckets because its window caps at 150 minutes, and over-concentrates in 60–120 (79% vs the real 55%). This is the first sign of mis-calibration, confirmed in Step 5.</w:t>
      </w:r>
    </w:p>
    <w:p>
      <w:pPr>
        <w:pStyle w:val="Heading1"/>
        <w:spacing w:after="120" w:before="240"/>
      </w:pPr>
      <w:r>
        <w:rPr>
          <w:b/>
          <w:bCs/>
          <w:color w:val="16375E"/>
        </w:rPr>
        <w:t xml:space="preserve">7. Step 5 — Cross-dataset comparison</w:t>
      </w:r>
    </w:p>
    <w:p>
      <w:pPr>
        <w:spacing w:after="120" w:line="276"/>
      </w:pPr>
      <w:r>
        <w:rPr>
          <w:b/>
          <w:bCs/>
        </w:rPr>
        <w:t xml:space="preserve">File / method: </w:t>
      </w:r>
      <w:r>
        <w:rPr>
          <w:rFonts w:ascii="Consolas" w:cs="Consolas" w:eastAsia="Consolas" w:hAnsi="Consolas"/>
          <w:sz w:val="19"/>
          <w:szCs w:val="19"/>
        </w:rPr>
        <w:t xml:space="preserve">step5_comparison/compare_datasets.py</w:t>
      </w:r>
      <w:r>
        <w:t xml:space="preserve"> lines up the three POD datasets on like-for-like dimensions. The comparison is strictly June loads ↔ HYD e-boarding ↔ digital twin (Avra’s dashboard is a style template only and is not a series).</w:t>
      </w:r>
    </w:p>
    <w:p>
      <w:pPr>
        <w:spacing w:after="80" w:before="80"/>
        <w:jc w:val="center"/>
      </w:pPr>
      <w:r>
        <w:drawing>
          <wp:inline distT="0" distB="0" distL="0" distR="0">
            <wp:extent cx="59436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09750"/>
                    </a:xfrm>
                    <a:prstGeom prst="rect">
                      <a:avLst/>
                    </a:prstGeom>
                  </pic:spPr>
                </pic:pic>
              </a:graphicData>
            </a:graphic>
          </wp:inline>
        </w:drawing>
      </w:r>
    </w:p>
    <w:p>
      <w:pPr>
        <w:spacing w:after="160"/>
        <w:jc w:val="center"/>
      </w:pPr>
      <w:r>
        <w:rPr>
          <w:i/>
          <w:iCs/>
          <w:color w:val="5B6B7B"/>
          <w:sz w:val="17"/>
          <w:szCs w:val="17"/>
        </w:rPr>
        <w:t xml:space="preserve">Step 5 — Real vs Twin, like-for-like. Show-up panel is two-way (June has no data for it).</w:t>
      </w:r>
    </w:p>
    <w:p>
      <w:pPr>
        <w:pStyle w:val="Heading2"/>
        <w:spacing w:after="80" w:before="180"/>
      </w:pPr>
      <w:r>
        <w:rPr>
          <w:b/>
          <w:bCs/>
          <w:color w:val="16375E"/>
        </w:rPr>
        <w:t xml:space="preserve">What matches, what doesn’t</w:t>
      </w:r>
    </w:p>
    <w:tbl>
      <w:tblPr>
        <w:tblW w:type="dxa" w:w="9360"/>
        <w:tblBorders>
          <w:top w:val="single" w:color="B7C3D6" w:sz="4"/>
          <w:left w:val="single" w:color="B7C3D6" w:sz="4"/>
          <w:bottom w:val="single" w:color="B7C3D6" w:sz="4"/>
          <w:right w:val="single" w:color="B7C3D6" w:sz="4"/>
          <w:insideH w:val="single" w:color="B7C3D6" w:sz="4"/>
          <w:insideV w:val="single" w:color="B7C3D6" w:sz="4"/>
        </w:tblBorders>
      </w:tblPr>
      <w:tblGrid>
        <w:gridCol w:w="2340"/>
        <w:gridCol w:w="2340"/>
        <w:gridCol w:w="2680"/>
        <w:gridCol w:w="2000"/>
      </w:tblGrid>
      <w:tr>
        <w:trPr>
          <w:tblHeader/>
        </w:trPr>
        <w:tc>
          <w:tcPr>
            <w:tcW w:type="dxa" w:w="2340"/>
            <w:shd w:fill="D9E2F3" w:color="auto" w:val="clear"/>
            <w:tcMar>
              <w:top w:type="dxa" w:w="60"/>
              <w:left w:type="dxa" w:w="100"/>
              <w:bottom w:type="dxa" w:w="60"/>
              <w:right w:type="dxa" w:w="100"/>
            </w:tcMar>
          </w:tcPr>
          <w:p>
            <w:pPr>
              <w:spacing w:after="0" w:before="0"/>
            </w:pPr>
            <w:r>
              <w:rPr>
                <w:b/>
                <w:bCs/>
                <w:sz w:val="19"/>
                <w:szCs w:val="19"/>
              </w:rPr>
              <w:t xml:space="preserve">Dimension</w:t>
            </w:r>
          </w:p>
        </w:tc>
        <w:tc>
          <w:tcPr>
            <w:tcW w:type="dxa" w:w="2340"/>
            <w:shd w:fill="D9E2F3" w:color="auto" w:val="clear"/>
            <w:tcMar>
              <w:top w:type="dxa" w:w="60"/>
              <w:left w:type="dxa" w:w="100"/>
              <w:bottom w:type="dxa" w:w="60"/>
              <w:right w:type="dxa" w:w="100"/>
            </w:tcMar>
          </w:tcPr>
          <w:p>
            <w:pPr>
              <w:spacing w:after="0" w:before="0"/>
            </w:pPr>
            <w:r>
              <w:rPr>
                <w:b/>
                <w:bCs/>
                <w:sz w:val="19"/>
                <w:szCs w:val="19"/>
              </w:rPr>
              <w:t xml:space="preserve">Compared</w:t>
            </w:r>
          </w:p>
        </w:tc>
        <w:tc>
          <w:tcPr>
            <w:tcW w:type="dxa" w:w="2680"/>
            <w:shd w:fill="D9E2F3" w:color="auto" w:val="clear"/>
            <w:tcMar>
              <w:top w:type="dxa" w:w="60"/>
              <w:left w:type="dxa" w:w="100"/>
              <w:bottom w:type="dxa" w:w="60"/>
              <w:right w:type="dxa" w:w="100"/>
            </w:tcMar>
          </w:tcPr>
          <w:p>
            <w:pPr>
              <w:spacing w:after="0" w:before="0"/>
            </w:pPr>
            <w:r>
              <w:rPr>
                <w:b/>
                <w:bCs/>
                <w:sz w:val="19"/>
                <w:szCs w:val="19"/>
              </w:rPr>
              <w:t xml:space="preserve">Result</w:t>
            </w:r>
          </w:p>
        </w:tc>
        <w:tc>
          <w:tcPr>
            <w:tcW w:type="dxa" w:w="2000"/>
            <w:shd w:fill="D9E2F3" w:color="auto" w:val="clear"/>
            <w:tcMar>
              <w:top w:type="dxa" w:w="60"/>
              <w:left w:type="dxa" w:w="100"/>
              <w:bottom w:type="dxa" w:w="60"/>
              <w:right w:type="dxa" w:w="100"/>
            </w:tcMar>
          </w:tcPr>
          <w:p>
            <w:pPr>
              <w:spacing w:after="0" w:before="0"/>
            </w:pPr>
            <w:r>
              <w:rPr>
                <w:b/>
                <w:bCs/>
                <w:sz w:val="19"/>
                <w:szCs w:val="19"/>
              </w:rPr>
              <w:t xml:space="preserve">Verdict</w:t>
            </w:r>
          </w:p>
        </w:tc>
      </w:tr>
      <w:tr>
        <w:tc>
          <w:tcPr>
            <w:tcW w:type="dxa" w:w="2340"/>
            <w:tcMar>
              <w:top w:type="dxa" w:w="60"/>
              <w:left w:type="dxa" w:w="100"/>
              <w:bottom w:type="dxa" w:w="60"/>
              <w:right w:type="dxa" w:w="100"/>
            </w:tcMar>
          </w:tcPr>
          <w:p>
            <w:pPr>
              <w:spacing w:after="0" w:before="0"/>
            </w:pPr>
            <w:r>
              <w:rPr>
                <w:b w:val="false"/>
                <w:bCs w:val="false"/>
                <w:sz w:val="19"/>
                <w:szCs w:val="19"/>
              </w:rPr>
              <w:t xml:space="preserve">Aircraft mix</w:t>
            </w:r>
          </w:p>
        </w:tc>
        <w:tc>
          <w:tcPr>
            <w:tcW w:type="dxa" w:w="2340"/>
            <w:tcMar>
              <w:top w:type="dxa" w:w="60"/>
              <w:left w:type="dxa" w:w="100"/>
              <w:bottom w:type="dxa" w:w="60"/>
              <w:right w:type="dxa" w:w="100"/>
            </w:tcMar>
          </w:tcPr>
          <w:p>
            <w:pPr>
              <w:spacing w:after="0" w:before="0"/>
            </w:pPr>
            <w:r>
              <w:rPr>
                <w:b w:val="false"/>
                <w:bCs w:val="false"/>
                <w:sz w:val="19"/>
                <w:szCs w:val="19"/>
              </w:rPr>
              <w:t xml:space="preserve">June ↔ Twin</w:t>
            </w:r>
          </w:p>
        </w:tc>
        <w:tc>
          <w:tcPr>
            <w:tcW w:type="dxa" w:w="2680"/>
            <w:tcMar>
              <w:top w:type="dxa" w:w="60"/>
              <w:left w:type="dxa" w:w="100"/>
              <w:bottom w:type="dxa" w:w="60"/>
              <w:right w:type="dxa" w:w="100"/>
            </w:tcMar>
          </w:tcPr>
          <w:p>
            <w:pPr>
              <w:spacing w:after="0" w:before="0"/>
            </w:pPr>
            <w:r>
              <w:rPr>
                <w:b w:val="false"/>
                <w:bCs w:val="false"/>
                <w:sz w:val="19"/>
                <w:szCs w:val="19"/>
              </w:rPr>
              <w:t xml:space="preserve">C 95.3 vs 95.5, B 4.6 vs 4.4, A 0.1 vs 0.1</w:t>
            </w:r>
          </w:p>
        </w:tc>
        <w:tc>
          <w:tcPr>
            <w:tcW w:type="dxa" w:w="2000"/>
            <w:tcMar>
              <w:top w:type="dxa" w:w="60"/>
              <w:left w:type="dxa" w:w="100"/>
              <w:bottom w:type="dxa" w:w="60"/>
              <w:right w:type="dxa" w:w="100"/>
            </w:tcMar>
          </w:tcPr>
          <w:p>
            <w:pPr>
              <w:spacing w:after="0"/>
            </w:pPr>
            <w:r>
              <w:rPr>
                <w:b/>
                <w:bCs/>
                <w:color w:val="2E7D32"/>
                <w:sz w:val="19"/>
                <w:szCs w:val="19"/>
              </w:rPr>
              <w:t xml:space="preserve">Matches</w:t>
            </w:r>
          </w:p>
        </w:tc>
      </w:tr>
      <w:tr>
        <w:tc>
          <w:tcPr>
            <w:tcW w:type="dxa" w:w="2340"/>
            <w:tcMar>
              <w:top w:type="dxa" w:w="60"/>
              <w:left w:type="dxa" w:w="100"/>
              <w:bottom w:type="dxa" w:w="60"/>
              <w:right w:type="dxa" w:w="100"/>
            </w:tcMar>
          </w:tcPr>
          <w:p>
            <w:pPr>
              <w:spacing w:after="0" w:before="0"/>
            </w:pPr>
            <w:r>
              <w:rPr>
                <w:b w:val="false"/>
                <w:bCs w:val="false"/>
                <w:sz w:val="19"/>
                <w:szCs w:val="19"/>
              </w:rPr>
              <w:t xml:space="preserve">Load factor (level)</w:t>
            </w:r>
          </w:p>
        </w:tc>
        <w:tc>
          <w:tcPr>
            <w:tcW w:type="dxa" w:w="2340"/>
            <w:tcMar>
              <w:top w:type="dxa" w:w="60"/>
              <w:left w:type="dxa" w:w="100"/>
              <w:bottom w:type="dxa" w:w="60"/>
              <w:right w:type="dxa" w:w="100"/>
            </w:tcMar>
          </w:tcPr>
          <w:p>
            <w:pPr>
              <w:spacing w:after="0" w:before="0"/>
            </w:pPr>
            <w:r>
              <w:rPr>
                <w:b w:val="false"/>
                <w:bCs w:val="false"/>
                <w:sz w:val="19"/>
                <w:szCs w:val="19"/>
              </w:rPr>
              <w:t xml:space="preserve">June ↔ Twin</w:t>
            </w:r>
          </w:p>
        </w:tc>
        <w:tc>
          <w:tcPr>
            <w:tcW w:type="dxa" w:w="2680"/>
            <w:tcMar>
              <w:top w:type="dxa" w:w="60"/>
              <w:left w:type="dxa" w:w="100"/>
              <w:bottom w:type="dxa" w:w="60"/>
              <w:right w:type="dxa" w:w="100"/>
            </w:tcMar>
          </w:tcPr>
          <w:p>
            <w:pPr>
              <w:spacing w:after="0" w:before="0"/>
            </w:pPr>
            <w:r>
              <w:rPr>
                <w:b w:val="false"/>
                <w:bCs w:val="false"/>
                <w:sz w:val="19"/>
                <w:szCs w:val="19"/>
              </w:rPr>
              <w:t xml:space="preserve">82.1% vs 77.8%</w:t>
            </w:r>
          </w:p>
        </w:tc>
        <w:tc>
          <w:tcPr>
            <w:tcW w:type="dxa" w:w="2000"/>
            <w:tcMar>
              <w:top w:type="dxa" w:w="60"/>
              <w:left w:type="dxa" w:w="100"/>
              <w:bottom w:type="dxa" w:w="60"/>
              <w:right w:type="dxa" w:w="100"/>
            </w:tcMar>
          </w:tcPr>
          <w:p>
            <w:pPr>
              <w:spacing w:after="0"/>
            </w:pPr>
            <w:r>
              <w:rPr>
                <w:color w:val="B00000"/>
                <w:sz w:val="19"/>
                <w:szCs w:val="19"/>
              </w:rPr>
              <w:t xml:space="preserve">Twin ~4 pt low</w:t>
            </w:r>
          </w:p>
        </w:tc>
      </w:tr>
      <w:tr>
        <w:tc>
          <w:tcPr>
            <w:tcW w:type="dxa" w:w="2340"/>
            <w:tcMar>
              <w:top w:type="dxa" w:w="60"/>
              <w:left w:type="dxa" w:w="100"/>
              <w:bottom w:type="dxa" w:w="60"/>
              <w:right w:type="dxa" w:w="100"/>
            </w:tcMar>
          </w:tcPr>
          <w:p>
            <w:pPr>
              <w:spacing w:after="0" w:before="0"/>
            </w:pPr>
            <w:r>
              <w:rPr>
                <w:b w:val="false"/>
                <w:bCs w:val="false"/>
                <w:sz w:val="19"/>
                <w:szCs w:val="19"/>
              </w:rPr>
              <w:t xml:space="preserve">Load factor (day-of-week)</w:t>
            </w:r>
          </w:p>
        </w:tc>
        <w:tc>
          <w:tcPr>
            <w:tcW w:type="dxa" w:w="2340"/>
            <w:tcMar>
              <w:top w:type="dxa" w:w="60"/>
              <w:left w:type="dxa" w:w="100"/>
              <w:bottom w:type="dxa" w:w="60"/>
              <w:right w:type="dxa" w:w="100"/>
            </w:tcMar>
          </w:tcPr>
          <w:p>
            <w:pPr>
              <w:spacing w:after="0" w:before="0"/>
            </w:pPr>
            <w:r>
              <w:rPr>
                <w:b w:val="false"/>
                <w:bCs w:val="false"/>
                <w:sz w:val="19"/>
                <w:szCs w:val="19"/>
              </w:rPr>
              <w:t xml:space="preserve">June ↔ Twin</w:t>
            </w:r>
          </w:p>
        </w:tc>
        <w:tc>
          <w:tcPr>
            <w:tcW w:type="dxa" w:w="2680"/>
            <w:tcMar>
              <w:top w:type="dxa" w:w="60"/>
              <w:left w:type="dxa" w:w="100"/>
              <w:bottom w:type="dxa" w:w="60"/>
              <w:right w:type="dxa" w:w="100"/>
            </w:tcMar>
          </w:tcPr>
          <w:p>
            <w:pPr>
              <w:spacing w:after="0" w:before="0"/>
            </w:pPr>
            <w:r>
              <w:rPr>
                <w:b w:val="false"/>
                <w:bCs w:val="false"/>
                <w:sz w:val="19"/>
                <w:szCs w:val="19"/>
              </w:rPr>
              <w:t xml:space="preserve">Mon 78→Sun 88% vs flat ~78%</w:t>
            </w:r>
          </w:p>
        </w:tc>
        <w:tc>
          <w:tcPr>
            <w:tcW w:type="dxa" w:w="2000"/>
            <w:tcMar>
              <w:top w:type="dxa" w:w="60"/>
              <w:left w:type="dxa" w:w="100"/>
              <w:bottom w:type="dxa" w:w="60"/>
              <w:right w:type="dxa" w:w="100"/>
            </w:tcMar>
          </w:tcPr>
          <w:p>
            <w:pPr>
              <w:spacing w:after="0"/>
            </w:pPr>
            <w:r>
              <w:rPr>
                <w:color w:val="B00000"/>
                <w:sz w:val="19"/>
                <w:szCs w:val="19"/>
              </w:rPr>
              <w:t xml:space="preserve">Misses weekly shape</w:t>
            </w:r>
          </w:p>
        </w:tc>
      </w:tr>
      <w:tr>
        <w:tc>
          <w:tcPr>
            <w:tcW w:type="dxa" w:w="2340"/>
            <w:tcMar>
              <w:top w:type="dxa" w:w="60"/>
              <w:left w:type="dxa" w:w="100"/>
              <w:bottom w:type="dxa" w:w="60"/>
              <w:right w:type="dxa" w:w="100"/>
            </w:tcMar>
          </w:tcPr>
          <w:p>
            <w:pPr>
              <w:spacing w:after="0" w:before="0"/>
            </w:pPr>
            <w:r>
              <w:rPr>
                <w:b w:val="false"/>
                <w:bCs w:val="false"/>
                <w:sz w:val="19"/>
                <w:szCs w:val="19"/>
              </w:rPr>
              <w:t xml:space="preserve">Show-up profile</w:t>
            </w:r>
          </w:p>
        </w:tc>
        <w:tc>
          <w:tcPr>
            <w:tcW w:type="dxa" w:w="2340"/>
            <w:tcMar>
              <w:top w:type="dxa" w:w="60"/>
              <w:left w:type="dxa" w:w="100"/>
              <w:bottom w:type="dxa" w:w="60"/>
              <w:right w:type="dxa" w:w="100"/>
            </w:tcMar>
          </w:tcPr>
          <w:p>
            <w:pPr>
              <w:spacing w:after="0" w:before="0"/>
            </w:pPr>
            <w:r>
              <w:rPr>
                <w:b w:val="false"/>
                <w:bCs w:val="false"/>
                <w:sz w:val="19"/>
                <w:szCs w:val="19"/>
              </w:rPr>
              <w:t xml:space="preserve">HYD ↔ Twin (June: none)</w:t>
            </w:r>
          </w:p>
        </w:tc>
        <w:tc>
          <w:tcPr>
            <w:tcW w:type="dxa" w:w="2680"/>
            <w:tcMar>
              <w:top w:type="dxa" w:w="60"/>
              <w:left w:type="dxa" w:w="100"/>
              <w:bottom w:type="dxa" w:w="60"/>
              <w:right w:type="dxa" w:w="100"/>
            </w:tcMar>
          </w:tcPr>
          <w:p>
            <w:pPr>
              <w:spacing w:after="0" w:before="0"/>
            </w:pPr>
            <w:r>
              <w:rPr>
                <w:b w:val="false"/>
                <w:bCs w:val="false"/>
                <w:sz w:val="19"/>
                <w:szCs w:val="19"/>
              </w:rPr>
              <w:t xml:space="preserve">20% &gt;150 min vs 0% past 150</w:t>
            </w:r>
          </w:p>
        </w:tc>
        <w:tc>
          <w:tcPr>
            <w:tcW w:type="dxa" w:w="2000"/>
            <w:tcMar>
              <w:top w:type="dxa" w:w="60"/>
              <w:left w:type="dxa" w:w="100"/>
              <w:bottom w:type="dxa" w:w="60"/>
              <w:right w:type="dxa" w:w="100"/>
            </w:tcMar>
          </w:tcPr>
          <w:p>
            <w:pPr>
              <w:spacing w:after="0"/>
            </w:pPr>
            <w:r>
              <w:rPr>
                <w:color w:val="B00000"/>
                <w:sz w:val="19"/>
                <w:szCs w:val="19"/>
              </w:rPr>
              <w:t xml:space="preserve">Mis-calibrated</w:t>
            </w:r>
          </w:p>
        </w:tc>
      </w:tr>
    </w:tbl>
    <w:p>
      <w:pPr>
        <w:pStyle w:val="Heading1"/>
        <w:spacing w:after="120" w:before="240"/>
      </w:pPr>
      <w:r>
        <w:rPr>
          <w:b/>
          <w:bCs/>
          <w:color w:val="16375E"/>
        </w:rPr>
        <w:t xml:space="preserve">8. The two recalibrations</w:t>
      </w:r>
    </w:p>
    <w:p>
      <w:pPr>
        <w:spacing w:after="120" w:line="276"/>
      </w:pPr>
      <w:r>
        <w:t xml:space="preserve">Step 5 identified two behavioural layers to correct before the Entry dataset is trustworthy. Both are folded into the finalised dataset (Step 6).</w:t>
      </w:r>
    </w:p>
    <w:p>
      <w:pPr>
        <w:pStyle w:val="ListParagraph"/>
        <w:numPr>
          <w:ilvl w:val="0"/>
          <w:numId w:val="2"/>
        </w:numPr>
        <w:spacing w:after="60" w:line="270"/>
      </w:pPr>
      <w:r>
        <w:rPr>
          <w:b/>
          <w:bCs/>
        </w:rPr>
        <w:t xml:space="preserve">Show-up window. </w:t>
      </w:r>
      <w:r>
        <w:t xml:space="preserve">Drive terminal entry from the measured e-boarding show-up buckets (Step 3) instead of the twin’s triangular DEP_ENTER window. This is exactly how Avra does it — measured percentages, not an assumed curve — and it restores the &gt;150-minute tail automatically.</w:t>
      </w:r>
    </w:p>
    <w:p>
      <w:pPr>
        <w:pStyle w:val="ListParagraph"/>
        <w:numPr>
          <w:ilvl w:val="0"/>
          <w:numId w:val="2"/>
        </w:numPr>
        <w:spacing w:after="60" w:line="270"/>
      </w:pPr>
      <w:r>
        <w:rPr>
          <w:b/>
          <w:bCs/>
        </w:rPr>
        <w:t xml:space="preserve">Load factor. </w:t>
      </w:r>
      <w:r>
        <w:t xml:space="preserve">Use the real June load factor by category and day-of-week (narrow-body ~82%, rising into the weekend) instead of a flat ~78% draw.</w:t>
      </w:r>
    </w:p>
    <w:p>
      <w:pPr>
        <w:pStyle w:val="Heading1"/>
        <w:spacing w:after="120" w:before="240"/>
      </w:pPr>
      <w:r>
        <w:rPr>
          <w:b/>
          <w:bCs/>
          <w:color w:val="16375E"/>
        </w:rPr>
        <w:t xml:space="preserve">9. Step 6 — The finalised Entry dataset</w:t>
      </w:r>
    </w:p>
    <w:p>
      <w:pPr>
        <w:spacing w:after="120" w:line="276"/>
      </w:pPr>
      <w:r>
        <w:rPr>
          <w:b/>
          <w:bCs/>
        </w:rPr>
        <w:t xml:space="preserve">File / method: </w:t>
      </w:r>
      <w:r>
        <w:rPr>
          <w:rFonts w:ascii="Consolas" w:cs="Consolas" w:eastAsia="Consolas" w:hAnsi="Consolas"/>
          <w:sz w:val="19"/>
          <w:szCs w:val="19"/>
        </w:rPr>
        <w:t xml:space="preserve">step6_finalise/build_entry_pod.py</w:t>
      </w:r>
      <w:r>
        <w:t xml:space="preserve"> materialises Avra’s Entry construct on the VTZ S26 schedule, with both recalibrations applied. It is a pure calculation — no ML. Outputs: </w:t>
      </w:r>
      <w:r>
        <w:rPr>
          <w:rFonts w:ascii="Consolas" w:cs="Consolas" w:eastAsia="Consolas" w:hAnsi="Consolas"/>
          <w:sz w:val="19"/>
          <w:szCs w:val="19"/>
        </w:rPr>
        <w:t xml:space="preserve">finalised_entry_daily_summary.csv</w:t>
      </w:r>
      <w:r>
        <w:t xml:space="preserve"> (per-day peak demand and lanes) and </w:t>
      </w:r>
      <w:r>
        <w:rPr>
          <w:rFonts w:ascii="Consolas" w:cs="Consolas" w:eastAsia="Consolas" w:hAnsi="Consolas"/>
          <w:sz w:val="19"/>
          <w:szCs w:val="19"/>
        </w:rPr>
        <w:t xml:space="preserve">finalised_entry_sample_day.csv</w:t>
      </w:r>
      <w:r>
        <w:t xml:space="preserve"> (the busiest day’s 5-minute profile).</w:t>
      </w:r>
    </w:p>
    <w:p>
      <w:pPr>
        <w:pStyle w:val="Heading2"/>
        <w:spacing w:after="80" w:before="180"/>
      </w:pPr>
      <w:r>
        <w:rPr>
          <w:b/>
          <w:bCs/>
          <w:color w:val="16375E"/>
        </w:rPr>
        <w:t xml:space="preserve">The formula-derived columns (Avra’s construct)</w:t>
      </w:r>
    </w:p>
    <w:tbl>
      <w:tblPr>
        <w:tblW w:type="dxa" w:w="9360"/>
        <w:tblBorders>
          <w:top w:val="single" w:color="B7C3D6" w:sz="4"/>
          <w:left w:val="single" w:color="B7C3D6" w:sz="4"/>
          <w:bottom w:val="single" w:color="B7C3D6" w:sz="4"/>
          <w:right w:val="single" w:color="B7C3D6" w:sz="4"/>
          <w:insideH w:val="single" w:color="B7C3D6" w:sz="4"/>
          <w:insideV w:val="single" w:color="B7C3D6" w:sz="4"/>
        </w:tblBorders>
      </w:tblPr>
      <w:tblGrid>
        <w:gridCol w:w="2200"/>
        <w:gridCol w:w="4360"/>
        <w:gridCol w:w="2800"/>
      </w:tblGrid>
      <w:tr>
        <w:trPr>
          <w:tblHeader/>
        </w:trPr>
        <w:tc>
          <w:tcPr>
            <w:tcW w:type="dxa" w:w="2200"/>
            <w:shd w:fill="D9E2F3" w:color="auto" w:val="clear"/>
            <w:tcMar>
              <w:top w:type="dxa" w:w="60"/>
              <w:left w:type="dxa" w:w="100"/>
              <w:bottom w:type="dxa" w:w="60"/>
              <w:right w:type="dxa" w:w="100"/>
            </w:tcMar>
          </w:tcPr>
          <w:p>
            <w:pPr>
              <w:spacing w:after="0" w:before="0"/>
            </w:pPr>
            <w:r>
              <w:rPr>
                <w:b/>
                <w:bCs/>
                <w:sz w:val="19"/>
                <w:szCs w:val="19"/>
              </w:rPr>
              <w:t xml:space="preserve">Column</w:t>
            </w:r>
          </w:p>
        </w:tc>
        <w:tc>
          <w:tcPr>
            <w:tcW w:type="dxa" w:w="4360"/>
            <w:shd w:fill="D9E2F3" w:color="auto" w:val="clear"/>
            <w:tcMar>
              <w:top w:type="dxa" w:w="60"/>
              <w:left w:type="dxa" w:w="100"/>
              <w:bottom w:type="dxa" w:w="60"/>
              <w:right w:type="dxa" w:w="100"/>
            </w:tcMar>
          </w:tcPr>
          <w:p>
            <w:pPr>
              <w:spacing w:after="0" w:before="0"/>
            </w:pPr>
            <w:r>
              <w:rPr>
                <w:b/>
                <w:bCs/>
                <w:sz w:val="19"/>
                <w:szCs w:val="19"/>
              </w:rPr>
              <w:t xml:space="preserve">Formula</w:t>
            </w:r>
          </w:p>
        </w:tc>
        <w:tc>
          <w:tcPr>
            <w:tcW w:type="dxa" w:w="2800"/>
            <w:shd w:fill="D9E2F3" w:color="auto" w:val="clear"/>
            <w:tcMar>
              <w:top w:type="dxa" w:w="60"/>
              <w:left w:type="dxa" w:w="100"/>
              <w:bottom w:type="dxa" w:w="60"/>
              <w:right w:type="dxa" w:w="100"/>
            </w:tcMar>
          </w:tcPr>
          <w:p>
            <w:pPr>
              <w:spacing w:after="0" w:before="0"/>
            </w:pPr>
            <w:r>
              <w:rPr>
                <w:b/>
                <w:bCs/>
                <w:sz w:val="19"/>
                <w:szCs w:val="19"/>
              </w:rPr>
              <w:t xml:space="preserve">Source</w:t>
            </w:r>
          </w:p>
        </w:tc>
      </w:tr>
      <w:tr>
        <w:tc>
          <w:tcPr>
            <w:tcW w:type="dxa" w:w="2200"/>
            <w:tcMar>
              <w:top w:type="dxa" w:w="60"/>
              <w:left w:type="dxa" w:w="100"/>
              <w:bottom w:type="dxa" w:w="60"/>
              <w:right w:type="dxa" w:w="100"/>
            </w:tcMar>
          </w:tcPr>
          <w:p>
            <w:pPr>
              <w:spacing w:after="0" w:before="0"/>
            </w:pPr>
            <w:r>
              <w:rPr>
                <w:b w:val="false"/>
                <w:bCs w:val="false"/>
                <w:sz w:val="19"/>
                <w:szCs w:val="19"/>
              </w:rPr>
              <w:t xml:space="preserve">passengers</w:t>
            </w:r>
          </w:p>
        </w:tc>
        <w:tc>
          <w:tcPr>
            <w:tcW w:type="dxa" w:w="4360"/>
            <w:tcMar>
              <w:top w:type="dxa" w:w="60"/>
              <w:left w:type="dxa" w:w="100"/>
              <w:bottom w:type="dxa" w:w="60"/>
              <w:right w:type="dxa" w:w="100"/>
            </w:tcMar>
          </w:tcPr>
          <w:p>
            <w:pPr>
              <w:spacing w:after="0" w:before="0"/>
            </w:pPr>
            <w:r>
              <w:rPr>
                <w:b w:val="false"/>
                <w:bCs w:val="false"/>
                <w:sz w:val="19"/>
                <w:szCs w:val="19"/>
              </w:rPr>
              <w:t xml:space="preserve">seat_capacity × LF[category, day_of_week]</w:t>
            </w:r>
          </w:p>
        </w:tc>
        <w:tc>
          <w:tcPr>
            <w:tcW w:type="dxa" w:w="2800"/>
            <w:tcMar>
              <w:top w:type="dxa" w:w="60"/>
              <w:left w:type="dxa" w:w="100"/>
              <w:bottom w:type="dxa" w:w="60"/>
              <w:right w:type="dxa" w:w="100"/>
            </w:tcMar>
          </w:tcPr>
          <w:p>
            <w:pPr>
              <w:spacing w:after="0" w:before="0"/>
            </w:pPr>
            <w:r>
              <w:rPr>
                <w:b w:val="false"/>
                <w:bCs w:val="false"/>
                <w:sz w:val="19"/>
                <w:szCs w:val="19"/>
              </w:rPr>
              <w:t xml:space="preserve">June LF + VTZ schedule</w:t>
            </w:r>
          </w:p>
        </w:tc>
      </w:tr>
      <w:tr>
        <w:tc>
          <w:tcPr>
            <w:tcW w:type="dxa" w:w="2200"/>
            <w:tcMar>
              <w:top w:type="dxa" w:w="60"/>
              <w:left w:type="dxa" w:w="100"/>
              <w:bottom w:type="dxa" w:w="60"/>
              <w:right w:type="dxa" w:w="100"/>
            </w:tcMar>
          </w:tcPr>
          <w:p>
            <w:pPr>
              <w:spacing w:after="0" w:before="0"/>
            </w:pPr>
            <w:r>
              <w:rPr>
                <w:b w:val="false"/>
                <w:bCs w:val="false"/>
                <w:sz w:val="19"/>
                <w:szCs w:val="19"/>
              </w:rPr>
              <w:t xml:space="preserve">minutes_early</w:t>
            </w:r>
          </w:p>
        </w:tc>
        <w:tc>
          <w:tcPr>
            <w:tcW w:type="dxa" w:w="4360"/>
            <w:tcMar>
              <w:top w:type="dxa" w:w="60"/>
              <w:left w:type="dxa" w:w="100"/>
              <w:bottom w:type="dxa" w:w="60"/>
              <w:right w:type="dxa" w:w="100"/>
            </w:tcMar>
          </w:tcPr>
          <w:p>
            <w:pPr>
              <w:spacing w:after="0" w:before="0"/>
            </w:pPr>
            <w:r>
              <w:rPr>
                <w:b w:val="false"/>
                <w:bCs w:val="false"/>
                <w:sz w:val="19"/>
                <w:szCs w:val="19"/>
              </w:rPr>
              <w:t xml:space="preserve">departure_time − entry_scan_time</w:t>
            </w:r>
          </w:p>
        </w:tc>
        <w:tc>
          <w:tcPr>
            <w:tcW w:type="dxa" w:w="2800"/>
            <w:tcMar>
              <w:top w:type="dxa" w:w="60"/>
              <w:left w:type="dxa" w:w="100"/>
              <w:bottom w:type="dxa" w:w="60"/>
              <w:right w:type="dxa" w:w="100"/>
            </w:tcMar>
          </w:tcPr>
          <w:p>
            <w:pPr>
              <w:spacing w:after="0" w:before="0"/>
            </w:pPr>
            <w:r>
              <w:rPr>
                <w:b w:val="false"/>
                <w:bCs w:val="false"/>
                <w:sz w:val="19"/>
                <w:szCs w:val="19"/>
              </w:rPr>
              <w:t xml:space="preserve">e-boarding (real) / show-up curve</w:t>
            </w:r>
          </w:p>
        </w:tc>
      </w:tr>
      <w:tr>
        <w:tc>
          <w:tcPr>
            <w:tcW w:type="dxa" w:w="2200"/>
            <w:tcMar>
              <w:top w:type="dxa" w:w="60"/>
              <w:left w:type="dxa" w:w="100"/>
              <w:bottom w:type="dxa" w:w="60"/>
              <w:right w:type="dxa" w:w="100"/>
            </w:tcMar>
          </w:tcPr>
          <w:p>
            <w:pPr>
              <w:spacing w:after="0" w:before="0"/>
            </w:pPr>
            <w:r>
              <w:rPr>
                <w:b w:val="false"/>
                <w:bCs w:val="false"/>
                <w:sz w:val="19"/>
                <w:szCs w:val="19"/>
              </w:rPr>
              <w:t xml:space="preserve">showup_bucket</w:t>
            </w:r>
          </w:p>
        </w:tc>
        <w:tc>
          <w:tcPr>
            <w:tcW w:type="dxa" w:w="4360"/>
            <w:tcMar>
              <w:top w:type="dxa" w:w="60"/>
              <w:left w:type="dxa" w:w="100"/>
              <w:bottom w:type="dxa" w:w="60"/>
              <w:right w:type="dxa" w:w="100"/>
            </w:tcMar>
          </w:tcPr>
          <w:p>
            <w:pPr>
              <w:spacing w:after="0" w:before="0"/>
            </w:pPr>
            <w:r>
              <w:rPr>
                <w:b w:val="false"/>
                <w:bCs w:val="false"/>
                <w:sz w:val="19"/>
                <w:szCs w:val="19"/>
              </w:rPr>
              <w:t xml:space="preserve">bucket(minutes_early), &lt;60 … &gt;180</w:t>
            </w:r>
          </w:p>
        </w:tc>
        <w:tc>
          <w:tcPr>
            <w:tcW w:type="dxa" w:w="2800"/>
            <w:tcMar>
              <w:top w:type="dxa" w:w="60"/>
              <w:left w:type="dxa" w:w="100"/>
              <w:bottom w:type="dxa" w:w="60"/>
              <w:right w:type="dxa" w:w="100"/>
            </w:tcMar>
          </w:tcPr>
          <w:p>
            <w:pPr>
              <w:spacing w:after="0" w:before="0"/>
            </w:pPr>
            <w:r>
              <w:rPr>
                <w:b w:val="false"/>
                <w:bCs w:val="false"/>
                <w:sz w:val="19"/>
                <w:szCs w:val="19"/>
              </w:rPr>
              <w:t xml:space="preserve">Step 3 thresholds</w:t>
            </w:r>
          </w:p>
        </w:tc>
      </w:tr>
      <w:tr>
        <w:tc>
          <w:tcPr>
            <w:tcW w:type="dxa" w:w="2200"/>
            <w:tcMar>
              <w:top w:type="dxa" w:w="60"/>
              <w:left w:type="dxa" w:w="100"/>
              <w:bottom w:type="dxa" w:w="60"/>
              <w:right w:type="dxa" w:w="100"/>
            </w:tcMar>
          </w:tcPr>
          <w:p>
            <w:pPr>
              <w:spacing w:after="0" w:before="0"/>
            </w:pPr>
            <w:r>
              <w:rPr>
                <w:b w:val="false"/>
                <w:bCs w:val="false"/>
                <w:sz w:val="19"/>
                <w:szCs w:val="19"/>
              </w:rPr>
              <w:t xml:space="preserve">entry_demand_5min</w:t>
            </w:r>
          </w:p>
        </w:tc>
        <w:tc>
          <w:tcPr>
            <w:tcW w:type="dxa" w:w="4360"/>
            <w:tcMar>
              <w:top w:type="dxa" w:w="60"/>
              <w:left w:type="dxa" w:w="100"/>
              <w:bottom w:type="dxa" w:w="60"/>
              <w:right w:type="dxa" w:w="100"/>
            </w:tcMar>
          </w:tcPr>
          <w:p>
            <w:pPr>
              <w:spacing w:after="0" w:before="0"/>
            </w:pPr>
            <w:r>
              <w:rPr>
                <w:b w:val="false"/>
                <w:bCs w:val="false"/>
                <w:sz w:val="19"/>
                <w:szCs w:val="19"/>
              </w:rPr>
              <w:t xml:space="preserve">Σ passengers × showup_weight(offset)</w:t>
            </w:r>
          </w:p>
        </w:tc>
        <w:tc>
          <w:tcPr>
            <w:tcW w:type="dxa" w:w="2800"/>
            <w:tcMar>
              <w:top w:type="dxa" w:w="60"/>
              <w:left w:type="dxa" w:w="100"/>
              <w:bottom w:type="dxa" w:w="60"/>
              <w:right w:type="dxa" w:w="100"/>
            </w:tcMar>
          </w:tcPr>
          <w:p>
            <w:pPr>
              <w:spacing w:after="0" w:before="0"/>
            </w:pPr>
            <w:r>
              <w:rPr>
                <w:b w:val="false"/>
                <w:bCs w:val="false"/>
                <w:sz w:val="19"/>
                <w:szCs w:val="19"/>
              </w:rPr>
              <w:t xml:space="preserve">passengers × measured profile</w:t>
            </w:r>
          </w:p>
        </w:tc>
      </w:tr>
      <w:tr>
        <w:tc>
          <w:tcPr>
            <w:tcW w:type="dxa" w:w="2200"/>
            <w:tcMar>
              <w:top w:type="dxa" w:w="60"/>
              <w:left w:type="dxa" w:w="100"/>
              <w:bottom w:type="dxa" w:w="60"/>
              <w:right w:type="dxa" w:w="100"/>
            </w:tcMar>
          </w:tcPr>
          <w:p>
            <w:pPr>
              <w:spacing w:after="0" w:before="0"/>
            </w:pPr>
            <w:r>
              <w:rPr>
                <w:b w:val="false"/>
                <w:bCs w:val="false"/>
                <w:sz w:val="19"/>
                <w:szCs w:val="19"/>
              </w:rPr>
              <w:t xml:space="preserve">entry_demand_30min</w:t>
            </w:r>
          </w:p>
        </w:tc>
        <w:tc>
          <w:tcPr>
            <w:tcW w:type="dxa" w:w="4360"/>
            <w:tcMar>
              <w:top w:type="dxa" w:w="60"/>
              <w:left w:type="dxa" w:w="100"/>
              <w:bottom w:type="dxa" w:w="60"/>
              <w:right w:type="dxa" w:w="100"/>
            </w:tcMar>
          </w:tcPr>
          <w:p>
            <w:pPr>
              <w:spacing w:after="0" w:before="0"/>
            </w:pPr>
            <w:r>
              <w:rPr>
                <w:b w:val="false"/>
                <w:bCs w:val="false"/>
                <w:sz w:val="19"/>
                <w:szCs w:val="19"/>
              </w:rPr>
              <w:t xml:space="preserve">rolling 30-min sum of entry_demand</w:t>
            </w:r>
          </w:p>
        </w:tc>
        <w:tc>
          <w:tcPr>
            <w:tcW w:type="dxa" w:w="2800"/>
            <w:tcMar>
              <w:top w:type="dxa" w:w="60"/>
              <w:left w:type="dxa" w:w="100"/>
              <w:bottom w:type="dxa" w:w="60"/>
              <w:right w:type="dxa" w:w="100"/>
            </w:tcMar>
          </w:tcPr>
          <w:p>
            <w:pPr>
              <w:spacing w:after="0" w:before="0"/>
            </w:pPr>
            <w:r>
              <w:rPr>
                <w:b w:val="false"/>
                <w:bCs w:val="false"/>
                <w:sz w:val="19"/>
                <w:szCs w:val="19"/>
              </w:rPr>
              <w:t xml:space="preserve">Avra’s 30-min projection</w:t>
            </w:r>
          </w:p>
        </w:tc>
      </w:tr>
      <w:tr>
        <w:tc>
          <w:tcPr>
            <w:tcW w:type="dxa" w:w="2200"/>
            <w:tcMar>
              <w:top w:type="dxa" w:w="60"/>
              <w:left w:type="dxa" w:w="100"/>
              <w:bottom w:type="dxa" w:w="60"/>
              <w:right w:type="dxa" w:w="100"/>
            </w:tcMar>
          </w:tcPr>
          <w:p>
            <w:pPr>
              <w:spacing w:after="0" w:before="0"/>
            </w:pPr>
            <w:r>
              <w:rPr>
                <w:b w:val="false"/>
                <w:bCs w:val="false"/>
                <w:sz w:val="19"/>
                <w:szCs w:val="19"/>
              </w:rPr>
              <w:t xml:space="preserve">lanes_required</w:t>
            </w:r>
          </w:p>
        </w:tc>
        <w:tc>
          <w:tcPr>
            <w:tcW w:type="dxa" w:w="4360"/>
            <w:tcMar>
              <w:top w:type="dxa" w:w="60"/>
              <w:left w:type="dxa" w:w="100"/>
              <w:bottom w:type="dxa" w:w="60"/>
              <w:right w:type="dxa" w:w="100"/>
            </w:tcMar>
          </w:tcPr>
          <w:p>
            <w:pPr>
              <w:spacing w:after="0" w:before="0"/>
            </w:pPr>
            <w:r>
              <w:rPr>
                <w:b w:val="false"/>
                <w:bCs w:val="false"/>
                <w:sz w:val="19"/>
                <w:szCs w:val="19"/>
              </w:rPr>
              <w:t xml:space="preserve">ceil(entry_demand_30min / 60)</w:t>
            </w:r>
          </w:p>
        </w:tc>
        <w:tc>
          <w:tcPr>
            <w:tcW w:type="dxa" w:w="2800"/>
            <w:tcMar>
              <w:top w:type="dxa" w:w="60"/>
              <w:left w:type="dxa" w:w="100"/>
              <w:bottom w:type="dxa" w:w="60"/>
              <w:right w:type="dxa" w:w="100"/>
            </w:tcMar>
          </w:tcPr>
          <w:p>
            <w:pPr>
              <w:spacing w:after="0" w:before="0"/>
            </w:pPr>
            <w:r>
              <w:rPr>
                <w:b w:val="false"/>
                <w:bCs w:val="false"/>
                <w:sz w:val="19"/>
                <w:szCs w:val="19"/>
              </w:rPr>
              <w:t xml:space="preserve">ATRS 120 pax/hr/lane = 60/30min</w:t>
            </w:r>
          </w:p>
        </w:tc>
      </w:tr>
    </w:tbl>
    <w:p>
      <w:pPr>
        <w:pStyle w:val="Heading2"/>
        <w:spacing w:after="80" w:before="180"/>
      </w:pPr>
      <w:r>
        <w:rPr>
          <w:b/>
          <w:bCs/>
          <w:color w:val="16375E"/>
        </w:rPr>
        <w:t xml:space="preserve">Result</w:t>
      </w:r>
    </w:p>
    <w:p>
      <w:pPr>
        <w:pStyle w:val="ListParagraph"/>
        <w:numPr>
          <w:ilvl w:val="0"/>
          <w:numId w:val="2"/>
        </w:numPr>
        <w:spacing w:after="60" w:line="270"/>
      </w:pPr>
      <w:r>
        <w:t xml:space="preserve">5,820 departures across the S26 season (210 days).</w:t>
      </w:r>
    </w:p>
    <w:p>
      <w:pPr>
        <w:pStyle w:val="ListParagraph"/>
        <w:numPr>
          <w:ilvl w:val="0"/>
          <w:numId w:val="2"/>
        </w:numPr>
        <w:spacing w:after="60" w:line="270"/>
      </w:pPr>
      <w:r>
        <w:rPr>
          <w:b/>
          <w:bCs/>
        </w:rPr>
        <w:t xml:space="preserve">873,509 season entry passengers</w:t>
      </w:r>
      <w:r>
        <w:t xml:space="preserve"> — higher than the twin’s 827k because the real ~82% load factor replaced the flat ~78%.</w:t>
      </w:r>
    </w:p>
    <w:p>
      <w:pPr>
        <w:pStyle w:val="ListParagraph"/>
        <w:numPr>
          <w:ilvl w:val="0"/>
          <w:numId w:val="2"/>
        </w:numPr>
        <w:spacing w:after="60" w:line="270"/>
      </w:pPr>
      <w:r>
        <w:t xml:space="preserve">Peak requirement: </w:t>
      </w:r>
      <w:r>
        <w:rPr>
          <w:b/>
          <w:bCs/>
        </w:rPr>
        <w:t xml:space="preserve">4 entry lanes</w:t>
      </w:r>
      <w:r>
        <w:t xml:space="preserve">; busiest day 30-minute demand 229 passengers.</w:t>
      </w:r>
    </w:p>
    <w:p>
      <w:pPr>
        <w:pStyle w:val="Heading1"/>
        <w:spacing w:after="120" w:before="240"/>
      </w:pPr>
      <w:r>
        <w:rPr>
          <w:b/>
          <w:bCs/>
          <w:color w:val="16375E"/>
        </w:rPr>
        <w:t xml:space="preserve">10. Data caveats — to confirm with Avra</w:t>
      </w:r>
    </w:p>
    <w:p>
      <w:pPr>
        <w:pStyle w:val="ListParagraph"/>
        <w:numPr>
          <w:ilvl w:val="0"/>
          <w:numId w:val="2"/>
        </w:numPr>
        <w:spacing w:after="60" w:line="270"/>
      </w:pPr>
      <w:r>
        <w:t xml:space="preserve">The e-boarding file is only 2 days (12–13 Apr) — good for the overall show-up profile, but a full month is needed for day-of-week show-up splits.</w:t>
      </w:r>
    </w:p>
    <w:p>
      <w:pPr>
        <w:pStyle w:val="ListParagraph"/>
        <w:numPr>
          <w:ilvl w:val="0"/>
          <w:numId w:val="2"/>
        </w:numPr>
        <w:spacing w:after="60" w:line="270"/>
      </w:pPr>
      <w:r>
        <w:t xml:space="preserve">The June workbook’s second sheet is a July-labelled calculated copy; we used the clean June sheet only. Confirm this is correct.</w:t>
      </w:r>
    </w:p>
    <w:p>
      <w:pPr>
        <w:pStyle w:val="ListParagraph"/>
        <w:numPr>
          <w:ilvl w:val="0"/>
          <w:numId w:val="2"/>
        </w:numPr>
        <w:spacing w:after="60" w:line="270"/>
      </w:pPr>
      <w:r>
        <w:t xml:space="preserve">Confirm the throughput assumption: ATRS 180 trays/hr and 1.5 trays/passenger, giving 120 passengers/hour/lane (60 per 30 minutes).</w:t>
      </w:r>
    </w:p>
    <w:p>
      <w:pPr>
        <w:pStyle w:val="Heading1"/>
        <w:spacing w:after="120" w:before="240"/>
      </w:pPr>
      <w:r>
        <w:rPr>
          <w:b/>
          <w:bCs/>
          <w:color w:val="16375E"/>
        </w:rPr>
        <w:t xml:space="preserve">11. Next steps</w:t>
      </w:r>
    </w:p>
    <w:p>
      <w:pPr>
        <w:spacing w:after="120" w:line="276"/>
      </w:pPr>
      <w:r>
        <w:t xml:space="preserve">The Entry touchpoint is fully built and internally consistent. The immediate next step is Avra’s confirmation of the Entry approach and the finalised dataset. Once confirmed:</w:t>
      </w:r>
    </w:p>
    <w:p>
      <w:pPr>
        <w:pStyle w:val="ListParagraph"/>
        <w:numPr>
          <w:ilvl w:val="0"/>
          <w:numId w:val="2"/>
        </w:numPr>
        <w:spacing w:after="60" w:line="270"/>
      </w:pPr>
      <w:r>
        <w:t xml:space="preserve">Replicate the same six-step build for the remaining touchpoints (Security, Boarding, Belt).</w:t>
      </w:r>
    </w:p>
    <w:p>
      <w:pPr>
        <w:pStyle w:val="ListParagraph"/>
        <w:numPr>
          <w:ilvl w:val="0"/>
          <w:numId w:val="2"/>
        </w:numPr>
        <w:spacing w:after="60" w:line="270"/>
      </w:pPr>
      <w:r>
        <w:t xml:space="preserve">Only then move to modelling, which becomes meaningful once real touchpoint scan data accumulates after go-live.</w:t>
      </w:r>
    </w:p>
    <w:p>
      <w:pPr>
        <w:spacing w:after="120" w:line="276"/>
      </w:pPr>
      <w:r>
        <w:t xml:space="preserve">All code and outputs live in the </w:t>
      </w:r>
      <w:r>
        <w:rPr>
          <w:rFonts w:ascii="Consolas" w:cs="Consolas" w:eastAsia="Consolas" w:hAnsi="Consolas"/>
          <w:sz w:val="19"/>
          <w:szCs w:val="19"/>
        </w:rPr>
        <w:t xml:space="preserve">POD2/</w:t>
      </w:r>
      <w:r>
        <w:t xml:space="preserve"> folder of the repository, one sub-folder per step.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B"/>
        <w:sz w:val="16"/>
        <w:szCs w:val="16"/>
      </w:rPr>
      <w:t xml:space="preserve">POD2 — Entry Analysis &amp; Finalised Dataset   ·   Page </w:t>
    </w:r>
    <w:r>
      <w:rPr>
        <w:color w:val="5B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6375E"/>
      <w:sz w:val="30"/>
      <w:szCs w:val="30"/>
    </w:rPr>
  </w:style>
  <w:style w:type="paragraph" w:styleId="Heading2">
    <w:name w:val="Heading 2"/>
    <w:basedOn w:val="Normal"/>
    <w:next w:val="Normal"/>
    <w:qFormat/>
    <w:pPr>
      <w:spacing w:after="80" w:before="160"/>
    </w:pPr>
    <w:rPr>
      <w:b/>
      <w:bCs/>
      <w:color w:val="16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1dbd5532c4d447f8923fa2f6bf6d29b0ff19f3b.png"/><Relationship Id="rId9" Type="http://schemas.openxmlformats.org/officeDocument/2006/relationships/image" Target="media/8e5a8b7a9bcf49c9146250ea818b7aedb5d69c61.png"/><Relationship Id="rId10" Type="http://schemas.openxmlformats.org/officeDocument/2006/relationships/image" Target="media/09ff00434cdcafd87ec09869cc0dc25caad0b39f.png"/><Relationship Id="rId11" Type="http://schemas.openxmlformats.org/officeDocument/2006/relationships/image" Target="media/0d44e3ebdca593849656949901f65c6c2e590f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2026-07-17T09:02:02.765Z</dcterms:created>
  <dcterms:modified xsi:type="dcterms:W3CDTF">2026-07-17T09:02:02.767Z</dcterms:modified>
</cp:coreProperties>
</file>

<file path=docProps/custom.xml><?xml version="1.0" encoding="utf-8"?>
<Properties xmlns="http://schemas.openxmlformats.org/officeDocument/2006/custom-properties" xmlns:vt="http://schemas.openxmlformats.org/officeDocument/2006/docPropsVTypes"/>
</file>