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ack-lifo-last-in-first-out"/>
    <w:p>
      <w:pPr>
        <w:pStyle w:val="Heading1"/>
      </w:pPr>
      <w:r>
        <w:t xml:space="preserve">04 — Stack (LIFO: Last In, First Out)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04_stack.py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Only the top is accessible.</w:t>
      </w:r>
      <w:r>
        <w:t xml:space="preserve"> </w:t>
      </w:r>
      <w:r>
        <w:rPr>
          <w:rStyle w:val="VerbatimChar"/>
        </w:rPr>
        <w:t xml:space="preserve">push(x)</w:t>
      </w:r>
      <w:r>
        <w:t xml:space="preserve"> </w:t>
      </w:r>
      <w:r>
        <w:t xml:space="preserve">puts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 top,</w:t>
      </w:r>
      <w:r>
        <w:t xml:space="preserve"> </w:t>
      </w:r>
      <w:r>
        <w:rPr>
          <w:rStyle w:val="VerbatimChar"/>
        </w:rPr>
        <w:t xml:space="preserve">pop()</w:t>
      </w:r>
      <w:r>
        <w:t xml:space="preserve"> </w:t>
      </w:r>
      <w:r>
        <w:t xml:space="preserve">removes the top. Built on a dynamic array:</w:t>
      </w:r>
      <w:r>
        <w:t xml:space="preserve"> </w:t>
      </w:r>
      <m:oMath>
        <m:r>
          <m:rPr>
            <m:nor/>
            <m:sty m:val="p"/>
          </m:rPr>
          <m:t>top</m:t>
        </m:r>
        <m:r>
          <m:rPr>
            <m:sty m:val="p"/>
          </m:rPr>
          <m:t>=</m:t>
        </m:r>
        <m:r>
          <m:t>A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bookmarkEnd w:id="20"/>
    <w:bookmarkStart w:id="21" w:name="complexity"/>
    <w:p>
      <w:pPr>
        <w:pStyle w:val="Heading2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push, pop, peek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amortized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</w:tbl>
    <w:bookmarkEnd w:id="21"/>
    <w:bookmarkStart w:id="22" w:name="where-it-hides"/>
    <w:p>
      <w:pPr>
        <w:pStyle w:val="Heading2"/>
      </w:pPr>
      <w:r>
        <w:t xml:space="preserve">Where it hides</w:t>
      </w:r>
    </w:p>
    <w:p>
      <w:pPr>
        <w:pStyle w:val="FirstParagraph"/>
      </w:pPr>
      <w:r>
        <w:t xml:space="preserve">The function call stack, undo/redo, DFS, expression parsing, backtracking, the browser</w:t>
      </w:r>
      <w:r>
        <w:t xml:space="preserve"> </w:t>
      </w:r>
      <w:r>
        <w:t xml:space="preserve">“</w:t>
      </w:r>
      <w:r>
        <w:t xml:space="preserve">back</w:t>
      </w:r>
      <w:r>
        <w:t xml:space="preserve">”</w:t>
      </w:r>
      <w:r>
        <w:t xml:space="preserve"> </w:t>
      </w:r>
      <w:r>
        <w:t xml:space="preserve">button.</w:t>
      </w:r>
    </w:p>
    <w:bookmarkEnd w:id="22"/>
    <w:bookmarkStart w:id="23" w:name="the-math-catalan-numbers"/>
    <w:p>
      <w:pPr>
        <w:pStyle w:val="Heading2"/>
      </w:pPr>
      <w:r>
        <w:t xml:space="preserve">The math: Catalan numbers</w:t>
      </w:r>
    </w:p>
    <w:p>
      <w:pPr>
        <w:pStyle w:val="FirstParagraph"/>
      </w:pPr>
      <w:r>
        <w:t xml:space="preserve">The number of balanced strings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 of brackets = the number of valid push/pop sequences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items = the</w:t>
      </w:r>
      <w:r>
        <w:t xml:space="preserve"> </w:t>
      </w:r>
      <m:oMath>
        <m:r>
          <m:t>n</m:t>
        </m:r>
      </m:oMath>
      <w:r>
        <w:t xml:space="preserve">-th Catalan number: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no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Recurrence (split at the bracket that matches the first</w:t>
      </w:r>
      <w:r>
        <w:t xml:space="preserve"> </w:t>
      </w:r>
      <w:r>
        <w:t xml:space="preserve">“</w:t>
      </w:r>
      <w:r>
        <w:t xml:space="preserve">(</w:t>
      </w:r>
      <w:r>
        <w:t xml:space="preserve">”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5</m:t>
          </m:r>
          <m:r>
            <m:rPr>
              <m:sty m:val="p"/>
            </m:rPr>
            <m:t>,</m:t>
          </m:r>
          <m:r>
            <m:t> </m:t>
          </m:r>
          <m:r>
            <m:t>14</m:t>
          </m:r>
          <m:r>
            <m:rPr>
              <m:sty m:val="p"/>
            </m:rPr>
            <m:t>,</m:t>
          </m:r>
          <m:r>
            <m:t> </m:t>
          </m:r>
          <m:r>
            <m:t>42</m:t>
          </m:r>
          <m:r>
            <m:rPr>
              <m:sty m:val="p"/>
            </m:rPr>
            <m:t>,</m:t>
          </m:r>
          <m:r>
            <m:t> </m:t>
          </m:r>
          <m:r>
            <m:t>132</m:t>
          </m:r>
          <m:r>
            <m:rPr>
              <m:sty m:val="p"/>
            </m:rPr>
            <m:t>,</m:t>
          </m:r>
          <m:r>
            <m:t> </m:t>
          </m:r>
          <m:r>
            <m:t>429</m:t>
          </m:r>
        </m:oMath>
      </m:oMathPara>
    </w:p>
    <w:bookmarkEnd w:id="23"/>
    <w:bookmarkStart w:id="24" w:name="postfix-reverse-polish-evaluation"/>
    <w:p>
      <w:pPr>
        <w:pStyle w:val="Heading2"/>
      </w:pPr>
      <w:r>
        <w:t xml:space="preserve">Postfix (Reverse Polish) evaluation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Infix: 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−</m:t>
          </m:r>
          <m:r>
            <m:t>5</m:t>
          </m:r>
          <m:r>
            <m:t>  </m:t>
          </m:r>
          <m:r>
            <m:rPr>
              <m:sty m:val="p"/>
            </m:rPr>
            <m:t>→</m:t>
          </m:r>
          <m:r>
            <m:t>  </m:t>
          </m:r>
          <m:r>
            <m:rPr>
              <m:nor/>
              <m:sty m:val="p"/>
            </m:rPr>
            <m:t>Postfix: </m:t>
          </m:r>
          <m:r>
            <m:t>3</m:t>
          </m:r>
          <m:r>
            <m:t> </m:t>
          </m:r>
          <m:r>
            <m:t>4</m:t>
          </m:r>
          <m:r>
            <m:t> </m:t>
          </m:r>
          <m:r>
            <m:rPr>
              <m:sty m:val="p"/>
            </m:rPr>
            <m:t>+</m:t>
          </m:r>
          <m:r>
            <m:t> </m:t>
          </m:r>
          <m:r>
            <m:t>2</m:t>
          </m:r>
          <m:r>
            <m:t> </m:t>
          </m:r>
          <m:r>
            <m:rPr>
              <m:sty m:val="p"/>
            </m:rPr>
            <m:t>×</m:t>
          </m:r>
          <m:r>
            <m:t> </m:t>
          </m:r>
          <m:r>
            <m:t>5</m:t>
          </m:r>
          <m:r>
            <m:t> </m:t>
          </m:r>
          <m:r>
            <m:rPr>
              <m:sty m:val="p"/>
            </m:rPr>
            <m:t>−</m:t>
          </m:r>
        </m:oMath>
      </m:oMathPara>
    </w:p>
    <w:p>
      <w:pPr>
        <w:pStyle w:val="FirstParagraph"/>
      </w:pPr>
      <w:r>
        <w:t xml:space="preserve">Scan left → right: number → push; operator → pop</w:t>
      </w:r>
      <w:r>
        <w:t xml:space="preserve"> </w:t>
      </w:r>
      <m:oMath>
        <m:r>
          <m:t>b</m:t>
        </m:r>
      </m:oMath>
      <w:r>
        <w:t xml:space="preserve">, pop</w:t>
      </w:r>
      <w:r>
        <w:t xml:space="preserve"> </w:t>
      </w:r>
      <m:oMath>
        <m:r>
          <m:t>a</m:t>
        </m:r>
      </m:oMath>
      <w:r>
        <w:t xml:space="preserve">, push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nor/>
                <m:sty m:val="p"/>
              </m:rPr>
              <m:t> op </m:t>
            </m:r>
            <m:r>
              <m:t>b</m:t>
            </m:r>
          </m:e>
        </m:d>
      </m:oMath>
      <w:r>
        <w:t xml:space="preserve">. Postfix needs no parentheses and no precedence rules.</w:t>
      </w:r>
    </w:p>
    <w:bookmarkEnd w:id="24"/>
    <w:bookmarkStart w:id="25" w:name="shunting-yard-infix-postfix-precedence"/>
    <w:p>
      <w:pPr>
        <w:pStyle w:val="Heading2"/>
      </w:pPr>
      <w:r>
        <w:t xml:space="preserve">Shunting-yard (infix → postfix) precedence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power, right-associative</m:t>
              </m:r>
            </m:e>
          </m:d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÷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sty m:val="p"/>
            </m:rPr>
            <m:t>+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</m:oMath>
      </m:oMathPara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2026-10-01T23:05:09Z</dcterms:created>
  <dcterms:modified xsi:type="dcterms:W3CDTF">2026-10-01T23:05:09Z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