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WisiPay Technical Specification: Smart Routing Engine v3.0</w:t>
      </w:r>
    </w:p>
    <w:p>
      <w:pPr>
        <w:pStyle w:val="Heading1"/>
      </w:pPr>
      <w:r>
        <w:t>1. Abstract</w:t>
      </w:r>
    </w:p>
    <w:p>
      <w:r>
        <w:t>This document outlines the architectural design and implementation details of the Smart Routing Engine (SRE) v3.0. The SRE is responsible for dynamically selecting the optimal payment aggregator (PA) for every transaction based on cost, success rate, and provider latency.</w:t>
      </w:r>
    </w:p>
    <w:p>
      <w:pPr>
        <w:pStyle w:val="Heading1"/>
      </w:pPr>
      <w:r>
        <w:t>2. System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 Name</w:t>
            </w:r>
          </w:p>
        </w:tc>
        <w:tc>
          <w:tcPr>
            <w:tcW w:type="dxa" w:w="2880"/>
          </w:tcPr>
          <w:p>
            <w:r>
              <w:t>Internal ID</w:t>
            </w:r>
          </w:p>
        </w:tc>
        <w:tc>
          <w:tcPr>
            <w:tcW w:type="dxa" w:w="2880"/>
          </w:tcPr>
          <w:p>
            <w:r>
              <w:t>Function</w:t>
            </w:r>
          </w:p>
        </w:tc>
      </w:tr>
      <w:tr>
        <w:tc>
          <w:tcPr>
            <w:tcW w:type="dxa" w:w="2880"/>
          </w:tcPr>
          <w:p>
            <w:r>
              <w:t>Ingress Gateway</w:t>
            </w:r>
          </w:p>
        </w:tc>
        <w:tc>
          <w:tcPr>
            <w:tcW w:type="dxa" w:w="2880"/>
          </w:tcPr>
          <w:p>
            <w:r>
              <w:t>GW-101</w:t>
            </w:r>
          </w:p>
        </w:tc>
        <w:tc>
          <w:tcPr>
            <w:tcW w:type="dxa" w:w="2880"/>
          </w:tcPr>
          <w:p>
            <w:r>
              <w:t>Handles incoming merchant API requests via REST/gRPC.</w:t>
            </w:r>
          </w:p>
        </w:tc>
      </w:tr>
      <w:tr>
        <w:tc>
          <w:tcPr>
            <w:tcW w:type="dxa" w:w="2880"/>
          </w:tcPr>
          <w:p>
            <w:r>
              <w:t>Health Monitor</w:t>
            </w:r>
          </w:p>
        </w:tc>
        <w:tc>
          <w:tcPr>
            <w:tcW w:type="dxa" w:w="2880"/>
          </w:tcPr>
          <w:p>
            <w:r>
              <w:t>HM-202</w:t>
            </w:r>
          </w:p>
        </w:tc>
        <w:tc>
          <w:tcPr>
            <w:tcW w:type="dxa" w:w="2880"/>
          </w:tcPr>
          <w:p>
            <w:r>
              <w:t>Continuously pings Bank/PA APIs to detect downtimes.</w:t>
            </w:r>
          </w:p>
        </w:tc>
      </w:tr>
      <w:tr>
        <w:tc>
          <w:tcPr>
            <w:tcW w:type="dxa" w:w="2880"/>
          </w:tcPr>
          <w:p>
            <w:r>
              <w:t>Cost Engine</w:t>
            </w:r>
          </w:p>
        </w:tc>
        <w:tc>
          <w:tcPr>
            <w:tcW w:type="dxa" w:w="2880"/>
          </w:tcPr>
          <w:p>
            <w:r>
              <w:t>CE-303</w:t>
            </w:r>
          </w:p>
        </w:tc>
        <w:tc>
          <w:tcPr>
            <w:tcW w:type="dxa" w:w="2880"/>
          </w:tcPr>
          <w:p>
            <w:r>
              <w:t>Calculates MDR (Merchant Discount Rate) for specific card BINs.</w:t>
            </w:r>
          </w:p>
        </w:tc>
      </w:tr>
      <w:tr>
        <w:tc>
          <w:tcPr>
            <w:tcW w:type="dxa" w:w="2880"/>
          </w:tcPr>
          <w:p>
            <w:r>
              <w:t>Decision Engine</w:t>
            </w:r>
          </w:p>
        </w:tc>
        <w:tc>
          <w:tcPr>
            <w:tcW w:type="dxa" w:w="2880"/>
          </w:tcPr>
          <w:p>
            <w:r>
              <w:t>DE-404</w:t>
            </w:r>
          </w:p>
        </w:tc>
        <w:tc>
          <w:tcPr>
            <w:tcW w:type="dxa" w:w="2880"/>
          </w:tcPr>
          <w:p>
            <w:r>
              <w:t>The core ML model that selects the routing path.</w:t>
            </w:r>
          </w:p>
        </w:tc>
      </w:tr>
      <w:tr>
        <w:tc>
          <w:tcPr>
            <w:tcW w:type="dxa" w:w="2880"/>
          </w:tcPr>
          <w:p>
            <w:r>
              <w:t>Audit Logger</w:t>
            </w:r>
          </w:p>
        </w:tc>
        <w:tc>
          <w:tcPr>
            <w:tcW w:type="dxa" w:w="2880"/>
          </w:tcPr>
          <w:p>
            <w:r>
              <w:t>AL-505</w:t>
            </w:r>
          </w:p>
        </w:tc>
        <w:tc>
          <w:tcPr>
            <w:tcW w:type="dxa" w:w="2880"/>
          </w:tcPr>
          <w:p>
            <w:r>
              <w:t>Asynchronous logger for compliance and debugging.</w:t>
            </w:r>
          </w:p>
        </w:tc>
      </w:tr>
    </w:tbl>
    <w:p>
      <w:pPr>
        <w:pStyle w:val="Heading1"/>
      </w:pPr>
      <w:r>
        <w:t>3. Performance Benchmarks</w:t>
      </w:r>
    </w:p>
    <w:p>
      <w:r>
        <w:t>The following targets must be maintained for SLA compliance:</w:t>
      </w:r>
    </w:p>
    <w:p>
      <w:pPr>
        <w:pStyle w:val="ListBullet"/>
      </w:pPr>
      <w:r>
        <w:t>Maximum P99 Routing Latency: 45ms</w:t>
      </w:r>
    </w:p>
    <w:p>
      <w:pPr>
        <w:pStyle w:val="ListBullet"/>
      </w:pPr>
      <w:r>
        <w:t>Throughput Capacity: 10,000 Transactions Per Second (TPS)</w:t>
      </w:r>
    </w:p>
    <w:p>
      <w:pPr>
        <w:pStyle w:val="ListBullet"/>
      </w:pPr>
      <w:r>
        <w:t>Minimum Decision Accuracy: 99.92%</w:t>
      </w:r>
    </w:p>
    <w:p>
      <w:pPr>
        <w:pStyle w:val="ListBullet"/>
      </w:pPr>
      <w:r>
        <w:t>Failover Recovery Time: &lt; 2 seconds</w:t>
      </w:r>
    </w:p>
    <w:p>
      <w:pPr>
        <w:pStyle w:val="Heading1"/>
      </w:pPr>
      <w:r>
        <w:t>4. Standardized Error Codes</w:t>
      </w:r>
    </w:p>
    <w:tbl>
      <w:tblPr>
        <w:tblStyle w:val="TableGrid"/>
        <w:tblW w:type="auto" w:w="0"/>
        <w:tblLook w:firstColumn="1" w:firstRow="1" w:lastColumn="0" w:lastRow="0" w:noHBand="0" w:noVBand="1" w:val="04A0"/>
      </w:tblPr>
      <w:tblGrid>
        <w:gridCol w:w="4320"/>
        <w:gridCol w:w="4320"/>
      </w:tblGrid>
      <w:tr>
        <w:tc>
          <w:tcPr>
            <w:tcW w:type="dxa" w:w="4320"/>
          </w:tcPr>
          <w:p>
            <w:r>
              <w:t>Code</w:t>
            </w:r>
          </w:p>
        </w:tc>
        <w:tc>
          <w:tcPr>
            <w:tcW w:type="dxa" w:w="4320"/>
          </w:tcPr>
          <w:p>
            <w:r>
              <w:t>Description</w:t>
            </w:r>
          </w:p>
        </w:tc>
      </w:tr>
      <w:tr>
        <w:tc>
          <w:tcPr>
            <w:tcW w:type="dxa" w:w="4320"/>
          </w:tcPr>
          <w:p>
            <w:r>
              <w:t>ERR_001</w:t>
            </w:r>
          </w:p>
        </w:tc>
        <w:tc>
          <w:tcPr>
            <w:tcW w:type="dxa" w:w="4320"/>
          </w:tcPr>
          <w:p>
            <w:r>
              <w:t>Provider Downtime Detected</w:t>
            </w:r>
          </w:p>
        </w:tc>
      </w:tr>
      <w:tr>
        <w:tc>
          <w:tcPr>
            <w:tcW w:type="dxa" w:w="4320"/>
          </w:tcPr>
          <w:p>
            <w:r>
              <w:t>ERR_002</w:t>
            </w:r>
          </w:p>
        </w:tc>
        <w:tc>
          <w:tcPr>
            <w:tcW w:type="dxa" w:w="4320"/>
          </w:tcPr>
          <w:p>
            <w:r>
              <w:t>BIN Range Not Supported</w:t>
            </w:r>
          </w:p>
        </w:tc>
      </w:tr>
      <w:tr>
        <w:tc>
          <w:tcPr>
            <w:tcW w:type="dxa" w:w="4320"/>
          </w:tcPr>
          <w:p>
            <w:r>
              <w:t>ERR_003</w:t>
            </w:r>
          </w:p>
        </w:tc>
        <w:tc>
          <w:tcPr>
            <w:tcW w:type="dxa" w:w="4320"/>
          </w:tcPr>
          <w:p>
            <w:r>
              <w:t>Currency Conversion Failure</w:t>
            </w:r>
          </w:p>
        </w:tc>
      </w:tr>
      <w:tr>
        <w:tc>
          <w:tcPr>
            <w:tcW w:type="dxa" w:w="4320"/>
          </w:tcPr>
          <w:p>
            <w:r>
              <w:t>ERR_004</w:t>
            </w:r>
          </w:p>
        </w:tc>
        <w:tc>
          <w:tcPr>
            <w:tcW w:type="dxa" w:w="4320"/>
          </w:tcPr>
          <w:p>
            <w:r>
              <w:t>Invalid Checksum/MAC Signature</w:t>
            </w:r>
          </w:p>
        </w:tc>
      </w:tr>
      <w:tr>
        <w:tc>
          <w:tcPr>
            <w:tcW w:type="dxa" w:w="4320"/>
          </w:tcPr>
          <w:p>
            <w:r>
              <w:t>ERR_005</w:t>
            </w:r>
          </w:p>
        </w:tc>
        <w:tc>
          <w:tcPr>
            <w:tcW w:type="dxa" w:w="4320"/>
          </w:tcPr>
          <w:p>
            <w:r>
              <w:t>Merchant Velocity Limit Exceeded</w:t>
            </w:r>
          </w:p>
        </w:tc>
      </w:tr>
    </w:tbl>
    <w:p>
      <w:pPr>
        <w:pStyle w:val="Heading1"/>
      </w:pPr>
      <w:r>
        <w:t>5. Security &amp; Compliance</w:t>
      </w:r>
    </w:p>
    <w:p>
      <w:r>
        <w:t>All routing decisions containing PII or card metadata must be encrypted using AES-256-GCM. Keys are rotated every 90 days via HashiCorp Vault. The system must maintain PCI-DSS Level 1 compliance at all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