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1A1A2E"/>
          <w:sz w:val="56"/>
          <w:szCs w:val="56"/>
        </w:rPr>
        <w:t xml:space="preserve">BACKLINK STRATEGY</w:t>
      </w:r>
    </w:p>
    <w:p>
      <w:pPr>
        <w:spacing w:after="200"/>
        <w:jc w:val="center"/>
      </w:pPr>
      <w:r>
        <w:rPr>
          <w:rFonts w:ascii="Calibri" w:cs="Calibri" w:eastAsia="Calibri" w:hAnsi="Calibri"/>
          <w:color w:val="D4A843"/>
          <w:sz w:val="32"/>
          <w:szCs w:val="32"/>
        </w:rPr>
        <w:t xml:space="preserve">Urban Shopfronts &amp; Sigma Shop Fronts</w:t>
      </w:r>
    </w:p>
    <w:p>
      <w:pPr>
        <w:pBdr>
          <w:bottom w:val="single" w:color="D4A843" w:sz="6" w:space="1"/>
        </w:pBdr>
        <w:spacing w:after="400"/>
      </w:pPr>
    </w:p>
    <w:p>
      <w:pPr>
        <w:spacing w:after="600"/>
        <w:jc w:val="center"/>
      </w:pPr>
      <w:r>
        <w:rPr>
          <w:rFonts w:ascii="Calibri" w:cs="Calibri" w:eastAsia="Calibri" w:hAnsi="Calibri"/>
          <w:i/>
          <w:iCs/>
          <w:color w:val="666666"/>
          <w:sz w:val="24"/>
          <w:szCs w:val="24"/>
        </w:rPr>
        <w:t xml:space="preserve">A practical, prioritised plan to build domain authority
and move from page 2 to page 1 for high-value UK shopfront keywords.</w:t>
      </w:r>
    </w:p>
    <w:p>
      <w:pPr>
        <w:jc w:val="center"/>
      </w:pPr>
      <w:r>
        <w:rPr>
          <w:rFonts w:ascii="Calibri" w:cs="Calibri" w:eastAsia="Calibri" w:hAnsi="Calibri"/>
          <w:color w:val="999999"/>
          <w:sz w:val="22"/>
          <w:szCs w:val="22"/>
        </w:rPr>
        <w:t xml:space="preserve">July 2026</w:t>
      </w:r>
    </w:p>
    <w:p>
      <w:r>
        <w:br w:type="page"/>
      </w:r>
    </w:p>
    <w:p>
      <w:pPr>
        <w:pStyle w:val="Heading1"/>
      </w:pPr>
      <w:r>
        <w:rPr>
          <w:rFonts w:ascii="Calibri" w:cs="Calibri" w:eastAsia="Calibri" w:hAnsi="Calibri"/>
          <w:b/>
          <w:bCs/>
          <w:color w:val="1A1A2E"/>
          <w:sz w:val="32"/>
          <w:szCs w:val="32"/>
        </w:rPr>
        <w:t xml:space="preserve">1. Where You Stand Right Now</w:t>
      </w:r>
    </w:p>
    <w:p>
      <w:pPr>
        <w:spacing w:after="200"/>
      </w:pPr>
      <w:r>
        <w:rPr>
          <w:rFonts w:ascii="Calibri" w:cs="Calibri" w:eastAsia="Calibri" w:hAnsi="Calibri"/>
          <w:color w:val="333333"/>
          <w:sz w:val="22"/>
          <w:szCs w:val="22"/>
        </w:rPr>
        <w:t xml:space="preserve">Both sites are ranking for 1,000+ queries but sitting mostly on pages 2–4 of Google for high-volume terms. The gap between you and page-1 competitors is almost entirely backlinks — your on-page SEO, schema, content depth, and technical setup are already strong.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shd w:fill="1A1A2E" w:val="clear"/>
          </w:tcPr>
          <w:p>
            <w:pPr>
              <w:spacing w:after="60" w:before="60"/>
              <w:jc w:val="center"/>
            </w:pPr>
            <w:r>
              <w:rPr>
                <w:rFonts w:ascii="Calibri" w:cs="Calibri" w:eastAsia="Calibri" w:hAnsi="Calibri"/>
                <w:b/>
                <w:bCs/>
                <w:color w:val="FFFFFF"/>
                <w:sz w:val="20"/>
                <w:szCs w:val="20"/>
              </w:rPr>
              <w:t xml:space="preserve">Metric</w:t>
            </w:r>
          </w:p>
        </w:tc>
        <w:tc>
          <w:tcPr>
            <w:tcW w:type="dxa" w:w="3280"/>
            <w:shd w:fill="1A1A2E" w:val="clear"/>
          </w:tcPr>
          <w:p>
            <w:pPr>
              <w:spacing w:after="60" w:before="60"/>
              <w:jc w:val="center"/>
            </w:pPr>
            <w:r>
              <w:rPr>
                <w:rFonts w:ascii="Calibri" w:cs="Calibri" w:eastAsia="Calibri" w:hAnsi="Calibri"/>
                <w:b/>
                <w:bCs/>
                <w:color w:val="FFFFFF"/>
                <w:sz w:val="20"/>
                <w:szCs w:val="20"/>
              </w:rPr>
              <w:t xml:space="preserve">Urban Shopfronts</w:t>
            </w:r>
          </w:p>
        </w:tc>
        <w:tc>
          <w:tcPr>
            <w:tcW w:type="dxa" w:w="3280"/>
            <w:shd w:fill="1A1A2E" w:val="clear"/>
          </w:tcPr>
          <w:p>
            <w:pPr>
              <w:spacing w:after="60" w:before="60"/>
              <w:jc w:val="center"/>
            </w:pPr>
            <w:r>
              <w:rPr>
                <w:rFonts w:ascii="Calibri" w:cs="Calibri" w:eastAsia="Calibri" w:hAnsi="Calibri"/>
                <w:b/>
                <w:bCs/>
                <w:color w:val="FFFFFF"/>
                <w:sz w:val="20"/>
                <w:szCs w:val="20"/>
              </w:rPr>
              <w:t xml:space="preserve">Sigma Shop Fronts</w:t>
            </w:r>
          </w:p>
        </w:tc>
      </w:tr>
      <w:tr>
        <w:tc>
          <w:tcPr>
            <w:tcW w:type="dxa" w:w="3280"/>
            <w:shd w:fill="F5F5F5" w:val="clear"/>
          </w:tcPr>
          <w:p>
            <w:pPr>
              <w:spacing w:after="40" w:before="40"/>
            </w:pPr>
            <w:r>
              <w:rPr>
                <w:rFonts w:ascii="Calibri" w:cs="Calibri" w:eastAsia="Calibri" w:hAnsi="Calibri"/>
                <w:b/>
                <w:bCs/>
                <w:color w:val="333333"/>
                <w:sz w:val="20"/>
                <w:szCs w:val="20"/>
              </w:rPr>
              <w:t xml:space="preserve">3-Month Impressions</w:t>
            </w:r>
          </w:p>
        </w:tc>
        <w:tc>
          <w:tcPr>
            <w:tcW w:type="dxa" w:w="3280"/>
          </w:tcPr>
          <w:p>
            <w:pPr>
              <w:spacing w:after="40" w:before="40"/>
            </w:pPr>
            <w:r>
              <w:rPr>
                <w:rFonts w:ascii="Calibri" w:cs="Calibri" w:eastAsia="Calibri" w:hAnsi="Calibri"/>
                <w:b w:val="false"/>
                <w:bCs w:val="false"/>
                <w:color w:val="333333"/>
                <w:sz w:val="20"/>
                <w:szCs w:val="20"/>
              </w:rPr>
              <w:t xml:space="preserve">25,100</w:t>
            </w:r>
          </w:p>
        </w:tc>
        <w:tc>
          <w:tcPr>
            <w:tcW w:type="dxa" w:w="3280"/>
          </w:tcPr>
          <w:p>
            <w:pPr>
              <w:spacing w:after="40" w:before="40"/>
            </w:pPr>
            <w:r>
              <w:rPr>
                <w:rFonts w:ascii="Calibri" w:cs="Calibri" w:eastAsia="Calibri" w:hAnsi="Calibri"/>
                <w:b w:val="false"/>
                <w:bCs w:val="false"/>
                <w:color w:val="333333"/>
                <w:sz w:val="20"/>
                <w:szCs w:val="20"/>
              </w:rPr>
              <w:t xml:space="preserve">10,100</w:t>
            </w:r>
          </w:p>
        </w:tc>
      </w:tr>
      <w:tr>
        <w:tc>
          <w:tcPr>
            <w:tcW w:type="dxa" w:w="3280"/>
            <w:shd w:fill="F5F5F5" w:val="clear"/>
          </w:tcPr>
          <w:p>
            <w:pPr>
              <w:spacing w:after="40" w:before="40"/>
            </w:pPr>
            <w:r>
              <w:rPr>
                <w:rFonts w:ascii="Calibri" w:cs="Calibri" w:eastAsia="Calibri" w:hAnsi="Calibri"/>
                <w:b/>
                <w:bCs/>
                <w:color w:val="333333"/>
                <w:sz w:val="20"/>
                <w:szCs w:val="20"/>
              </w:rPr>
              <w:t xml:space="preserve">3-Month Clicks</w:t>
            </w:r>
          </w:p>
        </w:tc>
        <w:tc>
          <w:tcPr>
            <w:tcW w:type="dxa" w:w="3280"/>
          </w:tcPr>
          <w:p>
            <w:pPr>
              <w:spacing w:after="40" w:before="40"/>
            </w:pPr>
            <w:r>
              <w:rPr>
                <w:rFonts w:ascii="Calibri" w:cs="Calibri" w:eastAsia="Calibri" w:hAnsi="Calibri"/>
                <w:b w:val="false"/>
                <w:bCs w:val="false"/>
                <w:color w:val="333333"/>
                <w:sz w:val="20"/>
                <w:szCs w:val="20"/>
              </w:rPr>
              <w:t xml:space="preserve">117</w:t>
            </w:r>
          </w:p>
        </w:tc>
        <w:tc>
          <w:tcPr>
            <w:tcW w:type="dxa" w:w="3280"/>
          </w:tcPr>
          <w:p>
            <w:pPr>
              <w:spacing w:after="40" w:before="40"/>
            </w:pPr>
            <w:r>
              <w:rPr>
                <w:rFonts w:ascii="Calibri" w:cs="Calibri" w:eastAsia="Calibri" w:hAnsi="Calibri"/>
                <w:b w:val="false"/>
                <w:bCs w:val="false"/>
                <w:color w:val="333333"/>
                <w:sz w:val="20"/>
                <w:szCs w:val="20"/>
              </w:rPr>
              <w:t xml:space="preserve">52</w:t>
            </w:r>
          </w:p>
        </w:tc>
      </w:tr>
      <w:tr>
        <w:tc>
          <w:tcPr>
            <w:tcW w:type="dxa" w:w="3280"/>
            <w:shd w:fill="F5F5F5" w:val="clear"/>
          </w:tcPr>
          <w:p>
            <w:pPr>
              <w:spacing w:after="40" w:before="40"/>
            </w:pPr>
            <w:r>
              <w:rPr>
                <w:rFonts w:ascii="Calibri" w:cs="Calibri" w:eastAsia="Calibri" w:hAnsi="Calibri"/>
                <w:b/>
                <w:bCs/>
                <w:color w:val="333333"/>
                <w:sz w:val="20"/>
                <w:szCs w:val="20"/>
              </w:rPr>
              <w:t xml:space="preserve">Average Position</w:t>
            </w:r>
          </w:p>
        </w:tc>
        <w:tc>
          <w:tcPr>
            <w:tcW w:type="dxa" w:w="3280"/>
          </w:tcPr>
          <w:p>
            <w:pPr>
              <w:spacing w:after="40" w:before="40"/>
            </w:pPr>
            <w:r>
              <w:rPr>
                <w:rFonts w:ascii="Calibri" w:cs="Calibri" w:eastAsia="Calibri" w:hAnsi="Calibri"/>
                <w:b w:val="false"/>
                <w:bCs w:val="false"/>
                <w:color w:val="333333"/>
                <w:sz w:val="20"/>
                <w:szCs w:val="20"/>
              </w:rPr>
              <w:t xml:space="preserve">25.2</w:t>
            </w:r>
          </w:p>
        </w:tc>
        <w:tc>
          <w:tcPr>
            <w:tcW w:type="dxa" w:w="3280"/>
          </w:tcPr>
          <w:p>
            <w:pPr>
              <w:spacing w:after="40" w:before="40"/>
            </w:pPr>
            <w:r>
              <w:rPr>
                <w:rFonts w:ascii="Calibri" w:cs="Calibri" w:eastAsia="Calibri" w:hAnsi="Calibri"/>
                <w:b w:val="false"/>
                <w:bCs w:val="false"/>
                <w:color w:val="333333"/>
                <w:sz w:val="20"/>
                <w:szCs w:val="20"/>
              </w:rPr>
              <w:t xml:space="preserve">33.4</w:t>
            </w:r>
          </w:p>
        </w:tc>
      </w:tr>
      <w:tr>
        <w:tc>
          <w:tcPr>
            <w:tcW w:type="dxa" w:w="3280"/>
            <w:shd w:fill="F5F5F5" w:val="clear"/>
          </w:tcPr>
          <w:p>
            <w:pPr>
              <w:spacing w:after="40" w:before="40"/>
            </w:pPr>
            <w:r>
              <w:rPr>
                <w:rFonts w:ascii="Calibri" w:cs="Calibri" w:eastAsia="Calibri" w:hAnsi="Calibri"/>
                <w:b/>
                <w:bCs/>
                <w:color w:val="333333"/>
                <w:sz w:val="20"/>
                <w:szCs w:val="20"/>
              </w:rPr>
              <w:t xml:space="preserve">Best Ranking</w:t>
            </w:r>
          </w:p>
        </w:tc>
        <w:tc>
          <w:tcPr>
            <w:tcW w:type="dxa" w:w="3280"/>
          </w:tcPr>
          <w:p>
            <w:pPr>
              <w:spacing w:after="40" w:before="40"/>
            </w:pPr>
            <w:r>
              <w:rPr>
                <w:rFonts w:ascii="Calibri" w:cs="Calibri" w:eastAsia="Calibri" w:hAnsi="Calibri"/>
                <w:b w:val="false"/>
                <w:bCs w:val="false"/>
                <w:color w:val="333333"/>
                <w:sz w:val="20"/>
                <w:szCs w:val="20"/>
              </w:rPr>
              <w:t xml:space="preserve">Pos 5 (shopfitters west midlands)</w:t>
            </w:r>
          </w:p>
        </w:tc>
        <w:tc>
          <w:tcPr>
            <w:tcW w:type="dxa" w:w="3280"/>
          </w:tcPr>
          <w:p>
            <w:pPr>
              <w:spacing w:after="40" w:before="40"/>
            </w:pPr>
            <w:r>
              <w:rPr>
                <w:rFonts w:ascii="Calibri" w:cs="Calibri" w:eastAsia="Calibri" w:hAnsi="Calibri"/>
                <w:b w:val="false"/>
                <w:bCs w:val="false"/>
                <w:color w:val="333333"/>
                <w:sz w:val="20"/>
                <w:szCs w:val="20"/>
              </w:rPr>
              <w:t xml:space="preserve">Pos 2 (roller shutter servicing near me)</w:t>
            </w:r>
          </w:p>
        </w:tc>
      </w:tr>
      <w:tr>
        <w:tc>
          <w:tcPr>
            <w:tcW w:type="dxa" w:w="3280"/>
            <w:shd w:fill="F5F5F5" w:val="clear"/>
          </w:tcPr>
          <w:p>
            <w:pPr>
              <w:spacing w:after="40" w:before="40"/>
            </w:pPr>
            <w:r>
              <w:rPr>
                <w:rFonts w:ascii="Calibri" w:cs="Calibri" w:eastAsia="Calibri" w:hAnsi="Calibri"/>
                <w:b/>
                <w:bCs/>
                <w:color w:val="333333"/>
                <w:sz w:val="20"/>
                <w:szCs w:val="20"/>
              </w:rPr>
              <w:t xml:space="preserve">Biggest Opportunity</w:t>
            </w:r>
          </w:p>
        </w:tc>
        <w:tc>
          <w:tcPr>
            <w:tcW w:type="dxa" w:w="3280"/>
          </w:tcPr>
          <w:p>
            <w:pPr>
              <w:spacing w:after="40" w:before="40"/>
            </w:pPr>
            <w:r>
              <w:rPr>
                <w:rFonts w:ascii="Calibri" w:cs="Calibri" w:eastAsia="Calibri" w:hAnsi="Calibri"/>
                <w:b w:val="false"/>
                <w:bCs w:val="false"/>
                <w:color w:val="333333"/>
                <w:sz w:val="20"/>
                <w:szCs w:val="20"/>
              </w:rPr>
              <w:t xml:space="preserve">"shopfronts" — 2,028 impr, pos 16.6</w:t>
            </w:r>
          </w:p>
        </w:tc>
        <w:tc>
          <w:tcPr>
            <w:tcW w:type="dxa" w:w="3280"/>
          </w:tcPr>
          <w:p>
            <w:pPr>
              <w:spacing w:after="40" w:before="40"/>
            </w:pPr>
            <w:r>
              <w:rPr>
                <w:rFonts w:ascii="Calibri" w:cs="Calibri" w:eastAsia="Calibri" w:hAnsi="Calibri"/>
                <w:b w:val="false"/>
                <w:bCs w:val="false"/>
                <w:color w:val="333333"/>
                <w:sz w:val="20"/>
                <w:szCs w:val="20"/>
              </w:rPr>
              <w:t xml:space="preserve">"shop fronts birmingham" — pos 28</w:t>
            </w:r>
          </w:p>
        </w:tc>
      </w:tr>
    </w:tbl>
    <w:p>
      <w:pPr>
        <w:spacing w:after="300"/>
      </w:pPr>
    </w:p>
    <w:p>
      <w:pPr>
        <w:pStyle w:val="Heading1"/>
      </w:pPr>
      <w:r>
        <w:rPr>
          <w:rFonts w:ascii="Calibri" w:cs="Calibri" w:eastAsia="Calibri" w:hAnsi="Calibri"/>
          <w:b/>
          <w:bCs/>
          <w:color w:val="1A1A2E"/>
          <w:sz w:val="32"/>
          <w:szCs w:val="32"/>
        </w:rPr>
        <w:t xml:space="preserve">2. Priority 1 — Trade Directories (Week 1–2)</w:t>
      </w:r>
    </w:p>
    <w:p>
      <w:pPr>
        <w:spacing w:after="200"/>
      </w:pPr>
      <w:r>
        <w:rPr>
          <w:rFonts w:ascii="Calibri" w:cs="Calibri" w:eastAsia="Calibri" w:hAnsi="Calibri"/>
          <w:color w:val="333333"/>
          <w:sz w:val="22"/>
          <w:szCs w:val="22"/>
        </w:rPr>
        <w:t xml:space="preserve">These are the fastest wins. Each listing gives you a high-authority backlink plus a lead generation channel. Register BOTH businesses on each platform. Use the exact company name, address, and phone number from Companies House — consistency matters.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800"/>
        <w:gridCol w:w="2200"/>
        <w:gridCol w:w="2440"/>
      </w:tblGrid>
      <w:tr>
        <w:tc>
          <w:tcPr>
            <w:tcW w:type="dxa" w:w="2200"/>
            <w:shd w:fill="1A1A2E" w:val="clear"/>
          </w:tcPr>
          <w:p>
            <w:pPr>
              <w:spacing w:after="50" w:before="50"/>
            </w:pPr>
            <w:r>
              <w:rPr>
                <w:rFonts w:ascii="Calibri" w:cs="Calibri" w:eastAsia="Calibri" w:hAnsi="Calibri"/>
                <w:b/>
                <w:bCs/>
                <w:color w:val="FFFFFF"/>
                <w:sz w:val="18"/>
                <w:szCs w:val="18"/>
              </w:rPr>
              <w:t xml:space="preserve">Directory</w:t>
            </w:r>
          </w:p>
        </w:tc>
        <w:tc>
          <w:tcPr>
            <w:tcW w:type="dxa" w:w="1200"/>
            <w:shd w:fill="1A1A2E" w:val="clear"/>
          </w:tcPr>
          <w:p>
            <w:pPr>
              <w:spacing w:after="50" w:before="50"/>
            </w:pPr>
            <w:r>
              <w:rPr>
                <w:rFonts w:ascii="Calibri" w:cs="Calibri" w:eastAsia="Calibri" w:hAnsi="Calibri"/>
                <w:b/>
                <w:bCs/>
                <w:color w:val="FFFFFF"/>
                <w:sz w:val="18"/>
                <w:szCs w:val="18"/>
              </w:rPr>
              <w:t xml:space="preserve">DA</w:t>
            </w:r>
          </w:p>
        </w:tc>
        <w:tc>
          <w:tcPr>
            <w:tcW w:type="dxa" w:w="1800"/>
            <w:shd w:fill="1A1A2E" w:val="clear"/>
          </w:tcPr>
          <w:p>
            <w:pPr>
              <w:spacing w:after="50" w:before="50"/>
            </w:pPr>
            <w:r>
              <w:rPr>
                <w:rFonts w:ascii="Calibri" w:cs="Calibri" w:eastAsia="Calibri" w:hAnsi="Calibri"/>
                <w:b/>
                <w:bCs/>
                <w:color w:val="FFFFFF"/>
                <w:sz w:val="18"/>
                <w:szCs w:val="18"/>
              </w:rPr>
              <w:t xml:space="preserve">Cost</w:t>
            </w:r>
          </w:p>
        </w:tc>
        <w:tc>
          <w:tcPr>
            <w:tcW w:type="dxa" w:w="2200"/>
            <w:shd w:fill="1A1A2E" w:val="clear"/>
          </w:tcPr>
          <w:p>
            <w:pPr>
              <w:spacing w:after="50" w:before="50"/>
            </w:pPr>
            <w:r>
              <w:rPr>
                <w:rFonts w:ascii="Calibri" w:cs="Calibri" w:eastAsia="Calibri" w:hAnsi="Calibri"/>
                <w:b/>
                <w:bCs/>
                <w:color w:val="FFFFFF"/>
                <w:sz w:val="18"/>
                <w:szCs w:val="18"/>
              </w:rPr>
              <w:t xml:space="preserve">Why It Matters</w:t>
            </w:r>
          </w:p>
        </w:tc>
        <w:tc>
          <w:tcPr>
            <w:tcW w:type="dxa" w:w="2440"/>
            <w:shd w:fill="1A1A2E" w:val="clear"/>
          </w:tcPr>
          <w:p>
            <w:pPr>
              <w:spacing w:after="50" w:before="50"/>
            </w:pPr>
            <w:r>
              <w:rPr>
                <w:rFonts w:ascii="Calibri" w:cs="Calibri" w:eastAsia="Calibri" w:hAnsi="Calibri"/>
                <w:b/>
                <w:bCs/>
                <w:color w:val="FFFFFF"/>
                <w:sz w:val="18"/>
                <w:szCs w:val="18"/>
              </w:rPr>
              <w:t xml:space="preserve">Action</w:t>
            </w:r>
          </w:p>
        </w:tc>
      </w:tr>
      <w:tr>
        <w:tc>
          <w:tcPr>
            <w:tcW w:type="dxa" w:w="2200"/>
            <w:shd w:fill="FFF8E7" w:val="clear"/>
          </w:tcPr>
          <w:p>
            <w:pPr>
              <w:spacing w:after="30" w:before="30"/>
            </w:pPr>
            <w:r>
              <w:rPr>
                <w:rFonts w:ascii="Calibri" w:cs="Calibri" w:eastAsia="Calibri" w:hAnsi="Calibri"/>
                <w:color w:val="333333"/>
                <w:sz w:val="18"/>
                <w:szCs w:val="18"/>
              </w:rPr>
              <w:t xml:space="preserve">Google Business Profile</w:t>
            </w:r>
          </w:p>
        </w:tc>
        <w:tc>
          <w:tcPr>
            <w:tcW w:type="dxa" w:w="1200"/>
          </w:tcPr>
          <w:p>
            <w:pPr>
              <w:spacing w:after="30" w:before="30"/>
            </w:pPr>
            <w:r>
              <w:rPr>
                <w:rFonts w:ascii="Calibri" w:cs="Calibri" w:eastAsia="Calibri" w:hAnsi="Calibri"/>
                <w:color w:val="333333"/>
                <w:sz w:val="18"/>
                <w:szCs w:val="18"/>
              </w:rPr>
              <w:t xml:space="preserve">100</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Drives local pack + Maps rankings</w:t>
            </w:r>
          </w:p>
        </w:tc>
        <w:tc>
          <w:tcPr>
            <w:tcW w:type="dxa" w:w="2440"/>
          </w:tcPr>
          <w:p>
            <w:pPr>
              <w:spacing w:after="30" w:before="30"/>
            </w:pPr>
            <w:r>
              <w:rPr>
                <w:rFonts w:ascii="Calibri" w:cs="Calibri" w:eastAsia="Calibri" w:hAnsi="Calibri"/>
                <w:color w:val="333333"/>
                <w:sz w:val="18"/>
                <w:szCs w:val="18"/>
              </w:rPr>
              <w:t xml:space="preserve">Complete profile with 10+ photos, all services listed, posts weekly</w:t>
            </w:r>
          </w:p>
        </w:tc>
      </w:tr>
      <w:tr>
        <w:tc>
          <w:tcPr>
            <w:tcW w:type="dxa" w:w="2200"/>
            <w:shd w:fill="FFF8E7" w:val="clear"/>
          </w:tcPr>
          <w:p>
            <w:pPr>
              <w:spacing w:after="30" w:before="30"/>
            </w:pPr>
            <w:r>
              <w:rPr>
                <w:rFonts w:ascii="Calibri" w:cs="Calibri" w:eastAsia="Calibri" w:hAnsi="Calibri"/>
                <w:color w:val="333333"/>
                <w:sz w:val="18"/>
                <w:szCs w:val="18"/>
              </w:rPr>
              <w:t xml:space="preserve">Yell.com</w:t>
            </w:r>
          </w:p>
        </w:tc>
        <w:tc>
          <w:tcPr>
            <w:tcW w:type="dxa" w:w="1200"/>
          </w:tcPr>
          <w:p>
            <w:pPr>
              <w:spacing w:after="30" w:before="30"/>
            </w:pPr>
            <w:r>
              <w:rPr>
                <w:rFonts w:ascii="Calibri" w:cs="Calibri" w:eastAsia="Calibri" w:hAnsi="Calibri"/>
                <w:color w:val="333333"/>
                <w:sz w:val="18"/>
                <w:szCs w:val="18"/>
              </w:rPr>
              <w:t xml:space="preserve">81</w:t>
            </w:r>
          </w:p>
        </w:tc>
        <w:tc>
          <w:tcPr>
            <w:tcW w:type="dxa" w:w="1800"/>
          </w:tcPr>
          <w:p>
            <w:pPr>
              <w:spacing w:after="30" w:before="30"/>
            </w:pPr>
            <w:r>
              <w:rPr>
                <w:rFonts w:ascii="Calibri" w:cs="Calibri" w:eastAsia="Calibri" w:hAnsi="Calibri"/>
                <w:color w:val="333333"/>
                <w:sz w:val="18"/>
                <w:szCs w:val="18"/>
              </w:rPr>
              <w:t xml:space="preserve">Free (basic)</w:t>
            </w:r>
          </w:p>
        </w:tc>
        <w:tc>
          <w:tcPr>
            <w:tcW w:type="dxa" w:w="2200"/>
          </w:tcPr>
          <w:p>
            <w:pPr>
              <w:spacing w:after="30" w:before="30"/>
            </w:pPr>
            <w:r>
              <w:rPr>
                <w:rFonts w:ascii="Calibri" w:cs="Calibri" w:eastAsia="Calibri" w:hAnsi="Calibri"/>
                <w:color w:val="333333"/>
                <w:sz w:val="18"/>
                <w:szCs w:val="18"/>
              </w:rPr>
              <w:t xml:space="preserve">UK's largest directory, 2.9M businesses</w:t>
            </w:r>
          </w:p>
        </w:tc>
        <w:tc>
          <w:tcPr>
            <w:tcW w:type="dxa" w:w="2440"/>
          </w:tcPr>
          <w:p>
            <w:pPr>
              <w:spacing w:after="30" w:before="30"/>
            </w:pPr>
            <w:r>
              <w:rPr>
                <w:rFonts w:ascii="Calibri" w:cs="Calibri" w:eastAsia="Calibri" w:hAnsi="Calibri"/>
                <w:color w:val="333333"/>
                <w:sz w:val="18"/>
                <w:szCs w:val="18"/>
              </w:rPr>
              <w:t xml:space="preserve">Create listing, add all services, upload project photos</w:t>
            </w:r>
          </w:p>
        </w:tc>
      </w:tr>
      <w:tr>
        <w:tc>
          <w:tcPr>
            <w:tcW w:type="dxa" w:w="2200"/>
            <w:shd w:fill="FFF8E7" w:val="clear"/>
          </w:tcPr>
          <w:p>
            <w:pPr>
              <w:spacing w:after="30" w:before="30"/>
            </w:pPr>
            <w:r>
              <w:rPr>
                <w:rFonts w:ascii="Calibri" w:cs="Calibri" w:eastAsia="Calibri" w:hAnsi="Calibri"/>
                <w:color w:val="333333"/>
                <w:sz w:val="18"/>
                <w:szCs w:val="18"/>
              </w:rPr>
              <w:t xml:space="preserve">Checkatrade</w:t>
            </w:r>
          </w:p>
        </w:tc>
        <w:tc>
          <w:tcPr>
            <w:tcW w:type="dxa" w:w="1200"/>
          </w:tcPr>
          <w:p>
            <w:pPr>
              <w:spacing w:after="30" w:before="30"/>
            </w:pPr>
            <w:r>
              <w:rPr>
                <w:rFonts w:ascii="Calibri" w:cs="Calibri" w:eastAsia="Calibri" w:hAnsi="Calibri"/>
                <w:color w:val="333333"/>
                <w:sz w:val="18"/>
                <w:szCs w:val="18"/>
              </w:rPr>
              <w:t xml:space="preserve">72</w:t>
            </w:r>
          </w:p>
        </w:tc>
        <w:tc>
          <w:tcPr>
            <w:tcW w:type="dxa" w:w="1800"/>
          </w:tcPr>
          <w:p>
            <w:pPr>
              <w:spacing w:after="30" w:before="30"/>
            </w:pPr>
            <w:r>
              <w:rPr>
                <w:rFonts w:ascii="Calibri" w:cs="Calibri" w:eastAsia="Calibri" w:hAnsi="Calibri"/>
                <w:color w:val="333333"/>
                <w:sz w:val="18"/>
                <w:szCs w:val="18"/>
              </w:rPr>
              <w:t xml:space="preserve">£50–120/mo</w:t>
            </w:r>
          </w:p>
        </w:tc>
        <w:tc>
          <w:tcPr>
            <w:tcW w:type="dxa" w:w="2200"/>
          </w:tcPr>
          <w:p>
            <w:pPr>
              <w:spacing w:after="30" w:before="30"/>
            </w:pPr>
            <w:r>
              <w:rPr>
                <w:rFonts w:ascii="Calibri" w:cs="Calibri" w:eastAsia="Calibri" w:hAnsi="Calibri"/>
                <w:color w:val="333333"/>
                <w:sz w:val="18"/>
                <w:szCs w:val="18"/>
              </w:rPr>
              <w:t xml:space="preserve">Trusted by millions, review-driven</w:t>
            </w:r>
          </w:p>
        </w:tc>
        <w:tc>
          <w:tcPr>
            <w:tcW w:type="dxa" w:w="2440"/>
          </w:tcPr>
          <w:p>
            <w:pPr>
              <w:spacing w:after="30" w:before="30"/>
            </w:pPr>
            <w:r>
              <w:rPr>
                <w:rFonts w:ascii="Calibri" w:cs="Calibri" w:eastAsia="Calibri" w:hAnsi="Calibri"/>
                <w:color w:val="333333"/>
                <w:sz w:val="18"/>
                <w:szCs w:val="18"/>
              </w:rPr>
              <w:t xml:space="preserve">Apply as Shopfront / Shop Fitting trade</w:t>
            </w:r>
          </w:p>
        </w:tc>
      </w:tr>
      <w:tr>
        <w:tc>
          <w:tcPr>
            <w:tcW w:type="dxa" w:w="2200"/>
            <w:shd w:fill="FFF8E7" w:val="clear"/>
          </w:tcPr>
          <w:p>
            <w:pPr>
              <w:spacing w:after="30" w:before="30"/>
            </w:pPr>
            <w:r>
              <w:rPr>
                <w:rFonts w:ascii="Calibri" w:cs="Calibri" w:eastAsia="Calibri" w:hAnsi="Calibri"/>
                <w:color w:val="333333"/>
                <w:sz w:val="18"/>
                <w:szCs w:val="18"/>
              </w:rPr>
              <w:t xml:space="preserve">TrustATrader</w:t>
            </w:r>
          </w:p>
        </w:tc>
        <w:tc>
          <w:tcPr>
            <w:tcW w:type="dxa" w:w="1200"/>
          </w:tcPr>
          <w:p>
            <w:pPr>
              <w:spacing w:after="30" w:before="30"/>
            </w:pPr>
            <w:r>
              <w:rPr>
                <w:rFonts w:ascii="Calibri" w:cs="Calibri" w:eastAsia="Calibri" w:hAnsi="Calibri"/>
                <w:color w:val="333333"/>
                <w:sz w:val="18"/>
                <w:szCs w:val="18"/>
              </w:rPr>
              <w:t xml:space="preserve">60</w:t>
            </w:r>
          </w:p>
        </w:tc>
        <w:tc>
          <w:tcPr>
            <w:tcW w:type="dxa" w:w="1800"/>
          </w:tcPr>
          <w:p>
            <w:pPr>
              <w:spacing w:after="30" w:before="30"/>
            </w:pPr>
            <w:r>
              <w:rPr>
                <w:rFonts w:ascii="Calibri" w:cs="Calibri" w:eastAsia="Calibri" w:hAnsi="Calibri"/>
                <w:color w:val="333333"/>
                <w:sz w:val="18"/>
                <w:szCs w:val="18"/>
              </w:rPr>
              <w:t xml:space="preserve">£20–55/mo</w:t>
            </w:r>
          </w:p>
        </w:tc>
        <w:tc>
          <w:tcPr>
            <w:tcW w:type="dxa" w:w="2200"/>
          </w:tcPr>
          <w:p>
            <w:pPr>
              <w:spacing w:after="30" w:before="30"/>
            </w:pPr>
            <w:r>
              <w:rPr>
                <w:rFonts w:ascii="Calibri" w:cs="Calibri" w:eastAsia="Calibri" w:hAnsi="Calibri"/>
                <w:color w:val="333333"/>
                <w:sz w:val="18"/>
                <w:szCs w:val="18"/>
              </w:rPr>
              <w:t xml:space="preserve">Limited members per area = less competition</w:t>
            </w:r>
          </w:p>
        </w:tc>
        <w:tc>
          <w:tcPr>
            <w:tcW w:type="dxa" w:w="2440"/>
          </w:tcPr>
          <w:p>
            <w:pPr>
              <w:spacing w:after="30" w:before="30"/>
            </w:pPr>
            <w:r>
              <w:rPr>
                <w:rFonts w:ascii="Calibri" w:cs="Calibri" w:eastAsia="Calibri" w:hAnsi="Calibri"/>
                <w:color w:val="333333"/>
                <w:sz w:val="18"/>
                <w:szCs w:val="18"/>
              </w:rPr>
              <w:t xml:space="preserve">Apply for West Midlands area</w:t>
            </w:r>
          </w:p>
        </w:tc>
      </w:tr>
      <w:tr>
        <w:tc>
          <w:tcPr>
            <w:tcW w:type="dxa" w:w="2200"/>
            <w:shd w:fill="FFF8E7" w:val="clear"/>
          </w:tcPr>
          <w:p>
            <w:pPr>
              <w:spacing w:after="30" w:before="30"/>
            </w:pPr>
            <w:r>
              <w:rPr>
                <w:rFonts w:ascii="Calibri" w:cs="Calibri" w:eastAsia="Calibri" w:hAnsi="Calibri"/>
                <w:color w:val="333333"/>
                <w:sz w:val="18"/>
                <w:szCs w:val="18"/>
              </w:rPr>
              <w:t xml:space="preserve">Bark.com</w:t>
            </w:r>
          </w:p>
        </w:tc>
        <w:tc>
          <w:tcPr>
            <w:tcW w:type="dxa" w:w="1200"/>
          </w:tcPr>
          <w:p>
            <w:pPr>
              <w:spacing w:after="30" w:before="30"/>
            </w:pPr>
            <w:r>
              <w:rPr>
                <w:rFonts w:ascii="Calibri" w:cs="Calibri" w:eastAsia="Calibri" w:hAnsi="Calibri"/>
                <w:color w:val="333333"/>
                <w:sz w:val="18"/>
                <w:szCs w:val="18"/>
              </w:rPr>
              <w:t xml:space="preserve">68</w:t>
            </w:r>
          </w:p>
        </w:tc>
        <w:tc>
          <w:tcPr>
            <w:tcW w:type="dxa" w:w="1800"/>
          </w:tcPr>
          <w:p>
            <w:pPr>
              <w:spacing w:after="30" w:before="30"/>
            </w:pPr>
            <w:r>
              <w:rPr>
                <w:rFonts w:ascii="Calibri" w:cs="Calibri" w:eastAsia="Calibri" w:hAnsi="Calibri"/>
                <w:color w:val="333333"/>
                <w:sz w:val="18"/>
                <w:szCs w:val="18"/>
              </w:rPr>
              <w:t xml:space="preserve">Pay per lead</w:t>
            </w:r>
          </w:p>
        </w:tc>
        <w:tc>
          <w:tcPr>
            <w:tcW w:type="dxa" w:w="2200"/>
          </w:tcPr>
          <w:p>
            <w:pPr>
              <w:spacing w:after="30" w:before="30"/>
            </w:pPr>
            <w:r>
              <w:rPr>
                <w:rFonts w:ascii="Calibri" w:cs="Calibri" w:eastAsia="Calibri" w:hAnsi="Calibri"/>
                <w:color w:val="333333"/>
                <w:sz w:val="18"/>
                <w:szCs w:val="18"/>
              </w:rPr>
              <w:t xml:space="preserve">Direct lead generation + backlink</w:t>
            </w:r>
          </w:p>
        </w:tc>
        <w:tc>
          <w:tcPr>
            <w:tcW w:type="dxa" w:w="2440"/>
          </w:tcPr>
          <w:p>
            <w:pPr>
              <w:spacing w:after="30" w:before="30"/>
            </w:pPr>
            <w:r>
              <w:rPr>
                <w:rFonts w:ascii="Calibri" w:cs="Calibri" w:eastAsia="Calibri" w:hAnsi="Calibri"/>
                <w:color w:val="333333"/>
                <w:sz w:val="18"/>
                <w:szCs w:val="18"/>
              </w:rPr>
              <w:t xml:space="preserve">Create profile, set service area to UK-wide</w:t>
            </w:r>
          </w:p>
        </w:tc>
      </w:tr>
      <w:tr>
        <w:tc>
          <w:tcPr>
            <w:tcW w:type="dxa" w:w="2200"/>
            <w:shd w:fill="FFF8E7" w:val="clear"/>
          </w:tcPr>
          <w:p>
            <w:pPr>
              <w:spacing w:after="30" w:before="30"/>
            </w:pPr>
            <w:r>
              <w:rPr>
                <w:rFonts w:ascii="Calibri" w:cs="Calibri" w:eastAsia="Calibri" w:hAnsi="Calibri"/>
                <w:color w:val="333333"/>
                <w:sz w:val="18"/>
                <w:szCs w:val="18"/>
              </w:rPr>
              <w:t xml:space="preserve">MyBuilder</w:t>
            </w:r>
          </w:p>
        </w:tc>
        <w:tc>
          <w:tcPr>
            <w:tcW w:type="dxa" w:w="1200"/>
          </w:tcPr>
          <w:p>
            <w:pPr>
              <w:spacing w:after="30" w:before="30"/>
            </w:pPr>
            <w:r>
              <w:rPr>
                <w:rFonts w:ascii="Calibri" w:cs="Calibri" w:eastAsia="Calibri" w:hAnsi="Calibri"/>
                <w:color w:val="333333"/>
                <w:sz w:val="18"/>
                <w:szCs w:val="18"/>
              </w:rPr>
              <w:t xml:space="preserve">65</w:t>
            </w:r>
          </w:p>
        </w:tc>
        <w:tc>
          <w:tcPr>
            <w:tcW w:type="dxa" w:w="1800"/>
          </w:tcPr>
          <w:p>
            <w:pPr>
              <w:spacing w:after="30" w:before="30"/>
            </w:pPr>
            <w:r>
              <w:rPr>
                <w:rFonts w:ascii="Calibri" w:cs="Calibri" w:eastAsia="Calibri" w:hAnsi="Calibri"/>
                <w:color w:val="333333"/>
                <w:sz w:val="18"/>
                <w:szCs w:val="18"/>
              </w:rPr>
              <w:t xml:space="preserve">Pay per lead</w:t>
            </w:r>
          </w:p>
        </w:tc>
        <w:tc>
          <w:tcPr>
            <w:tcW w:type="dxa" w:w="2200"/>
          </w:tcPr>
          <w:p>
            <w:pPr>
              <w:spacing w:after="30" w:before="30"/>
            </w:pPr>
            <w:r>
              <w:rPr>
                <w:rFonts w:ascii="Calibri" w:cs="Calibri" w:eastAsia="Calibri" w:hAnsi="Calibri"/>
                <w:color w:val="333333"/>
                <w:sz w:val="18"/>
                <w:szCs w:val="18"/>
              </w:rPr>
              <w:t xml:space="preserve">257K+ tradespeople, strong trust signals</w:t>
            </w:r>
          </w:p>
        </w:tc>
        <w:tc>
          <w:tcPr>
            <w:tcW w:type="dxa" w:w="2440"/>
          </w:tcPr>
          <w:p>
            <w:pPr>
              <w:spacing w:after="30" w:before="30"/>
            </w:pPr>
            <w:r>
              <w:rPr>
                <w:rFonts w:ascii="Calibri" w:cs="Calibri" w:eastAsia="Calibri" w:hAnsi="Calibri"/>
                <w:color w:val="333333"/>
                <w:sz w:val="18"/>
                <w:szCs w:val="18"/>
              </w:rPr>
              <w:t xml:space="preserve">Register under Shop Fitting / Shopfronts</w:t>
            </w:r>
          </w:p>
        </w:tc>
      </w:tr>
      <w:tr>
        <w:tc>
          <w:tcPr>
            <w:tcW w:type="dxa" w:w="2200"/>
            <w:shd w:fill="FFF8E7" w:val="clear"/>
          </w:tcPr>
          <w:p>
            <w:pPr>
              <w:spacing w:after="30" w:before="30"/>
            </w:pPr>
            <w:r>
              <w:rPr>
                <w:rFonts w:ascii="Calibri" w:cs="Calibri" w:eastAsia="Calibri" w:hAnsi="Calibri"/>
                <w:color w:val="333333"/>
                <w:sz w:val="18"/>
                <w:szCs w:val="18"/>
              </w:rPr>
              <w:t xml:space="preserve">FreeIndex</w:t>
            </w:r>
          </w:p>
        </w:tc>
        <w:tc>
          <w:tcPr>
            <w:tcW w:type="dxa" w:w="1200"/>
          </w:tcPr>
          <w:p>
            <w:pPr>
              <w:spacing w:after="30" w:before="30"/>
            </w:pPr>
            <w:r>
              <w:rPr>
                <w:rFonts w:ascii="Calibri" w:cs="Calibri" w:eastAsia="Calibri" w:hAnsi="Calibri"/>
                <w:color w:val="333333"/>
                <w:sz w:val="18"/>
                <w:szCs w:val="18"/>
              </w:rPr>
              <w:t xml:space="preserve">60</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Good DA, free listing, review system</w:t>
            </w:r>
          </w:p>
        </w:tc>
        <w:tc>
          <w:tcPr>
            <w:tcW w:type="dxa" w:w="2440"/>
          </w:tcPr>
          <w:p>
            <w:pPr>
              <w:spacing w:after="30" w:before="30"/>
            </w:pPr>
            <w:r>
              <w:rPr>
                <w:rFonts w:ascii="Calibri" w:cs="Calibri" w:eastAsia="Calibri" w:hAnsi="Calibri"/>
                <w:color w:val="333333"/>
                <w:sz w:val="18"/>
                <w:szCs w:val="18"/>
              </w:rPr>
              <w:t xml:space="preserve">Create listing for both companies</w:t>
            </w:r>
          </w:p>
        </w:tc>
      </w:tr>
      <w:tr>
        <w:tc>
          <w:tcPr>
            <w:tcW w:type="dxa" w:w="2200"/>
            <w:shd w:fill="FFF8E7" w:val="clear"/>
          </w:tcPr>
          <w:p>
            <w:pPr>
              <w:spacing w:after="30" w:before="30"/>
            </w:pPr>
            <w:r>
              <w:rPr>
                <w:rFonts w:ascii="Calibri" w:cs="Calibri" w:eastAsia="Calibri" w:hAnsi="Calibri"/>
                <w:color w:val="333333"/>
                <w:sz w:val="18"/>
                <w:szCs w:val="18"/>
              </w:rPr>
              <w:t xml:space="preserve">Bing Places</w:t>
            </w:r>
          </w:p>
        </w:tc>
        <w:tc>
          <w:tcPr>
            <w:tcW w:type="dxa" w:w="1200"/>
          </w:tcPr>
          <w:p>
            <w:pPr>
              <w:spacing w:after="30" w:before="30"/>
            </w:pPr>
            <w:r>
              <w:rPr>
                <w:rFonts w:ascii="Calibri" w:cs="Calibri" w:eastAsia="Calibri" w:hAnsi="Calibri"/>
                <w:color w:val="333333"/>
                <w:sz w:val="18"/>
                <w:szCs w:val="18"/>
              </w:rPr>
              <w:t xml:space="preserve">93</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Bing search visibility + Maps</w:t>
            </w:r>
          </w:p>
        </w:tc>
        <w:tc>
          <w:tcPr>
            <w:tcW w:type="dxa" w:w="2440"/>
          </w:tcPr>
          <w:p>
            <w:pPr>
              <w:spacing w:after="30" w:before="30"/>
            </w:pPr>
            <w:r>
              <w:rPr>
                <w:rFonts w:ascii="Calibri" w:cs="Calibri" w:eastAsia="Calibri" w:hAnsi="Calibri"/>
                <w:color w:val="333333"/>
                <w:sz w:val="18"/>
                <w:szCs w:val="18"/>
              </w:rPr>
              <w:t xml:space="preserve">Mirror your Google Business Profile</w:t>
            </w:r>
          </w:p>
        </w:tc>
      </w:tr>
      <w:tr>
        <w:tc>
          <w:tcPr>
            <w:tcW w:type="dxa" w:w="2200"/>
            <w:shd w:fill="FFF8E7" w:val="clear"/>
          </w:tcPr>
          <w:p>
            <w:pPr>
              <w:spacing w:after="30" w:before="30"/>
            </w:pPr>
            <w:r>
              <w:rPr>
                <w:rFonts w:ascii="Calibri" w:cs="Calibri" w:eastAsia="Calibri" w:hAnsi="Calibri"/>
                <w:color w:val="333333"/>
                <w:sz w:val="18"/>
                <w:szCs w:val="18"/>
              </w:rPr>
              <w:t xml:space="preserve">Apple Business Connect</w:t>
            </w:r>
          </w:p>
        </w:tc>
        <w:tc>
          <w:tcPr>
            <w:tcW w:type="dxa" w:w="1200"/>
          </w:tcPr>
          <w:p>
            <w:pPr>
              <w:spacing w:after="30" w:before="30"/>
            </w:pPr>
            <w:r>
              <w:rPr>
                <w:rFonts w:ascii="Calibri" w:cs="Calibri" w:eastAsia="Calibri" w:hAnsi="Calibri"/>
                <w:color w:val="333333"/>
                <w:sz w:val="18"/>
                <w:szCs w:val="18"/>
              </w:rPr>
              <w:t xml:space="preserve">100</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Apple Maps visibility</w:t>
            </w:r>
          </w:p>
        </w:tc>
        <w:tc>
          <w:tcPr>
            <w:tcW w:type="dxa" w:w="2440"/>
          </w:tcPr>
          <w:p>
            <w:pPr>
              <w:spacing w:after="30" w:before="30"/>
            </w:pPr>
            <w:r>
              <w:rPr>
                <w:rFonts w:ascii="Calibri" w:cs="Calibri" w:eastAsia="Calibri" w:hAnsi="Calibri"/>
                <w:color w:val="333333"/>
                <w:sz w:val="18"/>
                <w:szCs w:val="18"/>
              </w:rPr>
              <w:t xml:space="preserve">Claim and verify both businesses</w:t>
            </w:r>
          </w:p>
        </w:tc>
      </w:tr>
      <w:tr>
        <w:tc>
          <w:tcPr>
            <w:tcW w:type="dxa" w:w="2200"/>
            <w:shd w:fill="FFF8E7" w:val="clear"/>
          </w:tcPr>
          <w:p>
            <w:pPr>
              <w:spacing w:after="30" w:before="30"/>
            </w:pPr>
            <w:r>
              <w:rPr>
                <w:rFonts w:ascii="Calibri" w:cs="Calibri" w:eastAsia="Calibri" w:hAnsi="Calibri"/>
                <w:color w:val="333333"/>
                <w:sz w:val="18"/>
                <w:szCs w:val="18"/>
              </w:rPr>
              <w:t xml:space="preserve">Thomson Local</w:t>
            </w:r>
          </w:p>
        </w:tc>
        <w:tc>
          <w:tcPr>
            <w:tcW w:type="dxa" w:w="1200"/>
          </w:tcPr>
          <w:p>
            <w:pPr>
              <w:spacing w:after="30" w:before="30"/>
            </w:pPr>
            <w:r>
              <w:rPr>
                <w:rFonts w:ascii="Calibri" w:cs="Calibri" w:eastAsia="Calibri" w:hAnsi="Calibri"/>
                <w:color w:val="333333"/>
                <w:sz w:val="18"/>
                <w:szCs w:val="18"/>
              </w:rPr>
              <w:t xml:space="preserve">58</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Longstanding UK directory</w:t>
            </w:r>
          </w:p>
        </w:tc>
        <w:tc>
          <w:tcPr>
            <w:tcW w:type="dxa" w:w="2440"/>
          </w:tcPr>
          <w:p>
            <w:pPr>
              <w:spacing w:after="30" w:before="30"/>
            </w:pPr>
            <w:r>
              <w:rPr>
                <w:rFonts w:ascii="Calibri" w:cs="Calibri" w:eastAsia="Calibri" w:hAnsi="Calibri"/>
                <w:color w:val="333333"/>
                <w:sz w:val="18"/>
                <w:szCs w:val="18"/>
              </w:rPr>
              <w:t xml:space="preserve">Basic listing with all service categories</w:t>
            </w:r>
          </w:p>
        </w:tc>
      </w:tr>
      <w:tr>
        <w:tc>
          <w:tcPr>
            <w:tcW w:type="dxa" w:w="2200"/>
            <w:shd w:fill="FFF8E7" w:val="clear"/>
          </w:tcPr>
          <w:p>
            <w:pPr>
              <w:spacing w:after="30" w:before="30"/>
            </w:pPr>
            <w:r>
              <w:rPr>
                <w:rFonts w:ascii="Calibri" w:cs="Calibri" w:eastAsia="Calibri" w:hAnsi="Calibri"/>
                <w:color w:val="333333"/>
                <w:sz w:val="18"/>
                <w:szCs w:val="18"/>
              </w:rPr>
              <w:t xml:space="preserve">Cylex UK</w:t>
            </w:r>
          </w:p>
        </w:tc>
        <w:tc>
          <w:tcPr>
            <w:tcW w:type="dxa" w:w="1200"/>
          </w:tcPr>
          <w:p>
            <w:pPr>
              <w:spacing w:after="30" w:before="30"/>
            </w:pPr>
            <w:r>
              <w:rPr>
                <w:rFonts w:ascii="Calibri" w:cs="Calibri" w:eastAsia="Calibri" w:hAnsi="Calibri"/>
                <w:color w:val="333333"/>
                <w:sz w:val="18"/>
                <w:szCs w:val="18"/>
              </w:rPr>
              <w:t xml:space="preserve">52</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Business directory with decent DA</w:t>
            </w:r>
          </w:p>
        </w:tc>
        <w:tc>
          <w:tcPr>
            <w:tcW w:type="dxa" w:w="2440"/>
          </w:tcPr>
          <w:p>
            <w:pPr>
              <w:spacing w:after="30" w:before="30"/>
            </w:pPr>
            <w:r>
              <w:rPr>
                <w:rFonts w:ascii="Calibri" w:cs="Calibri" w:eastAsia="Calibri" w:hAnsi="Calibri"/>
                <w:color w:val="333333"/>
                <w:sz w:val="18"/>
                <w:szCs w:val="18"/>
              </w:rPr>
              <w:t xml:space="preserve">Quick listing, consistent NAP</w:t>
            </w:r>
          </w:p>
        </w:tc>
      </w:tr>
      <w:tr>
        <w:tc>
          <w:tcPr>
            <w:tcW w:type="dxa" w:w="2200"/>
            <w:shd w:fill="FFF8E7" w:val="clear"/>
          </w:tcPr>
          <w:p>
            <w:pPr>
              <w:spacing w:after="30" w:before="30"/>
            </w:pPr>
            <w:r>
              <w:rPr>
                <w:rFonts w:ascii="Calibri" w:cs="Calibri" w:eastAsia="Calibri" w:hAnsi="Calibri"/>
                <w:color w:val="333333"/>
                <w:sz w:val="18"/>
                <w:szCs w:val="18"/>
              </w:rPr>
              <w:t xml:space="preserve">Scoot</w:t>
            </w:r>
          </w:p>
        </w:tc>
        <w:tc>
          <w:tcPr>
            <w:tcW w:type="dxa" w:w="1200"/>
          </w:tcPr>
          <w:p>
            <w:pPr>
              <w:spacing w:after="30" w:before="30"/>
            </w:pPr>
            <w:r>
              <w:rPr>
                <w:rFonts w:ascii="Calibri" w:cs="Calibri" w:eastAsia="Calibri" w:hAnsi="Calibri"/>
                <w:color w:val="333333"/>
                <w:sz w:val="18"/>
                <w:szCs w:val="18"/>
              </w:rPr>
              <w:t xml:space="preserve">50</w:t>
            </w:r>
          </w:p>
        </w:tc>
        <w:tc>
          <w:tcPr>
            <w:tcW w:type="dxa" w:w="1800"/>
          </w:tcPr>
          <w:p>
            <w:pPr>
              <w:spacing w:after="30" w:before="30"/>
            </w:pPr>
            <w:r>
              <w:rPr>
                <w:rFonts w:ascii="Calibri" w:cs="Calibri" w:eastAsia="Calibri" w:hAnsi="Calibri"/>
                <w:color w:val="333333"/>
                <w:sz w:val="18"/>
                <w:szCs w:val="18"/>
              </w:rPr>
              <w:t xml:space="preserve">Free</w:t>
            </w:r>
          </w:p>
        </w:tc>
        <w:tc>
          <w:tcPr>
            <w:tcW w:type="dxa" w:w="2200"/>
          </w:tcPr>
          <w:p>
            <w:pPr>
              <w:spacing w:after="30" w:before="30"/>
            </w:pPr>
            <w:r>
              <w:rPr>
                <w:rFonts w:ascii="Calibri" w:cs="Calibri" w:eastAsia="Calibri" w:hAnsi="Calibri"/>
                <w:color w:val="333333"/>
                <w:sz w:val="18"/>
                <w:szCs w:val="18"/>
              </w:rPr>
              <w:t xml:space="preserve">UK-focused SME directory</w:t>
            </w:r>
          </w:p>
        </w:tc>
        <w:tc>
          <w:tcPr>
            <w:tcW w:type="dxa" w:w="2440"/>
          </w:tcPr>
          <w:p>
            <w:pPr>
              <w:spacing w:after="30" w:before="30"/>
            </w:pPr>
            <w:r>
              <w:rPr>
                <w:rFonts w:ascii="Calibri" w:cs="Calibri" w:eastAsia="Calibri" w:hAnsi="Calibri"/>
                <w:color w:val="333333"/>
                <w:sz w:val="18"/>
                <w:szCs w:val="18"/>
              </w:rPr>
              <w:t xml:space="preserve">Basic listing</w:t>
            </w:r>
          </w:p>
        </w:tc>
      </w:tr>
      <w:tr>
        <w:tc>
          <w:tcPr>
            <w:tcW w:type="dxa" w:w="2200"/>
            <w:shd w:fill="FFF8E7" w:val="clear"/>
          </w:tcPr>
          <w:p>
            <w:pPr>
              <w:spacing w:after="30" w:before="30"/>
            </w:pPr>
            <w:r>
              <w:rPr>
                <w:rFonts w:ascii="Calibri" w:cs="Calibri" w:eastAsia="Calibri" w:hAnsi="Calibri"/>
                <w:color w:val="333333"/>
                <w:sz w:val="18"/>
                <w:szCs w:val="18"/>
              </w:rPr>
              <w:t xml:space="preserve">Rated People</w:t>
            </w:r>
          </w:p>
        </w:tc>
        <w:tc>
          <w:tcPr>
            <w:tcW w:type="dxa" w:w="1200"/>
          </w:tcPr>
          <w:p>
            <w:pPr>
              <w:spacing w:after="30" w:before="30"/>
            </w:pPr>
            <w:r>
              <w:rPr>
                <w:rFonts w:ascii="Calibri" w:cs="Calibri" w:eastAsia="Calibri" w:hAnsi="Calibri"/>
                <w:color w:val="333333"/>
                <w:sz w:val="18"/>
                <w:szCs w:val="18"/>
              </w:rPr>
              <w:t xml:space="preserve">58</w:t>
            </w:r>
          </w:p>
        </w:tc>
        <w:tc>
          <w:tcPr>
            <w:tcW w:type="dxa" w:w="1800"/>
          </w:tcPr>
          <w:p>
            <w:pPr>
              <w:spacing w:after="30" w:before="30"/>
            </w:pPr>
            <w:r>
              <w:rPr>
                <w:rFonts w:ascii="Calibri" w:cs="Calibri" w:eastAsia="Calibri" w:hAnsi="Calibri"/>
                <w:color w:val="333333"/>
                <w:sz w:val="18"/>
                <w:szCs w:val="18"/>
              </w:rPr>
              <w:t xml:space="preserve">Pay per lead</w:t>
            </w:r>
          </w:p>
        </w:tc>
        <w:tc>
          <w:tcPr>
            <w:tcW w:type="dxa" w:w="2200"/>
          </w:tcPr>
          <w:p>
            <w:pPr>
              <w:spacing w:after="30" w:before="30"/>
            </w:pPr>
            <w:r>
              <w:rPr>
                <w:rFonts w:ascii="Calibri" w:cs="Calibri" w:eastAsia="Calibri" w:hAnsi="Calibri"/>
                <w:color w:val="333333"/>
                <w:sz w:val="18"/>
                <w:szCs w:val="18"/>
              </w:rPr>
              <w:t xml:space="preserve">Similar to MyBuilder</w:t>
            </w:r>
          </w:p>
        </w:tc>
        <w:tc>
          <w:tcPr>
            <w:tcW w:type="dxa" w:w="2440"/>
          </w:tcPr>
          <w:p>
            <w:pPr>
              <w:spacing w:after="30" w:before="30"/>
            </w:pPr>
            <w:r>
              <w:rPr>
                <w:rFonts w:ascii="Calibri" w:cs="Calibri" w:eastAsia="Calibri" w:hAnsi="Calibri"/>
                <w:color w:val="333333"/>
                <w:sz w:val="18"/>
                <w:szCs w:val="18"/>
              </w:rPr>
              <w:t xml:space="preserve">Register if budget allows</w:t>
            </w:r>
          </w:p>
        </w:tc>
      </w:tr>
    </w:tbl>
    <w:p>
      <w:pPr>
        <w:spacing w:after="200"/>
      </w:pPr>
    </w:p>
    <w:p>
      <w:pPr>
        <w:spacing w:after="300"/>
      </w:pPr>
      <w:r>
        <w:rPr>
          <w:rFonts w:ascii="Calibri" w:cs="Calibri" w:eastAsia="Calibri" w:hAnsi="Calibri"/>
          <w:b/>
          <w:bCs/>
          <w:color w:val="1A1A2E"/>
          <w:sz w:val="22"/>
          <w:szCs w:val="22"/>
        </w:rPr>
        <w:t xml:space="preserve">NAP Consistency Rule: </w:t>
      </w:r>
      <w:r>
        <w:rPr>
          <w:rFonts w:ascii="Calibri" w:cs="Calibri" w:eastAsia="Calibri" w:hAnsi="Calibri"/>
          <w:color w:val="333333"/>
          <w:sz w:val="22"/>
          <w:szCs w:val="22"/>
        </w:rPr>
        <w:t xml:space="preserve">Every listing must use identical details. Urban Shopfronts = 31 Norton Close, Smethwick, West Midlands, B66 3NR, 07471 043827. Sigma Shop Fronts = 4 Thornwood Close, Oldbury, West Midlands, B68 9LX, 07414 779594.</w:t>
      </w:r>
    </w:p>
    <w:p>
      <w:r>
        <w:br w:type="page"/>
      </w:r>
    </w:p>
    <w:p>
      <w:pPr>
        <w:pStyle w:val="Heading1"/>
      </w:pPr>
      <w:r>
        <w:rPr>
          <w:rFonts w:ascii="Calibri" w:cs="Calibri" w:eastAsia="Calibri" w:hAnsi="Calibri"/>
          <w:b/>
          <w:bCs/>
          <w:color w:val="1A1A2E"/>
          <w:sz w:val="32"/>
          <w:szCs w:val="32"/>
        </w:rPr>
        <w:t xml:space="preserve">3. Priority 2 — Local Authority Links (Week 2–4)</w:t>
      </w:r>
    </w:p>
    <w:p>
      <w:pPr>
        <w:spacing w:after="200"/>
      </w:pPr>
      <w:r>
        <w:rPr>
          <w:rFonts w:ascii="Calibri" w:cs="Calibri" w:eastAsia="Calibri" w:hAnsi="Calibri"/>
          <w:color w:val="333333"/>
          <w:sz w:val="22"/>
          <w:szCs w:val="22"/>
        </w:rPr>
        <w:t xml:space="preserve">Local .gov.uk and council sites have DA 60–90. These are extremely valuable links that competitors often overlook.</w:t>
      </w:r>
    </w:p>
    <w:p>
      <w:pPr>
        <w:spacing w:before="200"/>
      </w:pPr>
      <w:r>
        <w:rPr>
          <w:rFonts w:ascii="Calibri" w:cs="Calibri" w:eastAsia="Calibri" w:hAnsi="Calibri"/>
          <w:b/>
          <w:bCs/>
          <w:color w:val="D4A843"/>
          <w:sz w:val="24"/>
          <w:szCs w:val="24"/>
        </w:rPr>
        <w:t xml:space="preserve">Sandwell Council Business Directory</w:t>
      </w:r>
    </w:p>
    <w:p>
      <w:pPr>
        <w:spacing w:after="150"/>
      </w:pPr>
      <w:r>
        <w:rPr>
          <w:rFonts w:ascii="Calibri" w:cs="Calibri" w:eastAsia="Calibri" w:hAnsi="Calibri"/>
          <w:color w:val="333333"/>
          <w:sz w:val="22"/>
          <w:szCs w:val="22"/>
        </w:rPr>
        <w:t xml:space="preserve">Both businesses are in Sandwell borough. Register on their business directory — DA 70+. URL: sandwell.gov.uk/business. This is your single most valuable local link.</w:t>
      </w:r>
    </w:p>
    <w:p>
      <w:pPr>
        <w:spacing w:before="200"/>
      </w:pPr>
      <w:r>
        <w:rPr>
          <w:rFonts w:ascii="Calibri" w:cs="Calibri" w:eastAsia="Calibri" w:hAnsi="Calibri"/>
          <w:b/>
          <w:bCs/>
          <w:color w:val="D4A843"/>
          <w:sz w:val="24"/>
          <w:szCs w:val="24"/>
        </w:rPr>
        <w:t xml:space="preserve">Greater Birmingham Chambers of Commerce</w:t>
      </w:r>
    </w:p>
    <w:p>
      <w:pPr>
        <w:spacing w:after="150"/>
      </w:pPr>
      <w:r>
        <w:rPr>
          <w:rFonts w:ascii="Calibri" w:cs="Calibri" w:eastAsia="Calibri" w:hAnsi="Calibri"/>
          <w:color w:val="333333"/>
          <w:sz w:val="22"/>
          <w:szCs w:val="22"/>
        </w:rPr>
        <w:t xml:space="preserve">Membership gives you a listing on greaterbirminghamchambers.com (DA 55+), networking events, and credibility. Cost ~£200–400/year. Both companies qualify.</w:t>
      </w:r>
    </w:p>
    <w:p>
      <w:pPr>
        <w:spacing w:before="200"/>
      </w:pPr>
      <w:r>
        <w:rPr>
          <w:rFonts w:ascii="Calibri" w:cs="Calibri" w:eastAsia="Calibri" w:hAnsi="Calibri"/>
          <w:b/>
          <w:bCs/>
          <w:color w:val="D4A843"/>
          <w:sz w:val="24"/>
          <w:szCs w:val="24"/>
        </w:rPr>
        <w:t xml:space="preserve">Black Country Chamber of Commerce</w:t>
      </w:r>
    </w:p>
    <w:p>
      <w:pPr>
        <w:spacing w:after="150"/>
      </w:pPr>
      <w:r>
        <w:rPr>
          <w:rFonts w:ascii="Calibri" w:cs="Calibri" w:eastAsia="Calibri" w:hAnsi="Calibri"/>
          <w:color w:val="333333"/>
          <w:sz w:val="22"/>
          <w:szCs w:val="22"/>
        </w:rPr>
        <w:t xml:space="preserve">More localised than GBCC, covers Sandwell/Oldbury/Smethwick. Listing on blackcountrychamber.co.uk with backlink.</w:t>
      </w:r>
    </w:p>
    <w:p>
      <w:pPr>
        <w:spacing w:before="200"/>
      </w:pPr>
      <w:r>
        <w:rPr>
          <w:rFonts w:ascii="Calibri" w:cs="Calibri" w:eastAsia="Calibri" w:hAnsi="Calibri"/>
          <w:b/>
          <w:bCs/>
          <w:color w:val="D4A843"/>
          <w:sz w:val="24"/>
          <w:szCs w:val="24"/>
        </w:rPr>
        <w:t xml:space="preserve">Federation of Small Businesses (FSB)</w:t>
      </w:r>
    </w:p>
    <w:p>
      <w:pPr>
        <w:spacing w:after="150"/>
      </w:pPr>
      <w:r>
        <w:rPr>
          <w:rFonts w:ascii="Calibri" w:cs="Calibri" w:eastAsia="Calibri" w:hAnsi="Calibri"/>
          <w:color w:val="333333"/>
          <w:sz w:val="22"/>
          <w:szCs w:val="22"/>
        </w:rPr>
        <w:t xml:space="preserve">fsb.org.uk listing (DA 65+). Membership ~£170/year. Gives you an "FSB Member" badge for your sites too.</w:t>
      </w:r>
    </w:p>
    <w:p>
      <w:pPr>
        <w:spacing w:before="200"/>
      </w:pPr>
      <w:r>
        <w:rPr>
          <w:rFonts w:ascii="Calibri" w:cs="Calibri" w:eastAsia="Calibri" w:hAnsi="Calibri"/>
          <w:b/>
          <w:bCs/>
          <w:color w:val="D4A843"/>
          <w:sz w:val="24"/>
          <w:szCs w:val="24"/>
        </w:rPr>
        <w:t xml:space="preserve">Local Council Supplier Lists</w:t>
      </w:r>
    </w:p>
    <w:p>
      <w:pPr>
        <w:spacing w:after="150"/>
      </w:pPr>
      <w:r>
        <w:rPr>
          <w:rFonts w:ascii="Calibri" w:cs="Calibri" w:eastAsia="Calibri" w:hAnsi="Calibri"/>
          <w:color w:val="333333"/>
          <w:sz w:val="22"/>
          <w:szCs w:val="22"/>
        </w:rPr>
        <w:t xml:space="preserve">Register on council procurement portals (Contracts Finder, Find a Tender). Even if you don't bid, the listing is a backlink from a .gov.uk domain.</w:t>
      </w:r>
    </w:p>
    <w:p>
      <w:pPr>
        <w:spacing w:after="100"/>
      </w:pPr>
    </w:p>
    <w:p>
      <w:pPr>
        <w:pStyle w:val="Heading1"/>
      </w:pPr>
      <w:r>
        <w:rPr>
          <w:rFonts w:ascii="Calibri" w:cs="Calibri" w:eastAsia="Calibri" w:hAnsi="Calibri"/>
          <w:b/>
          <w:bCs/>
          <w:color w:val="1A1A2E"/>
          <w:sz w:val="32"/>
          <w:szCs w:val="32"/>
        </w:rPr>
        <w:t xml:space="preserve">4. Priority 3 — Industry &amp; Supplier Links (Week 3–6)</w:t>
      </w:r>
    </w:p>
    <w:p>
      <w:pPr>
        <w:spacing w:after="200"/>
      </w:pPr>
      <w:r>
        <w:rPr>
          <w:rFonts w:ascii="Calibri" w:cs="Calibri" w:eastAsia="Calibri" w:hAnsi="Calibri"/>
          <w:color w:val="333333"/>
          <w:sz w:val="22"/>
          <w:szCs w:val="22"/>
        </w:rPr>
        <w:t xml:space="preserve">Links from aluminium profile suppliers, glass manufacturers, and industry bodies carry strong topical relevance — Google values these more than generic directories.</w:t>
      </w:r>
    </w:p>
    <w:p>
      <w:pPr>
        <w:spacing w:before="200"/>
      </w:pPr>
      <w:r>
        <w:rPr>
          <w:rFonts w:ascii="Calibri" w:cs="Calibri" w:eastAsia="Calibri" w:hAnsi="Calibri"/>
          <w:b/>
          <w:bCs/>
          <w:color w:val="D4A843"/>
          <w:sz w:val="24"/>
          <w:szCs w:val="24"/>
        </w:rPr>
        <w:t xml:space="preserve">Aluminium Profile Suppliers</w:t>
      </w:r>
    </w:p>
    <w:p>
      <w:pPr>
        <w:spacing w:after="150"/>
      </w:pPr>
      <w:r>
        <w:rPr>
          <w:rFonts w:ascii="Calibri" w:cs="Calibri" w:eastAsia="Calibri" w:hAnsi="Calibri"/>
          <w:color w:val="333333"/>
          <w:sz w:val="22"/>
          <w:szCs w:val="22"/>
        </w:rPr>
        <w:t xml:space="preserve">If you buy profiles from companies like SAPA/Hydro, Senior Architectural, Jack Aluminium, or Kawneer — ask to be listed on their "approved installers" or "partners" page. These are high-DA industry sites with direct topical relevance.</w:t>
      </w:r>
    </w:p>
    <w:p>
      <w:pPr>
        <w:spacing w:before="200"/>
      </w:pPr>
      <w:r>
        <w:rPr>
          <w:rFonts w:ascii="Calibri" w:cs="Calibri" w:eastAsia="Calibri" w:hAnsi="Calibri"/>
          <w:b/>
          <w:bCs/>
          <w:color w:val="D4A843"/>
          <w:sz w:val="24"/>
          <w:szCs w:val="24"/>
        </w:rPr>
        <w:t xml:space="preserve">Glass &amp; Glazing Federation (GGF)</w:t>
      </w:r>
    </w:p>
    <w:p>
      <w:pPr>
        <w:spacing w:after="150"/>
      </w:pPr>
      <w:r>
        <w:rPr>
          <w:rFonts w:ascii="Calibri" w:cs="Calibri" w:eastAsia="Calibri" w:hAnsi="Calibri"/>
          <w:color w:val="333333"/>
          <w:sz w:val="22"/>
          <w:szCs w:val="22"/>
        </w:rPr>
        <w:t xml:space="preserve">ggf.org.uk — DA 50+. If you're not a member, consider joining. Membership gives you a searchable installer listing that ranks well for "glazing company near me" queries.</w:t>
      </w:r>
    </w:p>
    <w:p>
      <w:pPr>
        <w:spacing w:before="200"/>
      </w:pPr>
      <w:r>
        <w:rPr>
          <w:rFonts w:ascii="Calibri" w:cs="Calibri" w:eastAsia="Calibri" w:hAnsi="Calibri"/>
          <w:b/>
          <w:bCs/>
          <w:color w:val="D4A843"/>
          <w:sz w:val="24"/>
          <w:szCs w:val="24"/>
        </w:rPr>
        <w:t xml:space="preserve">Door &amp; Hardware Federation (DHF)</w:t>
      </w:r>
    </w:p>
    <w:p>
      <w:pPr>
        <w:spacing w:after="150"/>
      </w:pPr>
      <w:r>
        <w:rPr>
          <w:rFonts w:ascii="Calibri" w:cs="Calibri" w:eastAsia="Calibri" w:hAnsi="Calibri"/>
          <w:color w:val="333333"/>
          <w:sz w:val="22"/>
          <w:szCs w:val="22"/>
        </w:rPr>
        <w:t xml:space="preserve">dhfonline.org.uk — for automatic doors and shutters. Membership listing is a relevant backlink.</w:t>
      </w:r>
    </w:p>
    <w:p>
      <w:pPr>
        <w:spacing w:before="200"/>
      </w:pPr>
      <w:r>
        <w:rPr>
          <w:rFonts w:ascii="Calibri" w:cs="Calibri" w:eastAsia="Calibri" w:hAnsi="Calibri"/>
          <w:b/>
          <w:bCs/>
          <w:color w:val="D4A843"/>
          <w:sz w:val="24"/>
          <w:szCs w:val="24"/>
        </w:rPr>
        <w:t xml:space="preserve">Construction Industry Bodies</w:t>
      </w:r>
    </w:p>
    <w:p>
      <w:pPr>
        <w:spacing w:after="150"/>
      </w:pPr>
      <w:r>
        <w:rPr>
          <w:rFonts w:ascii="Calibri" w:cs="Calibri" w:eastAsia="Calibri" w:hAnsi="Calibri"/>
          <w:color w:val="333333"/>
          <w:sz w:val="22"/>
          <w:szCs w:val="22"/>
        </w:rPr>
        <w:t xml:space="preserve">CHAS, SafeContractor, Constructionline — if you hold any accreditations, make sure your profiles link back to your websites.</w:t>
      </w:r>
    </w:p>
    <w:p>
      <w:pPr>
        <w:spacing w:before="200"/>
      </w:pPr>
      <w:r>
        <w:rPr>
          <w:rFonts w:ascii="Calibri" w:cs="Calibri" w:eastAsia="Calibri" w:hAnsi="Calibri"/>
          <w:b/>
          <w:bCs/>
          <w:color w:val="D4A843"/>
          <w:sz w:val="24"/>
          <w:szCs w:val="24"/>
        </w:rPr>
        <w:t xml:space="preserve">Hardware &amp; Supply Partners</w:t>
      </w:r>
    </w:p>
    <w:p>
      <w:pPr>
        <w:spacing w:after="150"/>
      </w:pPr>
      <w:r>
        <w:rPr>
          <w:rFonts w:ascii="Calibri" w:cs="Calibri" w:eastAsia="Calibri" w:hAnsi="Calibri"/>
          <w:color w:val="333333"/>
          <w:sz w:val="22"/>
          <w:szCs w:val="22"/>
        </w:rPr>
        <w:t xml:space="preserve">If Somfy, Hormann, or any motor/shutter brand supplies you, ask to be listed as a registered installer on their UK website. These links carry strong authority.</w:t>
      </w:r>
    </w:p>
    <w:p>
      <w:r>
        <w:br w:type="page"/>
      </w:r>
    </w:p>
    <w:p>
      <w:pPr>
        <w:pStyle w:val="Heading1"/>
      </w:pPr>
      <w:r>
        <w:rPr>
          <w:rFonts w:ascii="Calibri" w:cs="Calibri" w:eastAsia="Calibri" w:hAnsi="Calibri"/>
          <w:b/>
          <w:bCs/>
          <w:color w:val="1A1A2E"/>
          <w:sz w:val="32"/>
          <w:szCs w:val="32"/>
        </w:rPr>
        <w:t xml:space="preserve">5. Priority 4 — Content-Driven Links (Ongoing)</w:t>
      </w:r>
    </w:p>
    <w:p>
      <w:pPr>
        <w:spacing w:after="200"/>
      </w:pPr>
      <w:r>
        <w:rPr>
          <w:rFonts w:ascii="Calibri" w:cs="Calibri" w:eastAsia="Calibri" w:hAnsi="Calibri"/>
          <w:color w:val="333333"/>
          <w:sz w:val="22"/>
          <w:szCs w:val="22"/>
        </w:rPr>
        <w:t xml:space="preserve">Your blog posts are already ranking for informational queries. These can earn natural backlinks if promoted correctly.</w:t>
      </w:r>
    </w:p>
    <w:p>
      <w:pPr>
        <w:spacing w:before="200"/>
      </w:pPr>
      <w:r>
        <w:rPr>
          <w:rFonts w:ascii="Calibri" w:cs="Calibri" w:eastAsia="Calibri" w:hAnsi="Calibri"/>
          <w:b/>
          <w:bCs/>
          <w:color w:val="D4A843"/>
          <w:sz w:val="24"/>
          <w:szCs w:val="24"/>
        </w:rPr>
        <w:t xml:space="preserve">Shopfront Cost Guide — Linkable Asset</w:t>
      </w:r>
    </w:p>
    <w:p>
      <w:pPr>
        <w:spacing w:after="150"/>
      </w:pPr>
      <w:r>
        <w:rPr>
          <w:rFonts w:ascii="Calibri" w:cs="Calibri" w:eastAsia="Calibri" w:hAnsi="Calibri"/>
          <w:color w:val="333333"/>
          <w:sz w:val="22"/>
          <w:szCs w:val="22"/>
        </w:rPr>
        <w:t xml:space="preserve">Your "Shopfront Installation Costs UK 2026" post is ranking for "shop front cost" at position 13.6. This is exactly the type of content that architects, surveyors, and property managers link to when writing their own guides. Promote it on LinkedIn, share with local architect firms, and submit it to construction industry newsletters.</w:t>
      </w:r>
    </w:p>
    <w:p>
      <w:pPr>
        <w:spacing w:before="200"/>
      </w:pPr>
      <w:r>
        <w:rPr>
          <w:rFonts w:ascii="Calibri" w:cs="Calibri" w:eastAsia="Calibri" w:hAnsi="Calibri"/>
          <w:b/>
          <w:bCs/>
          <w:color w:val="D4A843"/>
          <w:sz w:val="24"/>
          <w:szCs w:val="24"/>
        </w:rPr>
        <w:t xml:space="preserve">HARO / Connectively (Source Requests)</w:t>
      </w:r>
    </w:p>
    <w:p>
      <w:pPr>
        <w:spacing w:after="150"/>
      </w:pPr>
      <w:r>
        <w:rPr>
          <w:rFonts w:ascii="Calibri" w:cs="Calibri" w:eastAsia="Calibri" w:hAnsi="Calibri"/>
          <w:color w:val="333333"/>
          <w:sz w:val="22"/>
          <w:szCs w:val="22"/>
        </w:rPr>
        <w:t xml:space="preserve">Sign up for journalist source-request platforms. When journalists write about retail security, high street renovation, or commercial property, they need expert quotes. A quote from "Urban Shopfronts" with a backlink in a regional newspaper (DA 60–80) is worth more than 50 directory listings.</w:t>
      </w:r>
    </w:p>
    <w:p>
      <w:pPr>
        <w:spacing w:before="200"/>
      </w:pPr>
      <w:r>
        <w:rPr>
          <w:rFonts w:ascii="Calibri" w:cs="Calibri" w:eastAsia="Calibri" w:hAnsi="Calibri"/>
          <w:b/>
          <w:bCs/>
          <w:color w:val="D4A843"/>
          <w:sz w:val="24"/>
          <w:szCs w:val="24"/>
        </w:rPr>
        <w:t xml:space="preserve">Guest Posts on Construction / Property Blogs</w:t>
      </w:r>
    </w:p>
    <w:p>
      <w:pPr>
        <w:spacing w:after="150"/>
      </w:pPr>
      <w:r>
        <w:rPr>
          <w:rFonts w:ascii="Calibri" w:cs="Calibri" w:eastAsia="Calibri" w:hAnsi="Calibri"/>
          <w:color w:val="333333"/>
          <w:sz w:val="22"/>
          <w:szCs w:val="22"/>
        </w:rPr>
        <w:t xml:space="preserve">Offer to write 800-word articles for UK construction, property management, or retail design blogs. Topics: "How to Choose the Right Shopfront for Your Retail Unit", "Security Door Ratings Explained", "When to Replace vs Repair a Roller Shutter". Include a natural link back to your service page.</w:t>
      </w:r>
    </w:p>
    <w:p>
      <w:pPr>
        <w:spacing w:before="200"/>
      </w:pPr>
      <w:r>
        <w:rPr>
          <w:rFonts w:ascii="Calibri" w:cs="Calibri" w:eastAsia="Calibri" w:hAnsi="Calibri"/>
          <w:b/>
          <w:bCs/>
          <w:color w:val="D4A843"/>
          <w:sz w:val="24"/>
          <w:szCs w:val="24"/>
        </w:rPr>
        <w:t xml:space="preserve">Local News &amp; PR</w:t>
      </w:r>
    </w:p>
    <w:p>
      <w:pPr>
        <w:spacing w:after="150"/>
      </w:pPr>
      <w:r>
        <w:rPr>
          <w:rFonts w:ascii="Calibri" w:cs="Calibri" w:eastAsia="Calibri" w:hAnsi="Calibri"/>
          <w:color w:val="333333"/>
          <w:sz w:val="22"/>
          <w:szCs w:val="22"/>
        </w:rPr>
        <w:t xml:space="preserve">Completed a notable project? New shopfront on a landmark building? Send a press release with photos to your local newspaper (Birmingham Mail, Sandwell Herald, Express &amp; Star). Local news backlinks are extremely powerful for local SEO — DA 70–85.</w:t>
      </w:r>
    </w:p>
    <w:p>
      <w:pPr>
        <w:spacing w:before="200"/>
      </w:pPr>
      <w:r>
        <w:rPr>
          <w:rFonts w:ascii="Calibri" w:cs="Calibri" w:eastAsia="Calibri" w:hAnsi="Calibri"/>
          <w:b/>
          <w:bCs/>
          <w:color w:val="D4A843"/>
          <w:sz w:val="24"/>
          <w:szCs w:val="24"/>
        </w:rPr>
        <w:t xml:space="preserve">Case Studies on Your Own Site</w:t>
      </w:r>
    </w:p>
    <w:p>
      <w:pPr>
        <w:spacing w:after="150"/>
      </w:pPr>
      <w:r>
        <w:rPr>
          <w:rFonts w:ascii="Calibri" w:cs="Calibri" w:eastAsia="Calibri" w:hAnsi="Calibri"/>
          <w:color w:val="333333"/>
          <w:sz w:val="22"/>
          <w:szCs w:val="22"/>
        </w:rPr>
        <w:t xml:space="preserve">Add detailed project case studies to your sites — before/after photos, client name (with permission), location, scope of work. These become linkable assets when the client shares them, and they strengthen your E-E-A-T signals.</w:t>
      </w:r>
    </w:p>
    <w:p>
      <w:r>
        <w:br w:type="page"/>
      </w:r>
    </w:p>
    <w:p>
      <w:pPr>
        <w:pStyle w:val="Heading1"/>
      </w:pPr>
      <w:r>
        <w:rPr>
          <w:rFonts w:ascii="Calibri" w:cs="Calibri" w:eastAsia="Calibri" w:hAnsi="Calibri"/>
          <w:b/>
          <w:bCs/>
          <w:color w:val="1A1A2E"/>
          <w:sz w:val="32"/>
          <w:szCs w:val="32"/>
        </w:rPr>
        <w:t xml:space="preserve">6. Priority 5 — Community &amp; Sponsorship Links (Month 2+)</w:t>
      </w:r>
    </w:p>
    <w:p>
      <w:pPr>
        <w:spacing w:before="200"/>
      </w:pPr>
      <w:r>
        <w:rPr>
          <w:rFonts w:ascii="Calibri" w:cs="Calibri" w:eastAsia="Calibri" w:hAnsi="Calibri"/>
          <w:b/>
          <w:bCs/>
          <w:color w:val="D4A843"/>
          <w:sz w:val="24"/>
          <w:szCs w:val="24"/>
        </w:rPr>
        <w:t xml:space="preserve">Sponsor a Local Sports Team</w:t>
      </w:r>
    </w:p>
    <w:p>
      <w:pPr>
        <w:spacing w:after="150"/>
      </w:pPr>
      <w:r>
        <w:rPr>
          <w:rFonts w:ascii="Calibri" w:cs="Calibri" w:eastAsia="Calibri" w:hAnsi="Calibri"/>
          <w:color w:val="333333"/>
          <w:sz w:val="22"/>
          <w:szCs w:val="22"/>
        </w:rPr>
        <w:t xml:space="preserve">A £200–500 sponsorship of a local football, cricket, or rugby club gets your company name and URL on their website's sponsors page. These .co.uk sites typically have DA 20–40 but the link is natural, local, and permanent. Look at clubs in Smethwick, Oldbury, and wider West Midlands.</w:t>
      </w:r>
    </w:p>
    <w:p>
      <w:pPr>
        <w:spacing w:before="200"/>
      </w:pPr>
      <w:r>
        <w:rPr>
          <w:rFonts w:ascii="Calibri" w:cs="Calibri" w:eastAsia="Calibri" w:hAnsi="Calibri"/>
          <w:b/>
          <w:bCs/>
          <w:color w:val="D4A843"/>
          <w:sz w:val="24"/>
          <w:szCs w:val="24"/>
        </w:rPr>
        <w:t xml:space="preserve">Local Charity &amp; Community Events</w:t>
      </w:r>
    </w:p>
    <w:p>
      <w:pPr>
        <w:spacing w:after="150"/>
      </w:pPr>
      <w:r>
        <w:rPr>
          <w:rFonts w:ascii="Calibri" w:cs="Calibri" w:eastAsia="Calibri" w:hAnsi="Calibri"/>
          <w:color w:val="333333"/>
          <w:sz w:val="22"/>
          <w:szCs w:val="22"/>
        </w:rPr>
        <w:t xml:space="preserve">Sponsor or donate to a local charity event. The charity's website will typically list sponsors with links. Look for Sandwell-based charities, community centres, and events.</w:t>
      </w:r>
    </w:p>
    <w:p>
      <w:pPr>
        <w:spacing w:before="200"/>
      </w:pPr>
      <w:r>
        <w:rPr>
          <w:rFonts w:ascii="Calibri" w:cs="Calibri" w:eastAsia="Calibri" w:hAnsi="Calibri"/>
          <w:b/>
          <w:bCs/>
          <w:color w:val="D4A843"/>
          <w:sz w:val="24"/>
          <w:szCs w:val="24"/>
        </w:rPr>
        <w:t xml:space="preserve">Schools &amp; Colleges</w:t>
      </w:r>
    </w:p>
    <w:p>
      <w:pPr>
        <w:spacing w:after="150"/>
      </w:pPr>
      <w:r>
        <w:rPr>
          <w:rFonts w:ascii="Calibri" w:cs="Calibri" w:eastAsia="Calibri" w:hAnsi="Calibri"/>
          <w:color w:val="333333"/>
          <w:sz w:val="22"/>
          <w:szCs w:val="22"/>
        </w:rPr>
        <w:t xml:space="preserve">Offer to do a free careers talk at a local college about the construction/shopfitting trade. Schools sometimes link to visiting speakers on their news pages — and .ac.uk links carry strong authority.</w:t>
      </w:r>
    </w:p>
    <w:p>
      <w:pPr>
        <w:spacing w:after="200"/>
      </w:pPr>
    </w:p>
    <w:p>
      <w:pPr>
        <w:pStyle w:val="Heading1"/>
      </w:pPr>
      <w:r>
        <w:rPr>
          <w:rFonts w:ascii="Calibri" w:cs="Calibri" w:eastAsia="Calibri" w:hAnsi="Calibri"/>
          <w:b/>
          <w:bCs/>
          <w:color w:val="1A1A2E"/>
          <w:sz w:val="32"/>
          <w:szCs w:val="32"/>
        </w:rPr>
        <w:t xml:space="preserve">7. What NOT to Do</w:t>
      </w:r>
    </w:p>
    <w:p>
      <w:pPr>
        <w:spacing w:after="100"/>
      </w:pPr>
      <w:r>
        <w:rPr>
          <w:rFonts w:ascii="Calibri" w:cs="Calibri" w:eastAsia="Calibri" w:hAnsi="Calibri"/>
          <w:color w:val="333333"/>
          <w:sz w:val="22"/>
          <w:szCs w:val="22"/>
        </w:rPr>
        <w:t xml:space="preserve">These will get you penalised by Google:</w:t>
      </w:r>
    </w:p>
    <w:p>
      <w:pPr>
        <w:spacing w:after="100"/>
        <w:ind w:left="200"/>
      </w:pPr>
      <w:r>
        <w:rPr>
          <w:rFonts w:ascii="Calibri" w:cs="Calibri" w:eastAsia="Calibri" w:hAnsi="Calibri"/>
          <w:b/>
          <w:bCs/>
          <w:color w:val="CC0000"/>
          <w:sz w:val="22"/>
          <w:szCs w:val="22"/>
        </w:rPr>
        <w:t xml:space="preserve">✗  </w:t>
      </w:r>
      <w:r>
        <w:rPr>
          <w:rFonts w:ascii="Calibri" w:cs="Calibri" w:eastAsia="Calibri" w:hAnsi="Calibri"/>
          <w:color w:val="333333"/>
          <w:sz w:val="22"/>
          <w:szCs w:val="22"/>
        </w:rPr>
        <w:t xml:space="preserve">Do NOT buy backlinks from Fiverr, SEO agencies offering "500 backlinks for £50", or any PBN (private blog network) service.</w:t>
      </w:r>
    </w:p>
    <w:p>
      <w:pPr>
        <w:spacing w:after="100"/>
        <w:ind w:left="200"/>
      </w:pPr>
      <w:r>
        <w:rPr>
          <w:rFonts w:ascii="Calibri" w:cs="Calibri" w:eastAsia="Calibri" w:hAnsi="Calibri"/>
          <w:b/>
          <w:bCs/>
          <w:color w:val="CC0000"/>
          <w:sz w:val="22"/>
          <w:szCs w:val="22"/>
        </w:rPr>
        <w:t xml:space="preserve">✗  </w:t>
      </w:r>
      <w:r>
        <w:rPr>
          <w:rFonts w:ascii="Calibri" w:cs="Calibri" w:eastAsia="Calibri" w:hAnsi="Calibri"/>
          <w:color w:val="333333"/>
          <w:sz w:val="22"/>
          <w:szCs w:val="22"/>
        </w:rPr>
        <w:t xml:space="preserve">Do NOT submit to hundreds of low-quality directories. 30–50 quality citations beat 300 spammy ones.</w:t>
      </w:r>
    </w:p>
    <w:p>
      <w:pPr>
        <w:spacing w:after="100"/>
        <w:ind w:left="200"/>
      </w:pPr>
      <w:r>
        <w:rPr>
          <w:rFonts w:ascii="Calibri" w:cs="Calibri" w:eastAsia="Calibri" w:hAnsi="Calibri"/>
          <w:b/>
          <w:bCs/>
          <w:color w:val="CC0000"/>
          <w:sz w:val="22"/>
          <w:szCs w:val="22"/>
        </w:rPr>
        <w:t xml:space="preserve">✗  </w:t>
      </w:r>
      <w:r>
        <w:rPr>
          <w:rFonts w:ascii="Calibri" w:cs="Calibri" w:eastAsia="Calibri" w:hAnsi="Calibri"/>
          <w:color w:val="333333"/>
          <w:sz w:val="22"/>
          <w:szCs w:val="22"/>
        </w:rPr>
        <w:t xml:space="preserve">Do NOT use exact-match anchor text everywhere (e.g., "aluminium shopfronts London" as link text). Vary it naturally — use your brand name, "visit website", "learn more", etc.</w:t>
      </w:r>
    </w:p>
    <w:p>
      <w:pPr>
        <w:spacing w:after="100"/>
        <w:ind w:left="200"/>
      </w:pPr>
      <w:r>
        <w:rPr>
          <w:rFonts w:ascii="Calibri" w:cs="Calibri" w:eastAsia="Calibri" w:hAnsi="Calibri"/>
          <w:b/>
          <w:bCs/>
          <w:color w:val="CC0000"/>
          <w:sz w:val="22"/>
          <w:szCs w:val="22"/>
        </w:rPr>
        <w:t xml:space="preserve">✗  </w:t>
      </w:r>
      <w:r>
        <w:rPr>
          <w:rFonts w:ascii="Calibri" w:cs="Calibri" w:eastAsia="Calibri" w:hAnsi="Calibri"/>
          <w:color w:val="333333"/>
          <w:sz w:val="22"/>
          <w:szCs w:val="22"/>
        </w:rPr>
        <w:t xml:space="preserve">Do NOT exchange links with unrelated businesses. A link swap with a plumber is fine; a link from a casino site will hurt you.</w:t>
      </w:r>
    </w:p>
    <w:p>
      <w:pPr>
        <w:spacing w:after="100"/>
        <w:ind w:left="200"/>
      </w:pPr>
      <w:r>
        <w:rPr>
          <w:rFonts w:ascii="Calibri" w:cs="Calibri" w:eastAsia="Calibri" w:hAnsi="Calibri"/>
          <w:b/>
          <w:bCs/>
          <w:color w:val="CC0000"/>
          <w:sz w:val="22"/>
          <w:szCs w:val="22"/>
        </w:rPr>
        <w:t xml:space="preserve">✗  </w:t>
      </w:r>
      <w:r>
        <w:rPr>
          <w:rFonts w:ascii="Calibri" w:cs="Calibri" w:eastAsia="Calibri" w:hAnsi="Calibri"/>
          <w:color w:val="333333"/>
          <w:sz w:val="22"/>
          <w:szCs w:val="22"/>
        </w:rPr>
        <w:t xml:space="preserve">Do NOT create fake reviews or testimonials to generate links. Google's spam detection is very advanced in 2026.</w:t>
      </w:r>
    </w:p>
    <w:p>
      <w:r>
        <w:br w:type="page"/>
      </w:r>
    </w:p>
    <w:p>
      <w:pPr>
        <w:pStyle w:val="Heading1"/>
      </w:pPr>
      <w:r>
        <w:rPr>
          <w:rFonts w:ascii="Calibri" w:cs="Calibri" w:eastAsia="Calibri" w:hAnsi="Calibri"/>
          <w:b/>
          <w:bCs/>
          <w:color w:val="1A1A2E"/>
          <w:sz w:val="32"/>
          <w:szCs w:val="32"/>
        </w:rPr>
        <w:t xml:space="preserve">8. 90-Day Action Plan</w:t>
      </w:r>
    </w:p>
    <w:p>
      <w:pPr>
        <w:spacing w:after="200"/>
      </w:pPr>
      <w:r>
        <w:rPr>
          <w:rFonts w:ascii="Calibri" w:cs="Calibri" w:eastAsia="Calibri" w:hAnsi="Calibri"/>
          <w:color w:val="333333"/>
          <w:sz w:val="22"/>
          <w:szCs w:val="22"/>
        </w:rPr>
        <w:t xml:space="preserve">Follow this timeline to build 30–40 quality backlinks within 3 months: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4120"/>
        <w:gridCol w:w="2120"/>
        <w:gridCol w:w="2000"/>
      </w:tblGrid>
      <w:tr>
        <w:tc>
          <w:tcPr>
            <w:tcW w:type="dxa" w:w="1600"/>
            <w:shd w:fill="1A1A2E" w:val="clear"/>
          </w:tcPr>
          <w:p>
            <w:pPr>
              <w:spacing w:after="50" w:before="50"/>
            </w:pPr>
            <w:r>
              <w:rPr>
                <w:rFonts w:ascii="Calibri" w:cs="Calibri" w:eastAsia="Calibri" w:hAnsi="Calibri"/>
                <w:b/>
                <w:bCs/>
                <w:color w:val="FFFFFF"/>
                <w:sz w:val="18"/>
                <w:szCs w:val="18"/>
              </w:rPr>
              <w:t xml:space="preserve">Week</w:t>
            </w:r>
          </w:p>
        </w:tc>
        <w:tc>
          <w:tcPr>
            <w:tcW w:type="dxa" w:w="4120"/>
            <w:shd w:fill="1A1A2E" w:val="clear"/>
          </w:tcPr>
          <w:p>
            <w:pPr>
              <w:spacing w:after="50" w:before="50"/>
            </w:pPr>
            <w:r>
              <w:rPr>
                <w:rFonts w:ascii="Calibri" w:cs="Calibri" w:eastAsia="Calibri" w:hAnsi="Calibri"/>
                <w:b/>
                <w:bCs/>
                <w:color w:val="FFFFFF"/>
                <w:sz w:val="18"/>
                <w:szCs w:val="18"/>
              </w:rPr>
              <w:t xml:space="preserve">Action</w:t>
            </w:r>
          </w:p>
        </w:tc>
        <w:tc>
          <w:tcPr>
            <w:tcW w:type="dxa" w:w="2120"/>
            <w:shd w:fill="1A1A2E" w:val="clear"/>
          </w:tcPr>
          <w:p>
            <w:pPr>
              <w:spacing w:after="50" w:before="50"/>
            </w:pPr>
            <w:r>
              <w:rPr>
                <w:rFonts w:ascii="Calibri" w:cs="Calibri" w:eastAsia="Calibri" w:hAnsi="Calibri"/>
                <w:b/>
                <w:bCs/>
                <w:color w:val="FFFFFF"/>
                <w:sz w:val="18"/>
                <w:szCs w:val="18"/>
              </w:rPr>
              <w:t xml:space="preserve">Links Expected</w:t>
            </w:r>
          </w:p>
        </w:tc>
        <w:tc>
          <w:tcPr>
            <w:tcW w:type="dxa" w:w="2000"/>
            <w:shd w:fill="1A1A2E" w:val="clear"/>
          </w:tcPr>
          <w:p>
            <w:pPr>
              <w:spacing w:after="50" w:before="50"/>
            </w:pPr>
            <w:r>
              <w:rPr>
                <w:rFonts w:ascii="Calibri" w:cs="Calibri" w:eastAsia="Calibri" w:hAnsi="Calibri"/>
                <w:b/>
                <w:bCs/>
                <w:color w:val="FFFFFF"/>
                <w:sz w:val="18"/>
                <w:szCs w:val="18"/>
              </w:rPr>
              <w:t xml:space="preserve">Est. Cost</w:t>
            </w:r>
          </w:p>
        </w:tc>
      </w:tr>
      <w:tr>
        <w:tc>
          <w:tcPr>
            <w:tcW w:type="dxa" w:w="1600"/>
            <w:shd w:fill="FFF8E7" w:val="clear"/>
          </w:tcPr>
          <w:p>
            <w:pPr>
              <w:spacing w:after="30" w:before="30"/>
            </w:pPr>
            <w:r>
              <w:rPr>
                <w:rFonts w:ascii="Calibri" w:cs="Calibri" w:eastAsia="Calibri" w:hAnsi="Calibri"/>
                <w:color w:val="333333"/>
                <w:sz w:val="18"/>
                <w:szCs w:val="18"/>
              </w:rPr>
              <w:t xml:space="preserve">Week 1</w:t>
            </w:r>
          </w:p>
        </w:tc>
        <w:tc>
          <w:tcPr>
            <w:tcW w:type="dxa" w:w="4120"/>
          </w:tcPr>
          <w:p>
            <w:pPr>
              <w:spacing w:after="30" w:before="30"/>
            </w:pPr>
            <w:r>
              <w:rPr>
                <w:rFonts w:ascii="Calibri" w:cs="Calibri" w:eastAsia="Calibri" w:hAnsi="Calibri"/>
                <w:color w:val="333333"/>
                <w:sz w:val="18"/>
                <w:szCs w:val="18"/>
              </w:rPr>
              <w:t xml:space="preserve">Google Business Profile (both), Bing Places, Apple Business Connect</w:t>
            </w:r>
          </w:p>
        </w:tc>
        <w:tc>
          <w:tcPr>
            <w:tcW w:type="dxa" w:w="2120"/>
          </w:tcPr>
          <w:p>
            <w:pPr>
              <w:spacing w:after="30" w:before="30"/>
            </w:pPr>
            <w:r>
              <w:rPr>
                <w:rFonts w:ascii="Calibri" w:cs="Calibri" w:eastAsia="Calibri" w:hAnsi="Calibri"/>
                <w:color w:val="333333"/>
                <w:sz w:val="18"/>
                <w:szCs w:val="18"/>
              </w:rPr>
              <w:t xml:space="preserve">6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1</w:t>
            </w:r>
          </w:p>
        </w:tc>
        <w:tc>
          <w:tcPr>
            <w:tcW w:type="dxa" w:w="4120"/>
          </w:tcPr>
          <w:p>
            <w:pPr>
              <w:spacing w:after="30" w:before="30"/>
            </w:pPr>
            <w:r>
              <w:rPr>
                <w:rFonts w:ascii="Calibri" w:cs="Calibri" w:eastAsia="Calibri" w:hAnsi="Calibri"/>
                <w:color w:val="333333"/>
                <w:sz w:val="18"/>
                <w:szCs w:val="18"/>
              </w:rPr>
              <w:t xml:space="preserve">Yell, FreeIndex, Thomson Local, Cylex, Scoot listings</w:t>
            </w:r>
          </w:p>
        </w:tc>
        <w:tc>
          <w:tcPr>
            <w:tcW w:type="dxa" w:w="2120"/>
          </w:tcPr>
          <w:p>
            <w:pPr>
              <w:spacing w:after="30" w:before="30"/>
            </w:pPr>
            <w:r>
              <w:rPr>
                <w:rFonts w:ascii="Calibri" w:cs="Calibri" w:eastAsia="Calibri" w:hAnsi="Calibri"/>
                <w:color w:val="333333"/>
                <w:sz w:val="18"/>
                <w:szCs w:val="18"/>
              </w:rPr>
              <w:t xml:space="preserve">10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2</w:t>
            </w:r>
          </w:p>
        </w:tc>
        <w:tc>
          <w:tcPr>
            <w:tcW w:type="dxa" w:w="4120"/>
          </w:tcPr>
          <w:p>
            <w:pPr>
              <w:spacing w:after="30" w:before="30"/>
            </w:pPr>
            <w:r>
              <w:rPr>
                <w:rFonts w:ascii="Calibri" w:cs="Calibri" w:eastAsia="Calibri" w:hAnsi="Calibri"/>
                <w:color w:val="333333"/>
                <w:sz w:val="18"/>
                <w:szCs w:val="18"/>
              </w:rPr>
              <w:t xml:space="preserve">Checkatrade application (both)</w:t>
            </w:r>
          </w:p>
        </w:tc>
        <w:tc>
          <w:tcPr>
            <w:tcW w:type="dxa" w:w="2120"/>
          </w:tcPr>
          <w:p>
            <w:pPr>
              <w:spacing w:after="30" w:before="30"/>
            </w:pPr>
            <w:r>
              <w:rPr>
                <w:rFonts w:ascii="Calibri" w:cs="Calibri" w:eastAsia="Calibri" w:hAnsi="Calibri"/>
                <w:color w:val="333333"/>
                <w:sz w:val="18"/>
                <w:szCs w:val="18"/>
              </w:rPr>
              <w:t xml:space="preserve">2 links</w:t>
            </w:r>
          </w:p>
        </w:tc>
        <w:tc>
          <w:tcPr>
            <w:tcW w:type="dxa" w:w="2000"/>
          </w:tcPr>
          <w:p>
            <w:pPr>
              <w:spacing w:after="30" w:before="30"/>
            </w:pPr>
            <w:r>
              <w:rPr>
                <w:rFonts w:ascii="Calibri" w:cs="Calibri" w:eastAsia="Calibri" w:hAnsi="Calibri"/>
                <w:color w:val="333333"/>
                <w:sz w:val="18"/>
                <w:szCs w:val="18"/>
              </w:rPr>
              <w:t xml:space="preserve">~£200/mo total</w:t>
            </w:r>
          </w:p>
        </w:tc>
      </w:tr>
      <w:tr>
        <w:tc>
          <w:tcPr>
            <w:tcW w:type="dxa" w:w="1600"/>
            <w:shd w:fill="FFF8E7" w:val="clear"/>
          </w:tcPr>
          <w:p>
            <w:pPr>
              <w:spacing w:after="30" w:before="30"/>
            </w:pPr>
            <w:r>
              <w:rPr>
                <w:rFonts w:ascii="Calibri" w:cs="Calibri" w:eastAsia="Calibri" w:hAnsi="Calibri"/>
                <w:color w:val="333333"/>
                <w:sz w:val="18"/>
                <w:szCs w:val="18"/>
              </w:rPr>
              <w:t xml:space="preserve">Week 2</w:t>
            </w:r>
          </w:p>
        </w:tc>
        <w:tc>
          <w:tcPr>
            <w:tcW w:type="dxa" w:w="4120"/>
          </w:tcPr>
          <w:p>
            <w:pPr>
              <w:spacing w:after="30" w:before="30"/>
            </w:pPr>
            <w:r>
              <w:rPr>
                <w:rFonts w:ascii="Calibri" w:cs="Calibri" w:eastAsia="Calibri" w:hAnsi="Calibri"/>
                <w:color w:val="333333"/>
                <w:sz w:val="18"/>
                <w:szCs w:val="18"/>
              </w:rPr>
              <w:t xml:space="preserve">TrustATrader, Bark.com, MyBuilder (both)</w:t>
            </w:r>
          </w:p>
        </w:tc>
        <w:tc>
          <w:tcPr>
            <w:tcW w:type="dxa" w:w="2120"/>
          </w:tcPr>
          <w:p>
            <w:pPr>
              <w:spacing w:after="30" w:before="30"/>
            </w:pPr>
            <w:r>
              <w:rPr>
                <w:rFonts w:ascii="Calibri" w:cs="Calibri" w:eastAsia="Calibri" w:hAnsi="Calibri"/>
                <w:color w:val="333333"/>
                <w:sz w:val="18"/>
                <w:szCs w:val="18"/>
              </w:rPr>
              <w:t xml:space="preserve">6 links</w:t>
            </w:r>
          </w:p>
        </w:tc>
        <w:tc>
          <w:tcPr>
            <w:tcW w:type="dxa" w:w="2000"/>
          </w:tcPr>
          <w:p>
            <w:pPr>
              <w:spacing w:after="30" w:before="30"/>
            </w:pPr>
            <w:r>
              <w:rPr>
                <w:rFonts w:ascii="Calibri" w:cs="Calibri" w:eastAsia="Calibri" w:hAnsi="Calibri"/>
                <w:color w:val="333333"/>
                <w:sz w:val="18"/>
                <w:szCs w:val="18"/>
              </w:rPr>
              <w:t xml:space="preserve">~£100/mo total</w:t>
            </w:r>
          </w:p>
        </w:tc>
      </w:tr>
      <w:tr>
        <w:tc>
          <w:tcPr>
            <w:tcW w:type="dxa" w:w="1600"/>
            <w:shd w:fill="FFF8E7" w:val="clear"/>
          </w:tcPr>
          <w:p>
            <w:pPr>
              <w:spacing w:after="30" w:before="30"/>
            </w:pPr>
            <w:r>
              <w:rPr>
                <w:rFonts w:ascii="Calibri" w:cs="Calibri" w:eastAsia="Calibri" w:hAnsi="Calibri"/>
                <w:color w:val="333333"/>
                <w:sz w:val="18"/>
                <w:szCs w:val="18"/>
              </w:rPr>
              <w:t xml:space="preserve">Week 3</w:t>
            </w:r>
          </w:p>
        </w:tc>
        <w:tc>
          <w:tcPr>
            <w:tcW w:type="dxa" w:w="4120"/>
          </w:tcPr>
          <w:p>
            <w:pPr>
              <w:spacing w:after="30" w:before="30"/>
            </w:pPr>
            <w:r>
              <w:rPr>
                <w:rFonts w:ascii="Calibri" w:cs="Calibri" w:eastAsia="Calibri" w:hAnsi="Calibri"/>
                <w:color w:val="333333"/>
                <w:sz w:val="18"/>
                <w:szCs w:val="18"/>
              </w:rPr>
              <w:t xml:space="preserve">Sandwell Council directory, Contracts Finder</w:t>
            </w:r>
          </w:p>
        </w:tc>
        <w:tc>
          <w:tcPr>
            <w:tcW w:type="dxa" w:w="2120"/>
          </w:tcPr>
          <w:p>
            <w:pPr>
              <w:spacing w:after="30" w:before="30"/>
            </w:pPr>
            <w:r>
              <w:rPr>
                <w:rFonts w:ascii="Calibri" w:cs="Calibri" w:eastAsia="Calibri" w:hAnsi="Calibri"/>
                <w:color w:val="333333"/>
                <w:sz w:val="18"/>
                <w:szCs w:val="18"/>
              </w:rPr>
              <w:t xml:space="preserve">2–4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3</w:t>
            </w:r>
          </w:p>
        </w:tc>
        <w:tc>
          <w:tcPr>
            <w:tcW w:type="dxa" w:w="4120"/>
          </w:tcPr>
          <w:p>
            <w:pPr>
              <w:spacing w:after="30" w:before="30"/>
            </w:pPr>
            <w:r>
              <w:rPr>
                <w:rFonts w:ascii="Calibri" w:cs="Calibri" w:eastAsia="Calibri" w:hAnsi="Calibri"/>
                <w:color w:val="333333"/>
                <w:sz w:val="18"/>
                <w:szCs w:val="18"/>
              </w:rPr>
              <w:t xml:space="preserve">Chamber of Commerce membership (pick one)</w:t>
            </w:r>
          </w:p>
        </w:tc>
        <w:tc>
          <w:tcPr>
            <w:tcW w:type="dxa" w:w="2120"/>
          </w:tcPr>
          <w:p>
            <w:pPr>
              <w:spacing w:after="30" w:before="30"/>
            </w:pPr>
            <w:r>
              <w:rPr>
                <w:rFonts w:ascii="Calibri" w:cs="Calibri" w:eastAsia="Calibri" w:hAnsi="Calibri"/>
                <w:color w:val="333333"/>
                <w:sz w:val="18"/>
                <w:szCs w:val="18"/>
              </w:rPr>
              <w:t xml:space="preserve">1–2 links</w:t>
            </w:r>
          </w:p>
        </w:tc>
        <w:tc>
          <w:tcPr>
            <w:tcW w:type="dxa" w:w="2000"/>
          </w:tcPr>
          <w:p>
            <w:pPr>
              <w:spacing w:after="30" w:before="30"/>
            </w:pPr>
            <w:r>
              <w:rPr>
                <w:rFonts w:ascii="Calibri" w:cs="Calibri" w:eastAsia="Calibri" w:hAnsi="Calibri"/>
                <w:color w:val="333333"/>
                <w:sz w:val="18"/>
                <w:szCs w:val="18"/>
              </w:rPr>
              <w:t xml:space="preserve">£200–400/yr</w:t>
            </w:r>
          </w:p>
        </w:tc>
      </w:tr>
      <w:tr>
        <w:tc>
          <w:tcPr>
            <w:tcW w:type="dxa" w:w="1600"/>
            <w:shd w:fill="FFF8E7" w:val="clear"/>
          </w:tcPr>
          <w:p>
            <w:pPr>
              <w:spacing w:after="30" w:before="30"/>
            </w:pPr>
            <w:r>
              <w:rPr>
                <w:rFonts w:ascii="Calibri" w:cs="Calibri" w:eastAsia="Calibri" w:hAnsi="Calibri"/>
                <w:color w:val="333333"/>
                <w:sz w:val="18"/>
                <w:szCs w:val="18"/>
              </w:rPr>
              <w:t xml:space="preserve">Week 4</w:t>
            </w:r>
          </w:p>
        </w:tc>
        <w:tc>
          <w:tcPr>
            <w:tcW w:type="dxa" w:w="4120"/>
          </w:tcPr>
          <w:p>
            <w:pPr>
              <w:spacing w:after="30" w:before="30"/>
            </w:pPr>
            <w:r>
              <w:rPr>
                <w:rFonts w:ascii="Calibri" w:cs="Calibri" w:eastAsia="Calibri" w:hAnsi="Calibri"/>
                <w:color w:val="333333"/>
                <w:sz w:val="18"/>
                <w:szCs w:val="18"/>
              </w:rPr>
              <w:t xml:space="preserve">FSB membership</w:t>
            </w:r>
          </w:p>
        </w:tc>
        <w:tc>
          <w:tcPr>
            <w:tcW w:type="dxa" w:w="2120"/>
          </w:tcPr>
          <w:p>
            <w:pPr>
              <w:spacing w:after="30" w:before="30"/>
            </w:pPr>
            <w:r>
              <w:rPr>
                <w:rFonts w:ascii="Calibri" w:cs="Calibri" w:eastAsia="Calibri" w:hAnsi="Calibri"/>
                <w:color w:val="333333"/>
                <w:sz w:val="18"/>
                <w:szCs w:val="18"/>
              </w:rPr>
              <w:t xml:space="preserve">1 link</w:t>
            </w:r>
          </w:p>
        </w:tc>
        <w:tc>
          <w:tcPr>
            <w:tcW w:type="dxa" w:w="2000"/>
          </w:tcPr>
          <w:p>
            <w:pPr>
              <w:spacing w:after="30" w:before="30"/>
            </w:pPr>
            <w:r>
              <w:rPr>
                <w:rFonts w:ascii="Calibri" w:cs="Calibri" w:eastAsia="Calibri" w:hAnsi="Calibri"/>
                <w:color w:val="333333"/>
                <w:sz w:val="18"/>
                <w:szCs w:val="18"/>
              </w:rPr>
              <w:t xml:space="preserve">£170/yr</w:t>
            </w:r>
          </w:p>
        </w:tc>
      </w:tr>
      <w:tr>
        <w:tc>
          <w:tcPr>
            <w:tcW w:type="dxa" w:w="1600"/>
            <w:shd w:fill="FFF8E7" w:val="clear"/>
          </w:tcPr>
          <w:p>
            <w:pPr>
              <w:spacing w:after="30" w:before="30"/>
            </w:pPr>
            <w:r>
              <w:rPr>
                <w:rFonts w:ascii="Calibri" w:cs="Calibri" w:eastAsia="Calibri" w:hAnsi="Calibri"/>
                <w:color w:val="333333"/>
                <w:sz w:val="18"/>
                <w:szCs w:val="18"/>
              </w:rPr>
              <w:t xml:space="preserve">Week 4</w:t>
            </w:r>
          </w:p>
        </w:tc>
        <w:tc>
          <w:tcPr>
            <w:tcW w:type="dxa" w:w="4120"/>
          </w:tcPr>
          <w:p>
            <w:pPr>
              <w:spacing w:after="30" w:before="30"/>
            </w:pPr>
            <w:r>
              <w:rPr>
                <w:rFonts w:ascii="Calibri" w:cs="Calibri" w:eastAsia="Calibri" w:hAnsi="Calibri"/>
                <w:color w:val="333333"/>
                <w:sz w:val="18"/>
                <w:szCs w:val="18"/>
              </w:rPr>
              <w:t xml:space="preserve">Contact aluminium suppliers for installer listing</w:t>
            </w:r>
          </w:p>
        </w:tc>
        <w:tc>
          <w:tcPr>
            <w:tcW w:type="dxa" w:w="2120"/>
          </w:tcPr>
          <w:p>
            <w:pPr>
              <w:spacing w:after="30" w:before="30"/>
            </w:pPr>
            <w:r>
              <w:rPr>
                <w:rFonts w:ascii="Calibri" w:cs="Calibri" w:eastAsia="Calibri" w:hAnsi="Calibri"/>
                <w:color w:val="333333"/>
                <w:sz w:val="18"/>
                <w:szCs w:val="18"/>
              </w:rPr>
              <w:t xml:space="preserve">1–3 links</w:t>
            </w:r>
          </w:p>
        </w:tc>
        <w:tc>
          <w:tcPr>
            <w:tcW w:type="dxa" w:w="2000"/>
          </w:tcPr>
          <w:p>
            <w:pPr>
              <w:spacing w:after="30" w:before="30"/>
            </w:pPr>
            <w:r>
              <w:rPr>
                <w:rFonts w:ascii="Calibri" w:cs="Calibri" w:eastAsia="Calibri" w:hAnsi="Calibri"/>
                <w:color w:val="333333"/>
                <w:sz w:val="18"/>
                <w:szCs w:val="18"/>
              </w:rPr>
              <w:t xml:space="preserve">Free (existing relationship)</w:t>
            </w:r>
          </w:p>
        </w:tc>
      </w:tr>
      <w:tr>
        <w:tc>
          <w:tcPr>
            <w:tcW w:type="dxa" w:w="1600"/>
            <w:shd w:fill="FFF8E7" w:val="clear"/>
          </w:tcPr>
          <w:p>
            <w:pPr>
              <w:spacing w:after="30" w:before="30"/>
            </w:pPr>
            <w:r>
              <w:rPr>
                <w:rFonts w:ascii="Calibri" w:cs="Calibri" w:eastAsia="Calibri" w:hAnsi="Calibri"/>
                <w:color w:val="333333"/>
                <w:sz w:val="18"/>
                <w:szCs w:val="18"/>
              </w:rPr>
              <w:t xml:space="preserve">Week 5–6</w:t>
            </w:r>
          </w:p>
        </w:tc>
        <w:tc>
          <w:tcPr>
            <w:tcW w:type="dxa" w:w="4120"/>
          </w:tcPr>
          <w:p>
            <w:pPr>
              <w:spacing w:after="30" w:before="30"/>
            </w:pPr>
            <w:r>
              <w:rPr>
                <w:rFonts w:ascii="Calibri" w:cs="Calibri" w:eastAsia="Calibri" w:hAnsi="Calibri"/>
                <w:color w:val="333333"/>
                <w:sz w:val="18"/>
                <w:szCs w:val="18"/>
              </w:rPr>
              <w:t xml:space="preserve">GGF or DHF membership application</w:t>
            </w:r>
          </w:p>
        </w:tc>
        <w:tc>
          <w:tcPr>
            <w:tcW w:type="dxa" w:w="2120"/>
          </w:tcPr>
          <w:p>
            <w:pPr>
              <w:spacing w:after="30" w:before="30"/>
            </w:pPr>
            <w:r>
              <w:rPr>
                <w:rFonts w:ascii="Calibri" w:cs="Calibri" w:eastAsia="Calibri" w:hAnsi="Calibri"/>
                <w:color w:val="333333"/>
                <w:sz w:val="18"/>
                <w:szCs w:val="18"/>
              </w:rPr>
              <w:t xml:space="preserve">1–2 links</w:t>
            </w:r>
          </w:p>
        </w:tc>
        <w:tc>
          <w:tcPr>
            <w:tcW w:type="dxa" w:w="2000"/>
          </w:tcPr>
          <w:p>
            <w:pPr>
              <w:spacing w:after="30" w:before="30"/>
            </w:pPr>
            <w:r>
              <w:rPr>
                <w:rFonts w:ascii="Calibri" w:cs="Calibri" w:eastAsia="Calibri" w:hAnsi="Calibri"/>
                <w:color w:val="333333"/>
                <w:sz w:val="18"/>
                <w:szCs w:val="18"/>
              </w:rPr>
              <w:t xml:space="preserve">Varies by membership tier</w:t>
            </w:r>
          </w:p>
        </w:tc>
      </w:tr>
      <w:tr>
        <w:tc>
          <w:tcPr>
            <w:tcW w:type="dxa" w:w="1600"/>
            <w:shd w:fill="FFF8E7" w:val="clear"/>
          </w:tcPr>
          <w:p>
            <w:pPr>
              <w:spacing w:after="30" w:before="30"/>
            </w:pPr>
            <w:r>
              <w:rPr>
                <w:rFonts w:ascii="Calibri" w:cs="Calibri" w:eastAsia="Calibri" w:hAnsi="Calibri"/>
                <w:color w:val="333333"/>
                <w:sz w:val="18"/>
                <w:szCs w:val="18"/>
              </w:rPr>
              <w:t xml:space="preserve">Week 5–6</w:t>
            </w:r>
          </w:p>
        </w:tc>
        <w:tc>
          <w:tcPr>
            <w:tcW w:type="dxa" w:w="4120"/>
          </w:tcPr>
          <w:p>
            <w:pPr>
              <w:spacing w:after="30" w:before="30"/>
            </w:pPr>
            <w:r>
              <w:rPr>
                <w:rFonts w:ascii="Calibri" w:cs="Calibri" w:eastAsia="Calibri" w:hAnsi="Calibri"/>
                <w:color w:val="333333"/>
                <w:sz w:val="18"/>
                <w:szCs w:val="18"/>
              </w:rPr>
              <w:t xml:space="preserve">LinkedIn promotion of cost guide blog post</w:t>
            </w:r>
          </w:p>
        </w:tc>
        <w:tc>
          <w:tcPr>
            <w:tcW w:type="dxa" w:w="2120"/>
          </w:tcPr>
          <w:p>
            <w:pPr>
              <w:spacing w:after="30" w:before="30"/>
            </w:pPr>
            <w:r>
              <w:rPr>
                <w:rFonts w:ascii="Calibri" w:cs="Calibri" w:eastAsia="Calibri" w:hAnsi="Calibri"/>
                <w:color w:val="333333"/>
                <w:sz w:val="18"/>
                <w:szCs w:val="18"/>
              </w:rPr>
              <w:t xml:space="preserve">0–2 natural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7–8</w:t>
            </w:r>
          </w:p>
        </w:tc>
        <w:tc>
          <w:tcPr>
            <w:tcW w:type="dxa" w:w="4120"/>
          </w:tcPr>
          <w:p>
            <w:pPr>
              <w:spacing w:after="30" w:before="30"/>
            </w:pPr>
            <w:r>
              <w:rPr>
                <w:rFonts w:ascii="Calibri" w:cs="Calibri" w:eastAsia="Calibri" w:hAnsi="Calibri"/>
                <w:color w:val="333333"/>
                <w:sz w:val="18"/>
                <w:szCs w:val="18"/>
              </w:rPr>
              <w:t xml:space="preserve">Sign up for HARO/Connectively, respond to queries</w:t>
            </w:r>
          </w:p>
        </w:tc>
        <w:tc>
          <w:tcPr>
            <w:tcW w:type="dxa" w:w="2120"/>
          </w:tcPr>
          <w:p>
            <w:pPr>
              <w:spacing w:after="30" w:before="30"/>
            </w:pPr>
            <w:r>
              <w:rPr>
                <w:rFonts w:ascii="Calibri" w:cs="Calibri" w:eastAsia="Calibri" w:hAnsi="Calibri"/>
                <w:color w:val="333333"/>
                <w:sz w:val="18"/>
                <w:szCs w:val="18"/>
              </w:rPr>
              <w:t xml:space="preserve">0–3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7–8</w:t>
            </w:r>
          </w:p>
        </w:tc>
        <w:tc>
          <w:tcPr>
            <w:tcW w:type="dxa" w:w="4120"/>
          </w:tcPr>
          <w:p>
            <w:pPr>
              <w:spacing w:after="30" w:before="30"/>
            </w:pPr>
            <w:r>
              <w:rPr>
                <w:rFonts w:ascii="Calibri" w:cs="Calibri" w:eastAsia="Calibri" w:hAnsi="Calibri"/>
                <w:color w:val="333333"/>
                <w:sz w:val="18"/>
                <w:szCs w:val="18"/>
              </w:rPr>
              <w:t xml:space="preserve">Pitch 1 guest post to construction blog</w:t>
            </w:r>
          </w:p>
        </w:tc>
        <w:tc>
          <w:tcPr>
            <w:tcW w:type="dxa" w:w="2120"/>
          </w:tcPr>
          <w:p>
            <w:pPr>
              <w:spacing w:after="30" w:before="30"/>
            </w:pPr>
            <w:r>
              <w:rPr>
                <w:rFonts w:ascii="Calibri" w:cs="Calibri" w:eastAsia="Calibri" w:hAnsi="Calibri"/>
                <w:color w:val="333333"/>
                <w:sz w:val="18"/>
                <w:szCs w:val="18"/>
              </w:rPr>
              <w:t xml:space="preserve">1 link</w:t>
            </w:r>
          </w:p>
        </w:tc>
        <w:tc>
          <w:tcPr>
            <w:tcW w:type="dxa" w:w="2000"/>
          </w:tcPr>
          <w:p>
            <w:pPr>
              <w:spacing w:after="30" w:before="30"/>
            </w:pPr>
            <w:r>
              <w:rPr>
                <w:rFonts w:ascii="Calibri" w:cs="Calibri" w:eastAsia="Calibri" w:hAnsi="Calibri"/>
                <w:color w:val="333333"/>
                <w:sz w:val="18"/>
                <w:szCs w:val="18"/>
              </w:rPr>
              <w:t xml:space="preserve">Free (time investment)</w:t>
            </w:r>
          </w:p>
        </w:tc>
      </w:tr>
      <w:tr>
        <w:tc>
          <w:tcPr>
            <w:tcW w:type="dxa" w:w="1600"/>
            <w:shd w:fill="FFF8E7" w:val="clear"/>
          </w:tcPr>
          <w:p>
            <w:pPr>
              <w:spacing w:after="30" w:before="30"/>
            </w:pPr>
            <w:r>
              <w:rPr>
                <w:rFonts w:ascii="Calibri" w:cs="Calibri" w:eastAsia="Calibri" w:hAnsi="Calibri"/>
                <w:color w:val="333333"/>
                <w:sz w:val="18"/>
                <w:szCs w:val="18"/>
              </w:rPr>
              <w:t xml:space="preserve">Week 9–10</w:t>
            </w:r>
          </w:p>
        </w:tc>
        <w:tc>
          <w:tcPr>
            <w:tcW w:type="dxa" w:w="4120"/>
          </w:tcPr>
          <w:p>
            <w:pPr>
              <w:spacing w:after="30" w:before="30"/>
            </w:pPr>
            <w:r>
              <w:rPr>
                <w:rFonts w:ascii="Calibri" w:cs="Calibri" w:eastAsia="Calibri" w:hAnsi="Calibri"/>
                <w:color w:val="333333"/>
                <w:sz w:val="18"/>
                <w:szCs w:val="18"/>
              </w:rPr>
              <w:t xml:space="preserve">Local sports team sponsorship</w:t>
            </w:r>
          </w:p>
        </w:tc>
        <w:tc>
          <w:tcPr>
            <w:tcW w:type="dxa" w:w="2120"/>
          </w:tcPr>
          <w:p>
            <w:pPr>
              <w:spacing w:after="30" w:before="30"/>
            </w:pPr>
            <w:r>
              <w:rPr>
                <w:rFonts w:ascii="Calibri" w:cs="Calibri" w:eastAsia="Calibri" w:hAnsi="Calibri"/>
                <w:color w:val="333333"/>
                <w:sz w:val="18"/>
                <w:szCs w:val="18"/>
              </w:rPr>
              <w:t xml:space="preserve">1–2 links</w:t>
            </w:r>
          </w:p>
        </w:tc>
        <w:tc>
          <w:tcPr>
            <w:tcW w:type="dxa" w:w="2000"/>
          </w:tcPr>
          <w:p>
            <w:pPr>
              <w:spacing w:after="30" w:before="30"/>
            </w:pPr>
            <w:r>
              <w:rPr>
                <w:rFonts w:ascii="Calibri" w:cs="Calibri" w:eastAsia="Calibri" w:hAnsi="Calibri"/>
                <w:color w:val="333333"/>
                <w:sz w:val="18"/>
                <w:szCs w:val="18"/>
              </w:rPr>
              <w:t xml:space="preserve">£200–500</w:t>
            </w:r>
          </w:p>
        </w:tc>
      </w:tr>
      <w:tr>
        <w:tc>
          <w:tcPr>
            <w:tcW w:type="dxa" w:w="1600"/>
            <w:shd w:fill="FFF8E7" w:val="clear"/>
          </w:tcPr>
          <w:p>
            <w:pPr>
              <w:spacing w:after="30" w:before="30"/>
            </w:pPr>
            <w:r>
              <w:rPr>
                <w:rFonts w:ascii="Calibri" w:cs="Calibri" w:eastAsia="Calibri" w:hAnsi="Calibri"/>
                <w:color w:val="333333"/>
                <w:sz w:val="18"/>
                <w:szCs w:val="18"/>
              </w:rPr>
              <w:t xml:space="preserve">Week 9–10</w:t>
            </w:r>
          </w:p>
        </w:tc>
        <w:tc>
          <w:tcPr>
            <w:tcW w:type="dxa" w:w="4120"/>
          </w:tcPr>
          <w:p>
            <w:pPr>
              <w:spacing w:after="30" w:before="30"/>
            </w:pPr>
            <w:r>
              <w:rPr>
                <w:rFonts w:ascii="Calibri" w:cs="Calibri" w:eastAsia="Calibri" w:hAnsi="Calibri"/>
                <w:color w:val="333333"/>
                <w:sz w:val="18"/>
                <w:szCs w:val="18"/>
              </w:rPr>
              <w:t xml:space="preserve">Press release for recent notable project</w:t>
            </w:r>
          </w:p>
        </w:tc>
        <w:tc>
          <w:tcPr>
            <w:tcW w:type="dxa" w:w="2120"/>
          </w:tcPr>
          <w:p>
            <w:pPr>
              <w:spacing w:after="30" w:before="30"/>
            </w:pPr>
            <w:r>
              <w:rPr>
                <w:rFonts w:ascii="Calibri" w:cs="Calibri" w:eastAsia="Calibri" w:hAnsi="Calibri"/>
                <w:color w:val="333333"/>
                <w:sz w:val="18"/>
                <w:szCs w:val="18"/>
              </w:rPr>
              <w:t xml:space="preserve">0–2 links</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11–12</w:t>
            </w:r>
          </w:p>
        </w:tc>
        <w:tc>
          <w:tcPr>
            <w:tcW w:type="dxa" w:w="4120"/>
          </w:tcPr>
          <w:p>
            <w:pPr>
              <w:spacing w:after="30" w:before="30"/>
            </w:pPr>
            <w:r>
              <w:rPr>
                <w:rFonts w:ascii="Calibri" w:cs="Calibri" w:eastAsia="Calibri" w:hAnsi="Calibri"/>
                <w:color w:val="333333"/>
                <w:sz w:val="18"/>
                <w:szCs w:val="18"/>
              </w:rPr>
              <w:t xml:space="preserve">Review all listings for NAP consistency</w:t>
            </w:r>
          </w:p>
        </w:tc>
        <w:tc>
          <w:tcPr>
            <w:tcW w:type="dxa" w:w="2120"/>
          </w:tcPr>
          <w:p>
            <w:pPr>
              <w:spacing w:after="30" w:before="30"/>
            </w:pPr>
            <w:r>
              <w:rPr>
                <w:rFonts w:ascii="Calibri" w:cs="Calibri" w:eastAsia="Calibri" w:hAnsi="Calibri"/>
                <w:color w:val="333333"/>
                <w:sz w:val="18"/>
                <w:szCs w:val="18"/>
              </w:rPr>
              <w:t xml:space="preserve">—</w:t>
            </w:r>
          </w:p>
        </w:tc>
        <w:tc>
          <w:tcPr>
            <w:tcW w:type="dxa" w:w="2000"/>
          </w:tcPr>
          <w:p>
            <w:pPr>
              <w:spacing w:after="30" w:before="30"/>
            </w:pPr>
            <w:r>
              <w:rPr>
                <w:rFonts w:ascii="Calibri" w:cs="Calibri" w:eastAsia="Calibri" w:hAnsi="Calibri"/>
                <w:color w:val="333333"/>
                <w:sz w:val="18"/>
                <w:szCs w:val="18"/>
              </w:rPr>
              <w:t xml:space="preserve">Free</w:t>
            </w:r>
          </w:p>
        </w:tc>
      </w:tr>
      <w:tr>
        <w:tc>
          <w:tcPr>
            <w:tcW w:type="dxa" w:w="1600"/>
            <w:shd w:fill="FFF8E7" w:val="clear"/>
          </w:tcPr>
          <w:p>
            <w:pPr>
              <w:spacing w:after="30" w:before="30"/>
            </w:pPr>
            <w:r>
              <w:rPr>
                <w:rFonts w:ascii="Calibri" w:cs="Calibri" w:eastAsia="Calibri" w:hAnsi="Calibri"/>
                <w:color w:val="333333"/>
                <w:sz w:val="18"/>
                <w:szCs w:val="18"/>
              </w:rPr>
              <w:t xml:space="preserve">Week 11–12</w:t>
            </w:r>
          </w:p>
        </w:tc>
        <w:tc>
          <w:tcPr>
            <w:tcW w:type="dxa" w:w="4120"/>
          </w:tcPr>
          <w:p>
            <w:pPr>
              <w:spacing w:after="30" w:before="30"/>
            </w:pPr>
            <w:r>
              <w:rPr>
                <w:rFonts w:ascii="Calibri" w:cs="Calibri" w:eastAsia="Calibri" w:hAnsi="Calibri"/>
                <w:color w:val="333333"/>
                <w:sz w:val="18"/>
                <w:szCs w:val="18"/>
              </w:rPr>
              <w:t xml:space="preserve">Add 2 case studies to both websites</w:t>
            </w:r>
          </w:p>
        </w:tc>
        <w:tc>
          <w:tcPr>
            <w:tcW w:type="dxa" w:w="2120"/>
          </w:tcPr>
          <w:p>
            <w:pPr>
              <w:spacing w:after="30" w:before="30"/>
            </w:pPr>
            <w:r>
              <w:rPr>
                <w:rFonts w:ascii="Calibri" w:cs="Calibri" w:eastAsia="Calibri" w:hAnsi="Calibri"/>
                <w:color w:val="333333"/>
                <w:sz w:val="18"/>
                <w:szCs w:val="18"/>
              </w:rPr>
              <w:t xml:space="preserve">—</w:t>
            </w:r>
          </w:p>
        </w:tc>
        <w:tc>
          <w:tcPr>
            <w:tcW w:type="dxa" w:w="2000"/>
          </w:tcPr>
          <w:p>
            <w:pPr>
              <w:spacing w:after="30" w:before="30"/>
            </w:pPr>
            <w:r>
              <w:rPr>
                <w:rFonts w:ascii="Calibri" w:cs="Calibri" w:eastAsia="Calibri" w:hAnsi="Calibri"/>
                <w:color w:val="333333"/>
                <w:sz w:val="18"/>
                <w:szCs w:val="18"/>
              </w:rPr>
              <w:t xml:space="preserve">Free</w:t>
            </w:r>
          </w:p>
        </w:tc>
      </w:tr>
    </w:tbl>
    <w:p>
      <w:pPr>
        <w:spacing w:after="300"/>
      </w:pPr>
    </w:p>
    <w:p>
      <w:pPr>
        <w:pStyle w:val="Heading1"/>
      </w:pPr>
      <w:r>
        <w:rPr>
          <w:rFonts w:ascii="Calibri" w:cs="Calibri" w:eastAsia="Calibri" w:hAnsi="Calibri"/>
          <w:b/>
          <w:bCs/>
          <w:color w:val="1A1A2E"/>
          <w:sz w:val="32"/>
          <w:szCs w:val="32"/>
        </w:rPr>
        <w:t xml:space="preserve">9. Expected Impact</w:t>
      </w:r>
    </w:p>
    <w:p>
      <w:pPr>
        <w:spacing w:after="150"/>
      </w:pPr>
      <w:r>
        <w:rPr>
          <w:rFonts w:ascii="Calibri" w:cs="Calibri" w:eastAsia="Calibri" w:hAnsi="Calibri"/>
          <w:color w:val="333333"/>
          <w:sz w:val="22"/>
          <w:szCs w:val="22"/>
        </w:rPr>
        <w:t xml:space="preserve">With 30–40 quality backlinks built over 90 days, combined with your already strong on-page SEO:</w:t>
      </w:r>
    </w:p>
    <w:p>
      <w:pPr>
        <w:spacing w:after="100"/>
        <w:ind w:left="200"/>
      </w:pPr>
      <w:r>
        <w:rPr>
          <w:rFonts w:ascii="Calibri" w:cs="Calibri" w:eastAsia="Calibri" w:hAnsi="Calibri"/>
          <w:b/>
          <w:bCs/>
          <w:color w:val="D4A843"/>
          <w:sz w:val="22"/>
          <w:szCs w:val="22"/>
        </w:rPr>
        <w:t xml:space="preserve">→  </w:t>
      </w:r>
      <w:r>
        <w:rPr>
          <w:rFonts w:ascii="Calibri" w:cs="Calibri" w:eastAsia="Calibri" w:hAnsi="Calibri"/>
          <w:color w:val="333333"/>
          <w:sz w:val="22"/>
          <w:szCs w:val="22"/>
        </w:rPr>
        <w:t xml:space="preserve">Keywords currently at positions 13–20 (page 2) should move to positions 5–10 (page 1) within 3–6 months.</w:t>
      </w:r>
    </w:p>
    <w:p>
      <w:pPr>
        <w:spacing w:after="100"/>
        <w:ind w:left="200"/>
      </w:pPr>
      <w:r>
        <w:rPr>
          <w:rFonts w:ascii="Calibri" w:cs="Calibri" w:eastAsia="Calibri" w:hAnsi="Calibri"/>
          <w:b/>
          <w:bCs/>
          <w:color w:val="D4A843"/>
          <w:sz w:val="22"/>
          <w:szCs w:val="22"/>
        </w:rPr>
        <w:t xml:space="preserve">→  </w:t>
      </w:r>
      <w:r>
        <w:rPr>
          <w:rFonts w:ascii="Calibri" w:cs="Calibri" w:eastAsia="Calibri" w:hAnsi="Calibri"/>
          <w:color w:val="333333"/>
          <w:sz w:val="22"/>
          <w:szCs w:val="22"/>
        </w:rPr>
        <w:t xml:space="preserve">High-volume terms like "shopfronts" (2,028 impressions) at position 16.6 could realistically reach page 1 within 6 months.</w:t>
      </w:r>
    </w:p>
    <w:p>
      <w:pPr>
        <w:spacing w:after="100"/>
        <w:ind w:left="200"/>
      </w:pPr>
      <w:r>
        <w:rPr>
          <w:rFonts w:ascii="Calibri" w:cs="Calibri" w:eastAsia="Calibri" w:hAnsi="Calibri"/>
          <w:b/>
          <w:bCs/>
          <w:color w:val="D4A843"/>
          <w:sz w:val="22"/>
          <w:szCs w:val="22"/>
        </w:rPr>
        <w:t xml:space="preserve">→  </w:t>
      </w:r>
      <w:r>
        <w:rPr>
          <w:rFonts w:ascii="Calibri" w:cs="Calibri" w:eastAsia="Calibri" w:hAnsi="Calibri"/>
          <w:color w:val="333333"/>
          <w:sz w:val="22"/>
          <w:szCs w:val="22"/>
        </w:rPr>
        <w:t xml:space="preserve">Local queries with city modifiers ("shopfronts birmingham", "shopfronts london") should see the fastest improvement from local citations.</w:t>
      </w:r>
    </w:p>
    <w:p>
      <w:pPr>
        <w:spacing w:after="100"/>
        <w:ind w:left="200"/>
      </w:pPr>
      <w:r>
        <w:rPr>
          <w:rFonts w:ascii="Calibri" w:cs="Calibri" w:eastAsia="Calibri" w:hAnsi="Calibri"/>
          <w:b/>
          <w:bCs/>
          <w:color w:val="D4A843"/>
          <w:sz w:val="22"/>
          <w:szCs w:val="22"/>
        </w:rPr>
        <w:t xml:space="preserve">→  </w:t>
      </w:r>
      <w:r>
        <w:rPr>
          <w:rFonts w:ascii="Calibri" w:cs="Calibri" w:eastAsia="Calibri" w:hAnsi="Calibri"/>
          <w:color w:val="333333"/>
          <w:sz w:val="22"/>
          <w:szCs w:val="22"/>
        </w:rPr>
        <w:t xml:space="preserve">Google Business Profile optimisation alone can get you into the Local Pack (map results) which appears above organic results.</w:t>
      </w:r>
    </w:p>
    <w:p>
      <w:pPr>
        <w:spacing w:after="100"/>
        <w:ind w:left="200"/>
      </w:pPr>
      <w:r>
        <w:rPr>
          <w:rFonts w:ascii="Calibri" w:cs="Calibri" w:eastAsia="Calibri" w:hAnsi="Calibri"/>
          <w:b/>
          <w:bCs/>
          <w:color w:val="D4A843"/>
          <w:sz w:val="22"/>
          <w:szCs w:val="22"/>
        </w:rPr>
        <w:t xml:space="preserve">→  </w:t>
      </w:r>
      <w:r>
        <w:rPr>
          <w:rFonts w:ascii="Calibri" w:cs="Calibri" w:eastAsia="Calibri" w:hAnsi="Calibri"/>
          <w:color w:val="333333"/>
          <w:sz w:val="22"/>
          <w:szCs w:val="22"/>
        </w:rPr>
        <w:t xml:space="preserve">Expect organic clicks to grow from ~120/quarter to 500+/quarter within 6 months as positions improve.</w:t>
      </w:r>
    </w:p>
    <w:p>
      <w:pPr>
        <w:spacing w:after="200"/>
      </w:pPr>
    </w:p>
    <w:p>
      <w:pPr>
        <w:pBdr>
          <w:top w:val="single" w:color="D4A843" w:sz="6" w:space="8"/>
        </w:pBdr>
        <w:spacing w:after="200" w:before="200"/>
      </w:pPr>
      <w:r>
        <w:rPr>
          <w:rFonts w:ascii="Calibri" w:cs="Calibri" w:eastAsia="Calibri" w:hAnsi="Calibri"/>
          <w:b/>
          <w:bCs/>
          <w:color w:val="1A1A2E"/>
          <w:sz w:val="22"/>
          <w:szCs w:val="22"/>
        </w:rPr>
        <w:t xml:space="preserve">Bottom line: </w:t>
      </w:r>
      <w:r>
        <w:rPr>
          <w:rFonts w:ascii="Calibri" w:cs="Calibri" w:eastAsia="Calibri" w:hAnsi="Calibri"/>
          <w:color w:val="333333"/>
          <w:sz w:val="22"/>
          <w:szCs w:val="22"/>
        </w:rPr>
        <w:t xml:space="preserve">Your technical SEO is done. The only thing standing between you and page 1 is authority — and authority comes from backlinks. This plan gives you the fastest, safest path to building it.</w:t>
      </w:r>
    </w:p>
    <w:sectPr>
      <w:headerReference w:type="default" r:id="rId7"/>
      <w:footerReference w:type="default" r:id="rId8"/>
      <w:pgSz w:w="12240" w:h="15840" w:orient="portrait"/>
      <w:pgMar w:top="1200" w:right="1200" w:bottom="10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Prepared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BACKLINK STRATEGY — URBAN SHOPFRONTS &amp; SIGMA SHOP FRONTS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2026-07-11T18:30:06.881Z</dcterms:created>
  <dcterms:modified xsi:type="dcterms:W3CDTF">2026-07-11T18:30:06.904Z</dcterms:modified>
</cp:coreProperties>
</file>

<file path=docProps/custom.xml><?xml version="1.0" encoding="utf-8"?>
<Properties xmlns="http://schemas.openxmlformats.org/officeDocument/2006/custom-properties" xmlns:vt="http://schemas.openxmlformats.org/officeDocument/2006/docPropsVTypes"/>
</file>