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26"/>
        </w:rPr>
        <w:t>ПРОТОКОЛ РАЗНОГЛАСИЙ</w:t>
      </w:r>
    </w:p>
    <w:p>
      <w:pPr>
        <w:spacing w:after="0"/>
        <w:jc w:val="center"/>
      </w:pPr>
      <w:r>
        <w:rPr>
          <w:b/>
        </w:rPr>
        <w:t>к Договору № 1 от «01» октября 2026 г.</w:t>
      </w:r>
    </w:p>
    <w:p>
      <w:pPr>
        <w:spacing w:after="160"/>
        <w:jc w:val="center"/>
      </w:pPr>
      <w:r>
        <w:rPr>
          <w:b/>
        </w:rPr>
        <w:t>на проведение мероприятий/обслуживание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t>г. Новосибирск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«___» ____________ 2026 г.</w:t>
            </w:r>
          </w:p>
        </w:tc>
      </w:tr>
    </w:tbl>
    <w:p>
      <w:pPr>
        <w:spacing w:after="80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</w:rPr>
        <w:t>ООО «Янтарь», именуемое в дальнейшем «ИСПОЛНИТЕЛЬ», в лице директора Голованцова Василия Викторовича, действующего на основании устава, с одной стороны, и ООО «Трансфер Кэа», именуемое в дальнейшем «ЗАКАЗЧИК», в лице генерального директора Сарайкина Дмитрия Васильевича, действующего на основании устава, с другой стороны, совместно именуемые «Стороны», рассмотрев разногласия по Договору № 1 от «01» октября 2026 г. на проведение мероприятий/обслуживание (далее – «Договор»), пришли к соглашению о нижеследующем:</w:t>
      </w:r>
    </w:p>
    <w:p>
      <w:pPr>
        <w:spacing w:after="120"/>
        <w:jc w:val="both"/>
      </w:pPr>
      <w:r>
        <w:rPr>
          <w:b w:val="0"/>
        </w:rPr>
        <w:t>1. Пункты Договора изложить (исключить, дополнить) в следующей редакции: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644"/>
        <w:gridCol w:w="7030"/>
      </w:tblGrid>
      <w:tr>
        <w:trPr>
          <w:tblHeader w:val="true"/>
        </w:trPr>
        <w:tc>
          <w:tcPr>
            <w:tcW w:type="dxa" w:w="624"/>
            <w:shd w:val="clear" w:fill="E7E6E6"/>
          </w:tcPr>
          <w:p>
            <w:pPr>
              <w:jc w:val="center"/>
            </w:pPr>
            <w:r/>
            <w:r>
              <w:rPr>
                <w:b/>
              </w:rPr>
              <w:t>№</w:t>
            </w:r>
          </w:p>
        </w:tc>
        <w:tc>
          <w:tcPr>
            <w:tcW w:type="dxa" w:w="1644"/>
            <w:shd w:val="clear" w:fill="E7E6E6"/>
          </w:tcPr>
          <w:p>
            <w:pPr>
              <w:jc w:val="center"/>
            </w:pPr>
            <w:r/>
            <w:r>
              <w:rPr>
                <w:b/>
              </w:rPr>
              <w:t>Пункт Договора</w:t>
            </w:r>
          </w:p>
        </w:tc>
        <w:tc>
          <w:tcPr>
            <w:tcW w:type="dxa" w:w="7030"/>
            <w:shd w:val="clear" w:fill="E7E6E6"/>
          </w:tcPr>
          <w:p>
            <w:pPr>
              <w:jc w:val="center"/>
            </w:pPr>
            <w:r/>
            <w:r>
              <w:rPr>
                <w:b/>
              </w:rPr>
              <w:t>Согласованная Сторонами редакция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644"/>
          </w:tcPr>
          <w:p>
            <w:r>
              <w:t>пп. 1.2, 1.4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Пункт 1.2 изложить в следующей редакции:</w:t>
            </w:r>
          </w:p>
          <w:p>
            <w:pPr>
              <w:spacing w:after="60"/>
              <w:jc w:val="both"/>
            </w:pPr>
            <w:r>
              <w:t>«1.2. Исполнитель обязуется предоставить Заказчику помещение по адресу: г. Новосибирск, ул. Красный проспект, 22, для проведения корпоративного Мероприятия 19 декабря 2026 г. с ___ часов до 02:00 часов 20 декабря 2026 г., а также предоставить Заказчику и привлеченным им подрядчикам доступ для подготовки Мероприятия, размещения и настройки предварительно согласованных оборудования, декораций и реквизита с ___ часов. Время доступа фиксируется в Приложении/Спецификации.»</w:t>
            </w:r>
          </w:p>
          <w:p>
            <w:pPr>
              <w:spacing w:after="60"/>
              <w:jc w:val="both"/>
            </w:pPr>
            <w:r>
              <w:t>Пункт 1.4 изложить в следующей редакции:</w:t>
            </w:r>
          </w:p>
          <w:p>
            <w:pPr>
              <w:spacing w:after="60"/>
              <w:jc w:val="both"/>
            </w:pPr>
            <w:r>
              <w:t>«1.4. Конкретное помещение, количество гостей, меню, напитки, цены, сервисный сбор, оборудование, условия допуска подрядчиков и иные параметры Мероприятия, а также порядок его проведения указываются в Приложении/Спецификации, подписываемой Сторонами до начала Мероприятия. Приложение/Спецификация действительны только после подписания обеими Сторонами.»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644"/>
          </w:tcPr>
          <w:p>
            <w:r>
              <w:t>новый п. 1.5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Дополнить Договор пунктом 1.5 следующего содержания:</w:t>
            </w:r>
          </w:p>
          <w:p>
            <w:pPr>
              <w:spacing w:after="60"/>
              <w:jc w:val="both"/>
            </w:pPr>
            <w:r>
              <w:t>«1.5. Исполнитель обязан предоставить согласованное помещение, подготовить его, обеспечить столы, стулья, посуду, сервировку, официантов, блюда и напитки по меню, уборку, а также согласованное оборудование. Замена помещения, блюд, напитков, оборудования или иных услуг допускается только с предварительного письменного согласия Заказчика, кроме замены по обязательным требованиям безопасности, не ухудшающей согласованные условия.»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644"/>
          </w:tcPr>
          <w:p>
            <w:r>
              <w:t>п. 3.2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«3.2. Полная стоимость оказываемых Исполнителем услуг определяется по ценам, действующим на основании подписанной Сторонами Спецификации (Приложения) к настоящему Договору. Полная стоимость оказываемых услуг также указывается в Универсальном передаточном документе (УПД) или Акте выполненных работ, подписываемом Сторонами после проведения Мероприятия.»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644"/>
          </w:tcPr>
          <w:p>
            <w:r>
              <w:t>пп. 3.3, 3.4, 3.6, 3.7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Пункт 3.3 изложить в следующей редакции:</w:t>
            </w:r>
          </w:p>
          <w:p>
            <w:pPr>
              <w:spacing w:after="60"/>
              <w:jc w:val="both"/>
            </w:pPr>
            <w:r>
              <w:t>«3.3. Изменение стоимости, меню, объема услуг и иных существенных условий допускается только по письменному соглашению Сторон. Бронирование считается подтвержденным с даты поступления первого авансового платежа. Оставшаяся сумма оплачивается по графику, установленному п. 4.2 Договора.»</w:t>
            </w:r>
          </w:p>
          <w:p>
            <w:pPr>
              <w:spacing w:after="60"/>
              <w:jc w:val="both"/>
            </w:pPr>
            <w:r>
              <w:t>Пункты 3.4, 3.6 и 3.7 исключить.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644"/>
          </w:tcPr>
          <w:p>
            <w:r>
              <w:t>п. 3.5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«3.5. Если по какой-либо причине Исполнитель не имеет возможности оказать согласованные в соответствующем Приложении к настоящему Договору услуги, Исполнитель предлагает соответствующую альтернативу. Детальная информация по изменениям представляется вместе с указанием цены на услуги Исполнителя. Неполучение согласия Заказчика на альтернативное предложение не является отказом Заказчика. Исполнитель обязан оказать первоначально согласованные услуги либо вернуть оплату за неоказанные услуги.»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644"/>
          </w:tcPr>
          <w:p>
            <w:r>
              <w:t>пп. 4.3, 4.4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«4.3. Исполнитель в течение 5 (пяти) рабочих дней после проведения Мероприятия представляет Заказчику универсальный передаточный документ (УПД) или акты выполненных работ, а последний обязуется его рассмотреть в течение 5 (пяти) рабочих дней с даты получения и, при отсутствии претензий, подписать и возвратить один экземпляр документа Исполнителю.</w:t>
            </w:r>
          </w:p>
          <w:p>
            <w:pPr>
              <w:spacing w:after="60"/>
              <w:jc w:val="both"/>
            </w:pPr>
            <w:r>
              <w:t>4.4. В случае неподписания Заказчиком УПД или акта выполненных работ в срок, установленный п. 4.3, без предоставления Исполнителю письменного мотивированного отказа от подписания в тот же срок, услуги считаются принятыми Заказчиком без возражений в части явно оказанных услуг. Приемка услуг не ограничивает право Заказчика предъявлять требования в отношении скрытых недостатков, а также несоответствия объема фактически оказанных услуг согласованной спецификации, в порядке, предусмотренном законодательством Российской Федерации.»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644"/>
          </w:tcPr>
          <w:p>
            <w:r>
              <w:t>п. 4.6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«4.6. Зачет штрафов, неустоек или иных сумм допускается только по письменному соглашению Сторон либо на основании вступившего в силу судебного акта.»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644"/>
          </w:tcPr>
          <w:p>
            <w:r>
              <w:t>п. 4.7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«4.7. После подписания Спецификации (Приложения) изменение цены невозможно.»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644"/>
          </w:tcPr>
          <w:p>
            <w:r>
              <w:t>п. 5.2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«5.2. При проведении Мероприятия Заказчик вправе использовать декорации, оборудование и реквизит, письменно согласованные с Исполнителем. Заказчик направляет перечень не позднее чем за 3 (три) рабочих дня до Мероприятия; Исполнитель в течение 2 (двух) рабочих дней подтверждает перечень либо направляет конкретные замечания и ограничения. Согласование осуществляется по электронной почте уполномоченных представителей Сторон. Повторное согласование ранее согласованных позиций не требуется.»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644"/>
          </w:tcPr>
          <w:p>
            <w:r>
              <w:t>п. 5.7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Исключить.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644"/>
          </w:tcPr>
          <w:p>
            <w:r>
              <w:t>п. 5.10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Дополнить абзацем следующего содержания:</w:t>
            </w:r>
          </w:p>
          <w:p>
            <w:pPr>
              <w:spacing w:after="60"/>
              <w:jc w:val="both"/>
            </w:pPr>
            <w:r>
              <w:t>«Исполнитель гарантирует наличие законных оснований на предоставление помещения, необходимых разрешений, лицензий и сертификатов, а также соответствие помещения и услуг обязательным санитарным, противопожарным и иным требованиям.»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644"/>
          </w:tcPr>
          <w:p>
            <w:r>
              <w:t>п. 6.1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«6.1. Исполнитель не отвечает за личные вещи и имущество, оставленные без присмотра, кроме случаев передачи на хранение либо утраты/повреждения по вине Исполнителя или его работников.»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644"/>
          </w:tcPr>
          <w:p>
            <w:r>
              <w:t>п. 6.2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«6.2. Заказчик возмещает ущерб, причиненный имуществу Исполнителя и/или третьих лиц в период проведения Мероприятия представителями Заказчика или участниками Мероприятия. Исполнитель вправе требовать возмещения ущерба в размере, подтвержденном документами (акт о повреждении имущества, фотофиксация, документы о стоимости имущества, его восстановления или замены). Нормальный износ имущества и ущерб, возникший по вине Исполнителя или третьих лиц, возмещению не подлежат.»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644"/>
          </w:tcPr>
          <w:p>
            <w:r>
              <w:t>п. 6.3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«6.3. Заказчику и его гостям в целях соблюдения правил безопасности запрещено использовать в помещениях Исполнителя пиротехническую продукцию любого класса опасности и назначения, любых воспламеняющихся предметов и веществ. При несоблюдении данного условия Заказчик оплачивает штраф в фиксированном размере 25 000 (двадцать пять тысяч) рублей. Факт нарушения фиксируется актом. Уплаченный штраф засчитывается в счет возмещения ущерба, причиненного тем же нарушением.»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644"/>
          </w:tcPr>
          <w:p>
            <w:r>
              <w:t>новый п. 6.4.1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Дополнить Договор пунктом 6.4.1 следующего содержания:</w:t>
            </w:r>
          </w:p>
          <w:p>
            <w:pPr>
              <w:spacing w:after="60"/>
              <w:jc w:val="both"/>
            </w:pPr>
            <w:r>
              <w:t>«6.4.1. При отказе Исполнителя, невозможности предоставить согласованное помещение либо существенном изменении условий Исполнитель возвращает всю оплату, возмещает документально подтвержденные убытки Заказчика.»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644"/>
          </w:tcPr>
          <w:p>
            <w:r>
              <w:t>новый п. 7.3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Дополнить Договор пунктом 7.3 следующего содержания:</w:t>
            </w:r>
          </w:p>
          <w:p>
            <w:pPr>
              <w:spacing w:after="60"/>
              <w:jc w:val="both"/>
            </w:pPr>
            <w:r>
              <w:t>«7.3. Независимо от положений п. 7.2 Сторона уведомляет другую Сторону о возникновении препятствий в течение 24 часов с момента, когда ей стало о них известно. Если проведение Мероприятия в согласованную дату невозможно, перенос допускается только по письменному соглашению Сторон. При отсутствии соглашения о переносе Исполнитель возвращает оплату за неоказанные услуги в течение 5 (пяти) рабочих дней. Любые удержания должны быть отдельно обоснованы и документально подтверждены.»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644"/>
          </w:tcPr>
          <w:p>
            <w:r>
              <w:t>п. 8.3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«8.3. Договор вступает в силу с момента его подписания и действует до полного исполнения Сторонами обязательств по нему.»</w:t>
            </w:r>
          </w:p>
          <w:p>
            <w:pPr>
              <w:spacing w:after="60"/>
              <w:jc w:val="both"/>
            </w:pPr>
            <w:r>
              <w:t>Абзац второй п. 8.3 («Для прекращения действия договора…») исключить.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644"/>
          </w:tcPr>
          <w:p>
            <w:r>
              <w:t>п. 8.7</w:t>
            </w:r>
          </w:p>
        </w:tc>
        <w:tc>
          <w:tcPr>
            <w:tcW w:type="dxa" w:w="7030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«8.7. Внос еды и напитков допускается только по предварительному письменному согласованию Сторон. Любая плата за сервировку, пробковый сбор или иные расходы указывается в Приложении/Спецификации либо предварительно письменно согласовывается. Одностороннее включение суммы в счет не допускается.»</w:t>
            </w:r>
          </w:p>
        </w:tc>
      </w:tr>
    </w:tbl>
    <w:p>
      <w:pPr>
        <w:spacing w:after="80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</w:rPr>
        <w:t>2. Иные предложения Сторон по изменению Договора, не отраженные в настоящем Протоколе, Сторонами сняты; в соответствующей части Договор действует в первоначальной редакции.</w:t>
      </w:r>
    </w:p>
    <w:p>
      <w:pPr>
        <w:spacing w:after="120"/>
        <w:jc w:val="both"/>
      </w:pPr>
      <w:r>
        <w:rPr>
          <w:b w:val="0"/>
        </w:rPr>
        <w:t>3. Настоящий Протокол является неотъемлемой частью Договора. В случае расхождения между условиями Договора и настоящего Протокола применяются условия Протокола.</w:t>
      </w:r>
    </w:p>
    <w:p>
      <w:pPr>
        <w:spacing w:after="120"/>
        <w:jc w:val="both"/>
      </w:pPr>
      <w:r>
        <w:rPr>
          <w:b w:val="0"/>
        </w:rPr>
        <w:t>4. Протокол вступает в силу с момента подписания обеими Сторонами, составлен в двух экземплярах, имеющих равную юридическую силу, по одному для каждой Стороны. Копии Протокола, направленные по электронной почте, имеют юридическую силу в порядке, предусмотренном п. 5.1 Договора.</w:t>
      </w:r>
    </w:p>
    <w:p>
      <w:pPr>
        <w:spacing w:after="80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  <w:t>Исполнитель</w:t>
              <w:br/>
              <w:t>ООО «Янтарь»</w:t>
              <w:br/>
              <w:br/>
              <w:br/>
              <w:t>_________________ / Голованцов В.В. /</w:t>
            </w:r>
          </w:p>
        </w:tc>
        <w:tc>
          <w:tcPr>
            <w:tcW w:type="dxa" w:w="4933"/>
          </w:tcPr>
          <w:p>
            <w:r>
              <w:rPr>
                <w:b/>
              </w:rPr>
              <w:t>Заказчик</w:t>
              <w:br/>
              <w:t>ООО «Трансфер Кэа»</w:t>
              <w:br/>
              <w:br/>
              <w:br/>
              <w:t>_________________ / Сарайкин Д.В. /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