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26"/>
        </w:rPr>
        <w:t>ПРОТОКОЛ РАЗНОГЛАСИЙ</w:t>
      </w:r>
    </w:p>
    <w:p>
      <w:pPr>
        <w:spacing w:after="0"/>
        <w:jc w:val="center"/>
      </w:pPr>
      <w:r>
        <w:rPr>
          <w:b/>
        </w:rPr>
        <w:t>к Договору № 1 от «01» октября 2026 г.</w:t>
      </w:r>
    </w:p>
    <w:p>
      <w:pPr>
        <w:spacing w:after="160"/>
        <w:jc w:val="center"/>
      </w:pPr>
      <w:r>
        <w:rPr>
          <w:b/>
        </w:rPr>
        <w:t>на проведение мероприятий/обслуживание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t>г. Новосибирск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t>«___» ____________ 2026 г.</w:t>
            </w:r>
          </w:p>
        </w:tc>
      </w:tr>
    </w:tbl>
    <w:p>
      <w:pPr>
        <w:spacing w:after="80"/>
      </w:pPr>
      <w:r>
        <w:rPr>
          <w:b w:val="0"/>
        </w:rPr>
      </w:r>
    </w:p>
    <w:p>
      <w:pPr>
        <w:spacing w:after="120"/>
        <w:jc w:val="both"/>
      </w:pPr>
      <w:r>
        <w:rPr>
          <w:b w:val="0"/>
        </w:rPr>
        <w:t>ООО «Янтарь», именуемое в дальнейшем «ИСПОЛНИТЕЛЬ», в лице директора Голованцова Василия Викторовича, действующего на основании устава, с одной стороны, и ООО «Трансфер Кэа», именуемое в дальнейшем «ЗАКАЗЧИК», в лице генерального директора Сарайкина Дмитрия Васильевича, действующего на основании устава, с другой стороны, совместно именуемые «Стороны», рассмотрев разногласия по Договору № 1 от «01» октября 2026 г. на проведение мероприятий/обслуживание (далее – «Договор»), пришли к соглашению о нижеследующем:</w:t>
      </w:r>
    </w:p>
    <w:p>
      <w:pPr>
        <w:spacing w:after="120"/>
        <w:jc w:val="both"/>
      </w:pPr>
      <w:r>
        <w:rPr>
          <w:b w:val="0"/>
        </w:rPr>
        <w:t>1. Стороны договорились внести в Договор следующие изменения: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531"/>
        <w:gridCol w:w="1474"/>
        <w:gridCol w:w="5726"/>
      </w:tblGrid>
      <w:tr>
        <w:trPr>
          <w:tblHeader w:val="true"/>
        </w:trPr>
        <w:tc>
          <w:tcPr>
            <w:tcW w:type="dxa" w:w="567"/>
            <w:shd w:val="clear" w:fill="E7E6E6"/>
          </w:tcPr>
          <w:p>
            <w:pPr>
              <w:jc w:val="center"/>
            </w:pPr>
            <w:r/>
            <w:r>
              <w:rPr>
                <w:b/>
              </w:rPr>
              <w:t>№</w:t>
            </w:r>
          </w:p>
        </w:tc>
        <w:tc>
          <w:tcPr>
            <w:tcW w:type="dxa" w:w="1531"/>
            <w:shd w:val="clear" w:fill="E7E6E6"/>
          </w:tcPr>
          <w:p>
            <w:pPr>
              <w:jc w:val="center"/>
            </w:pPr>
            <w:r/>
            <w:r>
              <w:rPr>
                <w:b/>
              </w:rPr>
              <w:t>Пункт Договора</w:t>
            </w:r>
          </w:p>
        </w:tc>
        <w:tc>
          <w:tcPr>
            <w:tcW w:type="dxa" w:w="1474"/>
            <w:shd w:val="clear" w:fill="E7E6E6"/>
          </w:tcPr>
          <w:p>
            <w:pPr>
              <w:jc w:val="center"/>
            </w:pPr>
            <w:r/>
            <w:r>
              <w:rPr>
                <w:b/>
              </w:rPr>
              <w:t>Предмет</w:t>
            </w:r>
          </w:p>
        </w:tc>
        <w:tc>
          <w:tcPr>
            <w:tcW w:type="dxa" w:w="5726"/>
            <w:shd w:val="clear" w:fill="E7E6E6"/>
          </w:tcPr>
          <w:p>
            <w:pPr>
              <w:jc w:val="center"/>
            </w:pPr>
            <w:r/>
            <w:r>
              <w:rPr>
                <w:b/>
              </w:rPr>
              <w:t>Согласованная Сторонами редакция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531"/>
          </w:tcPr>
          <w:p>
            <w:r>
              <w:t>пп. 1.1–1.4</w:t>
            </w:r>
          </w:p>
        </w:tc>
        <w:tc>
          <w:tcPr>
            <w:tcW w:type="dxa" w:w="1474"/>
          </w:tcPr>
          <w:p>
            <w:r>
              <w:t>Предмет и параметры мероприятия</w:t>
            </w:r>
          </w:p>
        </w:tc>
        <w:tc>
          <w:tcPr>
            <w:tcW w:type="dxa" w:w="5726"/>
          </w:tcPr>
          <w:p>
            <w:pPr>
              <w:spacing w:after="60"/>
              <w:jc w:val="both"/>
            </w:pPr>
            <w:r/>
            <w:r>
              <w:t>Дополнить пункты 1.1–1.4 Договора следующим положением:</w:t>
            </w:r>
          </w:p>
          <w:p>
            <w:pPr>
              <w:spacing w:after="60"/>
              <w:jc w:val="both"/>
            </w:pPr>
            <w:r>
              <w:t>«Исполнитель обязуется предоставить Заказчику помещение по адресу: г. Новосибирск, ул. Красный проспект, 22, для проведения корпоративного мероприятия 19 декабря 2026 г. с ___ часов до 02:00 часов 20 декабря 2026 г., а также предоставить доступ для подготовки и монтажа с ___ часов. Конкретное помещение, количество гостей, меню, напитки, цены, сервисный сбор, оборудование, условия допуска подрядчиков и иные параметры указываются в Приложении № 1. Приложение действительно только после подписания обеими Сторонами.»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531"/>
          </w:tcPr>
          <w:p>
            <w:r>
              <w:t>раздел 1 (новый п. 1.5)</w:t>
            </w:r>
          </w:p>
        </w:tc>
        <w:tc>
          <w:tcPr>
            <w:tcW w:type="dxa" w:w="1474"/>
          </w:tcPr>
          <w:p>
            <w:r>
              <w:t>Содержание услуг</w:t>
            </w:r>
          </w:p>
        </w:tc>
        <w:tc>
          <w:tcPr>
            <w:tcW w:type="dxa" w:w="5726"/>
          </w:tcPr>
          <w:p>
            <w:pPr>
              <w:spacing w:after="60"/>
              <w:jc w:val="both"/>
            </w:pPr>
            <w:r/>
            <w:r>
              <w:t>Дополнить раздел 1 Договора пунктом 1.5 следующего содержания:</w:t>
            </w:r>
          </w:p>
          <w:p>
            <w:pPr>
              <w:spacing w:after="60"/>
              <w:jc w:val="both"/>
            </w:pPr>
            <w:r>
              <w:t>«1.5. Исполнитель обязан предоставить согласованное помещение, подготовить его, обеспечить столы, стулья, посуду, сервировку, официантов, блюда и напитки по меню, уборку, а также согласованное оборудование. Замена помещения, блюд, напитков, оборудования или иных услуг допускается только с предварительного письменного согласия Заказчика, кроме замены по обязательным требованиям безопасности, не ухудшающей согласованные условия.»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531"/>
          </w:tcPr>
          <w:p>
            <w:r>
              <w:t>п. 3.2</w:t>
            </w:r>
          </w:p>
        </w:tc>
        <w:tc>
          <w:tcPr>
            <w:tcW w:type="dxa" w:w="1474"/>
          </w:tcPr>
          <w:p>
            <w:r>
              <w:t>Цена</w:t>
            </w:r>
          </w:p>
        </w:tc>
        <w:tc>
          <w:tcPr>
            <w:tcW w:type="dxa" w:w="5726"/>
          </w:tcPr>
          <w:p>
            <w:pPr>
              <w:spacing w:after="60"/>
              <w:jc w:val="both"/>
            </w:pPr>
            <w:r/>
            <w:r>
              <w:t>Изложить в следующей редакции:</w:t>
            </w:r>
          </w:p>
          <w:p>
            <w:pPr>
              <w:spacing w:after="60"/>
              <w:jc w:val="both"/>
            </w:pPr>
            <w:r>
              <w:t>«3.2. Полная стоимость оказываемых Исполнителем услуг определяется по ценам, действующим на основании подписанной Сторонами Спецификации (Приложения). Полная стоимость оказываемых услуг также указывается в Универсальном передаточном документе (УПД) или Акте выполненных работ, подписываемом Сторонами после проведения Мероприятия.»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531"/>
          </w:tcPr>
          <w:p>
            <w:r>
              <w:t>п. 3.2.1</w:t>
            </w:r>
          </w:p>
        </w:tc>
        <w:tc>
          <w:tcPr>
            <w:tcW w:type="dxa" w:w="1474"/>
          </w:tcPr>
          <w:p>
            <w:r>
              <w:t>НДС</w:t>
            </w:r>
          </w:p>
        </w:tc>
        <w:tc>
          <w:tcPr>
            <w:tcW w:type="dxa" w:w="5726"/>
          </w:tcPr>
          <w:p>
            <w:pPr>
              <w:spacing w:after="60"/>
              <w:jc w:val="both"/>
            </w:pPr>
            <w:r/>
            <w:r>
              <w:t>Оставить в редакции Договора без изменений.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531"/>
          </w:tcPr>
          <w:p>
            <w:r>
              <w:t>пп. 3.3–3.7, п. 5.7</w:t>
            </w:r>
          </w:p>
        </w:tc>
        <w:tc>
          <w:tcPr>
            <w:tcW w:type="dxa" w:w="1474"/>
          </w:tcPr>
          <w:p>
            <w:r>
              <w:t>Изменение услуг и оплата</w:t>
            </w:r>
          </w:p>
        </w:tc>
        <w:tc>
          <w:tcPr>
            <w:tcW w:type="dxa" w:w="5726"/>
          </w:tcPr>
          <w:p>
            <w:pPr>
              <w:spacing w:after="60"/>
              <w:jc w:val="both"/>
            </w:pPr>
            <w:r/>
            <w:r>
              <w:t>Пункты 3.3–3.7 (за исключением п. 3.5) изложить в следующей редакции:</w:t>
            </w:r>
          </w:p>
          <w:p>
            <w:pPr>
              <w:spacing w:after="60"/>
              <w:jc w:val="both"/>
            </w:pPr>
            <w:r>
              <w:t>«3.3. Изменение стоимости, меню, объема услуг и иных существенных условий допускается только по письменному соглашению Сторон. Бронирование считается подтвержденным с даты поступления первого авансового платежа. Оставшаяся сумма оплачивается по графику Приложения № 1.»</w:t>
            </w:r>
          </w:p>
          <w:p>
            <w:pPr>
              <w:spacing w:after="60"/>
              <w:jc w:val="both"/>
            </w:pPr>
            <w:r>
              <w:t>Пункт 3.4 в части 100% оплаты за 4 рабочих дня и пункт 5.7 исключить.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531"/>
          </w:tcPr>
          <w:p>
            <w:r>
              <w:t>п. 3.5</w:t>
            </w:r>
          </w:p>
        </w:tc>
        <w:tc>
          <w:tcPr>
            <w:tcW w:type="dxa" w:w="1474"/>
          </w:tcPr>
          <w:p>
            <w:r>
              <w:t>Альтернативы</w:t>
            </w:r>
          </w:p>
        </w:tc>
        <w:tc>
          <w:tcPr>
            <w:tcW w:type="dxa" w:w="5726"/>
          </w:tcPr>
          <w:p>
            <w:pPr>
              <w:spacing w:after="60"/>
              <w:jc w:val="both"/>
            </w:pPr>
            <w:r/>
            <w:r>
              <w:t>Последнее предложение п. 3.5 («Заказчик должен подтвердить Исполнителю … заявка Заказчика будет аннулирована») заменить предложениями:</w:t>
            </w:r>
          </w:p>
          <w:p>
            <w:pPr>
              <w:spacing w:after="60"/>
              <w:jc w:val="both"/>
            </w:pPr>
            <w:r>
              <w:t>«Неполучение согласия Заказчика на альтернативное предложение не является отказом Заказчика. Исполнитель обязан оказать первоначально согласованные услуги либо вернуть оплату за неоказанные услуги.»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531"/>
          </w:tcPr>
          <w:p>
            <w:r>
              <w:t>п. 4.2</w:t>
            </w:r>
          </w:p>
        </w:tc>
        <w:tc>
          <w:tcPr>
            <w:tcW w:type="dxa" w:w="1474"/>
          </w:tcPr>
          <w:p>
            <w:r>
              <w:t>График оплаты</w:t>
            </w:r>
          </w:p>
        </w:tc>
        <w:tc>
          <w:tcPr>
            <w:tcW w:type="dxa" w:w="5726"/>
          </w:tcPr>
          <w:p>
            <w:pPr>
              <w:spacing w:after="60"/>
              <w:jc w:val="both"/>
            </w:pPr>
            <w:r/>
            <w:r>
              <w:t>Оставить в редакции Договора без изменений.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31"/>
          </w:tcPr>
          <w:p>
            <w:r>
              <w:t>пп. 4.3–4.4</w:t>
            </w:r>
          </w:p>
        </w:tc>
        <w:tc>
          <w:tcPr>
            <w:tcW w:type="dxa" w:w="1474"/>
          </w:tcPr>
          <w:p>
            <w:r>
              <w:t>Приемка</w:t>
            </w:r>
          </w:p>
        </w:tc>
        <w:tc>
          <w:tcPr>
            <w:tcW w:type="dxa" w:w="5726"/>
          </w:tcPr>
          <w:p>
            <w:pPr>
              <w:spacing w:after="60"/>
              <w:jc w:val="both"/>
            </w:pPr>
            <w:r/>
            <w:r>
              <w:t>В п. 4.3 срок рассмотрения Акта «3 (трех) рабочих дней» заменить на «5 (пять) рабочих дней».</w:t>
            </w:r>
          </w:p>
          <w:p>
            <w:pPr>
              <w:spacing w:after="60"/>
              <w:jc w:val="both"/>
            </w:pPr>
            <w:r>
              <w:t>Пункт 4.4 дополнить предложением:</w:t>
            </w:r>
          </w:p>
          <w:p>
            <w:pPr>
              <w:spacing w:after="60"/>
              <w:jc w:val="both"/>
            </w:pPr>
            <w:r>
              <w:t>«Приемка услуг не ограничивает право Заказчика предъявлять требования в отношении скрытых недостатков в порядке, предусмотренном законодательством Российской Федерации.»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31"/>
          </w:tcPr>
          <w:p>
            <w:r>
              <w:t>п. 4.6</w:t>
            </w:r>
          </w:p>
        </w:tc>
        <w:tc>
          <w:tcPr>
            <w:tcW w:type="dxa" w:w="1474"/>
          </w:tcPr>
          <w:p>
            <w:r>
              <w:t>Зачет штрафов</w:t>
            </w:r>
          </w:p>
        </w:tc>
        <w:tc>
          <w:tcPr>
            <w:tcW w:type="dxa" w:w="5726"/>
          </w:tcPr>
          <w:p>
            <w:pPr>
              <w:spacing w:after="60"/>
              <w:jc w:val="both"/>
            </w:pPr>
            <w:r/>
            <w:r>
              <w:t>Изложить в следующей редакции:</w:t>
            </w:r>
          </w:p>
          <w:p>
            <w:pPr>
              <w:spacing w:after="60"/>
              <w:jc w:val="both"/>
            </w:pPr>
            <w:r>
              <w:t>«4.6. Зачет любых штрафов, неустоек или иных сумм допускается только по письменному соглашению Сторон либо на основании вступившего в силу судебного акта.»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31"/>
          </w:tcPr>
          <w:p>
            <w:r>
              <w:t>п. 4.7</w:t>
            </w:r>
          </w:p>
        </w:tc>
        <w:tc>
          <w:tcPr>
            <w:tcW w:type="dxa" w:w="1474"/>
          </w:tcPr>
          <w:p>
            <w:r>
              <w:t>Изменение цены</w:t>
            </w:r>
          </w:p>
        </w:tc>
        <w:tc>
          <w:tcPr>
            <w:tcW w:type="dxa" w:w="5726"/>
          </w:tcPr>
          <w:p>
            <w:pPr>
              <w:spacing w:after="60"/>
              <w:jc w:val="both"/>
            </w:pPr>
            <w:r/>
            <w:r>
              <w:t>Изложить в следующей редакции:</w:t>
            </w:r>
          </w:p>
          <w:p>
            <w:pPr>
              <w:spacing w:after="60"/>
              <w:jc w:val="both"/>
            </w:pPr>
            <w:r>
              <w:t>«4.7. После подписания спецификации изменение цены невозможно.»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531"/>
          </w:tcPr>
          <w:p>
            <w:r>
              <w:t>п. 5.2</w:t>
            </w:r>
          </w:p>
        </w:tc>
        <w:tc>
          <w:tcPr>
            <w:tcW w:type="dxa" w:w="1474"/>
          </w:tcPr>
          <w:p>
            <w:r>
              <w:t>Декорации</w:t>
            </w:r>
          </w:p>
        </w:tc>
        <w:tc>
          <w:tcPr>
            <w:tcW w:type="dxa" w:w="5726"/>
          </w:tcPr>
          <w:p>
            <w:pPr>
              <w:spacing w:after="60"/>
              <w:jc w:val="both"/>
            </w:pPr>
            <w:r/>
            <w:r>
              <w:t>Оставить в редакции Договора без изменений.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531"/>
          </w:tcPr>
          <w:p>
            <w:r>
              <w:t>п. 5.10</w:t>
            </w:r>
          </w:p>
        </w:tc>
        <w:tc>
          <w:tcPr>
            <w:tcW w:type="dxa" w:w="1474"/>
          </w:tcPr>
          <w:p>
            <w:r>
              <w:t>Гарантии Исполнителя</w:t>
            </w:r>
          </w:p>
        </w:tc>
        <w:tc>
          <w:tcPr>
            <w:tcW w:type="dxa" w:w="5726"/>
          </w:tcPr>
          <w:p>
            <w:pPr>
              <w:spacing w:after="60"/>
              <w:jc w:val="both"/>
            </w:pPr>
            <w:r/>
            <w:r>
              <w:t>Дополнить абзацем следующего содержания:</w:t>
            </w:r>
          </w:p>
          <w:p>
            <w:pPr>
              <w:spacing w:after="60"/>
              <w:jc w:val="both"/>
            </w:pPr>
            <w:r>
              <w:t>«Исполнитель гарантирует наличие законных оснований на предоставление помещения, необходимых разрешений, лицензий и сертификатов, а также соответствие помещения и услуг обязательным санитарным, противопожарным и иным требованиям.»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531"/>
          </w:tcPr>
          <w:p>
            <w:r>
              <w:t>п. 6.1</w:t>
            </w:r>
          </w:p>
        </w:tc>
        <w:tc>
          <w:tcPr>
            <w:tcW w:type="dxa" w:w="1474"/>
          </w:tcPr>
          <w:p>
            <w:r>
              <w:t>Имущество Заказчика</w:t>
            </w:r>
          </w:p>
        </w:tc>
        <w:tc>
          <w:tcPr>
            <w:tcW w:type="dxa" w:w="5726"/>
          </w:tcPr>
          <w:p>
            <w:pPr>
              <w:spacing w:after="60"/>
              <w:jc w:val="both"/>
            </w:pPr>
            <w:r/>
            <w:r>
              <w:t>Изложить в следующей редакции:</w:t>
            </w:r>
          </w:p>
          <w:p>
            <w:pPr>
              <w:spacing w:after="60"/>
              <w:jc w:val="both"/>
            </w:pPr>
            <w:r>
              <w:t>«6.1. Исполнитель не отвечает за личные вещи и имущество, оставленные без присмотра, кроме случаев передачи на хранение либо утраты/повреждения по вине Исполнителя или его работников.»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531"/>
          </w:tcPr>
          <w:p>
            <w:r>
              <w:t>п. 6.2</w:t>
            </w:r>
          </w:p>
        </w:tc>
        <w:tc>
          <w:tcPr>
            <w:tcW w:type="dxa" w:w="1474"/>
          </w:tcPr>
          <w:p>
            <w:r>
              <w:t>Ущерб имуществу</w:t>
            </w:r>
          </w:p>
        </w:tc>
        <w:tc>
          <w:tcPr>
            <w:tcW w:type="dxa" w:w="5726"/>
          </w:tcPr>
          <w:p>
            <w:pPr>
              <w:spacing w:after="60"/>
              <w:jc w:val="both"/>
            </w:pPr>
            <w:r/>
            <w:r>
              <w:t>Оставить в редакции Договора и дополнить предложением:</w:t>
            </w:r>
          </w:p>
          <w:p>
            <w:pPr>
              <w:spacing w:after="60"/>
              <w:jc w:val="both"/>
            </w:pPr>
            <w:r>
              <w:t>«Исполнитель вправе требовать возмещения ущерба согласно подтверждающим документам.»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531"/>
          </w:tcPr>
          <w:p>
            <w:r>
              <w:t>п. 6.3</w:t>
            </w:r>
          </w:p>
        </w:tc>
        <w:tc>
          <w:tcPr>
            <w:tcW w:type="dxa" w:w="1474"/>
          </w:tcPr>
          <w:p>
            <w:r>
              <w:t>Пиротехника</w:t>
            </w:r>
          </w:p>
        </w:tc>
        <w:tc>
          <w:tcPr>
            <w:tcW w:type="dxa" w:w="5726"/>
          </w:tcPr>
          <w:p>
            <w:pPr>
              <w:spacing w:after="60"/>
              <w:jc w:val="both"/>
            </w:pPr>
            <w:r/>
            <w:r>
              <w:t>В п. 6.3 запрет сохранить; последнее предложение изложить в следующей редакции:</w:t>
            </w:r>
          </w:p>
          <w:p>
            <w:pPr>
              <w:spacing w:after="60"/>
              <w:jc w:val="both"/>
            </w:pPr>
            <w:r>
              <w:t>«При несоблюдении условий Заказчик оплачивает штраф в фиксированном размере 25 000 (двадцать пять тысяч) рублей.»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31"/>
          </w:tcPr>
          <w:p>
            <w:r>
              <w:t>после п. 6.4 (новый п. 6.4.1)</w:t>
            </w:r>
          </w:p>
        </w:tc>
        <w:tc>
          <w:tcPr>
            <w:tcW w:type="dxa" w:w="1474"/>
          </w:tcPr>
          <w:p>
            <w:r>
              <w:t>Отказ Исполнителя</w:t>
            </w:r>
          </w:p>
        </w:tc>
        <w:tc>
          <w:tcPr>
            <w:tcW w:type="dxa" w:w="5726"/>
          </w:tcPr>
          <w:p>
            <w:pPr>
              <w:spacing w:after="60"/>
              <w:jc w:val="both"/>
            </w:pPr>
            <w:r/>
            <w:r>
              <w:t>Дополнить Договор пунктом 6.4.1 следующего содержания:</w:t>
            </w:r>
          </w:p>
          <w:p>
            <w:pPr>
              <w:spacing w:after="60"/>
              <w:jc w:val="both"/>
            </w:pPr>
            <w:r>
              <w:t>«6.4.1. При отказе Исполнителя, невозможности предоставить согласованное помещение либо существенном изменении условий Исполнитель возвращает всю оплату, возмещает документально подтвержденные убытки Заказчика.»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531"/>
          </w:tcPr>
          <w:p>
            <w:r>
              <w:t>раздел 7</w:t>
            </w:r>
          </w:p>
        </w:tc>
        <w:tc>
          <w:tcPr>
            <w:tcW w:type="dxa" w:w="1474"/>
          </w:tcPr>
          <w:p>
            <w:r>
              <w:t>Форс-мажор</w:t>
            </w:r>
          </w:p>
        </w:tc>
        <w:tc>
          <w:tcPr>
            <w:tcW w:type="dxa" w:w="5726"/>
          </w:tcPr>
          <w:p>
            <w:pPr>
              <w:spacing w:after="60"/>
              <w:jc w:val="both"/>
            </w:pPr>
            <w:r/>
            <w:r>
              <w:t>Оставить в редакции Договора без изменений.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531"/>
          </w:tcPr>
          <w:p>
            <w:r>
              <w:t>п. 8.3</w:t>
            </w:r>
          </w:p>
        </w:tc>
        <w:tc>
          <w:tcPr>
            <w:tcW w:type="dxa" w:w="1474"/>
          </w:tcPr>
          <w:p>
            <w:r>
              <w:t>Срок договора</w:t>
            </w:r>
          </w:p>
        </w:tc>
        <w:tc>
          <w:tcPr>
            <w:tcW w:type="dxa" w:w="5726"/>
          </w:tcPr>
          <w:p>
            <w:pPr>
              <w:spacing w:after="60"/>
              <w:jc w:val="both"/>
            </w:pPr>
            <w:r/>
            <w:r>
              <w:t>Первый абзац изложить в следующей редакции:</w:t>
            </w:r>
          </w:p>
          <w:p>
            <w:pPr>
              <w:spacing w:after="60"/>
              <w:jc w:val="both"/>
            </w:pPr>
            <w:r>
              <w:t>«8.3. Договор вступает в силу с момента его подписания и действует до полного исполнения Сторонами обязательств.»</w:t>
            </w:r>
          </w:p>
          <w:p>
            <w:pPr>
              <w:spacing w:after="60"/>
              <w:jc w:val="both"/>
            </w:pPr>
            <w:r>
              <w:t>Второй абзац («Для прекращения действия договора, Сторона обязуется предоставить письменное уведомление …») исключить.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531"/>
          </w:tcPr>
          <w:p>
            <w:r>
              <w:t>п. 8.7</w:t>
            </w:r>
          </w:p>
        </w:tc>
        <w:tc>
          <w:tcPr>
            <w:tcW w:type="dxa" w:w="1474"/>
          </w:tcPr>
          <w:p>
            <w:r>
              <w:t>Своя еда и напитки</w:t>
            </w:r>
          </w:p>
        </w:tc>
        <w:tc>
          <w:tcPr>
            <w:tcW w:type="dxa" w:w="5726"/>
          </w:tcPr>
          <w:p>
            <w:pPr>
              <w:spacing w:after="60"/>
              <w:jc w:val="both"/>
            </w:pPr>
            <w:r/>
            <w:r>
              <w:t>Изложить в следующей редакции:</w:t>
            </w:r>
          </w:p>
          <w:p>
            <w:pPr>
              <w:spacing w:after="60"/>
              <w:jc w:val="both"/>
            </w:pPr>
            <w:r>
              <w:t>«8.7. Внос еды и напитков допускается только по предварительному письменному согласованию Сторон. Любая плата за сервировку, пробковый сбор или иные расходы указывается в Приложении № 1 либо предварительно письменно согласовывается. Одностороннее включение суммы в счет не допускается.»</w:t>
            </w:r>
          </w:p>
        </w:tc>
      </w:tr>
    </w:tbl>
    <w:p>
      <w:pPr>
        <w:spacing w:after="80"/>
      </w:pPr>
      <w:r>
        <w:rPr>
          <w:b w:val="0"/>
        </w:rPr>
      </w:r>
    </w:p>
    <w:p>
      <w:pPr>
        <w:spacing w:after="120"/>
        <w:jc w:val="both"/>
      </w:pPr>
      <w:r>
        <w:rPr>
          <w:b w:val="0"/>
        </w:rPr>
        <w:t>2. Остальные условия Договора, не затронутые настоящим Протоколом, остаются без изменений. Иные предложения Сторон по изменению Договора сняты.</w:t>
      </w:r>
    </w:p>
    <w:p>
      <w:pPr>
        <w:spacing w:after="120"/>
        <w:jc w:val="both"/>
      </w:pPr>
      <w:r>
        <w:rPr>
          <w:b w:val="0"/>
        </w:rPr>
        <w:t>3. Настоящий Протокол является неотъемлемой частью Договора. В случае расхождения между условиями Договора и настоящего Протокола применяются условия Протокола.</w:t>
      </w:r>
    </w:p>
    <w:p>
      <w:pPr>
        <w:spacing w:after="120"/>
        <w:jc w:val="both"/>
      </w:pPr>
      <w:r>
        <w:rPr>
          <w:b w:val="0"/>
        </w:rPr>
        <w:t>4. Протокол вступает в силу с момента подписания обеими Сторонами, составлен в двух экземплярах, имеющих равную юридическую силу, по одному для каждой Стороны. Копии Протокола, направленные по электронной почте, имеют юридическую силу в порядке, предусмотренном п. 5.1 Договора.</w:t>
      </w:r>
    </w:p>
    <w:p>
      <w:pPr>
        <w:spacing w:after="80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</w:rPr>
              <w:t>Исполнитель</w:t>
              <w:br/>
              <w:t>ООО «Янтарь»</w:t>
              <w:br/>
              <w:br/>
              <w:br/>
              <w:t>_________________ / Голованцов В.В. /</w:t>
            </w:r>
          </w:p>
        </w:tc>
        <w:tc>
          <w:tcPr>
            <w:tcW w:type="dxa" w:w="4933"/>
          </w:tcPr>
          <w:p>
            <w:r>
              <w:rPr>
                <w:b/>
              </w:rPr>
              <w:t>Заказчик</w:t>
              <w:br/>
              <w:t>ООО «Трансфер Кэа»</w:t>
              <w:br/>
              <w:br/>
              <w:br/>
              <w:t>_________________ / Сарайкин Д.В. /</w:t>
            </w:r>
          </w:p>
        </w:tc>
      </w:tr>
    </w:tbl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