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rPr>
          <w:b/>
          <w:b/>
          <w:sz w:val="26"/>
          <w:szCs w:val="26"/>
        </w:rPr>
      </w:pPr>
      <w:r>
        <w:rPr>
          <w:b/>
          <w:i/>
          <w:sz w:val="26"/>
          <w:szCs w:val="26"/>
        </w:rPr>
        <w:t>Essential mathematics 1</w:t>
      </w:r>
      <w:r>
        <w:rPr>
          <w:b/>
          <w:sz w:val="26"/>
          <w:szCs w:val="26"/>
        </w:rPr>
        <w:t xml:space="preserve"> (MST124)</w:t>
      </w:r>
    </w:p>
    <w:p>
      <w:pPr>
        <w:pStyle w:val="Normal"/>
        <w:spacing w:lineRule="auto" w:line="240" w:before="0" w:after="60"/>
        <w:rPr>
          <w:rFonts w:cs="Tahoma"/>
          <w:color w:val="333333"/>
          <w:sz w:val="26"/>
          <w:szCs w:val="26"/>
        </w:rPr>
      </w:pPr>
      <w:r>
        <w:rPr>
          <w:rFonts w:cs="Tahoma"/>
          <w:color w:val="333333"/>
          <w:sz w:val="26"/>
          <w:szCs w:val="26"/>
        </w:rPr>
        <w:t>This sample calendar gives details of the expected pattern of study.</w:t>
        <w:br/>
      </w:r>
      <w:bookmarkStart w:id="0" w:name="_GoBack"/>
      <w:r>
        <w:rPr>
          <w:color w:val="333333"/>
          <w:sz w:val="26"/>
          <w:szCs w:val="26"/>
        </w:rPr>
        <w:t>Breaks between study weeks for public holidays (such as Christmas and Easter) are not shown.</w:t>
      </w:r>
      <w:bookmarkEnd w:id="0"/>
      <w:r>
        <w:rPr>
          <w:rFonts w:cs="Tahoma"/>
          <w:color w:val="333333"/>
          <w:sz w:val="26"/>
          <w:szCs w:val="26"/>
        </w:rPr>
        <w:br/>
        <w:t>Study starts on the first Saturday of either October or February.</w:t>
      </w:r>
    </w:p>
    <w:p>
      <w:pPr>
        <w:pStyle w:val="Normal"/>
        <w:spacing w:lineRule="auto" w:line="240" w:before="0" w:after="60"/>
        <w:rPr>
          <w:sz w:val="26"/>
          <w:szCs w:val="26"/>
        </w:rPr>
      </w:pPr>
      <w:r>
        <w:rPr>
          <w:rFonts w:cs="Arial"/>
          <w:b/>
          <w:bCs/>
          <w:color w:val="000000"/>
          <w:sz w:val="26"/>
          <w:szCs w:val="26"/>
          <w:lang w:val="en"/>
        </w:rPr>
        <w:t>Tutorials</w:t>
      </w:r>
      <w:r>
        <w:rPr>
          <w:rFonts w:cs="Arial"/>
          <w:color w:val="000000"/>
          <w:sz w:val="26"/>
          <w:szCs w:val="26"/>
          <w:lang w:val="en"/>
        </w:rPr>
        <w:t xml:space="preserve"> run throughout your study and give you help and guidance with your studies, including hints and tips to improve your understanding.</w:t>
        <w:br/>
        <w:t>Do join in as much as you can - whether face-to-face or online they are an informal way to ask questions and to feel part of a student community.</w:t>
        <w:br/>
        <w:t>Dates will be confirmed after you have registered.</w:t>
      </w:r>
    </w:p>
    <w:tbl>
      <w:tblPr>
        <w:tblStyle w:val="TableGrid"/>
        <w:tblW w:w="1050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704"/>
        <w:gridCol w:w="4393"/>
        <w:gridCol w:w="5412"/>
      </w:tblGrid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Study week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Study unit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Assignment submission</w:t>
              <w:br/>
            </w:r>
            <w:r>
              <w:rPr>
                <w:rFonts w:eastAsia="Times New Roman" w:cs="Tahoma"/>
                <w:bCs/>
                <w:color w:val="333333"/>
                <w:sz w:val="26"/>
                <w:szCs w:val="26"/>
                <w:lang w:eastAsia="en-GB"/>
              </w:rPr>
              <w:t>Tutor-marked assignment (TMA)</w:t>
              <w:br/>
              <w:t>interactive Computer-marked assignment (iCMA)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i/>
                <w:i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 xml:space="preserve">Unit 1 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>Algebra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 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Unit 1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 xml:space="preserve"> Algebra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 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i/>
                <w:i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 xml:space="preserve">Unit 2 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>Graphs and equations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iCMA 41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Unit 2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 xml:space="preserve"> Graphs and equations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 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i/>
                <w:i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 xml:space="preserve">Unit 3 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>Functions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TMA 01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Unit 3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 xml:space="preserve"> Functions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 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Unit 3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 xml:space="preserve"> Functions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 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i/>
                <w:i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 xml:space="preserve">Unit 4 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>Trigonometry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 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Unit 4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 xml:space="preserve"> Trigonometry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10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i/>
                <w:i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 xml:space="preserve">Unit 5 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>Coordinate geometry and vectors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iCMA 42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Unit 5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 xml:space="preserve"> Coordinate geometry and vectors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12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i/>
                <w:i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 xml:space="preserve">Unit 6 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>Differentiation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 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13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 xml:space="preserve">Unit 6 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>Differentiation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 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14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i/>
                <w:i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 xml:space="preserve">Unit 7 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>Differentiation methods and integration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TMA 02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15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 xml:space="preserve">Unit 7 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>Differentiation methods and integration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16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 xml:space="preserve">Unit 7 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>Differentiation methods and integration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 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17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i/>
                <w:i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 xml:space="preserve">Unit 8 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>Integration methods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18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 xml:space="preserve">Unit 8 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>Integration methods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 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19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 xml:space="preserve">Unit 8 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>Integration methods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iCMA 43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20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 xml:space="preserve">Unit 8 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>Integration methods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21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i/>
                <w:i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 xml:space="preserve">Unit 9 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>Matrices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TMA 03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22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 xml:space="preserve">Unit 9 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>Matrices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23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i/>
                <w:i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 xml:space="preserve">Unit 10 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>Sequences and series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 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24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 xml:space="preserve">Unit 10 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>Sequences and series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 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25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i/>
                <w:i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 xml:space="preserve">Unit 12 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>Complex numbers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 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26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i/>
                <w:i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 xml:space="preserve">Unit 12 </w:t>
            </w:r>
            <w:r>
              <w:rPr>
                <w:rFonts w:eastAsia="Times New Roman" w:cs="Tahoma"/>
                <w:i/>
                <w:color w:val="333333"/>
                <w:sz w:val="26"/>
                <w:szCs w:val="26"/>
                <w:lang w:eastAsia="en-GB"/>
              </w:rPr>
              <w:t>Complex numbers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27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Consolidation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TMA 04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28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Revision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iCMA 44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29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Revision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 </w:t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30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Revision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r>
          </w:p>
        </w:tc>
      </w:tr>
      <w:tr>
        <w:trPr/>
        <w:tc>
          <w:tcPr>
            <w:tcW w:w="704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b/>
                <w:b/>
                <w:bCs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>31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Revision</w:t>
            </w:r>
          </w:p>
        </w:tc>
        <w:tc>
          <w:tcPr>
            <w:tcW w:w="5412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Examination</w:t>
            </w:r>
          </w:p>
        </w:tc>
      </w:tr>
      <w:tr>
        <w:trPr/>
        <w:tc>
          <w:tcPr>
            <w:tcW w:w="70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b/>
                <w:b/>
                <w:bCs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b/>
                <w:bCs/>
                <w:color w:val="333333"/>
                <w:sz w:val="26"/>
                <w:szCs w:val="26"/>
                <w:lang w:eastAsia="en-GB"/>
              </w:rPr>
              <w:t xml:space="preserve">Note: </w:t>
            </w:r>
          </w:p>
        </w:tc>
        <w:tc>
          <w:tcPr>
            <w:tcW w:w="439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  <w:t>Unit 11 is optional</w:t>
            </w:r>
          </w:p>
        </w:tc>
        <w:tc>
          <w:tcPr>
            <w:tcW w:w="541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pPr>
            <w:r>
              <w:rPr>
                <w:rFonts w:eastAsia="Times New Roman" w:cs="Tahoma"/>
                <w:color w:val="333333"/>
                <w:sz w:val="26"/>
                <w:szCs w:val="26"/>
                <w:lang w:eastAsia="en-GB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2"/>
          <w:szCs w:val="2"/>
        </w:rPr>
      </w:pPr>
      <w:r>
        <w:rPr/>
      </w:r>
    </w:p>
    <w:sectPr>
      <w:type w:val="nextPage"/>
      <w:pgSz w:w="11906" w:h="16838"/>
      <w:pgMar w:left="720" w:right="720" w:header="0" w:top="680" w:footer="0" w:bottom="6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a073d3"/>
    <w:rPr>
      <w:i/>
      <w:iCs/>
    </w:rPr>
  </w:style>
  <w:style w:type="character" w:styleId="Strong">
    <w:name w:val="Strong"/>
    <w:basedOn w:val="DefaultParagraphFont"/>
    <w:uiPriority w:val="22"/>
    <w:qFormat/>
    <w:rsid w:val="00a073d3"/>
    <w:rPr>
      <w:b/>
      <w:bCs/>
    </w:rPr>
  </w:style>
  <w:style w:type="character" w:styleId="InternetLink">
    <w:name w:val="Hyperlink"/>
    <w:basedOn w:val="DefaultParagraphFont"/>
    <w:uiPriority w:val="99"/>
    <w:semiHidden/>
    <w:unhideWhenUsed/>
    <w:rsid w:val="00a073d3"/>
    <w:rPr>
      <w:color w:val="1F536B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05a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305a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305a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305a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305a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305a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05a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35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5D51D-786B-4AD6-80F0-AA0C5DAA1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Application>LibreOffice/6.4.7.2$Linux_X86_64 LibreOffice_project/40$Build-2</Application>
  <Pages>2</Pages>
  <Words>278</Words>
  <Characters>1362</Characters>
  <CharactersWithSpaces>1576</CharactersWithSpaces>
  <Paragraphs>93</Paragraphs>
  <Company>The Open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2018-10-11T09:08:00Z</dcterms:created>
  <dc:creator>Gaynor.Arrowsmith</dc:creator>
  <dc:description/>
  <dc:language>en-GB</dc:language>
  <cp:lastModifiedBy>Gaynor.Arrowsmith</cp:lastModifiedBy>
  <cp:lastPrinted>2018-10-11T13:38:00Z</cp:lastPrinted>
  <dcterms:modified xsi:type="dcterms:W3CDTF">2018-10-29T09:54:00Z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The Open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