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263845">
              <w:rPr>
                <w:b/>
                <w:sz w:val="24"/>
                <w:szCs w:val="24"/>
              </w:rPr>
              <w:t>Слученкова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88783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887830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9</w:t>
        </w:r>
      </w:hyperlink>
    </w:p>
    <w:p w:rsidR="00765472" w:rsidRDefault="0088783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16</w:t>
        </w:r>
      </w:hyperlink>
    </w:p>
    <w:p w:rsidR="00765472" w:rsidRDefault="00887830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17</w:t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r w:rsidR="004A0F92">
        <w:rPr>
          <w:lang w:val="en-US"/>
        </w:rPr>
        <w:t>servicedesk</w:t>
      </w:r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2139EB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r>
        <w:rPr>
          <w:color w:val="000000"/>
          <w:lang w:val="en-US"/>
        </w:rPr>
        <w:t>servicedesk</w:t>
      </w:r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2139EB" w:rsidP="003242BE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A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4C006A" w:rsidRDefault="002139EB" w:rsidP="003242BE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A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4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4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 xml:space="preserve">, поэтому время </w:t>
      </w:r>
      <w:r w:rsidR="008E79FB">
        <w:lastRenderedPageBreak/>
        <w:t>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специалистов - каждый </w:t>
            </w:r>
            <w:r>
              <w:lastRenderedPageBreak/>
              <w:t xml:space="preserve">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нужно тратить время на </w:t>
            </w:r>
            <w:r w:rsidR="00766D51">
              <w:lastRenderedPageBreak/>
              <w:t>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5" w:name="_tyjcwt" w:colFirst="0" w:colLast="0"/>
      <w:bookmarkStart w:id="6" w:name="_Toc532558559"/>
      <w:bookmarkEnd w:id="5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6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5</w:t>
            </w:r>
          </w:p>
        </w:tc>
        <w:tc>
          <w:tcPr>
            <w:tcW w:w="92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71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2139EB" w:rsidP="00197694">
            <w:pPr>
              <w:pStyle w:val="af"/>
            </w:pPr>
            <w:r>
              <w:t>90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90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84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4185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lastRenderedPageBreak/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2139EB" w:rsidP="00197694">
            <w:pPr>
              <w:pStyle w:val="af"/>
            </w:pPr>
            <w:r>
              <w:t>14</w:t>
            </w:r>
            <w:r w:rsidR="00197694">
              <w:t xml:space="preserve"> ч/мес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мес</w:t>
            </w:r>
          </w:p>
        </w:tc>
      </w:tr>
    </w:tbl>
    <w:p w:rsidR="003702C7" w:rsidRDefault="00CD4D63">
      <w:pPr>
        <w:pStyle w:val="1"/>
      </w:pPr>
      <w:bookmarkStart w:id="7" w:name="_Toc532985566"/>
      <w:r>
        <w:lastRenderedPageBreak/>
        <w:t>Глава 3. Диаграммы классов (ERD)</w:t>
      </w:r>
      <w:bookmarkEnd w:id="7"/>
    </w:p>
    <w:p w:rsidR="009E73C8" w:rsidRPr="003F213D" w:rsidRDefault="009E73C8" w:rsidP="009E73C8">
      <w:pPr>
        <w:rPr>
          <w:lang w:val="en-US"/>
        </w:rPr>
      </w:pPr>
      <w:r>
        <w:t>Диаграммы классов представлены на рисунках 3.1-3.4.</w:t>
      </w:r>
    </w:p>
    <w:p w:rsidR="003702C7" w:rsidRDefault="003F213D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8" w:name="_GoBack"/>
      <w:r>
        <w:rPr>
          <w:noProof/>
          <w:color w:val="000000"/>
        </w:rPr>
        <w:drawing>
          <wp:inline distT="0" distB="0" distL="0" distR="0">
            <wp:extent cx="5940425" cy="17653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tok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2139E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o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lastRenderedPageBreak/>
        <w:t>Рис. 3.4. Диаграмма модулей</w:t>
      </w:r>
    </w:p>
    <w:p w:rsidR="009E73C8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830" w:rsidRDefault="00887830">
      <w:pPr>
        <w:spacing w:line="240" w:lineRule="auto"/>
      </w:pPr>
      <w:r>
        <w:separator/>
      </w:r>
    </w:p>
  </w:endnote>
  <w:endnote w:type="continuationSeparator" w:id="0">
    <w:p w:rsidR="00887830" w:rsidRDefault="00887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213D">
      <w:rPr>
        <w:noProof/>
        <w:color w:val="000000"/>
      </w:rPr>
      <w:t>16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830" w:rsidRDefault="00887830">
      <w:pPr>
        <w:spacing w:line="240" w:lineRule="auto"/>
      </w:pPr>
      <w:r>
        <w:separator/>
      </w:r>
    </w:p>
  </w:footnote>
  <w:footnote w:type="continuationSeparator" w:id="0">
    <w:p w:rsidR="00887830" w:rsidRDefault="00887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F213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3240A"/>
    <w:rsid w:val="00040F87"/>
    <w:rsid w:val="000608D9"/>
    <w:rsid w:val="00095B72"/>
    <w:rsid w:val="00095C07"/>
    <w:rsid w:val="000B7665"/>
    <w:rsid w:val="000F1A09"/>
    <w:rsid w:val="000F3867"/>
    <w:rsid w:val="00162FB3"/>
    <w:rsid w:val="00167B58"/>
    <w:rsid w:val="0017173C"/>
    <w:rsid w:val="00171FF1"/>
    <w:rsid w:val="00197694"/>
    <w:rsid w:val="0020142C"/>
    <w:rsid w:val="002139EB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3F213D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72B6"/>
    <w:rsid w:val="004C006A"/>
    <w:rsid w:val="0055173F"/>
    <w:rsid w:val="005614A2"/>
    <w:rsid w:val="0056523C"/>
    <w:rsid w:val="0057773D"/>
    <w:rsid w:val="005C2765"/>
    <w:rsid w:val="005E31A5"/>
    <w:rsid w:val="005F432D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97D97"/>
    <w:rsid w:val="007A7838"/>
    <w:rsid w:val="007C2F1D"/>
    <w:rsid w:val="008044A7"/>
    <w:rsid w:val="008479BE"/>
    <w:rsid w:val="00887830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842B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6D2B2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683195-0FBD-41E4-AB2C-4091F57B3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1180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2</cp:revision>
  <dcterms:created xsi:type="dcterms:W3CDTF">2019-12-17T16:17:00Z</dcterms:created>
  <dcterms:modified xsi:type="dcterms:W3CDTF">2019-12-17T16:17:00Z</dcterms:modified>
</cp:coreProperties>
</file>