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uloPrincipal"/>
      </w:pPr>
      <w:r>
        <w:t>Estados, gestión y colores</w:t>
      </w:r>
    </w:p>
    <w:p>
      <w:pPr>
        <w:pStyle w:val="Subtitulo"/>
      </w:pPr>
      <w:r>
        <w:t>Ferrequipos de la Costa — sistema de facturas y seguimiento de clientes</w:t>
      </w:r>
    </w:p>
    <w:p>
      <w:pPr>
        <w:pStyle w:val="Titulo1"/>
      </w:pPr>
      <w:r>
        <w:t>1. Estado de la factura — ¿en qué punto va?</w:t>
      </w:r>
    </w:p>
    <w:p>
      <w:pPr>
        <w:pStyle w:val="Nota"/>
      </w:pPr>
      <w:r>
        <w:t>Se ve en Clientes y en Detalle Cliente. Se calcula solo a partir de los datos de la factura; nadie lo escribe a mano.</w:t>
      </w:r>
    </w:p>
    <w:tbl>
      <w:tblPr>
        <w:tblW w:w="5000" w:type="pct"/>
        <w:tblStyle w:val="TablaColores"/>
      </w:tblPr>
      <w:tblGrid>
        <w:gridCol w:w="1100"/>
        <w:gridCol w:w="1500"/>
        <w:gridCol w:w="2400"/>
      </w:tblGrid>
      <w:tr>
        <w:tc>
          <w:tcPr>
            <w:tcW w:w="1100" w:type="pct"/>
            <w:shd w:val="clear" w:color="auto" w:fill="F3F4F6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w="1500" w:type="pct"/>
            <w:shd w:val="clear" w:color="auto" w:fill="F3F4F6"/>
          </w:tcPr>
          <w:p>
            <w:r>
              <w:rPr>
                <w:b/>
                <w:sz w:val="18"/>
              </w:rPr>
              <w:t>Color</w:t>
            </w:r>
          </w:p>
        </w:tc>
        <w:tc>
          <w:tcPr>
            <w:tcW w:w="2400" w:type="pct"/>
            <w:shd w:val="clear" w:color="auto" w:fill="F3F4F6"/>
          </w:tcPr>
          <w:p>
            <w:r>
              <w:rPr>
                <w:b/>
                <w:sz w:val="18"/>
              </w:rPr>
              <w:t>Cuándo aplica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Pendiente</w:t>
            </w:r>
          </w:p>
        </w:tc>
        <w:tc>
          <w:tcPr>
            <w:tcW w:w="1500" w:type="pct"/>
            <w:shd w:val="clear" w:color="auto" w:fill="F59E0B"/>
          </w:tcPr>
          <w:p>
            <w:r>
              <w:rPr>
                <w:color w:val="111827"/>
                <w:b/>
              </w:rPr>
              <w:t>Ámbar #F59E0B</w:t>
            </w:r>
          </w:p>
        </w:tc>
        <w:tc>
          <w:tcPr>
            <w:tcW w:w="2400" w:type="pct"/>
          </w:tcPr>
          <w:p>
            <w:r>
              <w:t>Facturada, todavía no sale nada.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Activa</w:t>
            </w:r>
          </w:p>
        </w:tc>
        <w:tc>
          <w:tcPr>
            <w:tcW w:w="1500" w:type="pct"/>
            <w:shd w:val="clear" w:color="auto" w:fill="16A34A"/>
          </w:tcPr>
          <w:p>
            <w:r>
              <w:rPr>
                <w:color w:val="FFFFFF"/>
                <w:b/>
              </w:rPr>
              <w:t>Verde #16A34A</w:t>
            </w:r>
          </w:p>
        </w:tc>
        <w:tc>
          <w:tcPr>
            <w:tcW w:w="2400" w:type="pct"/>
          </w:tcPr>
          <w:p>
            <w:r>
              <w:t>Despachada, al día.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Vencida</w:t>
            </w:r>
          </w:p>
        </w:tc>
        <w:tc>
          <w:tcPr>
            <w:tcW w:w="1500" w:type="pct"/>
            <w:shd w:val="clear" w:color="auto" w:fill="DC2626"/>
          </w:tcPr>
          <w:p>
            <w:r>
              <w:rPr>
                <w:color w:val="FFFFFF"/>
                <w:b/>
              </w:rPr>
              <w:t>Rojo #DC2626</w:t>
            </w:r>
          </w:p>
        </w:tc>
        <w:tc>
          <w:tcPr>
            <w:tcW w:w="2400" w:type="pct"/>
          </w:tcPr>
          <w:p>
            <w:r>
              <w:t>Pasó la fecha con equipos afuera (incluye la renovación pactada mientras debe).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Cobro</w:t>
            </w:r>
          </w:p>
        </w:tc>
        <w:tc>
          <w:tcPr>
            <w:tcW w:w="1500" w:type="pct"/>
            <w:shd w:val="clear" w:color="auto" w:fill="EA580C"/>
          </w:tcPr>
          <w:p>
            <w:r>
              <w:rPr>
                <w:color w:val="FFFFFF"/>
                <w:b/>
              </w:rPr>
              <w:t>Naranja #EA580C</w:t>
            </w:r>
          </w:p>
        </w:tc>
        <w:tc>
          <w:tcPr>
            <w:tcW w:w="2400" w:type="pct"/>
          </w:tcPr>
          <w:p>
            <w:r>
              <w:t>Devolvió todo, pero debe plata.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Finalizada</w:t>
            </w:r>
          </w:p>
        </w:tc>
        <w:tc>
          <w:tcPr>
            <w:tcW w:w="1500" w:type="pct"/>
            <w:shd w:val="clear" w:color="auto" w:fill="475569"/>
          </w:tcPr>
          <w:p>
            <w:r>
              <w:rPr>
                <w:color w:val="FFFFFF"/>
                <w:b/>
              </w:rPr>
              <w:t>Gris azulado #475569</w:t>
            </w:r>
          </w:p>
        </w:tc>
        <w:tc>
          <w:tcPr>
            <w:tcW w:w="2400" w:type="pct"/>
          </w:tcPr>
          <w:p>
            <w:r>
              <w:t>Devolvió todo y no debe nada.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Inactivo</w:t>
            </w:r>
          </w:p>
        </w:tc>
        <w:tc>
          <w:tcPr>
            <w:tcW w:w="1500" w:type="pct"/>
            <w:shd w:val="clear" w:color="auto" w:fill="6B7280"/>
          </w:tcPr>
          <w:p>
            <w:r>
              <w:rPr>
                <w:color w:val="FFFFFF"/>
                <w:b/>
              </w:rPr>
              <w:t>Gris #6B7280</w:t>
            </w:r>
          </w:p>
        </w:tc>
        <w:tc>
          <w:tcPr>
            <w:tcW w:w="2400" w:type="pct"/>
          </w:tcPr>
          <w:p>
            <w:r>
              <w:t>Cliente sin ninguna factura.</w:t>
            </w:r>
          </w:p>
        </w:tc>
      </w:tr>
    </w:tbl>
    <w:p/>
    <w:p>
      <w:pPr>
        <w:pStyle w:val="Titulo1"/>
      </w:pPr>
      <w:r>
        <w:t>2. Gestión — ¿qué hice para destrabarla?</w:t>
      </w:r>
    </w:p>
    <w:p>
      <w:pPr>
        <w:pStyle w:val="Nota"/>
      </w:pPr>
      <w:r>
        <w:t>Se ve solo en Seguimiento. Solo entran ahí las facturas Vencidas y las en Cobro.</w:t>
      </w:r>
    </w:p>
    <w:tbl>
      <w:tblPr>
        <w:tblW w:w="5000" w:type="pct"/>
        <w:tblStyle w:val="TablaColores"/>
      </w:tblPr>
      <w:tblGrid>
        <w:gridCol w:w="1100"/>
        <w:gridCol w:w="1500"/>
        <w:gridCol w:w="2400"/>
      </w:tblGrid>
      <w:tr>
        <w:tc>
          <w:tcPr>
            <w:tcW w:w="1100" w:type="pct"/>
            <w:shd w:val="clear" w:color="auto" w:fill="F3F4F6"/>
          </w:tcPr>
          <w:p>
            <w:r>
              <w:rPr>
                <w:b/>
                <w:sz w:val="18"/>
              </w:rPr>
              <w:t>Gestión</w:t>
            </w:r>
          </w:p>
        </w:tc>
        <w:tc>
          <w:tcPr>
            <w:tcW w:w="1500" w:type="pct"/>
            <w:shd w:val="clear" w:color="auto" w:fill="F3F4F6"/>
          </w:tcPr>
          <w:p>
            <w:r>
              <w:rPr>
                <w:b/>
                <w:sz w:val="18"/>
              </w:rPr>
              <w:t>Color</w:t>
            </w:r>
          </w:p>
        </w:tc>
        <w:tc>
          <w:tcPr>
            <w:tcW w:w="2400" w:type="pct"/>
            <w:shd w:val="clear" w:color="auto" w:fill="F3F4F6"/>
          </w:tcPr>
          <w:p>
            <w:r>
              <w:rPr>
                <w:b/>
                <w:sz w:val="18"/>
              </w:rPr>
              <w:t>Cuándo aplica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Sin gestionar</w:t>
            </w:r>
          </w:p>
        </w:tc>
        <w:tc>
          <w:tcPr>
            <w:tcW w:w="1500" w:type="pct"/>
            <w:shd w:val="clear" w:color="auto" w:fill="9CA3AF"/>
          </w:tcPr>
          <w:p>
            <w:r>
              <w:rPr>
                <w:color w:val="111827"/>
                <w:b/>
              </w:rPr>
              <w:t>Gris claro #9CA3AF</w:t>
            </w:r>
          </w:p>
        </w:tc>
        <w:tc>
          <w:tcPr>
            <w:tcW w:w="2400" w:type="pct"/>
          </w:tcPr>
          <w:p>
            <w:r>
              <w:t>Recién entró a seguimiento, nadie la tocó todavía.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Sin respuesta</w:t>
            </w:r>
          </w:p>
        </w:tc>
        <w:tc>
          <w:tcPr>
            <w:tcW w:w="1500" w:type="pct"/>
            <w:shd w:val="clear" w:color="auto" w:fill="6B7280"/>
          </w:tcPr>
          <w:p>
            <w:r>
              <w:rPr>
                <w:color w:val="FFFFFF"/>
                <w:b/>
              </w:rPr>
              <w:t>Gris #6B7280</w:t>
            </w:r>
          </w:p>
        </w:tc>
        <w:tc>
          <w:tcPr>
            <w:tcW w:w="2400" w:type="pct"/>
          </w:tcPr>
          <w:p>
            <w:r>
              <w:t>Se llamó y el cliente no contestó.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Renovación</w:t>
            </w:r>
          </w:p>
        </w:tc>
        <w:tc>
          <w:tcPr>
            <w:tcW w:w="1500" w:type="pct"/>
            <w:shd w:val="clear" w:color="auto" w:fill="2563EB"/>
          </w:tcPr>
          <w:p>
            <w:r>
              <w:rPr>
                <w:color w:val="FFFFFF"/>
                <w:b/>
              </w:rPr>
              <w:t>Azul #2563EB</w:t>
            </w:r>
          </w:p>
        </w:tc>
        <w:tc>
          <w:tcPr>
            <w:tcW w:w="2400" w:type="pct"/>
          </w:tcPr>
          <w:p>
            <w:r>
              <w:t>Contestó y se acordaron más días.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Parcial</w:t>
            </w:r>
          </w:p>
        </w:tc>
        <w:tc>
          <w:tcPr>
            <w:tcW w:w="1500" w:type="pct"/>
            <w:shd w:val="clear" w:color="auto" w:fill="7C3AED"/>
          </w:tcPr>
          <w:p>
            <w:r>
              <w:rPr>
                <w:color w:val="FFFFFF"/>
                <w:b/>
              </w:rPr>
              <w:t>Violeta #7C3AED</w:t>
            </w:r>
          </w:p>
        </w:tc>
        <w:tc>
          <w:tcPr>
            <w:tcW w:w="2400" w:type="pct"/>
          </w:tcPr>
          <w:p>
            <w:r>
              <w:t>Devolvió una parte de los equipos.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Cobro</w:t>
            </w:r>
          </w:p>
        </w:tc>
        <w:tc>
          <w:tcPr>
            <w:tcW w:w="1500" w:type="pct"/>
            <w:shd w:val="clear" w:color="auto" w:fill="EA580C"/>
          </w:tcPr>
          <w:p>
            <w:r>
              <w:rPr>
                <w:color w:val="FFFFFF"/>
                <w:b/>
              </w:rPr>
              <w:t>Naranja #EA580C</w:t>
            </w:r>
          </w:p>
        </w:tc>
        <w:tc>
          <w:tcPr>
            <w:tcW w:w="2400" w:type="pct"/>
          </w:tcPr>
          <w:p>
            <w:r>
              <w:t>Devolvió todo, sigue debiendo (mismo naranja que el estado Cobro).</w:t>
            </w:r>
          </w:p>
        </w:tc>
      </w:tr>
    </w:tbl>
    <w:p/>
    <w:p>
      <w:pPr>
        <w:pStyle w:val="Titulo1"/>
      </w:pPr>
      <w:r>
        <w:t>3. Urgencia por vencimiento</w:t>
      </w:r>
    </w:p>
    <w:p>
      <w:pPr>
        <w:pStyle w:val="Nota"/>
      </w:pPr>
      <w:r>
        <w:t>Solo dentro de la lista de equipos en Seguimiento. No es un estado ni una gestión: es visual, por grupo, y se recalcula cada vez que se abre la pantalla.</w:t>
      </w:r>
    </w:p>
    <w:tbl>
      <w:tblPr>
        <w:tblW w:w="5000" w:type="pct"/>
        <w:tblStyle w:val="TablaColores"/>
      </w:tblPr>
      <w:tblGrid>
        <w:gridCol w:w="1100"/>
        <w:gridCol w:w="1500"/>
        <w:gridCol w:w="2400"/>
      </w:tblGrid>
      <w:tr>
        <w:tc>
          <w:tcPr>
            <w:tcW w:w="1100" w:type="pct"/>
            <w:shd w:val="clear" w:color="auto" w:fill="F3F4F6"/>
          </w:tcPr>
          <w:p>
            <w:r>
              <w:rPr>
                <w:b/>
                <w:sz w:val="18"/>
              </w:rPr>
              <w:t>Grupo</w:t>
            </w:r>
          </w:p>
        </w:tc>
        <w:tc>
          <w:tcPr>
            <w:tcW w:w="1500" w:type="pct"/>
            <w:shd w:val="clear" w:color="auto" w:fill="F3F4F6"/>
          </w:tcPr>
          <w:p>
            <w:r>
              <w:rPr>
                <w:b/>
                <w:sz w:val="18"/>
              </w:rPr>
              <w:t>Color</w:t>
            </w:r>
          </w:p>
        </w:tc>
        <w:tc>
          <w:tcPr>
            <w:tcW w:w="2400" w:type="pct"/>
            <w:shd w:val="clear" w:color="auto" w:fill="F3F4F6"/>
          </w:tcPr>
          <w:p>
            <w:r>
              <w:rPr>
                <w:b/>
                <w:sz w:val="18"/>
              </w:rPr>
              <w:t>Regla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Vencido</w:t>
            </w:r>
          </w:p>
        </w:tc>
        <w:tc>
          <w:tcPr>
            <w:tcW w:w="1500" w:type="pct"/>
            <w:shd w:val="clear" w:color="auto" w:fill="DC2626"/>
          </w:tcPr>
          <w:p>
            <w:r>
              <w:rPr>
                <w:color w:val="FFFFFF"/>
                <w:b/>
              </w:rPr>
              <w:t>Rojo</w:t>
            </w:r>
          </w:p>
        </w:tc>
        <w:tc>
          <w:tcPr>
            <w:tcW w:w="2400" w:type="pct"/>
          </w:tcPr>
          <w:p>
            <w:r>
              <w:t>Ya pasó la fecha de devolución.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Vence hoy</w:t>
            </w:r>
          </w:p>
        </w:tc>
        <w:tc>
          <w:tcPr>
            <w:tcW w:w="1500" w:type="pct"/>
            <w:shd w:val="clear" w:color="auto" w:fill="F59E0B"/>
          </w:tcPr>
          <w:p>
            <w:r>
              <w:rPr>
                <w:color w:val="111827"/>
                <w:b/>
              </w:rPr>
              <w:t>Ámbar</w:t>
            </w:r>
          </w:p>
        </w:tc>
        <w:tc>
          <w:tcPr>
            <w:tcW w:w="2400" w:type="pct"/>
          </w:tcPr>
          <w:p>
            <w:r>
              <w:t>Vence exactamente hoy.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Vence</w:t>
            </w:r>
          </w:p>
        </w:tc>
        <w:tc>
          <w:tcPr>
            <w:tcW w:w="1500" w:type="pct"/>
            <w:shd w:val="clear" w:color="auto" w:fill="9CA3AF"/>
          </w:tcPr>
          <w:p>
            <w:r>
              <w:rPr>
                <w:color w:val="111827"/>
                <w:b/>
              </w:rPr>
              <w:t>Gris</w:t>
            </w:r>
          </w:p>
        </w:tc>
        <w:tc>
          <w:tcPr>
            <w:tcW w:w="2400" w:type="pct"/>
          </w:tcPr>
          <w:p>
            <w:r>
              <w:t>Vence en el futuro.</w:t>
            </w:r>
          </w:p>
        </w:tc>
      </w:tr>
      <w:tr>
        <w:tc>
          <w:tcPr>
            <w:tcW w:w="1100" w:type="pct"/>
          </w:tcPr>
          <w:p>
            <w:r>
              <w:rPr>
                <w:b/>
              </w:rPr>
              <w:t>Entrega indefinida</w:t>
            </w:r>
          </w:p>
        </w:tc>
        <w:tc>
          <w:tcPr>
            <w:tcW w:w="1500" w:type="pct"/>
            <w:shd w:val="clear" w:color="auto" w:fill="0D9488"/>
          </w:tcPr>
          <w:p>
            <w:r>
              <w:rPr>
                <w:color w:val="FFFFFF"/>
                <w:b/>
              </w:rPr>
              <w:t>Teal #0D9488</w:t>
            </w:r>
          </w:p>
        </w:tc>
        <w:tc>
          <w:tcPr>
            <w:tcW w:w="2400" w:type="pct"/>
          </w:tcPr>
          <w:p>
            <w:r>
              <w:t>Sin fecha; el cliente debe avisar.</w:t>
            </w:r>
          </w:p>
        </w:tc>
      </w:tr>
    </w:tbl>
    <w:p/>
    <w:p>
      <w:pPr>
        <w:pStyle w:val="Titulo1"/>
      </w:pPr>
      <w:r>
        <w:t>4. Colores de bloque — de qué sección es cada recuadro</w:t>
      </w:r>
    </w:p>
    <w:p>
      <w:pPr>
        <w:pStyle w:val="Nota"/>
      </w:pPr>
      <w:r>
        <w:t>Ni estado ni gestión: solo distingue de un vistazo qué parte de la factura se está mirando.</w:t>
      </w:r>
    </w:p>
    <w:tbl>
      <w:tblPr>
        <w:tblW w:w="5000" w:type="pct"/>
        <w:tblStyle w:val="TablaColores"/>
      </w:tblPr>
      <w:tblGrid>
        <w:gridCol w:w="2500"/>
        <w:gridCol w:w="2500"/>
      </w:tblGrid>
      <w:tr>
        <w:tc>
          <w:tcPr>
            <w:tcW w:w="2500" w:type="pct"/>
            <w:shd w:val="clear" w:color="auto" w:fill="F3F4F6"/>
          </w:tcPr>
          <w:p>
            <w:r>
              <w:rPr>
                <w:b/>
                <w:sz w:val="18"/>
              </w:rPr>
              <w:t>Bloque</w:t>
            </w:r>
          </w:p>
        </w:tc>
        <w:tc>
          <w:tcPr>
            <w:tcW w:w="2500" w:type="pct"/>
            <w:shd w:val="clear" w:color="auto" w:fill="F3F4F6"/>
          </w:tcPr>
          <w:p>
            <w:r>
              <w:rPr>
                <w:b/>
                <w:sz w:val="18"/>
              </w:rPr>
              <w:t>Color</w:t>
            </w:r>
          </w:p>
        </w:tc>
      </w:tr>
      <w:tr>
        <w:tc>
          <w:tcPr>
            <w:tcW w:w="2500" w:type="pct"/>
          </w:tcPr>
          <w:p>
            <w:r>
              <w:rPr>
                <w:b/>
              </w:rPr>
              <w:t>Pago</w:t>
            </w:r>
          </w:p>
        </w:tc>
        <w:tc>
          <w:tcPr>
            <w:tcW w:w="1500" w:type="pct"/>
            <w:shd w:val="clear" w:color="auto" w:fill="22C55E"/>
          </w:tcPr>
          <w:p>
            <w:r>
              <w:rPr>
                <w:color w:val="FFFFFF"/>
                <w:b/>
              </w:rPr>
              <w:t>Verde #22C55E</w:t>
            </w:r>
          </w:p>
        </w:tc>
      </w:tr>
      <w:tr>
        <w:tc>
          <w:tcPr>
            <w:tcW w:w="2500" w:type="pct"/>
          </w:tcPr>
          <w:p>
            <w:r>
              <w:rPr>
                <w:b/>
              </w:rPr>
              <w:t>Equipos del alta</w:t>
            </w:r>
          </w:p>
        </w:tc>
        <w:tc>
          <w:tcPr>
            <w:tcW w:w="1500" w:type="pct"/>
            <w:shd w:val="clear" w:color="auto" w:fill="3B82F6"/>
          </w:tcPr>
          <w:p>
            <w:r>
              <w:rPr>
                <w:color w:val="FFFFFF"/>
                <w:b/>
              </w:rPr>
              <w:t>Azul #3B82F6</w:t>
            </w:r>
          </w:p>
        </w:tc>
      </w:tr>
      <w:tr>
        <w:tc>
          <w:tcPr>
            <w:tcW w:w="2500" w:type="pct"/>
          </w:tcPr>
          <w:p>
            <w:r>
              <w:rPr>
                <w:b/>
              </w:rPr>
              <w:t>Equipos agregados después</w:t>
            </w:r>
          </w:p>
        </w:tc>
        <w:tc>
          <w:tcPr>
            <w:tcW w:w="1500" w:type="pct"/>
            <w:shd w:val="clear" w:color="auto" w:fill="A855F7"/>
          </w:tcPr>
          <w:p>
            <w:r>
              <w:rPr>
                <w:color w:val="FFFFFF"/>
                <w:b/>
              </w:rPr>
              <w:t>Violeta #A855F7</w:t>
            </w:r>
          </w:p>
        </w:tc>
      </w:tr>
      <w:tr>
        <w:tc>
          <w:tcPr>
            <w:tcW w:w="2500" w:type="pct"/>
          </w:tcPr>
          <w:p>
            <w:r>
              <w:rPr>
                <w:b/>
              </w:rPr>
              <w:t>Adicionales (depósito/transporte)</w:t>
            </w:r>
          </w:p>
        </w:tc>
        <w:tc>
          <w:tcPr>
            <w:tcW w:w="1500" w:type="pct"/>
            <w:shd w:val="clear" w:color="auto" w:fill="F97316"/>
          </w:tcPr>
          <w:p>
            <w:r>
              <w:rPr>
                <w:color w:val="FFFFFF"/>
                <w:b/>
              </w:rPr>
              <w:t>Naranja #F97316</w:t>
            </w:r>
          </w:p>
        </w:tc>
      </w:tr>
      <w:tr>
        <w:tc>
          <w:tcPr>
            <w:tcW w:w="2500" w:type="pct"/>
          </w:tcPr>
          <w:p>
            <w:r>
              <w:rPr>
                <w:b/>
              </w:rPr>
              <w:t>Gestión (línea de tiempo)</w:t>
            </w:r>
          </w:p>
        </w:tc>
        <w:tc>
          <w:tcPr>
            <w:tcW w:w="1500" w:type="pct"/>
            <w:shd w:val="clear" w:color="auto" w:fill="DB2777"/>
          </w:tcPr>
          <w:p>
            <w:r>
              <w:rPr>
                <w:color w:val="FFFFFF"/>
                <w:b/>
              </w:rPr>
              <w:t>Rosa #DB2777</w:t>
            </w:r>
          </w:p>
        </w:tc>
      </w:tr>
      <w:tr>
        <w:tc>
          <w:tcPr>
            <w:tcW w:w="2500" w:type="pct"/>
          </w:tcPr>
          <w:p>
            <w:r>
              <w:rPr>
                <w:b/>
              </w:rPr>
              <w:t>Abonos</w:t>
            </w:r>
          </w:p>
        </w:tc>
        <w:tc>
          <w:tcPr>
            <w:tcW w:w="1500" w:type="pct"/>
            <w:shd w:val="clear" w:color="auto" w:fill="0288D1"/>
          </w:tcPr>
          <w:p>
            <w:r>
              <w:rPr>
                <w:color w:val="FFFFFF"/>
                <w:b/>
              </w:rPr>
              <w:t>Azul (info del tema)</w:t>
            </w:r>
          </w:p>
        </w:tc>
      </w:tr>
    </w:tbl>
    <w:p/>
    <w:p>
      <w:pPr>
        <w:pStyle w:val="Nota"/>
      </w:pPr>
      <w:r>
        <w:t>Ferrequipos de la Costa — documento de referencia interna.</w:t>
      </w:r>
    </w:p>
    <w:sectPr>
      <w:pgSz w:w="11906" w:h="16838"/>
      <w:pgMar w:top="1021" w:right="907" w:bottom="1021" w:left="90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</w:rPr>
    </w:rPrDefault>
  </w:docDefaults>
  <w:style w:type="paragraph" w:default="1" w:styleId="Normal">
    <w:name w:val="Normal"/>
  </w:style>
  <w:style w:type="paragraph" w:styleId="TituloPrincipal">
    <w:name w:val="Titulo Principal"/>
    <w:basedOn w:val="Normal"/>
    <w:pPr>
      <w:spacing w:after="60"/>
    </w:pPr>
    <w:rPr>
      <w:b/>
      <w:color w:val="283890"/>
      <w:sz w:val="40"/>
    </w:rPr>
  </w:style>
  <w:style w:type="paragraph" w:styleId="Subtitulo">
    <w:name w:val="Subtitulo"/>
    <w:basedOn w:val="Normal"/>
    <w:pPr>
      <w:spacing w:after="360"/>
    </w:pPr>
    <w:rPr>
      <w:color w:val="6B7280"/>
      <w:sz w:val="21"/>
    </w:rPr>
  </w:style>
  <w:style w:type="paragraph" w:styleId="Titulo1">
    <w:name w:val="heading 1"/>
    <w:basedOn w:val="Normal"/>
    <w:pPr>
      <w:spacing w:before="240" w:after="80"/>
    </w:pPr>
    <w:rPr>
      <w:b/>
      <w:color w:val="111827"/>
      <w:sz w:val="26"/>
    </w:rPr>
  </w:style>
  <w:style w:type="paragraph" w:styleId="Nota">
    <w:name w:val="Nota"/>
    <w:basedOn w:val="Normal"/>
    <w:pPr>
      <w:spacing w:after="120"/>
    </w:pPr>
    <w:rPr>
      <w:i/>
      <w:color w:val="6B7280"/>
      <w:sz w:val="18"/>
    </w:rPr>
  </w:style>
  <w:style w:type="table" w:default="1" w:styleId="TableNormal">
    <w:name w:val="Normal Table"/>
  </w:style>
  <w:style w:type="table" w:styleId="TablaColores">
    <w:name w:val="Tabla Colores"/>
    <w:basedOn w:val="TableNormal"/>
    <w:tblPr>
      <w:tblBorders>
        <w:top w:val="single" w:sz="4" w:color="E5E7EB"/>
        <w:left w:val="single" w:sz="4" w:color="E5E7EB"/>
        <w:bottom w:val="single" w:sz="4" w:color="E5E7EB"/>
        <w:right w:val="single" w:sz="4" w:color="E5E7EB"/>
        <w:insideH w:val="single" w:sz="4" w:color="E5E7EB"/>
        <w:insideV w:val="single" w:sz="4" w:color="E5E7EB"/>
      </w:tblBorders>
      <w:tblCellMar>
        <w:top w:w="80" w:type="dxa"/>
        <w:left w:w="120" w:type="dxa"/>
        <w:bottom w:w="8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Python</Application>
</Properties>
</file>

<file path=docProps/core.xml><?xml version="1.0" encoding="utf-8"?>
<cp:coreProperties xmlns:cp="http://schemas.openxmlformats.org/package/2006/metadata/core-properties" xmlns:dc="http://purl.org/dc/elements/1.1/">
  <dc:title>Estados, gestión y colores</dc:title>
  <dc:creator>Ferrequipos de la Costa</dc:creator>
</cp:coreProperties>
</file>