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new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new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Backend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21.06.2022 14:13:08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10_new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