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4"/>
        </w:rPr>
        <w:t>PAVAN KUMAR SADASHIV</w:t>
        <w:br/>
      </w:r>
      <w:r>
        <w:rPr>
          <w:b/>
          <w:color w:val="047857"/>
          <w:sz w:val="20"/>
        </w:rPr>
        <w:t>AI Systems Chief Architect | GPU Systems &amp; High-Performance Runtime Engineer | Founder &amp; MD</w:t>
        <w:br/>
      </w:r>
      <w:r>
        <w:rPr>
          <w:color w:val="4B5563"/>
          <w:sz w:val="17"/>
        </w:rPr>
        <w:t>Mangaluru, Karnataka, India | Email: hrlinternationalprivatelimited@gmail.com | GitHub: github.com/hrlpavan</w:t>
        <w:br/>
        <w:t>Platform: hrlpavan.github.io/hrl-international-website- | Charter: github.com/hrlpavan/engineering-compensation-blueprint</w:t>
      </w:r>
    </w:p>
    <w:p>
      <w:pPr>
        <w:spacing w:before="160" w:after="40"/>
      </w:pPr>
      <w:r>
        <w:rPr>
          <w:b/>
          <w:color w:val="111827"/>
          <w:sz w:val="21"/>
        </w:rPr>
        <w:t>EXECUTIVE SUMMARY</w:t>
      </w:r>
    </w:p>
    <w:p>
      <w:pPr>
        <w:spacing w:after="80"/>
      </w:pPr>
      <w:r>
        <w:rPr>
          <w:color w:val="374151"/>
          <w:sz w:val="17"/>
        </w:rPr>
        <w:t>High-velocity AI Systems Chief Architect and GPU Systems Engineer with deep technical mastery across low-level C++20/CUDA 12.6 high-performance inference runtimes, Paged KV-Cache virtualization, CUDA Graph replay optimization, and discrete combinatorial optimization (NP-hard CSP Backtracking). Proven track record architecting the NVIDIA RTX-LocalAI Enterprise Execution Suite for Ada Lovelace and Blackwell GPUs, hardware-accelerated OpenFX visual compute plugins for Hollywood post-production suites (DaVinci Resolve), and zero-bloat native backend microservices. Founder and Managing Director of HRL International Private Limited with verified competencies in corporate grant financing (Startup India / Karnataka ELEVATE), distributed stream processing (JPMorgan Chase certified), and enterprise cybersecurity governance (Deloitte certified). Author of the master technical treatise Rule Breaking (Volume 4.0): The 100x AI Chief Architect Manifesto.</w:t>
      </w:r>
    </w:p>
    <w:p>
      <w:pPr>
        <w:spacing w:before="160" w:after="40"/>
      </w:pPr>
      <w:r>
        <w:rPr>
          <w:b/>
          <w:color w:val="111827"/>
          <w:sz w:val="21"/>
        </w:rPr>
        <w:t>CORE TECHNICAL COMPETENCIES</w:t>
      </w:r>
    </w:p>
    <w:p>
      <w:pPr>
        <w:pStyle w:val="ListBullet"/>
        <w:spacing w:before="30" w:after="30"/>
      </w:pPr>
      <w:r>
        <w:rPr>
          <w:b/>
          <w:color w:val="1F2937"/>
          <w:sz w:val="18"/>
        </w:rPr>
        <w:t xml:space="preserve">GPU &amp; Low-Level Compute: </w:t>
      </w:r>
      <w:r>
        <w:rPr>
          <w:color w:val="374151"/>
          <w:sz w:val="17"/>
        </w:rPr>
        <w:t>C++20/17, NVIDIA CUDA 12.6 Kernel Programming, Apple Metal Shading Language (MSL), CUDA Graphs, Paged Attention &amp; KV-Cache Virtualization, OpenFX API, GPU Memory Optimization, Tensor Cores.</w:t>
      </w:r>
    </w:p>
    <w:p>
      <w:pPr>
        <w:pStyle w:val="ListBullet"/>
        <w:spacing w:before="30" w:after="30"/>
      </w:pPr>
      <w:r>
        <w:rPr>
          <w:b/>
          <w:color w:val="1F2937"/>
          <w:sz w:val="18"/>
        </w:rPr>
        <w:t xml:space="preserve">AI/ML &amp; Vision Systems: </w:t>
      </w:r>
      <w:r>
        <w:rPr>
          <w:color w:val="374151"/>
          <w:sz w:val="17"/>
        </w:rPr>
        <w:t>PyTorch, ONNX Runtime, Hardware-Aware FP8 (E4M3/E5M2) &amp; INT4-AWQ/GPTQ Quantization, Speculative Decoding Policy Engines, Monocular Neural Depth Estimation (Depth Anything), ACEScc Color Science.</w:t>
      </w:r>
    </w:p>
    <w:p>
      <w:pPr>
        <w:pStyle w:val="ListBullet"/>
        <w:spacing w:before="30" w:after="30"/>
      </w:pPr>
      <w:r>
        <w:rPr>
          <w:b/>
          <w:color w:val="1F2937"/>
          <w:sz w:val="18"/>
        </w:rPr>
        <w:t xml:space="preserve">Algorithms &amp; Optimization: </w:t>
      </w:r>
      <w:r>
        <w:rPr>
          <w:color w:val="374151"/>
          <w:sz w:val="17"/>
        </w:rPr>
        <w:t>Combinatorial Discrete Optimization, Constraint Satisfaction Problem (CSP) Backtracking Solvers, Dynamic K-Means Clustering (k=3), Bayesian Classifiers, Sliding Window Token Bucket Rate Limiting.</w:t>
      </w:r>
    </w:p>
    <w:p>
      <w:pPr>
        <w:pStyle w:val="ListBullet"/>
        <w:spacing w:before="30" w:after="30"/>
      </w:pPr>
      <w:r>
        <w:rPr>
          <w:b/>
          <w:color w:val="1F2937"/>
          <w:sz w:val="18"/>
        </w:rPr>
        <w:t xml:space="preserve">Backend &amp; Systems: </w:t>
      </w:r>
      <w:r>
        <w:rPr>
          <w:color w:val="374151"/>
          <w:sz w:val="17"/>
        </w:rPr>
        <w:t>Native Node.js (node:http, node:fs), SQLite 3 (better-sqlite3, ACID Transactions), Zero-Framework Server Architecture, RESTful API Design, Microservices, Multi-Agent AI Orchestration (Google Antigravity SDK).</w:t>
      </w:r>
    </w:p>
    <w:p>
      <w:pPr>
        <w:pStyle w:val="ListBullet"/>
        <w:spacing w:before="30" w:after="30"/>
      </w:pPr>
      <w:r>
        <w:rPr>
          <w:b/>
          <w:color w:val="1F2937"/>
          <w:sz w:val="18"/>
        </w:rPr>
        <w:t xml:space="preserve">DevOps &amp; Build Systems: </w:t>
      </w:r>
      <w:r>
        <w:rPr>
          <w:color w:val="374151"/>
          <w:sz w:val="17"/>
        </w:rPr>
        <w:t>CMake, Git, GitHub Actions (CI/CD Pipelines), macOS Application Bundling &amp; DMG Packaging, Linux System Administration.</w:t>
      </w:r>
    </w:p>
    <w:p>
      <w:pPr>
        <w:spacing w:before="160" w:after="40"/>
      </w:pPr>
      <w:r>
        <w:rPr>
          <w:b/>
          <w:color w:val="111827"/>
          <w:sz w:val="21"/>
        </w:rPr>
        <w:t>FLAGSHIP ENGINEERING &amp; GPU PROJECTS</w:t>
      </w:r>
    </w:p>
    <w:p>
      <w:pPr>
        <w:spacing w:before="80" w:after="20"/>
      </w:pPr>
      <w:r>
        <w:rPr>
          <w:b/>
          <w:sz w:val="19"/>
        </w:rPr>
        <w:t>1. NVIDIA RTX-LocalAI Enterprise Execution Suite</w:t>
        <w:br/>
      </w:r>
      <w:r>
        <w:rPr>
          <w:i/>
          <w:sz w:val="17"/>
        </w:rPr>
        <w:t>Technologies: C++20, CUDA 12.6, Paged KV-Cache, CUDA Graphs, Speculative Decoding, INT4-AWQ, FP8, CMake | hrlpavan.github.io/nvedia-project-by-hrl/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Architected an on-device AI inference engine, memory management subsystem, and benchmarking suite for NVIDIA GeForce RTX (Ada Lovelace / Blackwell) and DGX-class systems.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Paged KV-Cache Virtualization (src/memory/): Engineered a virtual-to-physical block manager (16 tokens/block) achieving 0.17 µs/request allocation latency with 0.00% memory fragmentation on 8GB–24GB VRAM.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CUDA Graph Replay &amp; Continuous Batching (src/runtime/): Pre-captured static compute graphs dropping CPU launch latency to &lt; 5 µs, paired with iteration-level continuous batching and chunked prefill (512 tokens/chunk).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Speculative Policy Engine (src/runtime/speculative.cpp): Pairs fast draft models (1B) with target evaluators (8B) for up to 2.2x speedup at an 88.4% speculative acceptance rate.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Hardware-Aware Quantization (src/quantization/, src/kernels/): Built custom dequantization GEMM/GEMV CUDA kernels for FP8 E4M3/E5M2 and INT4-AWQ (0.65 ms TPOT, 5,014 MB peak VRAM).</w:t>
      </w:r>
    </w:p>
    <w:p>
      <w:pPr>
        <w:spacing w:before="80" w:after="20"/>
      </w:pPr>
      <w:r>
        <w:rPr>
          <w:b/>
          <w:sz w:val="19"/>
        </w:rPr>
        <w:t>2. AI Cinematic Haze — OpenFX &amp; Fusion GPU Plugin for DaVinci Resolve</w:t>
        <w:br/>
      </w:r>
      <w:r>
        <w:rPr>
          <w:i/>
          <w:sz w:val="17"/>
        </w:rPr>
        <w:t>Technologies: C++17/20, NVIDIA CUDA, Apple Metal (MSL), OpenFX API, Depth Anything AI, ONNX Runtime, ACEScc | github.com/hrlpavan/hrl-international-website-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Architected a high-performance OpenFX visual computing plugin integrated directly into DaVinci Resolve and Blackmagic Fusion.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Engineered dual hardware-accelerated GPU backends using Apple Metal Shading Language for Apple Silicon and CUDA kernels for NVIDIA GPUs.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Integrated monocular neural depth estimation (Depth Anything via ONNX Runtime) to calculate physically accurate volumetric optical atmospheric scattering.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Enforced strict Hollywood ACEScc color science preserving 12-bit uncompressed DPX sensor dynamic range without luminance clipping.</w:t>
      </w:r>
    </w:p>
    <w:p>
      <w:pPr>
        <w:spacing w:before="80" w:after="20"/>
      </w:pPr>
      <w:r>
        <w:rPr>
          <w:b/>
          <w:sz w:val="19"/>
        </w:rPr>
        <w:t>3. InvigiMatrix — College Examination &amp; Invigilation Management Portal</w:t>
        <w:br/>
      </w:r>
      <w:r>
        <w:rPr>
          <w:i/>
          <w:sz w:val="17"/>
        </w:rPr>
        <w:t>Technologies: JavaScript (ES6+), Native Node.js (Zero-Framework), SQLite 3, CSP Backtracking, K-Means Clustering | github.com/hrlpavan/exam-invigilation-dsa-app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Implemented an NP-hard Constraint Satisfaction Problem (CSP) Backtracking solver allocating faculty duties, classroom venues, and multi-department exam timetables with zero collisions.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Built an AI/ML Smart Batch Planner with dynamic K-Means clustering (k=3) and a Bayesian lateral-entry classifier for anti-cheating student seat dispersion.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Engineered a high-throughput, zero-framework native Node.js REST server backed by SQLite with strict ACID-compliant transactions and custom sliding-window rate limiters.</w:t>
      </w:r>
    </w:p>
    <w:p>
      <w:pPr>
        <w:spacing w:before="80" w:after="20"/>
      </w:pPr>
      <w:r>
        <w:rPr>
          <w:b/>
          <w:sz w:val="19"/>
        </w:rPr>
        <w:t>4. OmniTransform AI — Intelligent Process Automation Platform</w:t>
        <w:br/>
      </w:r>
      <w:r>
        <w:rPr>
          <w:i/>
          <w:sz w:val="17"/>
        </w:rPr>
        <w:t>Technologies: Multimodal AI Pipelines, Phonetic NLP, ElevenLabs Voice AI, Google Cloud BigQuery | github.com/hrlpavan/omnitransform-ai-resources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Architected an enterprise Intelligent Process Automation (IPA) platform integrating multimodal document parsing and phonetic entity extraction.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Developed a neural speech pipeline leveraging ElevenLabs Multilingual v2 Voice AI paired with Chladni resonance acoustic physics visualizers.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Engineered multi-agent coordination architectures utilizing Google Antigravity SDK, Cloud Composer (Airflow), and BigQuery analytics.</w:t>
      </w:r>
    </w:p>
    <w:p>
      <w:pPr>
        <w:spacing w:before="80" w:after="20"/>
      </w:pPr>
      <w:r>
        <w:rPr>
          <w:b/>
          <w:sz w:val="19"/>
        </w:rPr>
        <w:t>5. HRL-Lang — Domain-Specific Language for LLM Agent Orchestration</w:t>
        <w:br/>
      </w:r>
      <w:r>
        <w:rPr>
          <w:i/>
          <w:sz w:val="17"/>
        </w:rPr>
        <w:t>Technologies: Compiler Design, AST Parsers, Formal Language Specification | github.com/hrlpavan/hrl-lang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Authored the official grammar and syntax specification for HRL-Lang (Spec HRL-PATENT-SPEC-2026-004-LANG) optimized for autonomous multi-agent orchestration.</w:t>
      </w:r>
    </w:p>
    <w:p>
      <w:pPr>
        <w:spacing w:before="160" w:after="40"/>
      </w:pPr>
      <w:r>
        <w:rPr>
          <w:b/>
          <w:color w:val="111827"/>
          <w:sz w:val="21"/>
        </w:rPr>
        <w:t>PROFESSIONAL EXPERIENCE &amp; LEADERSHIP</w:t>
      </w:r>
    </w:p>
    <w:p>
      <w:pPr>
        <w:spacing w:before="40" w:after="20"/>
      </w:pPr>
      <w:r>
        <w:rPr>
          <w:b/>
          <w:sz w:val="18"/>
        </w:rPr>
        <w:t>Founder &amp; Managing Director — HRL International Private Limited (2026 – Present)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Founded and incorporated an enterprise software and media engineering venture, directing technical architecture and product roadmap.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Authored comprehensive grant applications and financial allocation models for the Startup India Seed Fund Scheme (SISFS) and Karnataka ELEVATE Grant 2026.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Directed media distribution infrastructures achieving 2.5M+ organic impressions across digital creator channels (@hrlpremiumstudio, @hrlflix, @hrlefx).</w:t>
      </w:r>
    </w:p>
    <w:p>
      <w:pPr>
        <w:spacing w:before="160" w:after="40"/>
      </w:pPr>
      <w:r>
        <w:rPr>
          <w:b/>
          <w:color w:val="111827"/>
          <w:sz w:val="21"/>
        </w:rPr>
        <w:t>MASTER PUBLICATIONS &amp; TREATISES</w:t>
      </w:r>
    </w:p>
    <w:p>
      <w:pPr>
        <w:spacing w:before="40" w:after="20"/>
      </w:pPr>
      <w:r>
        <w:rPr>
          <w:b/>
          <w:sz w:val="18"/>
        </w:rPr>
        <w:t>Rule Breaking (Volume 4.0): The 100x AI Chief Architect Manifesto (Master Treatise)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Authored the comprehensive 2026 foundational document detailing the paradigm shift from manual line-by-line syntax typing to high-order AI Chief Architecture.</w:t>
      </w:r>
    </w:p>
    <w:p>
      <w:pPr>
        <w:spacing w:before="160" w:after="40"/>
      </w:pPr>
      <w:r>
        <w:rPr>
          <w:b/>
          <w:color w:val="111827"/>
          <w:sz w:val="21"/>
        </w:rPr>
        <w:t>EDUCATION &amp; VERIFIED CERTIFICATIONS</w:t>
      </w:r>
    </w:p>
    <w:p>
      <w:pPr>
        <w:spacing w:before="40" w:after="20"/>
      </w:pPr>
      <w:r>
        <w:rPr>
          <w:b/>
          <w:sz w:val="18"/>
        </w:rPr>
        <w:t>Bachelor of Engineering (B.E.) in Computer Science &amp; Engineering (AI &amp; ML)</w:t>
        <w:br/>
      </w:r>
      <w:r>
        <w:rPr>
          <w:sz w:val="17"/>
        </w:rPr>
        <w:t>Sahyadri College of Engineering &amp; Management (SCEM), Mangaluru, Karnataka, India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JPMorgan Chase &amp; Co. — Distributed Streaming &amp; Software Engineering Simulation (Kafka, REST Controller Architecture, Low-Latency Processing)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Deloitte Australia — Cybersecurity Defense &amp; Enterprise Threat Modeling Simulation (Perimeter Defense, Access Control Governance, Incident Response)</w:t>
      </w:r>
    </w:p>
    <w:p>
      <w:pPr>
        <w:pStyle w:val="ListBullet"/>
        <w:spacing w:before="30" w:after="30"/>
      </w:pPr>
      <w:r>
        <w:rPr>
          <w:color w:val="374151"/>
          <w:sz w:val="17"/>
        </w:rPr>
        <w:t>Blackmagic Design — DaVinci Resolve Color Science &amp; Visual Computing Integration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