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11827"/>
          <w:sz w:val="32"/>
        </w:rPr>
        <w:t>PAVAN KUMAR SADASHIV</w:t>
        <w:br/>
      </w:r>
      <w:r>
        <w:rPr>
          <w:b/>
          <w:color w:val="047857"/>
          <w:sz w:val="19"/>
        </w:rPr>
        <w:t>AI Systems Chief Architect | GPU Kernel &amp; High-Performance Runtime Engineer | Founder &amp; MD</w:t>
        <w:br/>
      </w:r>
      <w:r>
        <w:rPr>
          <w:color w:val="4B5563"/>
          <w:sz w:val="16"/>
        </w:rPr>
        <w:t>Mangaluru, Karnataka, India | Email: hrlinternationalprivatelimited@gmail.com | GitHub: github.com/hrlpavan</w:t>
        <w:br/>
        <w:t>Platform: hrlpavan.github.io/hrl-international-website- | Charter: github.com/hrlpavan/engineering-compensation-blueprint</w:t>
      </w:r>
    </w:p>
    <w:p>
      <w:pPr>
        <w:spacing w:before="120" w:after="40"/>
      </w:pPr>
      <w:r>
        <w:rPr>
          <w:b/>
          <w:color w:val="111827"/>
          <w:sz w:val="20"/>
        </w:rPr>
        <w:t>PROFESSIONAL SUMMARY</w:t>
      </w:r>
    </w:p>
    <w:p>
      <w:pPr>
        <w:spacing w:after="60"/>
      </w:pPr>
      <w:r>
        <w:rPr>
          <w:color w:val="374151"/>
          <w:sz w:val="16"/>
        </w:rPr>
        <w:t>High-velocity AI Systems Chief Architect and GPU Systems Engineer with specialized expertise in low-level CUDA/C++20 high-performance inference runtimes, Paged KV-Cache virtualization, CUDA Graph optimization, hardware-aware FP8/INT4-AWQ quantization, and discrete combinatorial optimization (NP-hard CSP Backtracking). Proven track record architecting enterprise GPU execution suites for NVIDIA Ada/Blackwell architectures, hardware-accelerated OpenFX visual compute plugins for Hollywood post-production suites (DaVinci Resolve), and zero-bloat native backend microservices. Founder and Managing Director of HRL International Private Limited. Delivers audited production software architectures at 100x conventional engineering velocity.</w:t>
      </w:r>
    </w:p>
    <w:p>
      <w:pPr>
        <w:spacing w:before="120" w:after="40"/>
      </w:pPr>
      <w:r>
        <w:rPr>
          <w:b/>
          <w:color w:val="111827"/>
          <w:sz w:val="20"/>
        </w:rPr>
        <w:t>CORE TECHNICAL COMPETENCIES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GPU &amp; Low-Level Systems: </w:t>
      </w:r>
      <w:r>
        <w:rPr>
          <w:color w:val="374151"/>
          <w:sz w:val="16"/>
        </w:rPr>
        <w:t>C++20/17, NVIDIA CUDA 12.6, Apple Metal (MSL), CUDA Graphs, Paged Attention &amp; KV-Cache, OpenFX API, GPU Memory Optimization.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AI/ML &amp; Inference Optimization: </w:t>
      </w:r>
      <w:r>
        <w:rPr>
          <w:color w:val="374151"/>
          <w:sz w:val="16"/>
        </w:rPr>
        <w:t>PyTorch, ONNX Runtime, FP8 (E4M3/E5M2) &amp; INT4-AWQ Quantization, Speculative Decoding, Depth Anything AI, ACEScc Color Science.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Algorithms &amp; Discrete Optimization: </w:t>
      </w:r>
      <w:r>
        <w:rPr>
          <w:color w:val="374151"/>
          <w:sz w:val="16"/>
        </w:rPr>
        <w:t>Combinatorial Optimization, NP-Hard Constraint Satisfaction (CSP) Backtracking, Dynamic K-Means (k=3), Bayesian Classification.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Backend &amp; Systems Architecture: </w:t>
      </w:r>
      <w:r>
        <w:rPr>
          <w:color w:val="374151"/>
          <w:sz w:val="16"/>
        </w:rPr>
        <w:t>Native Node.js (Zero-Framework Architecture), SQLite 3 (ACID Transactions), REST APIs, Google Antigravity SDK, Cloud Composer, BigQuery.</w:t>
      </w:r>
    </w:p>
    <w:p>
      <w:pPr>
        <w:pStyle w:val="ListBullet"/>
        <w:spacing w:before="20" w:after="20"/>
      </w:pPr>
      <w:r>
        <w:rPr>
          <w:b/>
          <w:color w:val="1F2937"/>
          <w:sz w:val="17"/>
        </w:rPr>
        <w:t xml:space="preserve">DevOps &amp; Build Systems: </w:t>
      </w:r>
      <w:r>
        <w:rPr>
          <w:color w:val="374151"/>
          <w:sz w:val="16"/>
        </w:rPr>
        <w:t>CMake, Git, GitHub Actions (CI/CD), macOS DMG Application Bundling, Linux Kernel/Driver Environments.</w:t>
      </w:r>
    </w:p>
    <w:p>
      <w:pPr>
        <w:spacing w:before="120" w:after="40"/>
      </w:pPr>
      <w:r>
        <w:rPr>
          <w:b/>
          <w:color w:val="111827"/>
          <w:sz w:val="20"/>
        </w:rPr>
        <w:t>FLAGSHIP ENGINEERING &amp; GPU PROJECTS</w:t>
      </w:r>
    </w:p>
    <w:p>
      <w:pPr>
        <w:spacing w:before="60" w:after="20"/>
      </w:pPr>
      <w:r>
        <w:rPr>
          <w:b/>
          <w:sz w:val="18"/>
        </w:rPr>
        <w:t>1. NVIDIA RTX-LocalAI Enterprise Execution Suite</w:t>
        <w:br/>
      </w:r>
      <w:r>
        <w:rPr>
          <w:i/>
          <w:sz w:val="16"/>
        </w:rPr>
        <w:t>Technologies: C++20, CUDA 12.6, Paged KV-Cache, CUDA Graphs, Speculative Decoding, INT4-AWQ, FP8, CMake | hrlpavan.github.io/nvedia-project-by-hrl/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Architected a C++20/CUDA 12.6 on-device AI inference engine and memory management subsystem for NVIDIA Ada Lovelace / Blackwell &amp; DGX systems.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Paged KV-Cache Virtualization: Engineered a block manager (16 tokens/block) achieving 0.17 µs/request latency with 0.00% memory fragmentation on 8GB–24GB VRAM.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CUDA Graphs &amp; Continuous Batching: Pre-captured execution graphs dropping CPU launch latency to &lt; 5 µs with iteration-level continuous batching (512 tokens/chunk).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Speculative Policy Engine &amp; FP8/INT4 Kernels: Implemented draft-target verification loops for up to 2.2x speedup (88.4% acceptance) and custom dequant GEMM/GEMV CUDA kernels.</w:t>
      </w:r>
    </w:p>
    <w:p>
      <w:pPr>
        <w:spacing w:before="60" w:after="20"/>
      </w:pPr>
      <w:r>
        <w:rPr>
          <w:b/>
          <w:sz w:val="18"/>
        </w:rPr>
        <w:t>2. AI Cinematic Haze — OpenFX &amp; Fusion GPU Plugin for DaVinci Resolve</w:t>
        <w:br/>
      </w:r>
      <w:r>
        <w:rPr>
          <w:i/>
          <w:sz w:val="16"/>
        </w:rPr>
        <w:t>Technologies: C++17/20, NVIDIA CUDA, Apple Metal (MSL), OpenFX API, Depth Anything AI, ONNX Runtime, ACEScc | github.com/hrlpavan/hrl-international-website-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Architected a high-throughput OpenFX visual compute plugin with native CUDA and Apple Metal backends for DaVinci Resolve 21.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Integrated monocular neural depth estimation (Depth Anything via ONNX Runtime) to compute real-time volumetric optical atmospheric scattering.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Preserved uncompressed 12-bit DPX sensor dynamic range through strict Hollywood ACEScc color science management.</w:t>
      </w:r>
    </w:p>
    <w:p>
      <w:pPr>
        <w:spacing w:before="60" w:after="20"/>
      </w:pPr>
      <w:r>
        <w:rPr>
          <w:b/>
          <w:sz w:val="18"/>
        </w:rPr>
        <w:t>3. InvigiMatrix — College Examination &amp; Invigilation Management Portal</w:t>
        <w:br/>
      </w:r>
      <w:r>
        <w:rPr>
          <w:i/>
          <w:sz w:val="16"/>
        </w:rPr>
        <w:t>Technologies: JavaScript (ES6+), Native Node.js (Zero-Framework), SQLite 3, CSP Backtracking, K-Means Clustering | github.com/hrlpavan/exam-invigilation-dsa-app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Implemented an NP-hard Constraint Satisfaction Problem (CSP) Backtracking solver eliminating scheduling collisions across faculty and venues.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Built an AI/ML Smart Batch Planner with dynamic K-Means (k=3) &amp; Bayesian classifier for anti-cheating student seat dispersion.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Engineered a zero-framework native Node.js REST server backed by SQLite with strict ACID-compliant transactions.</w:t>
      </w:r>
    </w:p>
    <w:p>
      <w:pPr>
        <w:spacing w:before="120" w:after="40"/>
      </w:pPr>
      <w:r>
        <w:rPr>
          <w:b/>
          <w:color w:val="111827"/>
          <w:sz w:val="20"/>
        </w:rPr>
        <w:t>PROFESSIONAL EXPERIENCE &amp; LEADERSHIP</w:t>
      </w:r>
    </w:p>
    <w:p>
      <w:pPr>
        <w:spacing w:before="40" w:after="20"/>
      </w:pPr>
      <w:r>
        <w:rPr>
          <w:b/>
          <w:sz w:val="17"/>
        </w:rPr>
        <w:t>Founder &amp; Managing Director — HRL International Private Limited (2026 – Present)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Founded enterprise deep-tech software venture; authored Startup India Seed Fund &amp; Karnataka ELEVATE grant dossiers.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Author of Rule Breaking (Volume 4.0): The 100x AI Chief Architect Manifesto (Master Treatise).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Architected automated media distribution infrastructures generating 2.5M+ organic impressions across digital creator channels.</w:t>
      </w:r>
    </w:p>
    <w:p>
      <w:pPr>
        <w:spacing w:before="120" w:after="40"/>
      </w:pPr>
      <w:r>
        <w:rPr>
          <w:b/>
          <w:color w:val="111827"/>
          <w:sz w:val="20"/>
        </w:rPr>
        <w:t>EDUCATION &amp; VERIFIED CERTIFICATIONS</w:t>
      </w:r>
    </w:p>
    <w:p>
      <w:pPr>
        <w:spacing w:before="40" w:after="20"/>
      </w:pPr>
      <w:r>
        <w:rPr>
          <w:b/>
          <w:sz w:val="17"/>
        </w:rPr>
        <w:t>Bachelor of Engineering (B.E.) in Computer Science &amp; Engineering (AI &amp; ML)</w:t>
        <w:br/>
      </w:r>
      <w:r>
        <w:rPr>
          <w:sz w:val="16"/>
        </w:rPr>
        <w:t>Sahyadri College of Engineering &amp; Management (SCEM), Mangaluru, Karnataka, India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JPMorgan Chase &amp; Co. — Distributed Streaming &amp; Software Engineering Simulation (Kafka, REST)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Deloitte Australia — Cybersecurity Defense &amp; Enterprise Threat Modeling Simulation</w:t>
      </w:r>
    </w:p>
    <w:p>
      <w:pPr>
        <w:pStyle w:val="ListBullet"/>
        <w:spacing w:before="20" w:after="20"/>
      </w:pPr>
      <w:r>
        <w:rPr>
          <w:color w:val="374151"/>
          <w:sz w:val="16"/>
        </w:rPr>
        <w:t>Blackmagic Design — DaVinci Resolve Color Science &amp; Visual Computing Integration</w:t>
      </w:r>
    </w:p>
    <w:sectPr w:rsidR="00FC693F" w:rsidRPr="0006063C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