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2"/>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BodyText"/>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3"/>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BodyText"/>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4"/>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BodyText"/>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5"/>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6"/>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7"/>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BodyText"/>
      </w:pPr>
      <w:r>
        <w:t xml:space="preserve">Esimerkki</w:t>
      </w:r>
      <w:r>
        <w:t xml:space="preserve"> </w:t>
      </w:r>
      <w:r>
        <w:t xml:space="preserve">(</w:t>
      </w:r>
      <w:r>
        <w:rPr>
          <w:b/>
        </w:rPr>
        <w:t xml:space="preserve">???</w:t>
      </w:r>
      <w:r>
        <w:t xml:space="preserve">)</w:t>
      </w:r>
    </w:p>
    <w:p>
      <w:pPr>
        <w:pStyle w:val="BodyText"/>
      </w:pPr>
      <w:r>
        <w:t xml:space="preserve">Esimerkissä</w:t>
      </w:r>
      <w:r>
        <w:t xml:space="preserve"> </w:t>
      </w:r>
      <w:r>
        <w:t xml:space="preserve">(</w:t>
      </w:r>
      <w:r>
        <w:rPr>
          <w:b/>
        </w:rPr>
        <w:t xml:space="preserve">???</w:t>
      </w:r>
      <w:r>
        <w:t xml:space="preserve">)</w:t>
      </w:r>
      <w:r>
        <w:t xml:space="preserve"> </w:t>
      </w:r>
      <w:r>
        <w:t xml:space="preserve">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 4 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w:t>
      </w:r>
      <w:r>
        <w:t xml:space="preserve"> </w:t>
      </w:r>
      <w:r>
        <w:t xml:space="preserve">(</w:t>
      </w:r>
      <w:r>
        <w:rPr>
          <w:b/>
        </w:rPr>
        <w:t xml:space="preserve">???</w:t>
      </w:r>
      <w:r>
        <w:t xml:space="preserve">)</w:t>
      </w:r>
      <w:r>
        <w:t xml:space="preserve"> </w:t>
      </w:r>
      <w:r>
        <w:t xml:space="preserve">edustama ryhmä kattaa kaikkiaan 10 tapausta</w:t>
      </w:r>
      <w:r>
        <w:t xml:space="preserve"> </w:t>
      </w:r>
      <w:r>
        <w:t xml:space="preserve">(5,95 % koko aineistosta), joista</w:t>
      </w:r>
      <w:r>
        <w:t xml:space="preserve"> </w:t>
      </w:r>
      <w:r>
        <w:t xml:space="preserve">2:ssa (mukaan lukien esimerkki</w:t>
      </w:r>
      <w:r>
        <w:t xml:space="preserve"> </w:t>
      </w:r>
      <w:r>
        <w:t xml:space="preserve">(</w:t>
      </w:r>
      <w:r>
        <w:rPr>
          <w:b/>
        </w:rPr>
        <w:t xml:space="preserve">???</w:t>
      </w:r>
      <w:r>
        <w:t xml:space="preserve">)</w:t>
      </w:r>
      <w:r>
        <w:t xml:space="preserve">)</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Esimerkki</w:t>
      </w:r>
      <w:r>
        <w:t xml:space="preserve"> </w:t>
      </w:r>
      <w:r>
        <w:t xml:space="preserve">(</w:t>
      </w:r>
      <w:r>
        <w:rPr>
          <w:b/>
        </w:rPr>
        <w:t xml:space="preserve">???</w:t>
      </w:r>
      <w:r>
        <w:t xml:space="preserve">)</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Oman, selvästi muista erottuvan ryhmänsä muodostavat ne esimerkin</w:t>
      </w:r>
      <w:r>
        <w:t xml:space="preserve"> </w:t>
      </w:r>
      <w:r>
        <w:t xml:space="preserve">(</w:t>
      </w:r>
      <w:r>
        <w:rPr>
          <w:b/>
        </w:rPr>
        <w:t xml:space="preserve">???</w:t>
      </w:r>
      <w:r>
        <w:t xml:space="preserve">)</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w:t>
      </w:r>
      <w:r>
        <w:t xml:space="preserve"> </w:t>
      </w:r>
      <w:r>
        <w:t xml:space="preserve">(</w:t>
      </w:r>
      <w:r>
        <w:rPr>
          <w:b/>
        </w:rPr>
        <w:t xml:space="preserve">???</w:t>
      </w:r>
      <w:r>
        <w:t xml:space="preserve">)</w:t>
      </w:r>
      <w:r>
        <w:t xml:space="preserve"> </w:t>
      </w:r>
      <w:r>
        <w:t xml:space="preserve">väliotsikko</w:t>
      </w:r>
    </w:p>
    <w:p>
      <w:pPr>
        <w:pStyle w:val="BodyText"/>
      </w:pPr>
      <w:r>
        <w:t xml:space="preserve">Esimerkissä</w:t>
      </w:r>
      <w:r>
        <w:t xml:space="preserve"> </w:t>
      </w:r>
      <w:r>
        <w:t xml:space="preserve">(</w:t>
      </w:r>
      <w:r>
        <w:rPr>
          <w:b/>
        </w:rPr>
        <w:t xml:space="preserve">???</w:t>
      </w:r>
      <w:r>
        <w:t xml:space="preserve">)</w:t>
      </w:r>
    </w:p>
    <w:p>
      <w:pPr>
        <w:pStyle w:val="BodyText"/>
      </w:pPr>
      <w:r>
        <w:t xml:space="preserve">Kuten edellä metodin kuvauksen yhteydessä todettiin, edellä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 voinut tehdä muillakin tavoilla. Eri ryhmät ovat lisäksi enemmän</w:t>
      </w:r>
      <w:r>
        <w:t xml:space="preserve"> </w:t>
      </w:r>
      <w:r>
        <w:t xml:space="preserve">tai vähemmän läheisessä yhteydessä toisiinsa.</w:t>
      </w:r>
    </w:p>
    <w:p>
      <w:pPr>
        <w:pStyle w:val="Heading2"/>
      </w:pPr>
      <w:bookmarkStart w:id="30" w:name="puu"/>
      <w:bookmarkEnd w:id="30"/>
      <w:r>
        <w:t xml:space="preserve">Puu</w:t>
      </w:r>
    </w:p>
    <w:p>
      <w:pPr>
        <w:pStyle w:val="FirstParagraph"/>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 3</w:t>
      </w:r>
      <w:r>
        <w:t xml:space="preserve"> </w:t>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08"/>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08"/>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08"/>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08"/>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08"/>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Compact"/>
        <w:numPr>
          <w:numId w:val="1008"/>
          <w:ilvl w:val="0"/>
        </w:numPr>
      </w:pPr>
      <w:r>
        <w:t xml:space="preserve">Aikamuoto</w:t>
      </w:r>
    </w:p>
    <w:p>
      <w:pPr>
        <w:pStyle w:val="FirstParagraph"/>
      </w:pPr>
      <w:r>
        <w:t xml:space="preserve">Tässä kuvattujen muuttujien selitysvoima eri ryhmien kannalta voidaan kuvata seuraavasti:</w:t>
      </w:r>
    </w:p>
    <w:p>
      <w:pPr>
        <w:pStyle w:val="FigureWithCaption"/>
      </w:pPr>
      <w:r>
        <w:drawing>
          <wp:inline>
            <wp:extent cx="4620126" cy="3696101"/>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 5 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 6 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2"/>
      </w:pPr>
      <w:bookmarkStart w:id="32" w:name="kirjoittajan-nakokulma"/>
      <w:bookmarkEnd w:id="32"/>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3" w:name="paatelmat"/>
      <w:bookmarkEnd w:id="33"/>
      <w:r>
        <w:t xml:space="preserve">Päätelmät</w:t>
      </w:r>
    </w:p>
    <w:p>
      <w:pPr>
        <w:pStyle w:val="Compact"/>
        <w:numPr>
          <w:numId w:val="1009"/>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10"/>
          <w:ilvl w:val="0"/>
        </w:numPr>
      </w:pPr>
      <w:r>
        <w:t xml:space="preserve">Konkreettinen sovellus fraasipankissa tms.</w:t>
      </w:r>
    </w:p>
    <w:p>
      <w:pPr>
        <w:pStyle w:val="Heading1"/>
      </w:pPr>
      <w:bookmarkStart w:id="34" w:name="lahteet"/>
      <w:bookmarkEnd w:id="34"/>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bae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65cd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46ff7e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8ad674f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234e7b3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3f2a63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5b5a08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1428297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2">
    <w:nsid w:val="2589511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2018-01-22T12:29:57Z</dcterms:created>
  <dcterms:modified xsi:type="dcterms:W3CDTF">2018-01-22T12:29:57Z</dcterms:modified>
</cp:coreProperties>
</file>