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Sata</w:t>
      </w:r>
      <w:r>
        <w:t xml:space="preserve"> </w:t>
      </w:r>
      <w:r>
        <w:t xml:space="preserve">ja</w:t>
      </w:r>
      <w:r>
        <w:t xml:space="preserve"> </w:t>
      </w:r>
      <w:r>
        <w:t xml:space="preserve">yksi</w:t>
      </w:r>
      <w:r>
        <w:t xml:space="preserve"> </w:t>
      </w:r>
      <w:r>
        <w:t xml:space="preserve">tapaa</w:t>
      </w:r>
      <w:r>
        <w:t xml:space="preserve"> </w:t>
      </w:r>
      <w:r>
        <w:t xml:space="preserve">ilmaista</w:t>
      </w:r>
      <w:r>
        <w:t xml:space="preserve"> </w:t>
      </w:r>
      <w:r>
        <w:t xml:space="preserve">topiikkia</w:t>
      </w:r>
    </w:p>
    <w:p>
      <w:pPr>
        <w:pStyle w:val="Author"/>
      </w:pPr>
      <w:r>
        <w:t xml:space="preserve">Kirsi</w:t>
      </w:r>
      <w:r>
        <w:t xml:space="preserve"> </w:t>
      </w:r>
      <w:r>
        <w:t xml:space="preserve">Sandberg</w:t>
      </w:r>
      <w:r>
        <w:t xml:space="preserve"> </w:t>
      </w:r>
      <w:r>
        <w:t xml:space="preserve">&amp;</w:t>
      </w:r>
      <w:r>
        <w:t xml:space="preserve"> </w:t>
      </w:r>
      <w:r>
        <w:t xml:space="preserve">Juho</w:t>
      </w:r>
      <w:r>
        <w:t xml:space="preserve"> </w:t>
      </w:r>
      <w:r>
        <w:t xml:space="preserve">Härme</w:t>
      </w:r>
    </w:p>
    <w:p>
      <w:pPr>
        <w:pStyle w:val="Heading1"/>
      </w:pPr>
      <w:bookmarkStart w:id="21" w:name="johdanto"/>
      <w:bookmarkEnd w:id="21"/>
      <w:r>
        <w:t xml:space="preserve">Johdanto</w:t>
      </w:r>
    </w:p>
    <w:p>
      <w:pPr>
        <w:pStyle w:val="FirstParagraph"/>
      </w:pPr>
      <w:r>
        <w:t xml:space="preserve">Oppilaitoksissa ja korkeakouluissa opiskelee kasvava joukko kirjoittajia,</w:t>
      </w:r>
      <w:r>
        <w:t xml:space="preserve"> </w:t>
      </w:r>
      <w:r>
        <w:t xml:space="preserve">jolla ei peruskoulun päättötodistuksesta huolimatta ole hallinnassaan</w:t>
      </w:r>
      <w:r>
        <w:t xml:space="preserve"> </w:t>
      </w:r>
      <w:r>
        <w:t xml:space="preserve">opinnoissa menestymiseen tarvittavia tekstitaitoja ja riittävää</w:t>
      </w:r>
      <w:r>
        <w:t xml:space="preserve"> </w:t>
      </w:r>
      <w:r>
        <w:t xml:space="preserve">repertuaaria kirjoitetulle ilmaisulle tyypillisiä rakenteita. Osa heistä</w:t>
      </w:r>
      <w:r>
        <w:t xml:space="preserve"> </w:t>
      </w:r>
      <w:r>
        <w:t xml:space="preserve">on suorittanut opintonsa S2-oppimäärän mukaisesti, mutta opiskeluun</w:t>
      </w:r>
      <w:r>
        <w:t xml:space="preserve"> </w:t>
      </w:r>
      <w:r>
        <w:t xml:space="preserve">liittyvien tekstilajien ja ns. akateemisten genrejen hallinta tuottaa</w:t>
      </w:r>
      <w:r>
        <w:t xml:space="preserve"> </w:t>
      </w:r>
      <w:r>
        <w:t xml:space="preserve">hankaluuksia myös suomalaisen peruskoulun suomi äidinkielenä -oppimäärän</w:t>
      </w:r>
      <w:r>
        <w:t xml:space="preserve"> </w:t>
      </w:r>
      <w:r>
        <w:t xml:space="preserve">suorittaneille</w:t>
      </w:r>
      <w:r>
        <w:t xml:space="preserve"> </w:t>
      </w:r>
      <w:r>
        <w:t xml:space="preserve">(ks. esim. Kuusela 2010)</w:t>
      </w:r>
      <w:r>
        <w:t xml:space="preserve">. 2010-luvulla kielten ja</w:t>
      </w:r>
      <w:r>
        <w:t xml:space="preserve"> </w:t>
      </w:r>
      <w:r>
        <w:t xml:space="preserve">kirjoittamisen opetuksessa korostuu tekstilähtöisyys ja funktionaalinen</w:t>
      </w:r>
      <w:r>
        <w:t xml:space="preserve"> </w:t>
      </w:r>
      <w:r>
        <w:t xml:space="preserve">tapa tarkastella kieltä (ks esim. opsit &amp; muita lähteitä). Tässä</w:t>
      </w:r>
      <w:r>
        <w:t xml:space="preserve"> </w:t>
      </w:r>
      <w:r>
        <w:t xml:space="preserve">kehyksessä perinteinen, Suomenkin kontekstissa pääosin preskriptiivinen</w:t>
      </w:r>
      <w:r>
        <w:t xml:space="preserve"> </w:t>
      </w:r>
      <w:r>
        <w:t xml:space="preserve">kuvaus</w:t>
      </w:r>
      <w:r>
        <w:t xml:space="preserve"> </w:t>
      </w:r>
      <w:r>
        <w:t xml:space="preserve">(Komppa 2012: 121)</w:t>
      </w:r>
      <w:r>
        <w:t xml:space="preserve"> </w:t>
      </w:r>
      <w:r>
        <w:t xml:space="preserve">tekstikokonaisuuden ja -kappaleen rakentumisesta</w:t>
      </w:r>
      <w:r>
        <w:t xml:space="preserve"> </w:t>
      </w:r>
      <w:r>
        <w:t xml:space="preserve">ei palvele tarkoitustaan. Ns. uusi kirjoittaja on aktiivinen tiedonhakija</w:t>
      </w:r>
      <w:r>
        <w:t xml:space="preserve"> </w:t>
      </w:r>
      <w:r>
        <w:t xml:space="preserve">ja tekstien tutkija, joka ei enää kysy, miten minun pitäisi tämä tehdä</w:t>
      </w:r>
      <w:r>
        <w:t xml:space="preserve"> </w:t>
      </w:r>
      <w:r>
        <w:t xml:space="preserve">vaan miten eri tavoilla tämä on tehty.</w:t>
      </w:r>
    </w:p>
    <w:p>
      <w:pPr>
        <w:pStyle w:val="BodyText"/>
      </w:pPr>
      <w:r>
        <w:t xml:space="preserve">Tutkimusperustaisen kirjoittamisenopetuksen tueksi tarvitaan</w:t>
      </w:r>
      <w:r>
        <w:t xml:space="preserve"> </w:t>
      </w:r>
      <w:r>
        <w:t xml:space="preserve">käyttöpohjaista, kuvailevaa tutkimusta. Yksi keskeinen kriteeri mm.</w:t>
      </w:r>
      <w:r>
        <w:t xml:space="preserve"> </w:t>
      </w:r>
      <w:r>
        <w:t xml:space="preserve">äidinkielen ylioppilaskokeen arvioinnissa on kappaleiden sujuva</w:t>
      </w:r>
      <w:r>
        <w:t xml:space="preserve"> </w:t>
      </w:r>
      <w:r>
        <w:t xml:space="preserve">liittyminen toisiinsa (Ylioppilastutkintolautakunta 2017), mutta</w:t>
      </w:r>
      <w:r>
        <w:t xml:space="preserve"> </w:t>
      </w:r>
      <w:r>
        <w:t xml:space="preserve">saatavilla on enemmän tietoa siitä, miten se pitäisi tehdä, kuin</w:t>
      </w:r>
      <w:r>
        <w:t xml:space="preserve"> </w:t>
      </w:r>
      <w:r>
        <w:t xml:space="preserve">todellisesta kielenkäytöstä (Komppa sanoo tämän sivulla 121 ja viittaa</w:t>
      </w:r>
      <w:r>
        <w:t xml:space="preserve"> </w:t>
      </w:r>
      <w:r>
        <w:t xml:space="preserve">(Chafe 1994: 296)</w:t>
      </w:r>
      <w:r>
        <w:t xml:space="preserve">)</w:t>
      </w:r>
    </w:p>
    <w:p>
      <w:pPr>
        <w:pStyle w:val="BodyText"/>
      </w:pPr>
      <w:r>
        <w:t xml:space="preserve">Tarve syntaksin ja tekstin rajapinnan analyysille (lähdeviite,</w:t>
      </w:r>
      <w:r>
        <w:t xml:space="preserve"> </w:t>
      </w:r>
      <w:r>
        <w:t xml:space="preserve">eu-kartoitus) -&gt; sovellusmahdollisuudet</w:t>
      </w:r>
    </w:p>
    <w:p>
      <w:pPr>
        <w:pStyle w:val="Heading1"/>
      </w:pPr>
      <w:bookmarkStart w:id="22" w:name="tutkimusaineisto-ja--metodi"/>
      <w:bookmarkEnd w:id="22"/>
      <w:r>
        <w:t xml:space="preserve">Tutkimusaineisto ja -metodi</w:t>
      </w:r>
    </w:p>
    <w:p>
      <w:pPr>
        <w:pStyle w:val="FirstParagraph"/>
      </w:pPr>
      <w:r>
        <w:t xml:space="preserve">Tutkimuksen ensimmäisessä vaiheessa aineistoon valikoidut tekstit analysoitiin</w:t>
      </w:r>
      <w:r>
        <w:t xml:space="preserve"> </w:t>
      </w:r>
      <w:r>
        <w:t xml:space="preserve">kappaleittain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siten, että jokaiselle kappaleelle merkittiin</w:t>
      </w:r>
      <w:r>
        <w:t xml:space="preserve"> </w:t>
      </w:r>
      <w:r>
        <w:t xml:space="preserve">topiikki eli se, mistä kappale kertoo (vrt. Lambrechtin määritelmä). Yhteensä</w:t>
      </w:r>
      <w:r>
        <w:t xml:space="preserve"> </w:t>
      </w:r>
      <w:r>
        <w:t xml:space="preserve">neljäkymmentä tekstiä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kattaneen kokeiluaineiston perusteella päätettiin</w:t>
      </w:r>
      <w:r>
        <w:t xml:space="preserve"> </w:t>
      </w:r>
      <w:r>
        <w:t xml:space="preserve">keskittyä</w:t>
      </w:r>
      <w:r>
        <w:t xml:space="preserve"> </w:t>
      </w:r>
      <w:r>
        <w:rPr>
          <w:i/>
        </w:rPr>
        <w:t xml:space="preserve">asumisesta</w:t>
      </w:r>
      <w:r>
        <w:t xml:space="preserve"> </w:t>
      </w:r>
      <w:r>
        <w:t xml:space="preserve">kertoviin kappaleisiin siitä syystä, että asumista</w:t>
      </w:r>
      <w:r>
        <w:t xml:space="preserve"> </w:t>
      </w:r>
      <w:r>
        <w:t xml:space="preserve">käsiteltiin lähes jokaisessa analysoidussa näytetekstissä ja että asuminen</w:t>
      </w:r>
      <w:r>
        <w:t xml:space="preserve"> </w:t>
      </w:r>
      <w:r>
        <w:t xml:space="preserve">aiheena havaittiin tavallisesti melko selvärajaiseksi. Koska tekstejä analysoi</w:t>
      </w:r>
      <w:r>
        <w:t xml:space="preserve"> </w:t>
      </w:r>
      <w:r>
        <w:t xml:space="preserve">kaksi eri henkilöä (kumpikin 20 tekstiä), näyteaineiston avulla testattiin</w:t>
      </w:r>
      <w:r>
        <w:t xml:space="preserve"> </w:t>
      </w:r>
      <w:r>
        <w:t xml:space="preserve">myös, kuinka samanlaisia tulkinnat kappaleiden aiheista olivat. (tähän joku</w:t>
      </w:r>
      <w:r>
        <w:t xml:space="preserve"> </w:t>
      </w:r>
      <w:r>
        <w:t xml:space="preserve">maininta niistä tuloksista).</w:t>
      </w:r>
    </w:p>
    <w:p>
      <w:pPr>
        <w:pStyle w:val="BodyText"/>
      </w:pPr>
      <w:r>
        <w:t xml:space="preserve">Kun kaikki tekstit kattava varsinainen kappalekohtainen analyysi saatiin</w:t>
      </w:r>
      <w:r>
        <w:t xml:space="preserve"> </w:t>
      </w:r>
      <w:r>
        <w:t xml:space="preserve">päätökseen, lopulliseksi aineistoksi muodostui 415</w:t>
      </w:r>
      <w:r>
        <w:t xml:space="preserve"> </w:t>
      </w:r>
      <w:r>
        <w:t xml:space="preserve">asumisesta kertovan kappaleen sisältävää tekstiä. Tekstit sinänsä ovat</w:t>
      </w:r>
      <w:r>
        <w:t xml:space="preserve"> </w:t>
      </w:r>
      <w:r>
        <w:t xml:space="preserve">keskimäärin 945 sanaa pitkiä ja sisältävät</w:t>
      </w:r>
      <w:r>
        <w:t xml:space="preserve"> </w:t>
      </w:r>
      <w:r>
        <w:t xml:space="preserve">kaiken kaikkiaan keskimäärin 13</w:t>
      </w:r>
      <w:r>
        <w:t xml:space="preserve"> </w:t>
      </w:r>
      <w:r>
        <w:t xml:space="preserve">kappaletta, joista vähintään yhden topiikiksi on edellä kuvatussa</w:t>
      </w:r>
      <w:r>
        <w:t xml:space="preserve"> </w:t>
      </w:r>
      <w:r>
        <w:t xml:space="preserve">tutkimusvaiheessa analysoitu asuminen.</w:t>
      </w:r>
    </w:p>
    <w:p>
      <w:pPr>
        <w:pStyle w:val="BodyText"/>
      </w:pPr>
      <w:r>
        <w:t xml:space="preserve">Asumisesta kertovien kappaleiden syntaktisesta rakenteesta saatiin yleiskuva</w:t>
      </w:r>
      <w:r>
        <w:t xml:space="preserve"> </w:t>
      </w:r>
      <w:r>
        <w:t xml:space="preserve">annotoimalla kappaleet koneellisesti dependenssijäsentimellä</w:t>
      </w:r>
      <w:r>
        <w:t xml:space="preserve"> </w:t>
      </w:r>
      <w:r>
        <w:t xml:space="preserve">(ks. Haverinen ym. 2014)</w:t>
      </w:r>
      <w:r>
        <w:t xml:space="preserve">. Koneellisesti tuotettu annotointi toimi lähtökohtana, kun</w:t>
      </w:r>
      <w:r>
        <w:t xml:space="preserve"> </w:t>
      </w:r>
      <w:r>
        <w:t xml:space="preserve">kappaleita ryhdyttiin luokittelemaan eri ryhmiin sen mukaan, miten niissä</w:t>
      </w:r>
      <w:r>
        <w:t xml:space="preserve"> </w:t>
      </w:r>
      <w:r>
        <w:t xml:space="preserve">indikoitiin asumistopiikkia. Luokittelu tapahtui seuraavien vaiheiden mukaisesti:</w:t>
      </w:r>
    </w:p>
    <w:p>
      <w:pPr>
        <w:pStyle w:val="Compact"/>
        <w:numPr>
          <w:numId w:val="1001"/>
          <w:ilvl w:val="0"/>
        </w:numPr>
      </w:pPr>
      <w:r>
        <w:t xml:space="preserve">Määriteltiin, että kaikista potentiaalisesti asumista indikoivista sanoista</w:t>
      </w:r>
      <w:r>
        <w:t xml:space="preserve"> </w:t>
      </w:r>
      <w:r>
        <w:t xml:space="preserve">otetaan mukaan ainoastaan varsinaiset asua-verbin johdokset, koska tämä oli</w:t>
      </w:r>
      <w:r>
        <w:t xml:space="preserve"> </w:t>
      </w:r>
      <w:r>
        <w:t xml:space="preserve">selvimmin rajattavissa oleva kategoria. Tarkasteltaessa</w:t>
      </w:r>
      <w:r>
        <w:t xml:space="preserve"> </w:t>
      </w:r>
      <w:r>
        <w:t xml:space="preserve">topiikki-indikaattoreita tarkasteltiin siis sitä, minkälaisissa rakenteissa</w:t>
      </w:r>
      <w:r>
        <w:t xml:space="preserve"> </w:t>
      </w:r>
      <w:r>
        <w:t xml:space="preserve">kunkin kappaleen ensimmäinen asua-johdos (kuten verbi</w:t>
      </w:r>
      <w:r>
        <w:t xml:space="preserve"> </w:t>
      </w:r>
      <w:r>
        <w:rPr>
          <w:i/>
        </w:rPr>
        <w:t xml:space="preserve">asua</w:t>
      </w:r>
      <w:r>
        <w:t xml:space="preserve"> </w:t>
      </w:r>
      <w:r>
        <w:t xml:space="preserve">tai substantiivit</w:t>
      </w:r>
      <w:r>
        <w:t xml:space="preserve"> </w:t>
      </w:r>
      <w:r>
        <w:rPr>
          <w:i/>
        </w:rPr>
        <w:t xml:space="preserve">asuminen</w:t>
      </w:r>
      <w:r>
        <w:t xml:space="preserve">,</w:t>
      </w:r>
      <w:r>
        <w:t xml:space="preserve"> </w:t>
      </w:r>
      <w:r>
        <w:rPr>
          <w:i/>
        </w:rPr>
        <w:t xml:space="preserve">asunto</w:t>
      </w:r>
      <w:r>
        <w:t xml:space="preserve">,</w:t>
      </w:r>
      <w:r>
        <w:t xml:space="preserve"> </w:t>
      </w:r>
      <w:r>
        <w:rPr>
          <w:i/>
        </w:rPr>
        <w:t xml:space="preserve">asuntoasia</w:t>
      </w:r>
      <w:r>
        <w:t xml:space="preserve">,</w:t>
      </w:r>
      <w:r>
        <w:t xml:space="preserve"> </w:t>
      </w:r>
      <w:r>
        <w:rPr>
          <w:i/>
        </w:rPr>
        <w:t xml:space="preserve">asuntomarkkinat</w:t>
      </w:r>
      <w:r>
        <w:t xml:space="preserve">) esiintyi.</w:t>
      </w:r>
    </w:p>
    <w:p>
      <w:pPr>
        <w:pStyle w:val="Compact"/>
        <w:numPr>
          <w:numId w:val="1001"/>
          <w:ilvl w:val="0"/>
        </w:numPr>
      </w:pPr>
      <w:r>
        <w:t xml:space="preserve">Jokaisesta kategoriasta valittiin tarkasteltavaksi puolet (tai vähintään x)</w:t>
      </w:r>
      <w:r>
        <w:t xml:space="preserve"> </w:t>
      </w:r>
      <w:r>
        <w:t xml:space="preserve">Tätä kautta mukaan valikoitui eniten niitä, joita… yms.</w:t>
      </w:r>
      <w:r>
        <w:t xml:space="preserve"> </w:t>
      </w:r>
      <w:r>
        <w:t xml:space="preserve">Tämä joukko analysoitiin siten, että mukaan otettiin vain tapaukset, joissa</w:t>
      </w:r>
      <w:r>
        <w:t xml:space="preserve"> </w:t>
      </w:r>
      <w:r>
        <w:t xml:space="preserve">tulkintamme mukaan toteutettiin alatopiikin funktiota.</w:t>
      </w:r>
    </w:p>
    <w:p>
      <w:pPr>
        <w:pStyle w:val="Compact"/>
        <w:numPr>
          <w:numId w:val="1001"/>
          <w:ilvl w:val="0"/>
        </w:numPr>
      </w:pPr>
      <w:r>
        <w:t xml:space="preserve">Kun jokaisesta syntaktisesta kategoriasta oli saatu kategorian suhteellisen</w:t>
      </w:r>
      <w:r>
        <w:t xml:space="preserve"> </w:t>
      </w:r>
      <w:r>
        <w:t xml:space="preserve">koon mukainen (tai suurin mahdollinen) määrä alatopiikkitapauksia, nämä</w:t>
      </w:r>
      <w:r>
        <w:t xml:space="preserve"> </w:t>
      </w:r>
      <w:r>
        <w:t xml:space="preserve">analysoitiin tarkemmin ja ryhmiteltiin eri tapauksiksi.</w:t>
      </w:r>
    </w:p>
    <w:p>
      <w:pPr>
        <w:pStyle w:val="FirstParagraph"/>
      </w:pPr>
      <w:r>
        <w:t xml:space="preserve">Analyysin varsinaiset tulokset kunkin syntaktisen kategorian osalta on kuvattu</w:t>
      </w:r>
      <w:r>
        <w:t xml:space="preserve"> </w:t>
      </w:r>
      <w:r>
        <w:t xml:space="preserve">tarkemmin seuraavassa.</w:t>
      </w:r>
    </w:p>
    <w:p>
      <w:pPr>
        <w:pStyle w:val="Heading1"/>
      </w:pPr>
      <w:bookmarkStart w:id="25" w:name="yleiskuva"/>
      <w:bookmarkEnd w:id="25"/>
      <w:r>
        <w:t xml:space="preserve">Yleiskuva</w:t>
      </w:r>
    </w:p>
    <w:p>
      <w:pPr>
        <w:pStyle w:val="Heading1"/>
      </w:pPr>
      <w:bookmarkStart w:id="26" w:name="zoomaus"/>
      <w:bookmarkEnd w:id="26"/>
      <w:r>
        <w:t xml:space="preserve">Zoomaus</w:t>
      </w:r>
    </w:p>
    <w:p>
      <w:pPr>
        <w:pStyle w:val="Heading1"/>
      </w:pPr>
      <w:bookmarkStart w:id="27" w:name="paatelmia"/>
      <w:bookmarkEnd w:id="27"/>
      <w:r>
        <w:t xml:space="preserve">Päätelmiä</w:t>
      </w:r>
    </w:p>
    <w:p>
      <w:pPr>
        <w:pStyle w:val="FirstParagraph"/>
      </w:pPr>
      <w:r>
        <w:t xml:space="preserve">Ensin: edellä tehdyn analyysin perusteella saadut ryhmät kootusti</w:t>
      </w:r>
    </w:p>
    <w:p>
      <w:pPr>
        <w:pStyle w:val="BodyText"/>
      </w:pPr>
      <w:r>
        <w:t xml:space="preserve">Sitten:</w:t>
      </w:r>
    </w:p>
    <w:p>
      <w:pPr>
        <w:pStyle w:val="Compact"/>
        <w:numPr>
          <w:numId w:val="1002"/>
          <w:ilvl w:val="0"/>
        </w:numPr>
      </w:pPr>
      <w:r>
        <w:t xml:space="preserve">Kuinka monta eri tapaa oikeasti löydettiin?</w:t>
      </w:r>
    </w:p>
    <w:p>
      <w:pPr>
        <w:pStyle w:val="Compact"/>
        <w:numPr>
          <w:numId w:val="1002"/>
          <w:ilvl w:val="0"/>
        </w:numPr>
      </w:pPr>
      <w:r>
        <w:t xml:space="preserve">mihin tällaista voisi soveltaa?</w:t>
      </w:r>
    </w:p>
    <w:p>
      <w:pPr>
        <w:numPr>
          <w:numId w:val="1002"/>
          <w:ilvl w:val="0"/>
        </w:numPr>
      </w:pPr>
      <w:r>
        <w:t xml:space="preserve">mitä voidaan sanoa tekstilajista / kirjoittajista / yms.?</w:t>
      </w:r>
    </w:p>
    <w:p>
      <w:pPr>
        <w:pStyle w:val="Compact"/>
        <w:numPr>
          <w:numId w:val="1002"/>
          <w:ilvl w:val="0"/>
        </w:numPr>
      </w:pPr>
      <w:r>
        <w:t xml:space="preserve">Testaa</w:t>
      </w:r>
      <w:r>
        <w:t xml:space="preserve"> </w:t>
      </w:r>
      <w:r>
        <w:t xml:space="preserve">“</w:t>
      </w:r>
      <w:r>
        <w:t xml:space="preserve">valvottua klusterianalyysiä</w:t>
      </w:r>
      <w:r>
        <w:t xml:space="preserve">”</w:t>
      </w:r>
      <w:r>
        <w:t xml:space="preserve"> </w:t>
      </w:r>
      <w:r>
        <w:t xml:space="preserve">käyttäen tässä tehtyä luokittelua pohjana</w:t>
      </w:r>
    </w:p>
    <w:p>
      <w:pPr>
        <w:pStyle w:val="Compact"/>
        <w:numPr>
          <w:numId w:val="1003"/>
          <w:ilvl w:val="1"/>
        </w:numPr>
      </w:pPr>
      <w:r>
        <w:t xml:space="preserve">Manuaalisen analyysin perusteella todella voidaan paitsi määrittää</w:t>
      </w:r>
      <w:r>
        <w:t xml:space="preserve"> </w:t>
      </w:r>
      <w:r>
        <w:t xml:space="preserve">ryhmät, joihin indikointitavat voi jakaa, myös opettaa algoritmi, joilla</w:t>
      </w:r>
      <w:r>
        <w:t xml:space="preserve"> </w:t>
      </w:r>
      <w:r>
        <w:t xml:space="preserve">muita tekstejä voisi ryhmitellä samoin perustein.</w:t>
      </w:r>
    </w:p>
    <w:p>
      <w:pPr>
        <w:pStyle w:val="Heading1"/>
      </w:pPr>
      <w:bookmarkStart w:id="28" w:name="lahteet"/>
      <w:bookmarkEnd w:id="28"/>
      <w:r>
        <w:t xml:space="preserve">Lähteet</w:t>
      </w:r>
    </w:p>
    <w:p>
      <w:pPr>
        <w:pStyle w:val="Bibliography"/>
      </w:pPr>
      <w:r>
        <w:t xml:space="preserve">Chafe, Wallace 1994.</w:t>
      </w:r>
      <w:r>
        <w:t xml:space="preserve"> </w:t>
      </w:r>
      <w:r>
        <w:rPr>
          <w:i/>
        </w:rPr>
        <w:t xml:space="preserve">Discourse, consciousness, and time: The flow and displacement of conscious experience in speaking and writing</w:t>
      </w:r>
      <w:r>
        <w:t xml:space="preserve">. University of Chicago Press.</w:t>
      </w:r>
    </w:p>
    <w:p>
      <w:pPr>
        <w:pStyle w:val="Bibliography"/>
      </w:pPr>
      <w:r>
        <w:t xml:space="preserve">Haverinen, Katri, Jenna Nyblom, Timo Viljanen, Veronika Laippala, Samuel Kohonen, Anna Missilä, Stina Ojala, Tapio Salakoski &amp; Filip Ginter 2014. Building the essential resources for Finnish: the Turku Dependency Treebank.</w:t>
      </w:r>
      <w:r>
        <w:t xml:space="preserve"> </w:t>
      </w:r>
      <w:r>
        <w:rPr>
          <w:i/>
        </w:rPr>
        <w:t xml:space="preserve">Language Resources and Evaluation</w:t>
      </w:r>
      <w:r>
        <w:t xml:space="preserve"> </w:t>
      </w:r>
      <w:r>
        <w:t xml:space="preserve">48:3, 1–39.</w:t>
      </w:r>
    </w:p>
    <w:p>
      <w:pPr>
        <w:pStyle w:val="Bibliography"/>
      </w:pPr>
      <w:r>
        <w:t xml:space="preserve">Komppa, Johanna 2012. Retorisen rakenteen teoria suomi toisena kielenä-ylioppilaskokeen kirjoitelman kokonaisrakenteen ja kappalejaon tarkastelussa.</w:t>
      </w:r>
    </w:p>
    <w:p>
      <w:pPr>
        <w:pStyle w:val="Bibliography"/>
      </w:pPr>
      <w:r>
        <w:t xml:space="preserve">Kuusela, Jorma 2010. Kun kirjoittaminen ei suju. Teoksessa: Elina Harjunen, Riitta Juvonen, Jorma Kuusela, Beatrice Silén, M Sääkslahti, &amp; M Örnmark (eds.)</w:t>
      </w:r>
      <w:r>
        <w:t xml:space="preserve"> </w:t>
      </w:r>
      <w:r>
        <w:rPr>
          <w:i/>
        </w:rPr>
        <w:t xml:space="preserve">Miten peruskoululaiset kirjoittavat?</w:t>
      </w:r>
      <w:r>
        <w:t xml:space="preserve"> </w:t>
      </w:r>
      <w:r>
        <w:t xml:space="preserve">Vsk. 9. Opetushallitus. Saatavissa:</w:t>
      </w:r>
      <w:r>
        <w:t xml:space="preserve"> </w:t>
      </w:r>
      <w:hyperlink r:id="rId29">
        <w:r>
          <w:rPr>
            <w:rStyle w:val="Hyperlink"/>
          </w:rPr>
          <w:t xml:space="preserve">http://oph.fi/download/132345_Miten_peruskoululaiset_kirjoittavat.pdf</w:t>
        </w:r>
      </w:hyperlink>
      <w:r>
        <w:t xml:space="preserve"> </w:t>
      </w:r>
      <w:r>
        <w:t xml:space="preserve">[viitattu 19.12.2017].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Käyttäen kirjoittajien itsensä tekemeää kappaleiden ortografista</w:t>
      </w:r>
      <w:r>
        <w:t xml:space="preserve"> </w:t>
      </w:r>
      <w:r>
        <w:t xml:space="preserve">erottelua.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Tarkista määrä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4005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46fbca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bfe070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oph.fi/download/132345_Miten_peruskoululaiset_kirjoittava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oph.fi/download/132345_Miten_peruskoululaiset_kirjoittava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Sata ja yksi tapaa ilmaista topiikkia</dc:title>
  <dc:creator>Kirsi Sandberg &amp; Juho Härme</dc:creator>
  <dcterms:created xsi:type="dcterms:W3CDTF">2018-01-08T08:46:26Z</dcterms:created>
  <dcterms:modified xsi:type="dcterms:W3CDTF">2018-01-08T08:46:26Z</dcterms:modified>
</cp:coreProperties>
</file>