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8"/>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09"/>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0"/>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1"/>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2"/>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3"/>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4"/>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15"/>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15"/>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15"/>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15"/>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15"/>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15"/>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2" w:name="kirjoittajan-nakokulma"/>
      <w:bookmarkEnd w:id="32"/>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3" w:name="paatelmat"/>
      <w:bookmarkEnd w:id="33"/>
      <w:r>
        <w:t xml:space="preserve">Päätelmät</w:t>
      </w:r>
    </w:p>
    <w:p>
      <w:pPr>
        <w:pStyle w:val="Compact"/>
        <w:numPr>
          <w:numId w:val="1016"/>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7"/>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2506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61c1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251d0d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429212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be4ea13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65fb73d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cc2a10e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81ce51c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d43ceaf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b3a83d9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cb26500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cc32994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3b797ad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d37c562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eb637cf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fd5389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2018-01-23T09:12:45Z</dcterms:created>
  <dcterms:modified xsi:type="dcterms:W3CDTF">2018-01-23T09:12:45Z</dcterms:modified>
</cp:coreProperties>
</file>