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Sata</w:t>
      </w:r>
      <w:r>
        <w:t xml:space="preserve"> </w:t>
      </w:r>
      <w:r>
        <w:t xml:space="preserve">ja</w:t>
      </w:r>
      <w:r>
        <w:t xml:space="preserve"> </w:t>
      </w:r>
      <w:r>
        <w:t xml:space="preserve">yksi</w:t>
      </w:r>
      <w:r>
        <w:t xml:space="preserve"> </w:t>
      </w:r>
      <w:r>
        <w:t xml:space="preserve">tapaa</w:t>
      </w:r>
      <w:r>
        <w:t xml:space="preserve"> </w:t>
      </w:r>
      <w:r>
        <w:t xml:space="preserve">ilmaista</w:t>
      </w:r>
      <w:r>
        <w:t xml:space="preserve"> </w:t>
      </w:r>
      <w:r>
        <w:t xml:space="preserve">topiikkia</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Oppilaitoksissa ja korkeakouluissa opiskelee kasvava joukko kirjoittajia, jolla ei peruskoulun päättötodistuksesta huolimatta ole hallinnassaan opinnoissa menestymiseen tarvittavia tekstitaitoja. Opiskeluun liittyvien tekstilajien ja ns. akateemisten genrejen hallinta tuottaa hankaluuksia sekä osalle suomalaisen peruskoulun suomi äidinkielenä -oppimäärän suorittaneita</w:t>
      </w:r>
      <w:r>
        <w:t xml:space="preserve"> </w:t>
      </w:r>
      <w:r>
        <w:t xml:space="preserve">(</w:t>
      </w:r>
      <w:r>
        <w:rPr>
          <w:b/>
        </w:rPr>
        <w:t xml:space="preserve">???</w:t>
      </w:r>
      <w:r>
        <w:t xml:space="preserve">)</w:t>
      </w:r>
      <w:r>
        <w:t xml:space="preserve"> </w:t>
      </w:r>
      <w:r>
        <w:t xml:space="preserve">että opintonsa S2-oppimäärän mukaisesti (lähdeviite s2-kartoitukseen) suorittaneita. Aino Vuorijärvi</w:t>
      </w:r>
      <w:r>
        <w:t xml:space="preserve"> </w:t>
      </w:r>
      <w:r>
        <w:t xml:space="preserve">(</w:t>
      </w:r>
      <w:r>
        <w:rPr>
          <w:b/>
        </w:rPr>
        <w:t xml:space="preserve">???</w:t>
      </w:r>
      <w:r>
        <w:t xml:space="preserve">)</w:t>
      </w:r>
      <w:r>
        <w:t xml:space="preserve"> </w:t>
      </w:r>
      <w:r>
        <w:t xml:space="preserve">kirjoittaakin, että uusissa institutionaalisissa tilanteissa ja näihin liittyvien tekstilajikonventioiden haltuunotossa ”kielenkäytön sosiokulttuuristen käytänteiden tuntemusta, tekstilajin tajua” tarvitsevat yhtäläisesti syntyperäiset kielenkäyttäjät. Vuorijärvellä on tässä lähdeviitteitä, muista tarkastaa vielä muotoilu.</w:t>
      </w:r>
    </w:p>
    <w:p>
      <w:pPr>
        <w:pStyle w:val="BodyText"/>
      </w:pPr>
      <w:r>
        <w:t xml:space="preserve">2010-luvulla kielten ja kirjoittamisen opetuksessa korostuu tekstilähtöisyys ja funktionaalinen tapa tarkastella kieltä (ks esim. opsit &amp; parit ÄOL vuosikirjat, Kirsi lisää viitteitä tähän). Tässä kehyksessä perinteinen, Suomenkin kontekstissa pääosin preskriptiivinen kuvaus tekstikokonaisuuden ja -kappaleen rakentumisesta</w:t>
      </w:r>
      <w:r>
        <w:t xml:space="preserve"> </w:t>
      </w:r>
      <w:r>
        <w:t xml:space="preserve">(Komppa 2012: 121)</w:t>
      </w:r>
      <w:r>
        <w:t xml:space="preserve"> </w:t>
      </w:r>
      <w:r>
        <w:t xml:space="preserve">ei palvele tarkoitustaan. Ns. uusi kirjoittaja on aktiivinen tiedonhakija ja tekstien tutkija, joka ei enää kysy, miten minun pitäisi tämä tehdä vaan millä eri tavoilla tämä on tehty. Tällä kirjoittajalla voi olla nyksyisen, tekstitaitoja korostavan kouluopetuksen pohjalta ymmärrys tekstilajista, mutta repertuaarissa ei olekaan sopivaa rakennetta, jolla pystyisi itse tuottamaan tavoitemuotoisen tekstin ja esim. käymään dialogia lukijansa kanssa (ks. Juvonen 2012).</w:t>
      </w:r>
    </w:p>
    <w:p>
      <w:pPr>
        <w:pStyle w:val="BodyText"/>
      </w:pPr>
      <w:r>
        <w:t xml:space="preserve">On tosin kirjoitettu (ja tämän vielä tarkistan), että ”tekstilajitietoisuuden ja tekstilajituntemuksen lisääntyessä yksilön ilmaisurepertuaari ja kielellinen valinnanvara laajenevat kattamaan myös yhteisön puhetavat (esim. Bruce 2008 5-6, Solin 2006, 82 samoin Luukka 2002b, 14, 27)”. Mutta on olemassa myös tästä poikkeavia näkemyksiä, jotka pitää noutaa vielä tähän johdantoon. Ajatus on, että syntaksin ja tekstin rajapinnassa tarvitaan myös tietoa ja esimerkkejä rakenteista, joilla tekstilajin muovaamia odotuksia aivan konkreettisesti toteutetaan (ja tätähän me tässä olemme yrittämässä).</w:t>
      </w:r>
    </w:p>
    <w:p>
      <w:pPr>
        <w:pStyle w:val="BodyText"/>
      </w:pPr>
      <w:r>
        <w:t xml:space="preserve">Kansainväliseen kenttään verrattuna Suomessa ei koulukirjoittamista ole mainittavasti tutkittu</w:t>
      </w:r>
      <w:r>
        <w:t xml:space="preserve"> </w:t>
      </w:r>
      <w:r>
        <w:t xml:space="preserve">(Komppa 2012: 9–10)</w:t>
      </w:r>
      <w:r>
        <w:t xml:space="preserve">, ja tutkimusperustaisen kirjoittamisenopetuksen tueksi tarvitaan nähdäksemme lisää käyttöpohjaista, kuvailevaa tutkimusta. Johanna Komppa tarkastelee suomi toisena kielenä -ylioppilaskirjoitusten kirjoitelmia tekstikokonaisuuksina deskriptiivisestä näkökulmasta.Lisää tähän lähteeksi myös katsaus lukio-ikäisten kirjoittamisen tutkimukseen &amp; Juvosen vk. Saatavilla on enemmän tietoa siitä, miten se pitäisi tehdä, kuin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w:t>
      </w:r>
    </w:p>
    <w:p>
      <w:pPr>
        <w:pStyle w:val="BodyText"/>
      </w:pPr>
      <w:r>
        <w:t xml:space="preserve">(Tähän vielä linkkaus Juvoseen, joka kirjoittaa, että fennistiikassa on kyllä tutkittu kielen rakenteiden ja tekstin rajapintaa, mutta tehty niin kuin hän itsekin on tehnyt, eli kuvaa tiettyjen rakenteiden funktioita tekstissä, ei niinkään sitä, miten jokin tietty funktio on toteutettu tekstissä.</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 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tämä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Korkeakouluopiskelijat kirjoittavat paljon, ja opintojen aikana kirjoitetuilla teksteillä (luentopäiväkirjat, esseet, opinnäytteet jne.) on selkeä funktio. Tekstien muotoa ohjaa joukko konventioita. Vuorijärvi tiivistää tekstilajin käsitteestä ja sosiaalisesta luonteesta:</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 Kirjoittamisen opetus- ja opiskelukulttuurit eroavat siis huomattavasti toisistaan. Kuitenkin jotain jo on: 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Tekstikappale tarkastelun kohteena (Olin ajatellut tätä teoriaosan alle, mutta eikös olekin yksi tulos jo se, millaisia tekstit ovat kokonaisrakenteeltaan…)</w:t>
      </w:r>
    </w:p>
    <w:p>
      <w:pPr>
        <w:pStyle w:val="BodyText"/>
      </w:pPr>
      <w:r>
        <w:t xml:space="preserve">Tutkimusaineisto rajautuu ulkoisesti raportin kirjoittamiseen annetun ohjeistuksen ja raporttien julkaisualustan perusteella. Tekstin kokonaisrakenteen analyysissä on tyypillistä erottaa toisaalta funktionaaliset jaksot ja toisaalta visuaaliset elementin, tekstikappale lukeutuu jälkimmäiseen. Tässä tutkimuksessa tarkastelun kohteeksi otettiin tekstikappaleet, joka ei ehkä ole se tyypillinen tapa lähestyä tekstiä. Tehty valinta perustui tutkimuksen ensimmäisessä vaiheessa tehtyihin havaintoihin. (Miten pitkästi avaamme tätä?) 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pPr>
        <w:pStyle w:val="BodyText"/>
      </w:pPr>
      <w:r>
        <w:t xml:space="preserve">Vuorijärvi käyttää käsitettä topiikkipohjainen rakenne, jonka alle eri tavalla rakentuneet opinnäytetyötekstit asettuvat (s.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Tämän mallin rinnalla Vuorijärvi tarkastelee perinteistä, tutkimuslähtöistä mallia, jossa on osat: johdanto, menetelmä ja aineisto, tulokset ja pohdinta. Noin puolet Vuorijärven aineistosta asettuu tutkimuslähtöiseen malliin kategoriaan. (s. 81)</w:t>
      </w:r>
    </w:p>
    <w:p>
      <w:pPr>
        <w:pStyle w:val="BodyText"/>
      </w:pPr>
      <w:r>
        <w:t xml:space="preserve">Retorisen rakenteen teoriassa (Komppa) 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JA sitten voisi jatkua Dik &amp; alatopiikit tähän omaksi kokonaisuudekseen, mutta tämän kirjoittaminen lienee viisasta, kun tulososa on hahmollaan.</w:t>
      </w:r>
    </w:p>
    <w:p>
      <w:pPr>
        <w:pStyle w:val="BodyText"/>
      </w:pPr>
      <w:r>
        <w:t xml:space="preserve">Aineisto ja menetelmät</w:t>
      </w:r>
    </w:p>
    <w:p>
      <w:pPr>
        <w:numPr>
          <w:numId w:val="1001"/>
          <w:ilvl w:val="0"/>
        </w:numPr>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w:t>
      </w:r>
    </w:p>
    <w:p>
      <w:pPr>
        <w:numPr>
          <w:numId w:val="1001"/>
          <w:ilvl w:val="0"/>
        </w:numPr>
      </w:pPr>
      <w:r>
        <w:t xml:space="preserve">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pPr>
        <w:pStyle w:val="FirstParagraph"/>
      </w:pPr>
      <w:r>
        <w:t xml:space="preserve">Miksi tämä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-Tutkimuslupa hankittu</w:t>
      </w:r>
    </w:p>
    <w:p>
      <w:pPr>
        <w:pStyle w:val="BodyText"/>
      </w:pPr>
      <w:r>
        <w:t xml:space="preserve">Käyttämämme menetelmä muistuttaa prosessina Vuorijärven analyysiprosessin vaiheita: sivut (116-117).</w:t>
      </w:r>
    </w:p>
    <w:p>
      <w:pPr>
        <w:pStyle w:val="BodyText"/>
      </w:pPr>
      <w:r>
        <w:t xml:space="preserve">Satunnaisesti valitun 30 tekstin otoksesta voi tehdä karkean luokittelun kolmeen erityyppiseen kokonaisrakenteeseen. Tyypittely on tehty kirjoittajan tekemän tekstikappalejaon perusteella.</w:t>
      </w:r>
    </w:p>
    <w:p>
      <w:pPr>
        <w:pStyle w:val="BodyText"/>
      </w:pPr>
      <w:r>
        <w:t xml:space="preserve">Tyyppi 1 Kirjoittaja aloittaa tekstin vastaamalla ohjeistuksen ensimmäisen kohdan kysymyksiin. Jos lopussa on evaluoiva jakso, se jää irralliseksi.</w:t>
      </w:r>
    </w:p>
    <w:p>
      <w:pPr>
        <w:pStyle w:val="BodyText"/>
      </w:pPr>
      <w:r>
        <w:t xml:space="preserve">Tyyppi 2 Kirjoittaja aloittaa johdannolla ja sen jälkeen siirtyy vastaamaan kysymyksiin. Tekstikappaleet ovat kuitenkin irrallisia toisistaan ja muistuttavat avoimen kyselylomakkeen vastauksia. Lopun arviointi jää hiukan pinnalliseksi.</w:t>
      </w:r>
    </w:p>
    <w:p>
      <w:pPr>
        <w:pStyle w:val="BodyText"/>
      </w:pPr>
      <w:r>
        <w:t xml:space="preserve">Tyyppi 3 Kirjoittaja aloittaa johdannolla, ja raportoiva ote säilyy teksti läpi niin, että myös arvioiva jakso lopussa yhdistyy tekstiin luontevasti.</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p>
    <w:p>
      <w:pPr>
        <w:pStyle w:val="BodyText"/>
      </w:pPr>
      <w:r>
        <w:t xml:space="preserve">Tässä käsiteltävä lopullinen tutkimusaineisto kattaa kaikkiaan 415</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4"/>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2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2: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5"/>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….toinen kappale ryhmittelyn perusteista ja siitä, ettei semant. kriteerejä käytetty…</w:t>
      </w:r>
    </w:p>
    <w:p>
      <w:pPr>
        <w:pStyle w:val="Heading1"/>
      </w:pPr>
      <w:bookmarkStart w:id="26" w:name="yleiskuva"/>
      <w:bookmarkEnd w:id="26"/>
      <w:r>
        <w:t xml:space="preserve">Yleiskuva</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Kustakin ryhmästä on seuraavassa annettu yksi edustava esimerkkivirke. Virkkeen lopussa</w:t>
      </w:r>
      <w:r>
        <w:t xml:space="preserve"> </w:t>
      </w:r>
      <w:r>
        <w:t xml:space="preserve">on ilmoitettu, kuinka monta lausetta kuhunkin ryhmään kuuluu. Virkkeet</w:t>
      </w:r>
      <w:r>
        <w:t xml:space="preserve"> </w:t>
      </w:r>
      <w:r>
        <w:t xml:space="preserve">analysoidaan tarkemmin kohta.</w:t>
      </w:r>
    </w:p>
    <w:p>
      <w:pPr>
        <w:pStyle w:val="Compact"/>
        <w:numPr>
          <w:numId w:val="1003"/>
          <w:ilvl w:val="0"/>
        </w:numPr>
      </w:pPr>
      <w:r>
        <w:t xml:space="preserve">Asuntoni sain vuokrattua Apartiksen( paikallinen TOAS) kautta. (31 kpl)</w:t>
      </w:r>
    </w:p>
    <w:p>
      <w:pPr>
        <w:pStyle w:val="Compact"/>
        <w:numPr>
          <w:numId w:val="1003"/>
          <w:ilvl w:val="0"/>
        </w:numPr>
      </w:pPr>
      <w:r>
        <w:t xml:space="preserve">Orientation weekin lopussa muutettiin lopulliseen asuntolaan. (9 kpl)</w:t>
      </w:r>
    </w:p>
    <w:p>
      <w:pPr>
        <w:pStyle w:val="Compact"/>
        <w:numPr>
          <w:numId w:val="1003"/>
          <w:ilvl w:val="0"/>
        </w:numPr>
      </w:pPr>
      <w:r>
        <w:t xml:space="preserve">Vaihtoni aikana asuin Grandmontin asuntolassa. (21 kpl)</w:t>
      </w:r>
    </w:p>
    <w:p>
      <w:pPr>
        <w:pStyle w:val="Compact"/>
        <w:numPr>
          <w:numId w:val="1003"/>
          <w:ilvl w:val="0"/>
        </w:numPr>
      </w:pPr>
      <w:r>
        <w:t xml:space="preserve">Sitten pari sanaa asumisesta. (6 kpl)</w:t>
      </w:r>
    </w:p>
    <w:p>
      <w:pPr>
        <w:pStyle w:val="Compact"/>
        <w:numPr>
          <w:numId w:val="1003"/>
          <w:ilvl w:val="0"/>
        </w:numPr>
      </w:pPr>
      <w:r>
        <w:t xml:space="preserve">Asuntoloista valitsin Julius Raab Heimin vanhojen matkakertomusten perusteella. (14 kpl)</w:t>
      </w:r>
    </w:p>
    <w:p>
      <w:pPr>
        <w:pStyle w:val="Compact"/>
        <w:numPr>
          <w:numId w:val="1003"/>
          <w:ilvl w:val="0"/>
        </w:numPr>
      </w:pPr>
      <w:r>
        <w:t xml:space="preserve">Asuminen Tokiossa on aika kallista. (10 kpl)</w:t>
      </w:r>
    </w:p>
    <w:p>
      <w:pPr>
        <w:pStyle w:val="Compact"/>
        <w:numPr>
          <w:numId w:val="1003"/>
          <w:ilvl w:val="0"/>
        </w:numPr>
      </w:pPr>
      <w:r>
        <w:t xml:space="preserve">Olin löytänyt asunnon ensimmäiseksi kuukaudeksi Airbnb:n kautta ennen Italiaan saapumista. (21 kpl)</w:t>
      </w:r>
    </w:p>
    <w:p>
      <w:pPr>
        <w:pStyle w:val="Compact"/>
        <w:numPr>
          <w:numId w:val="1003"/>
          <w:ilvl w:val="0"/>
        </w:numPr>
      </w:pPr>
      <w:r>
        <w:t xml:space="preserve">Saapuessani Varsovaan minulla oli onneksi jo asunto tiedossa. (5 kpl)</w:t>
      </w:r>
    </w:p>
    <w:p>
      <w:pPr>
        <w:pStyle w:val="Compact"/>
        <w:numPr>
          <w:numId w:val="1003"/>
          <w:ilvl w:val="0"/>
        </w:numPr>
      </w:pPr>
      <w:r>
        <w:t xml:space="preserve">Asuminen, tai siis lähinnä asunnon hankkiminen, oli varmaankin vaihdon hankalin juttu. (16 kpl)</w:t>
      </w:r>
    </w:p>
    <w:p>
      <w:pPr>
        <w:pStyle w:val="Compact"/>
        <w:numPr>
          <w:numId w:val="1003"/>
          <w:ilvl w:val="0"/>
        </w:numPr>
      </w:pPr>
      <w:r>
        <w:t xml:space="preserve">Suurlähetystön henkilökunta tarjosi resurssiensa puitteissa apuaan mm. maahantuloon, käytännön järjestelyihin sekä asunnon löytämiseen liittyvissä asioissa. (9 kpl)</w:t>
      </w:r>
    </w:p>
    <w:p>
      <w:pPr>
        <w:pStyle w:val="Compact"/>
        <w:numPr>
          <w:numId w:val="1003"/>
          <w:ilvl w:val="0"/>
        </w:numPr>
      </w:pPr>
      <w:r>
        <w:t xml:space="preserve">Lähes kaikki Bratislavan kauppakorkeakoulun vaihto-opiskelijat asuivat Ekonom-nimisessä dormitoryssa. (4 kpl)</w:t>
      </w:r>
    </w:p>
    <w:p>
      <w:pPr>
        <w:pStyle w:val="Compact"/>
        <w:numPr>
          <w:numId w:val="1003"/>
          <w:ilvl w:val="0"/>
        </w:numPr>
      </w:pPr>
      <w:r>
        <w:t xml:space="preserve">Itse hankin asunnon jo etukäteen, ja paikallinen kaverini kävi sitä katsomassa ja hakemassa avaimen jo etukäteen. (10 kpl)</w:t>
      </w:r>
    </w:p>
    <w:p>
      <w:pPr>
        <w:pStyle w:val="Compact"/>
        <w:numPr>
          <w:numId w:val="1003"/>
          <w:ilvl w:val="0"/>
        </w:numPr>
      </w:pPr>
      <w:r>
        <w:t xml:space="preserve">Asuminen tapahtuu pienessä huoneessa yhdessä kämppiksen tai kahden kanssa. (12 kpl)</w:t>
      </w:r>
    </w:p>
    <w:p>
      <w:pPr>
        <w:pStyle w:val="FirstParagraph"/>
      </w:pPr>
      <w:r>
        <w:t xml:space="preserve">Esimerkissä 6 kirjoittaja</w:t>
      </w:r>
    </w:p>
    <w:p>
      <w:pPr>
        <w:pStyle w:val="BodyText"/>
      </w:pPr>
      <w:r>
        <w:t xml:space="preserve">Esimerkissä 7 edellisessä kappaleessa jotain, muttei linkkiä</w:t>
      </w:r>
    </w:p>
    <w:p>
      <w:pPr>
        <w:pStyle w:val="BodyText"/>
      </w:pPr>
      <w:r>
        <w:t xml:space="preserve">Esimerkissä 3 väliotsikko</w:t>
      </w:r>
    </w:p>
    <w:p>
      <w:pPr>
        <w:pStyle w:val="BodyText"/>
      </w:pPr>
      <w:r>
        <w:t xml:space="preserve">Esimerkissä 8 väliotsikko</w:t>
      </w:r>
    </w:p>
    <w:p>
      <w:pPr>
        <w:pStyle w:val="BodyText"/>
      </w:pPr>
      <w:r>
        <w:t xml:space="preserve">Vertaa esimerkkiä 9 esimerkkiin 6</w:t>
      </w:r>
    </w:p>
    <w:p>
      <w:pPr>
        <w:pStyle w:val="BodyText"/>
      </w:pPr>
      <w:r>
        <w:t xml:space="preserve">Jäljempänä tarkasteltavien x-tapausten jälkeen suurimmat ryhmät</w:t>
      </w:r>
      <w:r>
        <w:t xml:space="preserve"> </w:t>
      </w:r>
      <w:r>
        <w:t xml:space="preserve">olivat</w:t>
      </w:r>
    </w:p>
    <w:p>
      <w:pPr>
        <w:pStyle w:val="Heading1"/>
      </w:pPr>
      <w:bookmarkStart w:id="27" w:name="zoomaus"/>
      <w:bookmarkEnd w:id="27"/>
      <w:r>
        <w:t xml:space="preserve">Zoomaus</w:t>
      </w:r>
    </w:p>
    <w:p>
      <w:pPr>
        <w:pStyle w:val="FirstParagraph"/>
      </w:pPr>
      <w:r>
        <w:t xml:space="preserve">Tänne ajatus siitä, että otetaan yksi tai useampi esimerkkilausetta ja käydään läpi vaihtoehtoisia ilmaisutapoja</w:t>
      </w:r>
    </w:p>
    <w:p>
      <w:pPr>
        <w:pStyle w:val="BodyText"/>
      </w:pPr>
      <w:r>
        <w:t xml:space="preserve">Tämän analyysin tarkoituksena oli ottaa muutama tyypillinen eri asteisesti listamainen tapaus ja sen jälkeen asettaa se rinnakkain samaa ilmiötä toteuttavien muunlaisten ratkaisutapojen kanssa. (olihan se näin?)</w:t>
      </w:r>
    </w:p>
    <w:p>
      <w:pPr>
        <w:pStyle w:val="Compact"/>
        <w:numPr>
          <w:numId w:val="1004"/>
          <w:ilvl w:val="0"/>
        </w:numPr>
      </w:pPr>
      <w:r>
        <w:t xml:space="preserve">tapaus: puhdas listatyyppinen (id732), asumista käsittelevä kappale on nyt tässä kokonaisuudessaan hetken aikaa.</w:t>
      </w:r>
    </w:p>
    <w:p>
      <w:pPr>
        <w:pStyle w:val="FirstParagraph"/>
      </w:pPr>
      <w:r>
        <w:t xml:space="preserve">(Ennen tätä kappaletta kirjoittaja on käsitellyt ensin valistelujaan kotoa käsin, sitten kielikurssia melko seikkaperäisesti, vaihto-opiskelijoille järjestettyä vapaa-ajan ohjelmaa ja lopuksi vielä reflektoi omaa osaamistaan valitsemallaa kielikurssilla.)</w:t>
      </w:r>
    </w:p>
    <w:p>
      <w:pPr>
        <w:pStyle w:val="BodyText"/>
      </w:pPr>
      <w:r>
        <w:t xml:space="preserve">“</w:t>
      </w:r>
      <w:r>
        <w:t xml:space="preserve">Asuntoni sain vuokrattua Apartiksen (paikallinen TOAS) kautta. Vaihtareille on varattu kaksi erillistä taloa, toinen (Beauregard) sijaitsee aivan kaupungin keskustassa juna-aseman ja yliopiston päärakennuksen vieressä ja toinen (Bellevue) puolestaan noin 20 minuutin kävelymatkan päässä keskustasta. Asuntohakemus toimitettiin myös kaikkien muiden hakemuspapereiden yhteydessä eli hakuprosessi oli siis senkin osalta tehty todella helpoksi. Itse asuin kolmen hengen solussa keskustan vaihtaritalossa, joka oli mielestäni sijaintiinsa nähden melko edullinen asunto, sillä vuokraan sisältyi vesi, sähkö ja nettiyhteys. Koin vaihtaritalossa asumisen minulle parhaana vaihtoehtona, sillä kaikki vaihtarikaverit asuivat lähellä, ja näin ollen illanviettoihin ja muihin oli todella helppoa osallistua. Sveitsin hintataso on yleisesti ottaen tietysti melko korkea, mutta näin suomalaiselle se ei kuitenkaan mielestäni kovin suurena shokkina tullut, joten sen vuoksi en missään nimessä jättäisi Sveitsiin lähtemättä. Kaupoista löytyvät yhtälailla halvemmat merkit hyvinä vaihtoehtoina aivan kuin Suomessakin.</w:t>
      </w:r>
      <w:r>
        <w:t xml:space="preserve">”</w:t>
      </w:r>
    </w:p>
    <w:p>
      <w:pPr>
        <w:pStyle w:val="Heading1"/>
      </w:pPr>
      <w:bookmarkStart w:id="28" w:name="paatelmia"/>
      <w:bookmarkEnd w:id="28"/>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5"/>
          <w:ilvl w:val="0"/>
        </w:numPr>
      </w:pPr>
      <w:r>
        <w:t xml:space="preserve">Kuinka monta eri tapaa oikeasti löydettiin?</w:t>
      </w:r>
    </w:p>
    <w:p>
      <w:pPr>
        <w:pStyle w:val="Compact"/>
        <w:numPr>
          <w:numId w:val="1005"/>
          <w:ilvl w:val="0"/>
        </w:numPr>
      </w:pPr>
      <w:r>
        <w:t xml:space="preserve">mihin tällaista voisi soveltaa?</w:t>
      </w:r>
    </w:p>
    <w:p>
      <w:pPr>
        <w:numPr>
          <w:numId w:val="1005"/>
          <w:ilvl w:val="0"/>
        </w:numPr>
      </w:pPr>
      <w:r>
        <w:t xml:space="preserve">mitä voidaan sanoa tekstilajista / kirjoittajista / yms.?</w:t>
      </w:r>
    </w:p>
    <w:p>
      <w:pPr>
        <w:pStyle w:val="Compact"/>
        <w:numPr>
          <w:numId w:val="1005"/>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6"/>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29" w:name="lahteet"/>
      <w:bookmarkEnd w:id="29"/>
      <w:r>
        <w:t xml:space="preserve">Lähteet</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5">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793f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51f6d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67089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808dfa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 ja yksi tapaa ilmaista topiikkia</dc:title>
  <dc:creator>Kirsi Sandberg &amp; Juho Härme</dc:creator>
  <dcterms:created xsi:type="dcterms:W3CDTF">2018-01-15T08:48:27Z</dcterms:created>
  <dcterms:modified xsi:type="dcterms:W3CDTF">2018-01-15T08:48:27Z</dcterms:modified>
</cp:coreProperties>
</file>