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Oppilaitoksissa ja korkeakouluissa opiskelee kasvava joukko kirjoittajia, jolla ei peruskoulun päättötodistuksesta huolimatta ole hallinnassaan opinnoissa menestymiseen tarvittavia tekstitaitoja. Opiskeluun liittyvien tekstilajien ja ns. akateemisten genrejen hallinta tuottaa hankaluuksia sekä osalle suomalaisen peruskoulun suomi äidinkielenä -oppimäärän suorittaneita</w:t>
      </w:r>
      <w:r>
        <w:t xml:space="preserve"> </w:t>
      </w:r>
      <w:r>
        <w:t xml:space="preserve">(</w:t>
      </w:r>
      <w:r>
        <w:rPr>
          <w:b/>
        </w:rPr>
        <w:t xml:space="preserve">???</w:t>
      </w:r>
      <w:r>
        <w:t xml:space="preserve">)</w:t>
      </w:r>
      <w:r>
        <w:t xml:space="preserve"> </w:t>
      </w:r>
      <w:r>
        <w:t xml:space="preserve">että opintonsa S2-oppimäärän mukaisesti (lähdeviite s2-kartoitukseen) suorittaneita. Aino Vuorijärvi</w:t>
      </w:r>
      <w:r>
        <w:t xml:space="preserve"> </w:t>
      </w:r>
      <w:r>
        <w:t xml:space="preserve">(</w:t>
      </w:r>
      <w:r>
        <w:rPr>
          <w:b/>
        </w:rPr>
        <w:t xml:space="preserve">???</w:t>
      </w:r>
      <w:r>
        <w:t xml:space="preserve">)</w:t>
      </w:r>
      <w:r>
        <w:t xml:space="preserve"> </w:t>
      </w:r>
      <w:r>
        <w:t xml:space="preserve">kirjoittaakin, että uusissa institutionaalisissa tilanteissa ja näihin liittyvien tekstilajikonventioiden haltuunotossa ”kielenkäytön sosiokulttuuristen käytänteiden tuntemusta, tekstilajin tajua” tarvitsevat yhtäläisesti syntyperäiset kielenkäyttäjät. Vuorijärvellä on tässä lähdeviitteitä, muista tarkastaa vielä muotoilu.</w:t>
      </w:r>
    </w:p>
    <w:p>
      <w:pPr>
        <w:pStyle w:val="BodyText"/>
      </w:pPr>
      <w:r>
        <w:t xml:space="preserve">2010-luvulla kielten ja kirjoittamisen opetuksessa korostuu tekstilähtöisyys ja funktionaalinen tapa tarkastella kieltä (ks esim. opsit &amp; parit ÄOL vuosikirjat, Kirsi lisää viitteitä tähän). Tässä kehyksessä perinteinen, Suomenkin kontekstissa pääosin preskriptiivinen kuvaus tekstikokonaisuuden ja -kappaleen rakentumisesta</w:t>
      </w:r>
      <w:r>
        <w:t xml:space="preserve"> </w:t>
      </w:r>
      <w:r>
        <w:t xml:space="preserve">(Komppa 2012: 121)</w:t>
      </w:r>
      <w:r>
        <w:t xml:space="preserve"> </w:t>
      </w:r>
      <w:r>
        <w:t xml:space="preserve">ei palvele tarkoitustaan. Ns. uusi kirjoittaja on aktiivinen tiedonhakija ja tekstien tutkija, joka ei enää kysy, miten minun pitäisi tämä tehdä vaan millä eri tavoilla tämä on tehty. Tällä kirjoittajalla voi olla nyksyisen, tekstitaitoja korostavan kouluopetuksen pohjalta ymmärrys tekstilajista, mutta repertuaarissa ei olekaan sopivaa rakennetta, jolla pystyisi itse tuottamaan tavoitemuotoisen tekstin ja esim. käymään dialogia lukijansa kanssa (ks. Juvonen 2012).</w:t>
      </w:r>
    </w:p>
    <w:p>
      <w:pPr>
        <w:pStyle w:val="BodyText"/>
      </w:pPr>
      <w:r>
        <w:t xml:space="preserve">On tosin kirjoitettu (ja tämän vielä tarkistan), että ”tekstilajitietoisuuden ja tekstilajituntemuksen lisääntyessä yksilön ilmaisurepertuaari ja kielellinen valinnanvara laajenevat kattamaan myös yhteisön puhetavat (esim. Bruce 2008 5-6, Solin 2006, 82 samoin Luukka 2002b, 14, 27)”. Mutta on olemassa myös tästä poikkeavia näkemyksiä, jotka pitää noutaa vielä tähän johdantoon. Ajatus on, että syntaksin ja tekstin rajapinnassa tarvitaan myös tietoa ja esimerkkejä rakenteista, joilla tekstilajin muovaamia odotuksia aivan konkreettisesti toteutetaan (ja tätähän me tässä olemme yrittämässä).</w:t>
      </w:r>
    </w:p>
    <w:p>
      <w:pPr>
        <w:pStyle w:val="BodyText"/>
      </w:pPr>
      <w:r>
        <w:t xml:space="preserve">Kansainväliseen kenttään verrattuna Suomessa ei koulukirjoittamista ole mainittavasti tutkittu</w:t>
      </w:r>
      <w:r>
        <w:t xml:space="preserve"> </w:t>
      </w:r>
      <w:r>
        <w:t xml:space="preserve">(Komppa 2012: 9–10)</w:t>
      </w:r>
      <w:r>
        <w:t xml:space="preserve">, ja tutkimusperustaisen kirjoittamisenopetuksen tueksi tarvitaan nähdäksemme lisää käyttöpohjaista, kuvailevaa tutkimusta. Johanna Komppa tarkastelee suomi toisena kielenä -ylioppilaskirjoitusten kirjoitelmia tekstikokonaisuuksina deskriptiivisestä näkökulmasta.Lisää tähän lähteeksi myös katsaus lukio-ikäisten kirjoittamisen tutkimukseen &amp; Juvosen vk. Saatavilla on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(Tähän vielä linkkaus Juvoseen, joka kirjoittaa, että fennistiikassa on kyllä tutkittu kielen rakenteiden ja tekstin rajapintaa, mutta tehty niin kuin hän itsekin on tehnyt, eli kuvaa tiettyjen rakenteiden funktioita tekstissä, ei niinkään sitä, miten jokin tietty funktio on toteutettu tekstissä.</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 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menetelmistä.Tähän perustelut aineistovalinnalle.</w:t>
      </w:r>
    </w:p>
    <w:p>
      <w:pPr>
        <w:pStyle w:val="BodyText"/>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 Lisäksi kirjoittamiseen on tarjolla seikkaperäinen ohjeistus ja malliksi satoja aikasemmin kirjoitettuja, verkossa julkaistuja tekstejä.</w:t>
      </w:r>
    </w:p>
    <w:p>
      <w:pPr>
        <w:pStyle w:val="BodyText"/>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-Tehtävä itsessään ei ole ollut kongnitiivisesti kuormittava ja malleja on ollut saatavilla runsaasti</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 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BodyText"/>
      </w:pPr>
      <w:r>
        <w:t xml:space="preserve">Aineisto ja menetelmät</w:t>
      </w:r>
    </w:p>
    <w:p>
      <w:pPr>
        <w:numPr>
          <w:numId w:val="1001"/>
          <w:ilvl w:val="0"/>
        </w:numPr>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w:t>
      </w:r>
    </w:p>
    <w:p>
      <w:pPr>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-Tutkimuslupa hankittu</w:t>
      </w:r>
    </w:p>
    <w:p>
      <w:pPr>
        <w:pStyle w:val="BodyText"/>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2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2: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BodyText"/>
      </w:pPr>
      <w:r>
        <w:t xml:space="preserve">Laadullisen analyysin tavoitteena oli ryhmitellä aineistosta erotellut 168</w:t>
      </w:r>
      <w:r>
        <w:t xml:space="preserve"> </w:t>
      </w:r>
      <w:r>
        <w:t xml:space="preserve">tekstiä siten, että yhteen ryhmään päätyisivät aina ne tavat asettaa topiikki, jotka</w:t>
      </w:r>
      <w:r>
        <w:t xml:space="preserve"> </w:t>
      </w:r>
      <w:r>
        <w:t xml:space="preserve">syntaktisilta tai funktionaalisilta ominaisuuksiltaan muistuttavat toisiaan.</w:t>
      </w:r>
      <w:r>
        <w:t xml:space="preserve"> </w:t>
      </w:r>
      <w:r>
        <w:t xml:space="preserve">Jokaista topiikkia asettavaa virkettä tutkittiin erikseen laajemmassa tekstiyhteydessään,</w:t>
      </w:r>
      <w:r>
        <w:t xml:space="preserve"> </w:t>
      </w:r>
      <w:r>
        <w:t xml:space="preserve">minkä jälkeen sitä verrattiin muihin virkkeisiin ja määriteltiin, oliko kyseessä jokin</w:t>
      </w:r>
      <w:r>
        <w:t xml:space="preserve"> </w:t>
      </w:r>
      <w:r>
        <w:t xml:space="preserve">uusi, muista erottuva tapausjoukko vai ennemminkin jokin jo muodostettuun joukkoon kuuluva</w:t>
      </w:r>
      <w:r>
        <w:t xml:space="preserve"> </w:t>
      </w:r>
      <w:r>
        <w:t xml:space="preserve">tapaus. Tapauksia ei siis ryhmitelty minkään ennalta määriteltyjen kriteerien pohjalta,</w:t>
      </w:r>
      <w:r>
        <w:t xml:space="preserve"> </w:t>
      </w:r>
      <w:r>
        <w:t xml:space="preserve">vaan sillä perusteella, mitkä tapaukset muistuttivat toisiaan.</w:t>
      </w:r>
    </w:p>
    <w:p>
      <w:pPr>
        <w:pStyle w:val="BodyText"/>
      </w:pPr>
      <w:r>
        <w:t xml:space="preserve">….toinen kappale ryhmittelyn perusteista ja siitä, ettei semant. kriteerejä käytetty…</w:t>
      </w:r>
    </w:p>
    <w:p>
      <w:pPr>
        <w:pStyle w:val="Heading1"/>
      </w:pPr>
      <w:bookmarkStart w:id="26" w:name="yleiskuva"/>
      <w:bookmarkEnd w:id="26"/>
      <w:r>
        <w:t xml:space="preserve">Yleiskuva</w:t>
      </w:r>
    </w:p>
    <w:p>
      <w:pPr>
        <w:pStyle w:val="FirstParagraph"/>
      </w:pPr>
      <w:r>
        <w:t xml:space="preserve">Edellä kuvatun laadullisen analyysin tuloksena tutkittavaksi valitut</w:t>
      </w:r>
      <w:r>
        <w:t xml:space="preserve"> </w:t>
      </w:r>
      <w:r>
        <w:t xml:space="preserve">168 tekstiä jaoteteltiin 13</w:t>
      </w:r>
      <w:r>
        <w:t xml:space="preserve"> </w:t>
      </w:r>
      <w:r>
        <w:t xml:space="preserve">ryhmään. Ryhmien yleisrakenne on kuvattu seuraavassa taulukossa:</w:t>
      </w:r>
    </w:p>
    <w:tbl>
      <w:tblPr>
        <w:tblStyle w:val="TableNormal"/>
        <w:tblW w:type="pct" w:w="4583.333333333333"/>
        <w:tblLook w:firstRow="1"/>
      </w:tblPr>
      <w:tblGrid>
        <w:gridCol w:w="3630"/>
        <w:gridCol w:w="3630"/>
      </w:tblGrid>
      <w:tr>
        <w:trPr>
          <w:cnfStyle w:firstRow="1"/>
        </w:trPr>
        <w:tc>
          <w:tcPr>
            <w:tcBorders>
              <w:bottom w:val="single"/>
            </w:tcBorders>
            <w:vAlign w:val="bottom"/>
          </w:tcPr>
          <w:p>
            <w:pPr>
              <w:pStyle w:val="Compact"/>
              <w:jc w:val="left"/>
            </w:pPr>
            <w:r>
              <w:t xml:space="preserve">Nimi</w:t>
            </w:r>
          </w:p>
        </w:tc>
        <w:tc>
          <w:tcPr>
            <w:tcBorders>
              <w:bottom w:val="single"/>
            </w:tcBorders>
            <w:vAlign w:val="bottom"/>
          </w:tcPr>
          <w:p>
            <w:pPr>
              <w:pStyle w:val="Compact"/>
              <w:jc w:val="left"/>
            </w:pPr>
            <w:r>
              <w:t xml:space="preserve">Kuvaus</w:t>
            </w:r>
          </w:p>
        </w:tc>
      </w:tr>
      <w:tr>
        <w:tc>
          <w:p>
            <w:pPr>
              <w:pStyle w:val="Compact"/>
              <w:jc w:val="left"/>
            </w:pPr>
            <w:r>
              <w:t xml:space="preserve">Linkki</w:t>
            </w:r>
          </w:p>
        </w:tc>
        <w:tc>
          <w:p>
            <w:pPr>
              <w:pStyle w:val="Compact"/>
              <w:jc w:val="left"/>
            </w:pPr>
            <w:r>
              <w:t xml:space="preserve">Indikaattorin merkitys on</w:t>
            </w:r>
            <w:r>
              <w:t xml:space="preserve"> </w:t>
            </w:r>
            <w:r>
              <w:t xml:space="preserve">kiinnittynyt aikasempaan</w:t>
            </w:r>
            <w:r>
              <w:t xml:space="preserve"> </w:t>
            </w:r>
            <w:r>
              <w:t xml:space="preserve">tekstiin (joko edelliseen tai</w:t>
            </w:r>
            <w:r>
              <w:t xml:space="preserve"> </w:t>
            </w:r>
            <w:r>
              <w:t xml:space="preserve">sitä aikaisempaan</w:t>
            </w:r>
            <w:r>
              <w:t xml:space="preserve"> </w:t>
            </w:r>
            <w:r>
              <w:t xml:space="preserve">kappaleeseen)</w:t>
            </w:r>
          </w:p>
        </w:tc>
      </w:tr>
      <w:tr>
        <w:tc>
          <w:p>
            <w:pPr>
              <w:pStyle w:val="Compact"/>
              <w:jc w:val="left"/>
            </w:pPr>
            <w:r>
              <w:t xml:space="preserve">Yliopisto (maggy) tarjosi</w:t>
            </w:r>
          </w:p>
        </w:tc>
        <w:tc>
          <w:p>
            <w:pPr>
              <w:pStyle w:val="Compact"/>
              <w:jc w:val="left"/>
            </w:pPr>
            <w:r>
              <w:t xml:space="preserve">huomio kohdistetaan johonkin</w:t>
            </w:r>
            <w:r>
              <w:t xml:space="preserve"> </w:t>
            </w:r>
            <w:r>
              <w:t xml:space="preserve">ulkoiseen agenttiin</w:t>
            </w:r>
          </w:p>
        </w:tc>
      </w:tr>
      <w:tr>
        <w:tc>
          <w:p>
            <w:pPr>
              <w:pStyle w:val="Compact"/>
              <w:jc w:val="left"/>
            </w:pPr>
            <w:r>
              <w:t xml:space="preserve">Kontrasti</w:t>
            </w:r>
          </w:p>
        </w:tc>
        <w:tc>
          <w:p>
            <w:pPr>
              <w:pStyle w:val="Compact"/>
              <w:jc w:val="left"/>
            </w:pPr>
            <w:r>
              <w:t xml:space="preserve">Minä itse vs. muut tai muiden</w:t>
            </w:r>
            <w:r>
              <w:t xml:space="preserve"> </w:t>
            </w:r>
            <w:r>
              <w:t xml:space="preserve">vastaavat kokemukset</w:t>
            </w:r>
          </w:p>
        </w:tc>
      </w:tr>
      <w:tr>
        <w:tc>
          <w:p>
            <w:pPr>
              <w:pStyle w:val="Compact"/>
              <w:jc w:val="left"/>
            </w:pPr>
            <w:r>
              <w:t xml:space="preserve">Suurin osa opiskelijoista</w:t>
            </w:r>
          </w:p>
        </w:tc>
        <w:tc>
          <w:p>
            <w:pPr>
              <w:pStyle w:val="Compact"/>
              <w:jc w:val="left"/>
            </w:pPr>
            <w:r>
              <w:t xml:space="preserve">Kuvataan sitä, miten yleensä</w:t>
            </w:r>
            <w:r>
              <w:t xml:space="preserve"> </w:t>
            </w:r>
            <w:r>
              <w:t xml:space="preserve">tehdään X tai suurin osa tekee</w:t>
            </w:r>
            <w:r>
              <w:t xml:space="preserve"> </w:t>
            </w:r>
            <w:r>
              <w:t xml:space="preserve">X</w:t>
            </w:r>
          </w:p>
        </w:tc>
      </w:tr>
      <w:tr>
        <w:tc>
          <w:p>
            <w:pPr>
              <w:pStyle w:val="Compact"/>
              <w:jc w:val="left"/>
            </w:pPr>
            <w:r>
              <w:t xml:space="preserve">Selkeät yksittäiseen</w:t>
            </w:r>
            <w:r>
              <w:t xml:space="preserve"> </w:t>
            </w:r>
            <w:r>
              <w:t xml:space="preserve">tapahtumaan keskittyvät</w:t>
            </w:r>
            <w:r>
              <w:t xml:space="preserve"> </w:t>
            </w:r>
            <w:r>
              <w:t xml:space="preserve">narratiivit</w:t>
            </w:r>
          </w:p>
        </w:tc>
        <w:tc>
          <w:p>
            <w:pPr>
              <w:pStyle w:val="Compact"/>
              <w:jc w:val="left"/>
            </w:pPr>
            <w:r>
              <w:t xml:space="preserve">Johdatellaan aiheeseen</w:t>
            </w:r>
            <w:r>
              <w:t xml:space="preserve"> </w:t>
            </w:r>
            <w:r>
              <w:t xml:space="preserve">kertomalla jokin konkreettinen</w:t>
            </w:r>
            <w:r>
              <w:t xml:space="preserve"> </w:t>
            </w:r>
            <w:r>
              <w:t xml:space="preserve">tapahtuma tai episodi</w:t>
            </w:r>
          </w:p>
        </w:tc>
      </w:tr>
      <w:tr>
        <w:tc>
          <w:p>
            <w:pPr>
              <w:pStyle w:val="Compact"/>
              <w:jc w:val="left"/>
            </w:pPr>
            <w:r>
              <w:t xml:space="preserve">oma kokemus</w:t>
            </w:r>
          </w:p>
        </w:tc>
        <w:tc>
          <w:p>
            <w:pPr>
              <w:pStyle w:val="Compact"/>
              <w:jc w:val="left"/>
            </w:pPr>
            <w:r>
              <w:t xml:space="preserve">Jakaa lukijalle maailmantietoa</w:t>
            </w:r>
            <w:r>
              <w:t xml:space="preserve"> </w:t>
            </w:r>
            <w:r>
              <w:t xml:space="preserve">käsiteltävästä asiasta</w:t>
            </w:r>
            <w:r>
              <w:t xml:space="preserve"> </w:t>
            </w:r>
            <w:r>
              <w:t xml:space="preserve">kirjoittajan omana</w:t>
            </w:r>
            <w:r>
              <w:t xml:space="preserve"> </w:t>
            </w:r>
            <w:r>
              <w:t xml:space="preserve">näkemyksenä.</w:t>
            </w:r>
          </w:p>
        </w:tc>
      </w:tr>
      <w:tr>
        <w:tc>
          <w:p>
            <w:pPr>
              <w:pStyle w:val="Compact"/>
              <w:jc w:val="left"/>
            </w:pPr>
            <w:r>
              <w:t xml:space="preserve">yleistys</w:t>
            </w:r>
          </w:p>
        </w:tc>
        <w:tc>
          <w:p>
            <w:pPr>
              <w:pStyle w:val="Compact"/>
              <w:jc w:val="left"/>
            </w:pPr>
            <w:r>
              <w:t xml:space="preserve">Jakaa lukijalle maailmantietoa</w:t>
            </w:r>
            <w:r>
              <w:t xml:space="preserve"> </w:t>
            </w:r>
            <w:r>
              <w:t xml:space="preserve">käsiteltävästä asiasta.</w:t>
            </w:r>
          </w:p>
        </w:tc>
      </w:tr>
      <w:tr>
        <w:tc>
          <w:p>
            <w:pPr>
              <w:pStyle w:val="Compact"/>
              <w:jc w:val="left"/>
            </w:pPr>
            <w:r>
              <w:t xml:space="preserve">asuin paikassa x</w:t>
            </w:r>
          </w:p>
        </w:tc>
        <w:tc>
          <w:p>
            <w:pPr>
              <w:pStyle w:val="Compact"/>
              <w:jc w:val="left"/>
            </w:pPr>
            <w:r>
              <w:t xml:space="preserve">topiikki indikoidaan</w:t>
            </w:r>
            <w:r>
              <w:t xml:space="preserve"> </w:t>
            </w:r>
            <w:r>
              <w:t xml:space="preserve">predikaatilla</w:t>
            </w:r>
          </w:p>
        </w:tc>
      </w:tr>
      <w:tr>
        <w:tc>
          <w:p>
            <w:pPr>
              <w:pStyle w:val="Compact"/>
              <w:jc w:val="left"/>
            </w:pPr>
            <w:r>
              <w:t xml:space="preserve">Ennakoivat</w:t>
            </w:r>
          </w:p>
        </w:tc>
        <w:tc>
          <w:p>
            <w:pPr>
              <w:pStyle w:val="Compact"/>
              <w:jc w:val="left"/>
            </w:pPr>
            <w:r>
              <w:t xml:space="preserve">Ennakoidaan käsiteltävää</w:t>
            </w:r>
            <w:r>
              <w:t xml:space="preserve"> </w:t>
            </w:r>
            <w:r>
              <w:t xml:space="preserve">asiaa, usein käytetään</w:t>
            </w:r>
            <w:r>
              <w:t xml:space="preserve"> </w:t>
            </w:r>
            <w:r>
              <w:t xml:space="preserve">pluskvamperfektiä.</w:t>
            </w:r>
          </w:p>
        </w:tc>
      </w:tr>
      <w:tr>
        <w:tc>
          <w:p>
            <w:pPr>
              <w:pStyle w:val="Compact"/>
              <w:jc w:val="left"/>
            </w:pPr>
            <w:r>
              <w:t xml:space="preserve">ennakoivien ja predikoivien</w:t>
            </w:r>
            <w:r>
              <w:t xml:space="preserve"> </w:t>
            </w:r>
            <w:r>
              <w:t xml:space="preserve">välimaasto</w:t>
            </w:r>
          </w:p>
        </w:tc>
        <w:tc>
          <w:p>
            <w:pPr>
              <w:pStyle w:val="Compact"/>
              <w:jc w:val="left"/>
            </w:pPr>
            <w:r>
              <w:t xml:space="preserve">Ovat sekoitus ennakoivaa ja</w:t>
            </w:r>
            <w:r>
              <w:t xml:space="preserve"> </w:t>
            </w:r>
            <w:r>
              <w:t xml:space="preserve">predikoivaa ryhmää</w:t>
            </w:r>
          </w:p>
        </w:tc>
      </w:tr>
      <w:tr>
        <w:tc>
          <w:p>
            <w:pPr>
              <w:pStyle w:val="Compact"/>
              <w:jc w:val="left"/>
            </w:pPr>
            <w:r>
              <w:t xml:space="preserve">Listamaiset</w:t>
            </w:r>
          </w:p>
        </w:tc>
        <w:tc>
          <w:p>
            <w:pPr>
              <w:pStyle w:val="Compact"/>
              <w:jc w:val="left"/>
            </w:pPr>
            <w:r>
              <w:t xml:space="preserve">Asiaa käsitellään</w:t>
            </w:r>
            <w:r>
              <w:t xml:space="preserve"> </w:t>
            </w:r>
            <w:r>
              <w:t xml:space="preserve">sekventiaalisesti, ikään kuin</w:t>
            </w:r>
            <w:r>
              <w:t xml:space="preserve"> </w:t>
            </w:r>
            <w:r>
              <w:t xml:space="preserve">yhtenä monesta listan osasta.</w:t>
            </w:r>
          </w:p>
        </w:tc>
      </w:tr>
      <w:tr>
        <w:tc>
          <w:p>
            <w:pPr>
              <w:pStyle w:val="Compact"/>
              <w:jc w:val="left"/>
            </w:pPr>
            <w:r>
              <w:t xml:space="preserve">asunnon ja asumisen staattinen</w:t>
            </w:r>
            <w:r>
              <w:t xml:space="preserve"> </w:t>
            </w:r>
            <w:r>
              <w:t xml:space="preserve">kuvailu</w:t>
            </w:r>
          </w:p>
        </w:tc>
        <w:tc>
          <w:p>
            <w:pPr>
              <w:pStyle w:val="Compact"/>
              <w:jc w:val="left"/>
            </w:pPr>
            <w:r>
              <w:t xml:space="preserve">Kuvaavat staattisesti</w:t>
            </w:r>
            <w:r>
              <w:t xml:space="preserve"> </w:t>
            </w:r>
            <w:r>
              <w:t xml:space="preserve">käsiteltävää aihetta, jotain</w:t>
            </w:r>
            <w:r>
              <w:t xml:space="preserve"> </w:t>
            </w:r>
            <w:r>
              <w:t xml:space="preserve">sen ominaisuutta / sijaintia</w:t>
            </w:r>
            <w:r>
              <w:t xml:space="preserve"> </w:t>
            </w:r>
            <w:r>
              <w:t xml:space="preserve">yms.</w:t>
            </w:r>
          </w:p>
        </w:tc>
      </w:tr>
      <w:tr>
        <w:tc>
          <w:p>
            <w:pPr>
              <w:pStyle w:val="Compact"/>
              <w:jc w:val="left"/>
            </w:pPr>
            <w:r>
              <w:t xml:space="preserve">pari sanaa asumisesta</w:t>
            </w:r>
          </w:p>
        </w:tc>
        <w:tc>
          <w:p>
            <w:pPr>
              <w:pStyle w:val="Compact"/>
              <w:jc w:val="left"/>
            </w:pPr>
            <w:r>
              <w:t xml:space="preserve">Jollain kielellisellä</w:t>
            </w:r>
            <w:r>
              <w:t xml:space="preserve"> </w:t>
            </w:r>
            <w:r>
              <w:t xml:space="preserve">kliseellä johdatetaan, että</w:t>
            </w:r>
            <w:r>
              <w:t xml:space="preserve"> </w:t>
            </w:r>
            <w:r>
              <w:t xml:space="preserve">tulee uusi aihe</w:t>
            </w:r>
          </w:p>
        </w:tc>
      </w:tr>
    </w:tbl>
    <w:p>
      <w:pPr>
        <w:pStyle w:val="BodyText"/>
      </w:pPr>
      <w:r>
        <w:t xml:space="preserve">Taulukko 1: Laadullisen analyysin tuloksena saadut ryhmät</w:t>
      </w:r>
    </w:p>
    <w:p>
      <w:pPr>
        <w:pStyle w:val="Heading1"/>
      </w:pPr>
      <w:bookmarkStart w:id="27" w:name="zoomaus"/>
      <w:bookmarkEnd w:id="27"/>
      <w:r>
        <w:t xml:space="preserve">Zoomaus</w:t>
      </w:r>
    </w:p>
    <w:p>
      <w:pPr>
        <w:pStyle w:val="FirstParagraph"/>
      </w:pPr>
      <w:r>
        <w:t xml:space="preserve">Tämän analyysin tarkoituksena oli ottaa muutama tyypillinen eri asteisesti listamainen tapaus ja sen jälkeen asettaa se rinnakkain samaa ilmiötä toteuttavien muunlaisten ratkaisutapojen kanssa. Tässä on nyt kuitenkin yleistä tekstien rakenteen hahmottelua, ehkei mahdu/haluta lopulliseen, mutta ajatusten järjestelemiseksi ainakin tässä vaiheessa.</w:t>
      </w:r>
    </w:p>
    <w:p>
      <w:pPr>
        <w:pStyle w:val="Compact"/>
        <w:numPr>
          <w:numId w:val="1003"/>
          <w:ilvl w:val="0"/>
        </w:numPr>
      </w:pPr>
      <w:r>
        <w:t xml:space="preserve">tapaus: puhdas listatyyppinen (id732)</w:t>
      </w:r>
    </w:p>
    <w:p>
      <w:pPr>
        <w:pStyle w:val="FirstParagraph"/>
      </w:pPr>
      <w:r>
        <w:t xml:space="preserve">Ennen tätä kappaletta kirjoittaja on käsitellyt valmistelujaan kotoa käsin, sitten kielikurssia melko seikkaperäisesti, vaihto-opiskelijoille järjestettyä vapaa-ajan ohjelmaa ja lopuksi vielä reflektoi omaa osaamistaan valitsemallaan kielikurssilla. Näiden alatopiikkien (?) jälkeen kirjoittaja alkaa uuden tekstikappaleen seuraavasti:</w:t>
      </w:r>
    </w:p>
    <w:p>
      <w:pPr>
        <w:pStyle w:val="BodyText"/>
      </w:pPr>
      <w:r>
        <w:t xml:space="preserve">Esimerkki x.x</w:t>
      </w:r>
    </w:p>
    <w:p>
      <w:pPr>
        <w:pStyle w:val="BodyText"/>
      </w:pPr>
      <w:r>
        <w:t xml:space="preserve">Asuntoni sain vuokrattua Apartiksen (paikallinen TOAS) kautta. Vaihtareille on varattu kaksi erillistä taloa, toinen (Beauregard) sijaitsee aivan kaupungin keskustassa juna-aseman ja yliopiston päärakennuksen vieressä ja toinen (Bellevue) puolestaan noin 20 minuutin kävelymatkan päässä keskustasta. Asuntohakemus toimitettiin myös kaikkien muiden hakemuspapereiden yhteydessä eli hakuprosessi oli siis senkin osalta tehty todella helpoksi. –</w:t>
      </w:r>
    </w:p>
    <w:p>
      <w:pPr>
        <w:pStyle w:val="BodyText"/>
      </w:pPr>
      <w:r>
        <w:t xml:space="preserve">Shoren (2008, 42) sanoin tätä tapausta voisi kuvailla niin, että tekstin teemankulun hahmottaminen perustuu tietoihin, jotka</w:t>
      </w:r>
      <w:r>
        <w:t xml:space="preserve"> </w:t>
      </w:r>
      <w:r>
        <w:t xml:space="preserve">“</w:t>
      </w:r>
      <w:r>
        <w:t xml:space="preserve">eivät ole tekstissä ilmipantuja vaan lähinnä kielenulkoista tietoa (viite). Teema on siis tekstin etenemisen kannalta (enemmäin tai vähemmän uusi): se ei perustu selkeisiin merkityssuhteisiin vaan kehyksiin, skeemoihin. yms. pääteltävä teema siis.</w:t>
      </w:r>
      <w:r>
        <w:t xml:space="preserve">”</w:t>
      </w:r>
      <w:r>
        <w:t xml:space="preserve"> </w:t>
      </w:r>
      <w:r>
        <w:t xml:space="preserve">Tällä kirjoittajalla tuntuu olevan sama strategia koko ajan, koska jatkaa topiikeilla</w:t>
      </w:r>
      <w:r>
        <w:t xml:space="preserve"> </w:t>
      </w:r>
      <w:r>
        <w:t xml:space="preserve">‘</w:t>
      </w:r>
      <w:r>
        <w:t xml:space="preserve">vaihtarit</w:t>
      </w:r>
      <w:r>
        <w:t xml:space="preserve">’</w:t>
      </w:r>
      <w:r>
        <w:t xml:space="preserve"> </w:t>
      </w:r>
      <w:r>
        <w:t xml:space="preserve">ja</w:t>
      </w:r>
      <w:r>
        <w:t xml:space="preserve"> </w:t>
      </w:r>
      <w:r>
        <w:t xml:space="preserve">‘</w:t>
      </w:r>
      <w:r>
        <w:t xml:space="preserve">asuntohakemus</w:t>
      </w:r>
      <w:r>
        <w:t xml:space="preserve">’</w:t>
      </w:r>
      <w:r>
        <w:t xml:space="preserve">. Lukijan kannalta tekstin koherennssi perustuu siis siihen, että opiskelijavaihdon kehys on lähtökohtaisesti tuttu tai lukija on lukenut joko raportin ohjeistuksen tai tutustunut muihin samalla alustalla julkaistuihin teksteihin.</w:t>
      </w:r>
    </w:p>
    <w:p>
      <w:pPr>
        <w:pStyle w:val="BodyText"/>
      </w:pPr>
      <w:r>
        <w:t xml:space="preserve">Tekstin kokonaisrakenne tällä, kuten usealla muullakin aineiston kirjoittajalla, on Vuorijärven termiä käyttäen topiikkipohjainen. Raportissa käsitellään sisältö topiikki kerrallaan, eivätkä nämä sekvenssit ole hierarkkisessa suhteessa keskenään. (ks. myös Komppa). JA TULISIKO TÄHÄN LINKKI YLEISKUVAN TULOKSIIN, ELI ETTÄ USEIN LAUSEENALKUINEN OBJEKTI ON SE SYNTAKTINEN RAKENNE, JOTA HYÖDYNNETÄÄN?</w:t>
      </w:r>
    </w:p>
    <w:p>
      <w:pPr>
        <w:pStyle w:val="BodyText"/>
      </w:pPr>
      <w:r>
        <w:t xml:space="preserve">Jos tekisimme näin, niin sitten tästä voisi jatkua suoraan jonkinlainen kuvio ja esimerkit, millaisia muita funktioita samalla rakenteella tehtään. (Tämä olisi ehkä jopa mielekäs kohta sille.)</w:t>
      </w:r>
    </w:p>
    <w:p>
      <w:pPr>
        <w:pStyle w:val="BodyText"/>
      </w:pPr>
      <w:r>
        <w:t xml:space="preserve">Hiearkkisen rakenteen sijaan aineistosta löytyy kuitenkin kirjoittajia, jotka rakentavat tekstinsä temporaalisten sekvenssien avulla. Tämän strategian käyttö luo raportiin narratiivin.</w:t>
      </w:r>
    </w:p>
    <w:p>
      <w:pPr>
        <w:pStyle w:val="BodyText"/>
      </w:pPr>
      <w:r>
        <w:t xml:space="preserve">Esimerkki x.x. (id 399, linkitetty &amp; narratiivinen)</w:t>
      </w:r>
    </w:p>
    <w:p>
      <w:pPr>
        <w:pStyle w:val="BodyText"/>
      </w:pPr>
      <w:r>
        <w:t xml:space="preserve">“</w:t>
      </w:r>
      <w:r>
        <w:t xml:space="preserve">Hong Kongiin saavuttuani kaikki sujui täysin mutkattomasti ja haluan antaa CUHK:lle täyden kympin vaihtaritoiminnan hyvästä hoitamisesta. Saapuessani yliopistolle kaikki vaihtarit majoitettiin ensimmäisen viikon ajaksi samaan collegeen, jotta meidän olisi mahdollisimman helppo tutustua toisiimme ja jotta vaihtarien tapahtumien koordinointi olisi mahdollisimman helppoa. Ensimmäinen viikko oli niin kutsuttu Orientation week, joka oli täynnä kevyitä luentoja koskien mm. yliopiston tai asuntolan</w:t>
      </w:r>
      <w:r>
        <w:t xml:space="preserve">”</w:t>
      </w:r>
      <w:r>
        <w:t xml:space="preserve">pelisääntöjä” tai kuinka selvitä hengissä Hong Kongissa. Lisäksi kv-toimisto oli järjestänyt meille joinain iltoina ohjelmaa, kuten esimerkiksi Tervetuliaisillallisen. Ensimmäinen viikko on siis täydellinen tilaisuus tutustua uusiin vaihtareihin ja päästä nauttimaan vaihtokokemuksesta jo heti ensimmäisestä päivästä lähtien.</w:t>
      </w:r>
    </w:p>
    <w:p>
      <w:pPr>
        <w:pStyle w:val="BodyText"/>
      </w:pPr>
      <w:r>
        <w:t xml:space="preserve">Orientation weekin lopussa muutettiin lopulliseen asuntolaan. Minä päädyin ennalta tekemieni valintojen pohjalta (no mandatory meal etc.) Shaw Collegen I-house 2:seen, johon liittyy paljon hyviä ja huonoja puolia. Ensinäkin yliopistolla asuminen on ylivoimaisen käytännöllistä ja halpaa yksityisen asunnon vuokraamiseen verrattuna. – "</w:t>
      </w:r>
    </w:p>
    <w:p>
      <w:pPr>
        <w:pStyle w:val="BodyText"/>
      </w:pPr>
      <w:r>
        <w:t xml:space="preserve">Tässä topiikkia indikoi</w:t>
      </w:r>
      <w:r>
        <w:t xml:space="preserve"> </w:t>
      </w:r>
      <w:r>
        <w:t xml:space="preserve">‘</w:t>
      </w:r>
      <w:r>
        <w:t xml:space="preserve">asuntola</w:t>
      </w:r>
      <w:r>
        <w:t xml:space="preserve">’</w:t>
      </w:r>
      <w:r>
        <w:t xml:space="preserve">, joka on lauseessa täydennyksenä toimiva paikan adverbiaali. Lause linkittyy edelliseen kappaleeseen (Shoren sanoin, mutta meille Dikin käsittein, kun teoriaosa on kirjoitettu) orientoivana sivuteemana toimivan ajan adverbiaalin avulla. Edellisessä kappaleessa on kuitenkin puhuttu orientaatioviikosta ja majoittamisestakin, eli tämä kirjoittaja ei ensimmäisen esimerkin tavoin nojaa tekstin ulkopuoliseen tietoon, vaan itse kirjoittamaansa edeltävään tekstijaksoon.</w:t>
      </w:r>
    </w:p>
    <w:p>
      <w:pPr>
        <w:pStyle w:val="BodyText"/>
      </w:pPr>
      <w:r>
        <w:t xml:space="preserve">Ja vielä kolmas esimerkki, joka asettuisi tulkintani mukaan jollakin jatkumolla näiden kahden välimaastoon.</w:t>
      </w:r>
    </w:p>
    <w:p>
      <w:pPr>
        <w:pStyle w:val="BodyText"/>
      </w:pPr>
      <w:r>
        <w:t xml:space="preserve">Esimerkki x.x tekstin id 618</w:t>
      </w:r>
    </w:p>
    <w:p>
      <w:pPr>
        <w:pStyle w:val="BodyText"/>
      </w:pPr>
      <w:r>
        <w:t xml:space="preserve">Kirjoittaja on edellisessä kappaleessa kuvannut saapumistaan kohdemaahan ja järjestelyjä siihen liittyen. Kappaleessa on yksi maininta asumisjärjestelyistä, mutta se tulee esille yleisen aikatauluttamisen yhteydessä, joten se ei sinänsä orientoi millään tavalla seuraavan kappaleen topiikkia.</w:t>
      </w:r>
    </w:p>
    <w:p>
      <w:pPr>
        <w:pStyle w:val="BodyText"/>
      </w:pPr>
      <w:r>
        <w:t xml:space="preserve">“</w:t>
      </w:r>
      <w:r>
        <w:t xml:space="preserve">Soluasunnon itselleni hain Saksasta wg-gesuchtin nettisivujen kautta. Saksalaisen perheen vuokraamassa solussa asui lisäkseni kolme muuta. Vaikkei kämppiksien kanssa yhteiselo aina ilman ongelmia onnistunutkaan, suosittelen ehdottomasti ainakin harkitsemaan opiskelija-asuntolan sijaan soluasunnossa asumista.–</w:t>
      </w:r>
      <w:r>
        <w:t xml:space="preserve">”</w:t>
      </w:r>
    </w:p>
    <w:p>
      <w:pPr>
        <w:pStyle w:val="Heading1"/>
      </w:pPr>
      <w:bookmarkStart w:id="28" w:name="paatelmia"/>
      <w:bookmarkEnd w:id="28"/>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4"/>
          <w:ilvl w:val="0"/>
        </w:numPr>
      </w:pPr>
      <w:r>
        <w:t xml:space="preserve">Kuinka monta eri tapaa oikeasti löydettiin?</w:t>
      </w:r>
    </w:p>
    <w:p>
      <w:pPr>
        <w:pStyle w:val="Compact"/>
        <w:numPr>
          <w:numId w:val="1004"/>
          <w:ilvl w:val="0"/>
        </w:numPr>
      </w:pPr>
      <w:r>
        <w:t xml:space="preserve">mihin tällaista voisi soveltaa?</w:t>
      </w:r>
    </w:p>
    <w:p>
      <w:pPr>
        <w:numPr>
          <w:numId w:val="1004"/>
          <w:ilvl w:val="0"/>
        </w:numPr>
      </w:pPr>
      <w:r>
        <w:t xml:space="preserve">mitä voidaan sanoa tekstilajista / kirjoittajista / yms.?</w:t>
      </w:r>
    </w:p>
    <w:p>
      <w:pPr>
        <w:pStyle w:val="Compact"/>
        <w:numPr>
          <w:numId w:val="1004"/>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5"/>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29" w:name="lahteet"/>
      <w:bookmarkEnd w:id="29"/>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d3c0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dddb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a91a8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2018-01-15T07:06:47Z</dcterms:created>
  <dcterms:modified xsi:type="dcterms:W3CDTF">2018-01-15T07:06:47Z</dcterms:modified>
</cp:coreProperties>
</file>