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 [tähän vielä Suvin määritelmä mukaan].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2010-lukua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(Juvonen 2014a)</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(Juvonen 2014a)</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Suomeksi tämä kääntyy nykyisellään ydinvirkkeeksi, joka yhdessä tukivirkkeiden kanssa muodostaa kappaleen. Ydinvirkkeiden todellisesta yleisyydestä ollaan tutkijoiden keskuudessa kuitenkin montaa mieltä (ks. Smith 2008). TÄHÄN EHKÄ PITÄISI POIMIA JOKU PERUSTELU EDELLISELLE.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2014b)</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(Vuorijärvi 2013)</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w:t>
      </w:r>
    </w:p>
    <w:p>
      <w:pPr>
        <w:pStyle w:val="Heading2"/>
      </w:pPr>
      <w:bookmarkStart w:id="28" w:name="laadullinen-analyysi"/>
      <w:bookmarkEnd w:id="28"/>
      <w:r>
        <w:t xml:space="preserve">Laadullinen analyysi</w:t>
      </w:r>
    </w:p>
    <w:p>
      <w:pPr>
        <w:pStyle w:val="FirstParagraph"/>
      </w:pPr>
      <w:r>
        <w:t xml:space="preserve">Taulukkoon 2 olemme koonneet edustavat esimerkit kustakin alaryhmästä. Niiden rinnalla on hyvin tiivis kuvaus topiikin asettamisen tavoista ja lisäksi muutama sana juuri kyseisen esimerkkivirkkeen kontekstista. Rajallisesta sivumäärästä johtuen syvennymme seuraavassa tarkemmin vain ryhmiin x, x, x, jotka osoittautuivat kirjoittamisen näkökulmasta erityisen kiinnostaviksi. Tarkemman käsittelyn tässä saavat esimerkit on taulukossa merkitty bbbb-merkillä.</w:t>
      </w:r>
    </w:p>
    <w:tbl>
      <w:tblPr>
        <w:tblStyle w:val="TableNormal"/>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Topiikkia asettava virke</w:t>
            </w:r>
          </w:p>
        </w:tc>
        <w:tc>
          <w:tcPr>
            <w:tcBorders>
              <w:bottom w:val="single"/>
            </w:tcBorders>
            <w:vAlign w:val="bottom"/>
          </w:tcPr>
          <w:p>
            <w:pPr>
              <w:pStyle w:val="Compact"/>
              <w:jc w:val="left"/>
            </w:pPr>
            <w:r>
              <w:t xml:space="preserve">Konteksti</w:t>
            </w:r>
          </w:p>
        </w:tc>
        <w:tc>
          <w:tcPr>
            <w:tcBorders>
              <w:bottom w:val="single"/>
            </w:tcBorders>
            <w:vAlign w:val="bottom"/>
          </w:tcPr>
          <w:p>
            <w:pPr>
              <w:pStyle w:val="Compact"/>
              <w:jc w:val="left"/>
            </w:pPr>
            <w:r>
              <w:t xml:space="preserve">Siirtymän toteutus</w:t>
            </w:r>
          </w:p>
        </w:tc>
      </w:tr>
      <w:tr>
        <w:tc>
          <w:p>
            <w:pPr>
              <w:pStyle w:val="Compact"/>
              <w:jc w:val="left"/>
            </w:pPr>
            <w:r>
              <w:rPr>
                <w:i/>
              </w:rPr>
              <w:t xml:space="preserve">Asuntoni sain vuokrattua</w:t>
            </w:r>
            <w:r>
              <w:rPr>
                <w:i/>
              </w:rPr>
              <w:t xml:space="preserve"> </w:t>
            </w:r>
            <w:r>
              <w:rPr>
                <w:i/>
              </w:rPr>
              <w:t xml:space="preserve">Apartiksen( paikallinen TOAS)</w:t>
            </w:r>
            <w:r>
              <w:rPr>
                <w:i/>
              </w:rPr>
              <w:t xml:space="preserve"> </w:t>
            </w:r>
            <w:r>
              <w:rPr>
                <w:i/>
              </w:rPr>
              <w:t xml:space="preserve">kautta.</w:t>
            </w:r>
          </w:p>
        </w:tc>
        <w:tc>
          <w:p>
            <w:pPr>
              <w:pStyle w:val="Compact"/>
              <w:jc w:val="left"/>
            </w:pPr>
            <w:r>
              <w:t xml:space="preserve">Käsittelee ennakkovalmisteluja</w:t>
            </w:r>
            <w:r>
              <w:t xml:space="preserve"> </w:t>
            </w:r>
            <w:r>
              <w:t xml:space="preserve">yms. Lopuksi reflektoi</w:t>
            </w:r>
            <w:r>
              <w:t xml:space="preserve"> </w:t>
            </w:r>
            <w:r>
              <w:t xml:space="preserve">osaamistaan kielikurssilla.</w:t>
            </w:r>
          </w:p>
        </w:tc>
        <w:tc>
          <w:p>
            <w:pPr>
              <w:pStyle w:val="Compact"/>
              <w:jc w:val="left"/>
            </w:pPr>
            <w:r>
              <w:t xml:space="preserve">Alatopiikilla, vaikka</w:t>
            </w:r>
            <w:r>
              <w:t xml:space="preserve"> </w:t>
            </w:r>
            <w:r>
              <w:t xml:space="preserve">ylätopiikkia ei ilmipantu.</w:t>
            </w:r>
          </w:p>
        </w:tc>
      </w:tr>
      <w:tr>
        <w:tc>
          <w:p>
            <w:pPr>
              <w:pStyle w:val="Compact"/>
              <w:jc w:val="left"/>
            </w:pPr>
            <w:r>
              <w:rPr>
                <w:i/>
              </w:rPr>
              <w:t xml:space="preserve">Vaihtoni aikana asuin</w:t>
            </w:r>
            <w:r>
              <w:rPr>
                <w:i/>
              </w:rPr>
              <w:t xml:space="preserve"> </w:t>
            </w:r>
            <w:r>
              <w:rPr>
                <w:i/>
              </w:rPr>
              <w:t xml:space="preserve">Grandmontin asuntolassa.</w:t>
            </w:r>
          </w:p>
        </w:tc>
        <w:tc>
          <w:p>
            <w:pPr>
              <w:pStyle w:val="Compact"/>
              <w:jc w:val="left"/>
            </w:pPr>
            <w:r>
              <w:t xml:space="preserve">Kertoo, missä asui vaihtonsa</w:t>
            </w:r>
            <w:r>
              <w:t xml:space="preserve"> </w:t>
            </w:r>
            <w:r>
              <w:t xml:space="preserve">aikana; kuvailee sisustuksen,</w:t>
            </w:r>
            <w:r>
              <w:t xml:space="preserve"> </w:t>
            </w:r>
            <w:r>
              <w:t xml:space="preserve">kämppäkaverit ja vuokran.</w:t>
            </w:r>
          </w:p>
        </w:tc>
        <w:tc>
          <w:p>
            <w:pPr>
              <w:pStyle w:val="Compact"/>
              <w:jc w:val="left"/>
            </w:pPr>
            <w:r>
              <w:t xml:space="preserve">Esittelytopiikilla.</w:t>
            </w:r>
            <w:r>
              <w:t xml:space="preserve"> </w:t>
            </w:r>
            <w:r>
              <w:t xml:space="preserve">Predikaattina on asua-verbi.</w:t>
            </w:r>
            <w:r>
              <w:t xml:space="preserve"> </w:t>
            </w:r>
            <w:r>
              <w:t xml:space="preserve">Kertoo, missä kirjoittaja on</w:t>
            </w:r>
            <w:r>
              <w:t xml:space="preserve"> </w:t>
            </w:r>
            <w:r>
              <w:t xml:space="preserve">asunut.</w:t>
            </w:r>
          </w:p>
        </w:tc>
      </w:tr>
      <w:tr>
        <w:tc>
          <w:p>
            <w:pPr>
              <w:pStyle w:val="Compact"/>
              <w:jc w:val="left"/>
            </w:pPr>
            <w:r>
              <w:rPr>
                <w:i/>
              </w:rPr>
              <w:t xml:space="preserve">Olin löytänyt asunnon</w:t>
            </w:r>
            <w:r>
              <w:rPr>
                <w:i/>
              </w:rPr>
              <w:t xml:space="preserve"> </w:t>
            </w:r>
            <w:r>
              <w:rPr>
                <w:i/>
              </w:rPr>
              <w:t xml:space="preserve">ensimmäiseksi kuukaudeksi</w:t>
            </w:r>
            <w:r>
              <w:rPr>
                <w:i/>
              </w:rPr>
              <w:t xml:space="preserve"> </w:t>
            </w:r>
            <w:r>
              <w:rPr>
                <w:i/>
              </w:rPr>
              <w:t xml:space="preserve">Airbnb:n kautta ennen Italiaan</w:t>
            </w:r>
            <w:r>
              <w:rPr>
                <w:i/>
              </w:rPr>
              <w:t xml:space="preserve"> </w:t>
            </w:r>
            <w:r>
              <w:rPr>
                <w:i/>
              </w:rPr>
              <w:t xml:space="preserve">saapumista.</w:t>
            </w:r>
          </w:p>
        </w:tc>
        <w:tc>
          <w:p>
            <w:pPr>
              <w:pStyle w:val="Compact"/>
              <w:jc w:val="left"/>
            </w:pPr>
            <w:r>
              <w:t xml:space="preserve">Kertoo, mitä tapahtunut ennen</w:t>
            </w:r>
            <w:r>
              <w:t xml:space="preserve"> </w:t>
            </w:r>
            <w:r>
              <w:t xml:space="preserve">kuvattavaa jaksoa. Kuvailee</w:t>
            </w:r>
            <w:r>
              <w:t xml:space="preserve"> </w:t>
            </w:r>
            <w:r>
              <w:t xml:space="preserve">tarkemmin sijaintia,</w:t>
            </w:r>
            <w:r>
              <w:t xml:space="preserve"> </w:t>
            </w:r>
            <w:r>
              <w:t xml:space="preserve">kulkuyhteyksiä yms.</w:t>
            </w:r>
          </w:p>
        </w:tc>
        <w:tc>
          <w:p>
            <w:pPr>
              <w:pStyle w:val="Compact"/>
              <w:jc w:val="left"/>
            </w:pPr>
            <w:r>
              <w:t xml:space="preserve">Esittelytopiikilla, mutta</w:t>
            </w:r>
            <w:r>
              <w:t xml:space="preserve"> </w:t>
            </w:r>
            <w:r>
              <w:t xml:space="preserve">aikarakenteltaan</w:t>
            </w:r>
            <w:r>
              <w:t xml:space="preserve"> </w:t>
            </w:r>
            <w:r>
              <w:t xml:space="preserve">monitasoisempi kuin ryhmä 3.</w:t>
            </w:r>
          </w:p>
        </w:tc>
      </w:tr>
      <w:tr>
        <w:tc>
          <w:p>
            <w:pPr>
              <w:pStyle w:val="Compact"/>
              <w:jc w:val="left"/>
            </w:pPr>
            <w:r>
              <w:rPr>
                <w:i/>
              </w:rPr>
              <w:t xml:space="preserve">Asuminen, tai siis lähinnä</w:t>
            </w:r>
            <w:r>
              <w:rPr>
                <w:i/>
              </w:rPr>
              <w:t xml:space="preserve"> </w:t>
            </w:r>
            <w:r>
              <w:rPr>
                <w:i/>
              </w:rPr>
              <w:t xml:space="preserve">asunnon hankkiminen, oli</w:t>
            </w:r>
            <w:r>
              <w:rPr>
                <w:i/>
              </w:rPr>
              <w:t xml:space="preserve"> </w:t>
            </w:r>
            <w:r>
              <w:rPr>
                <w:i/>
              </w:rPr>
              <w:t xml:space="preserve">varmaankin vaihdon hankalin</w:t>
            </w:r>
            <w:r>
              <w:rPr>
                <w:i/>
              </w:rPr>
              <w:t xml:space="preserve"> </w:t>
            </w:r>
            <w:r>
              <w:rPr>
                <w:i/>
              </w:rPr>
              <w:t xml:space="preserve">juttu.</w:t>
            </w:r>
          </w:p>
        </w:tc>
        <w:tc>
          <w:p>
            <w:pPr>
              <w:pStyle w:val="Compact"/>
              <w:jc w:val="left"/>
            </w:pPr>
            <w:r>
              <w:t xml:space="preserve">Arvioi edeltävässä</w:t>
            </w:r>
            <w:r>
              <w:t xml:space="preserve"> </w:t>
            </w:r>
            <w:r>
              <w:t xml:space="preserve">kurssitarjonnan tasoa,</w:t>
            </w:r>
            <w:r>
              <w:t xml:space="preserve"> </w:t>
            </w:r>
            <w:r>
              <w:t xml:space="preserve">paperiasioiden hoitumista yms.</w:t>
            </w:r>
          </w:p>
        </w:tc>
        <w:tc>
          <w:p>
            <w:pPr>
              <w:pStyle w:val="Compact"/>
              <w:jc w:val="left"/>
            </w:pPr>
            <w:r>
              <w:t xml:space="preserve">Diskurssista johdetulla</w:t>
            </w:r>
            <w:r>
              <w:t xml:space="preserve"> </w:t>
            </w:r>
            <w:r>
              <w:t xml:space="preserve">alatopiikilla, jota indikoi</w:t>
            </w:r>
            <w:r>
              <w:t xml:space="preserve"> </w:t>
            </w:r>
            <w:r>
              <w:t xml:space="preserve">usein deverbaalisubstantiivi.</w:t>
            </w:r>
            <w:r>
              <w:t xml:space="preserve"> </w:t>
            </w:r>
            <w:r>
              <w:t xml:space="preserve">Luonnehtii kirjoittajan</w:t>
            </w:r>
            <w:r>
              <w:t xml:space="preserve"> </w:t>
            </w:r>
            <w:r>
              <w:t xml:space="preserve">subjektiivista kokemusta.</w:t>
            </w:r>
          </w:p>
        </w:tc>
      </w:tr>
      <w:tr>
        <w:tc>
          <w:p>
            <w:pPr>
              <w:pStyle w:val="Compact"/>
              <w:jc w:val="left"/>
            </w:pPr>
            <w:r>
              <w:rPr>
                <w:i/>
              </w:rPr>
              <w:t xml:space="preserve">Asuntoloista valitsin Julius</w:t>
            </w:r>
            <w:r>
              <w:rPr>
                <w:i/>
              </w:rPr>
              <w:t xml:space="preserve"> </w:t>
            </w:r>
            <w:r>
              <w:rPr>
                <w:i/>
              </w:rPr>
              <w:t xml:space="preserve">Raab Heimin vanhojen</w:t>
            </w:r>
            <w:r>
              <w:rPr>
                <w:i/>
              </w:rPr>
              <w:t xml:space="preserve"> </w:t>
            </w:r>
            <w:r>
              <w:rPr>
                <w:i/>
              </w:rPr>
              <w:t xml:space="preserve">matkakertomusten perusteella.</w:t>
            </w:r>
          </w:p>
        </w:tc>
        <w:tc>
          <w:p>
            <w:pPr>
              <w:pStyle w:val="Compact"/>
              <w:jc w:val="left"/>
            </w:pPr>
            <w:r>
              <w:t xml:space="preserve">Kuvannut vaihtoon hakua ja</w:t>
            </w:r>
            <w:r>
              <w:t xml:space="preserve"> </w:t>
            </w:r>
            <w:r>
              <w:t xml:space="preserve">kotimaan järjestelyjä.</w:t>
            </w:r>
            <w:r>
              <w:t xml:space="preserve"> </w:t>
            </w:r>
            <w:r>
              <w:t xml:space="preserve">Maininnut jo paikallisista</w:t>
            </w:r>
            <w:r>
              <w:t xml:space="preserve"> </w:t>
            </w:r>
            <w:r>
              <w:t xml:space="preserve">asuntolavaihtoehdoista.</w:t>
            </w:r>
          </w:p>
        </w:tc>
        <w:tc>
          <w:p>
            <w:pPr>
              <w:pStyle w:val="Compact"/>
              <w:jc w:val="left"/>
            </w:pPr>
            <w:r>
              <w:t xml:space="preserve">Edeltävässä kappaleessa</w:t>
            </w:r>
            <w:r>
              <w:t xml:space="preserve"> </w:t>
            </w:r>
            <w:r>
              <w:t xml:space="preserve">annetun tai hiukan kauempaa</w:t>
            </w:r>
            <w:r>
              <w:t xml:space="preserve"> </w:t>
            </w:r>
            <w:r>
              <w:t xml:space="preserve">palautetun topiikin avulla.</w:t>
            </w:r>
            <w:r>
              <w:t xml:space="preserve"> </w:t>
            </w:r>
            <w:r>
              <w:t xml:space="preserve">Kuuluvat toissijaisesti</w:t>
            </w:r>
            <w:r>
              <w:t xml:space="preserve"> </w:t>
            </w:r>
            <w:r>
              <w:t xml:space="preserve">johonkin toiseen alaryhmään.</w:t>
            </w:r>
          </w:p>
        </w:tc>
      </w:tr>
      <w:tr>
        <w:tc>
          <w:p>
            <w:pPr>
              <w:pStyle w:val="Compact"/>
              <w:jc w:val="left"/>
            </w:pPr>
            <w:r>
              <w:rPr>
                <w:i/>
              </w:rPr>
              <w:t xml:space="preserve">Ulkomaisille opiskelijoille</w:t>
            </w:r>
            <w:r>
              <w:rPr>
                <w:i/>
              </w:rPr>
              <w:t xml:space="preserve"> </w:t>
            </w:r>
            <w:r>
              <w:rPr>
                <w:i/>
              </w:rPr>
              <w:t xml:space="preserve">tarkoitettu asuntola on vain</w:t>
            </w:r>
            <w:r>
              <w:rPr>
                <w:i/>
              </w:rPr>
              <w:t xml:space="preserve"> </w:t>
            </w:r>
            <w:r>
              <w:rPr>
                <w:i/>
              </w:rPr>
              <w:t xml:space="preserve">kolme vuotta vanha ja täten</w:t>
            </w:r>
            <w:r>
              <w:rPr>
                <w:i/>
              </w:rPr>
              <w:t xml:space="preserve"> </w:t>
            </w:r>
            <w:r>
              <w:rPr>
                <w:i/>
              </w:rPr>
              <w:t xml:space="preserve">melko moderni.</w:t>
            </w:r>
          </w:p>
        </w:tc>
        <w:tc>
          <w:p>
            <w:pPr>
              <w:pStyle w:val="Compact"/>
              <w:jc w:val="left"/>
            </w:pPr>
            <w:r>
              <w:t xml:space="preserve">Edellinen kappale lennosta ja</w:t>
            </w:r>
            <w:r>
              <w:t xml:space="preserve"> </w:t>
            </w:r>
            <w:r>
              <w:t xml:space="preserve">saapumisesta.</w:t>
            </w:r>
          </w:p>
        </w:tc>
        <w:tc>
          <w:p>
            <w:pPr>
              <w:pStyle w:val="Compact"/>
              <w:jc w:val="left"/>
            </w:pPr>
            <w:r>
              <w:t xml:space="preserve">Muistuttavat 2. ryhmän</w:t>
            </w:r>
            <w:r>
              <w:t xml:space="preserve"> </w:t>
            </w:r>
            <w:r>
              <w:t xml:space="preserve">tapauksia, kytkös</w:t>
            </w:r>
            <w:r>
              <w:t xml:space="preserve"> </w:t>
            </w:r>
            <w:r>
              <w:t xml:space="preserve">implisiittisempi, usein</w:t>
            </w:r>
            <w:r>
              <w:t xml:space="preserve"> </w:t>
            </w:r>
            <w:r>
              <w:t xml:space="preserve">väliotsikko. Luonnehtii</w:t>
            </w:r>
            <w:r>
              <w:t xml:space="preserve"> </w:t>
            </w:r>
            <w:r>
              <w:t xml:space="preserve">asuntoa / asuntolaa</w:t>
            </w:r>
            <w:r>
              <w:t xml:space="preserve"> </w:t>
            </w:r>
            <w:r>
              <w:t xml:space="preserve">konkreettisesti.</w:t>
            </w:r>
          </w:p>
        </w:tc>
      </w:tr>
      <w:tr>
        <w:tc>
          <w:p>
            <w:pPr>
              <w:pStyle w:val="Compact"/>
              <w:jc w:val="left"/>
            </w:pPr>
            <w:r>
              <w:rPr>
                <w:i/>
              </w:rPr>
              <w:t xml:space="preserve">Itselläni kävi tuuri asunnon</w:t>
            </w:r>
            <w:r>
              <w:rPr>
                <w:i/>
              </w:rPr>
              <w:t xml:space="preserve"> </w:t>
            </w:r>
            <w:r>
              <w:rPr>
                <w:i/>
              </w:rPr>
              <w:t xml:space="preserve">suhteen löytäessäni edullisen</w:t>
            </w:r>
            <w:r>
              <w:rPr>
                <w:i/>
              </w:rPr>
              <w:t xml:space="preserve"> </w:t>
            </w:r>
            <w:r>
              <w:rPr>
                <w:i/>
              </w:rPr>
              <w:t xml:space="preserve">huoneen Chelseasta aivan</w:t>
            </w:r>
            <w:r>
              <w:rPr>
                <w:i/>
              </w:rPr>
              <w:t xml:space="preserve"> </w:t>
            </w:r>
            <w:r>
              <w:rPr>
                <w:i/>
              </w:rPr>
              <w:t xml:space="preserve">Manhattanin keskeltä.</w:t>
            </w:r>
          </w:p>
        </w:tc>
        <w:tc>
          <w:p>
            <w:pPr>
              <w:pStyle w:val="Compact"/>
              <w:jc w:val="left"/>
            </w:pPr>
            <w:r>
              <w:t xml:space="preserve">Tekstin viimeinen kappale.</w:t>
            </w:r>
            <w:r>
              <w:t xml:space="preserve"> </w:t>
            </w:r>
            <w:r>
              <w:t xml:space="preserve">Edellä arvioinut kokemustaan</w:t>
            </w:r>
            <w:r>
              <w:t xml:space="preserve"> </w:t>
            </w:r>
            <w:r>
              <w:t xml:space="preserve">kokonaisuutena.</w:t>
            </w:r>
          </w:p>
        </w:tc>
        <w:tc>
          <w:p>
            <w:pPr>
              <w:pStyle w:val="Compact"/>
              <w:jc w:val="left"/>
            </w:pPr>
            <w:r>
              <w:t xml:space="preserve">Alatopiikin avulla. Muistuttaa</w:t>
            </w:r>
            <w:r>
              <w:t xml:space="preserve"> </w:t>
            </w:r>
            <w:r>
              <w:t xml:space="preserve">1. ryhmää, mutta sisältönä</w:t>
            </w:r>
            <w:r>
              <w:t xml:space="preserve"> </w:t>
            </w:r>
            <w:r>
              <w:t xml:space="preserve">verrataan omia kokemuksia</w:t>
            </w:r>
            <w:r>
              <w:t xml:space="preserve"> </w:t>
            </w:r>
            <w:r>
              <w:t xml:space="preserve">toisten kokemuksiin.</w:t>
            </w:r>
          </w:p>
        </w:tc>
      </w:tr>
      <w:tr>
        <w:tc>
          <w:p>
            <w:pPr>
              <w:pStyle w:val="Compact"/>
              <w:jc w:val="left"/>
            </w:pPr>
            <w:r>
              <w:rPr>
                <w:i/>
              </w:rPr>
              <w:t xml:space="preserve">Asuminen Tokiossa on aika</w:t>
            </w:r>
            <w:r>
              <w:rPr>
                <w:i/>
              </w:rPr>
              <w:t xml:space="preserve"> </w:t>
            </w:r>
            <w:r>
              <w:rPr>
                <w:i/>
              </w:rPr>
              <w:t xml:space="preserve">kallista.</w:t>
            </w:r>
          </w:p>
        </w:tc>
        <w:tc>
          <w:p>
            <w:pPr>
              <w:pStyle w:val="Compact"/>
              <w:jc w:val="left"/>
            </w:pPr>
            <w:r>
              <w:t xml:space="preserve">Kappale melkein tekstin</w:t>
            </w:r>
            <w:r>
              <w:t xml:space="preserve"> </w:t>
            </w:r>
            <w:r>
              <w:t xml:space="preserve">lopussa. Edellä kuvannut</w:t>
            </w:r>
            <w:r>
              <w:t xml:space="preserve"> </w:t>
            </w:r>
            <w:r>
              <w:t xml:space="preserve">vapaa-ajan mahdollisuuksia.</w:t>
            </w:r>
          </w:p>
        </w:tc>
        <w:tc>
          <w:p>
            <w:pPr>
              <w:pStyle w:val="Compact"/>
              <w:jc w:val="left"/>
            </w:pPr>
            <w:r>
              <w:t xml:space="preserve">4. ryhmän tapaan, mutta jakaen</w:t>
            </w:r>
            <w:r>
              <w:t xml:space="preserve"> </w:t>
            </w:r>
            <w:r>
              <w:t xml:space="preserve">maailmantietoa, ei</w:t>
            </w:r>
            <w:r>
              <w:t xml:space="preserve"> </w:t>
            </w:r>
            <w:r>
              <w:t xml:space="preserve">eksplikoiden omia kokemuksia.</w:t>
            </w:r>
          </w:p>
        </w:tc>
      </w:tr>
      <w:tr>
        <w:tc>
          <w:p>
            <w:pPr>
              <w:pStyle w:val="Compact"/>
              <w:jc w:val="left"/>
            </w:pPr>
            <w:r>
              <w:rPr>
                <w:i/>
              </w:rPr>
              <w:t xml:space="preserve">Suurlähetystön henkilökunta</w:t>
            </w:r>
            <w:r>
              <w:rPr>
                <w:i/>
              </w:rPr>
              <w:t xml:space="preserve"> </w:t>
            </w:r>
            <w:r>
              <w:rPr>
                <w:i/>
              </w:rPr>
              <w:t xml:space="preserve">tarjosi resurssiensa</w:t>
            </w:r>
            <w:r>
              <w:rPr>
                <w:i/>
              </w:rPr>
              <w:t xml:space="preserve"> </w:t>
            </w:r>
            <w:r>
              <w:rPr>
                <w:i/>
              </w:rPr>
              <w:t xml:space="preserve">puitteissa apuaan mm.</w:t>
            </w:r>
            <w:r>
              <w:rPr>
                <w:i/>
              </w:rPr>
              <w:t xml:space="preserve"> </w:t>
            </w:r>
            <w:r>
              <w:rPr>
                <w:i/>
              </w:rPr>
              <w:t xml:space="preserve">maahantuloon, käytännön</w:t>
            </w:r>
            <w:r>
              <w:rPr>
                <w:i/>
              </w:rPr>
              <w:t xml:space="preserve"> </w:t>
            </w:r>
            <w:r>
              <w:rPr>
                <w:i/>
              </w:rPr>
              <w:t xml:space="preserve">järjestelyihin sekä asunnon</w:t>
            </w:r>
            <w:r>
              <w:rPr>
                <w:i/>
              </w:rPr>
              <w:t xml:space="preserve"> </w:t>
            </w:r>
            <w:r>
              <w:rPr>
                <w:i/>
              </w:rPr>
              <w:t xml:space="preserve">löytämiseen liittyvissä</w:t>
            </w:r>
            <w:r>
              <w:rPr>
                <w:i/>
              </w:rPr>
              <w:t xml:space="preserve"> </w:t>
            </w:r>
            <w:r>
              <w:rPr>
                <w:i/>
              </w:rPr>
              <w:t xml:space="preserve">asioissa.</w:t>
            </w:r>
          </w:p>
        </w:tc>
        <w:tc>
          <w:p>
            <w:pPr>
              <w:pStyle w:val="Compact"/>
              <w:jc w:val="left"/>
            </w:pPr>
            <w:r>
              <w:t xml:space="preserve">Edellä kuvannut hakuprosessia.</w:t>
            </w:r>
            <w:r>
              <w:t xml:space="preserve"> </w:t>
            </w:r>
            <w:r>
              <w:t xml:space="preserve">Jatkaa vuokratasoon ja</w:t>
            </w:r>
            <w:r>
              <w:t xml:space="preserve"> </w:t>
            </w:r>
            <w:r>
              <w:t xml:space="preserve">hintoihin.</w:t>
            </w:r>
          </w:p>
        </w:tc>
        <w:tc>
          <w:p>
            <w:pPr>
              <w:pStyle w:val="Compact"/>
              <w:jc w:val="left"/>
            </w:pPr>
            <w:r>
              <w:t xml:space="preserve">Esittelytopiikin avulla, mutta</w:t>
            </w:r>
            <w:r>
              <w:t xml:space="preserve"> </w:t>
            </w:r>
            <w:r>
              <w:t xml:space="preserve">kirjoittaja ei ole</w:t>
            </w:r>
            <w:r>
              <w:t xml:space="preserve"> </w:t>
            </w:r>
            <w:r>
              <w:t xml:space="preserve">agentiivinen toimija.</w:t>
            </w:r>
            <w:r>
              <w:t xml:space="preserve"> </w:t>
            </w:r>
            <w:r>
              <w:t xml:space="preserve">Fokuksessa joku muu keskeinen</w:t>
            </w:r>
            <w:r>
              <w:t xml:space="preserve"> </w:t>
            </w:r>
            <w:r>
              <w:t xml:space="preserve">toimija.</w:t>
            </w:r>
          </w:p>
        </w:tc>
      </w:tr>
      <w:tr>
        <w:tc>
          <w:p>
            <w:pPr>
              <w:pStyle w:val="Compact"/>
              <w:jc w:val="left"/>
            </w:pPr>
            <w:r>
              <w:rPr>
                <w:i/>
              </w:rPr>
              <w:t xml:space="preserve">Lensin Wieniin sunnuntaina ja</w:t>
            </w:r>
            <w:r>
              <w:rPr>
                <w:i/>
              </w:rPr>
              <w:t xml:space="preserve"> </w:t>
            </w:r>
            <w:r>
              <w:rPr>
                <w:i/>
              </w:rPr>
              <w:t xml:space="preserve">lento-kentältä suuntasin</w:t>
            </w:r>
            <w:r>
              <w:rPr>
                <w:i/>
              </w:rPr>
              <w:t xml:space="preserve"> </w:t>
            </w:r>
            <w:r>
              <w:rPr>
                <w:i/>
              </w:rPr>
              <w:t xml:space="preserve">suoraan asunnolleni.</w:t>
            </w:r>
          </w:p>
        </w:tc>
        <w:tc>
          <w:p>
            <w:pPr>
              <w:pStyle w:val="Compact"/>
              <w:jc w:val="left"/>
            </w:pPr>
            <w:r>
              <w:t xml:space="preserve">Tekstin alkupuolella – edellä</w:t>
            </w:r>
            <w:r>
              <w:t xml:space="preserve"> </w:t>
            </w:r>
            <w:r>
              <w:t xml:space="preserve">vain hakuprosessin kuvaus.</w:t>
            </w:r>
          </w:p>
        </w:tc>
        <w:tc>
          <w:p>
            <w:pPr>
              <w:pStyle w:val="Compact"/>
              <w:jc w:val="left"/>
            </w:pPr>
            <w:r>
              <w:t xml:space="preserve">edellisiä implisiitisempi,</w:t>
            </w:r>
            <w:r>
              <w:t xml:space="preserve"> </w:t>
            </w:r>
            <w:r>
              <w:t xml:space="preserve">kuitenkin uuden topiikin</w:t>
            </w:r>
            <w:r>
              <w:t xml:space="preserve"> </w:t>
            </w:r>
            <w:r>
              <w:t xml:space="preserve">avulla. Kertova tekstityyppi</w:t>
            </w:r>
            <w:r>
              <w:t xml:space="preserve"> </w:t>
            </w:r>
            <w:r>
              <w:t xml:space="preserve">ja aikamuoto yleensä</w:t>
            </w:r>
            <w:r>
              <w:t xml:space="preserve"> </w:t>
            </w:r>
            <w:r>
              <w:t xml:space="preserve">imperfekti. Narraatio.</w:t>
            </w:r>
          </w:p>
        </w:tc>
      </w:tr>
      <w:tr>
        <w:tc>
          <w:p>
            <w:pPr>
              <w:pStyle w:val="Compact"/>
              <w:jc w:val="left"/>
            </w:pPr>
            <w:r>
              <w:rPr>
                <w:i/>
              </w:rPr>
              <w:t xml:space="preserve">Sitten pari sanaa</w:t>
            </w:r>
            <w:r>
              <w:rPr>
                <w:i/>
              </w:rPr>
              <w:t xml:space="preserve"> </w:t>
            </w:r>
            <w:r>
              <w:rPr>
                <w:i/>
              </w:rPr>
              <w:t xml:space="preserve">asumisesta.</w:t>
            </w:r>
          </w:p>
        </w:tc>
        <w:tc>
          <w:p>
            <w:pPr>
              <w:pStyle w:val="Compact"/>
              <w:jc w:val="left"/>
            </w:pPr>
            <w:r>
              <w:t xml:space="preserve">Edellä yksityiskohtaisesti</w:t>
            </w:r>
            <w:r>
              <w:t xml:space="preserve"> </w:t>
            </w:r>
            <w:r>
              <w:t xml:space="preserve">esim. seminaarien</w:t>
            </w:r>
            <w:r>
              <w:t xml:space="preserve"> </w:t>
            </w:r>
            <w:r>
              <w:t xml:space="preserve">opintopisteistä.</w:t>
            </w:r>
          </w:p>
        </w:tc>
        <w:tc>
          <w:p>
            <w:pPr>
              <w:pStyle w:val="Compact"/>
              <w:jc w:val="left"/>
            </w:pPr>
            <w:r>
              <w:t xml:space="preserve">metatekstin kautta. Uusi</w:t>
            </w:r>
            <w:r>
              <w:t xml:space="preserve"> </w:t>
            </w:r>
            <w:r>
              <w:t xml:space="preserve">topiikki, joka tuodaan</w:t>
            </w:r>
            <w:r>
              <w:t xml:space="preserve"> </w:t>
            </w:r>
            <w:r>
              <w:t xml:space="preserve">tekstiin eksplisiittisesti.</w:t>
            </w:r>
          </w:p>
        </w:tc>
      </w:tr>
      <w:tr>
        <w:tc>
          <w:p>
            <w:pPr>
              <w:pStyle w:val="Compact"/>
              <w:jc w:val="left"/>
            </w:pPr>
            <w:r>
              <w:rPr>
                <w:i/>
              </w:rPr>
              <w:t xml:space="preserve">Saapuessani Varsovaan minulla</w:t>
            </w:r>
            <w:r>
              <w:rPr>
                <w:i/>
              </w:rPr>
              <w:t xml:space="preserve"> </w:t>
            </w:r>
            <w:r>
              <w:rPr>
                <w:i/>
              </w:rPr>
              <w:t xml:space="preserve">oli onneksi jo asunto</w:t>
            </w:r>
            <w:r>
              <w:rPr>
                <w:i/>
              </w:rPr>
              <w:t xml:space="preserve"> </w:t>
            </w:r>
            <w:r>
              <w:rPr>
                <w:i/>
              </w:rPr>
              <w:t xml:space="preserve">tiedossa.</w:t>
            </w:r>
          </w:p>
        </w:tc>
        <w:tc>
          <w:p>
            <w:pPr>
              <w:pStyle w:val="Compact"/>
              <w:jc w:val="left"/>
            </w:pPr>
            <w:r>
              <w:t xml:space="preserve">Edellä kieltenopiskelusta,</w:t>
            </w:r>
            <w:r>
              <w:t xml:space="preserve"> </w:t>
            </w:r>
            <w:r>
              <w:t xml:space="preserve">jatkaa hintoihin.</w:t>
            </w:r>
          </w:p>
        </w:tc>
        <w:tc>
          <w:p>
            <w:pPr>
              <w:pStyle w:val="Compact"/>
              <w:jc w:val="left"/>
            </w:pPr>
            <w:r>
              <w:t xml:space="preserve">uuden topiikin avulla, joka</w:t>
            </w:r>
            <w:r>
              <w:t xml:space="preserve"> </w:t>
            </w:r>
            <w:r>
              <w:t xml:space="preserve">avausvirkkeen loppupuolella.</w:t>
            </w:r>
            <w:r>
              <w:t xml:space="preserve"> </w:t>
            </w:r>
            <w:r>
              <w:t xml:space="preserve">Ajallinen jännite, katsotaan</w:t>
            </w:r>
            <w:r>
              <w:t xml:space="preserve"> </w:t>
            </w:r>
            <w:r>
              <w:t xml:space="preserve">kuvatusta aikapisteestä</w:t>
            </w:r>
            <w:r>
              <w:t xml:space="preserve"> </w:t>
            </w:r>
            <w:r>
              <w:t xml:space="preserve">taaksepäin.</w:t>
            </w:r>
          </w:p>
        </w:tc>
      </w:tr>
      <w:tr>
        <w:tc>
          <w:p>
            <w:pPr>
              <w:pStyle w:val="Compact"/>
              <w:jc w:val="left"/>
            </w:pPr>
            <w:r>
              <w:rPr>
                <w:i/>
              </w:rPr>
              <w:t xml:space="preserve">Lähes kaikki Bratislavan</w:t>
            </w:r>
            <w:r>
              <w:rPr>
                <w:i/>
              </w:rPr>
              <w:t xml:space="preserve"> </w:t>
            </w:r>
            <w:r>
              <w:rPr>
                <w:i/>
              </w:rPr>
              <w:t xml:space="preserve">kauppakorkeakoulun</w:t>
            </w:r>
            <w:r>
              <w:rPr>
                <w:i/>
              </w:rPr>
              <w:t xml:space="preserve"> </w:t>
            </w:r>
            <w:r>
              <w:rPr>
                <w:i/>
              </w:rPr>
              <w:t xml:space="preserve">vaihto-opiskelijat asuivat</w:t>
            </w:r>
            <w:r>
              <w:rPr>
                <w:i/>
              </w:rPr>
              <w:t xml:space="preserve"> </w:t>
            </w:r>
            <w:r>
              <w:rPr>
                <w:i/>
              </w:rPr>
              <w:t xml:space="preserve">Ekonom-nimisessä</w:t>
            </w:r>
            <w:r>
              <w:rPr>
                <w:i/>
              </w:rPr>
              <w:t xml:space="preserve"> </w:t>
            </w:r>
            <w:r>
              <w:rPr>
                <w:i/>
              </w:rPr>
              <w:t xml:space="preserve">dormitoryssa.</w:t>
            </w:r>
          </w:p>
        </w:tc>
        <w:tc>
          <w:p>
            <w:pPr>
              <w:pStyle w:val="Compact"/>
              <w:jc w:val="left"/>
            </w:pPr>
            <w:r>
              <w:t xml:space="preserve">Kuvannut saapumista ja</w:t>
            </w:r>
            <w:r>
              <w:t xml:space="preserve"> </w:t>
            </w:r>
            <w:r>
              <w:t xml:space="preserve">tutor-toimintaa.</w:t>
            </w:r>
          </w:p>
        </w:tc>
        <w:tc>
          <w:p>
            <w:pPr>
              <w:pStyle w:val="Compact"/>
              <w:jc w:val="left"/>
            </w:pPr>
            <w:r>
              <w:t xml:space="preserve">7. ryhmän tapaan, mutta</w:t>
            </w:r>
            <w:r>
              <w:t xml:space="preserve"> </w:t>
            </w:r>
            <w:r>
              <w:t xml:space="preserve">samaistuen, ei kontrastoiden</w:t>
            </w:r>
            <w:r>
              <w:t xml:space="preserve"> </w:t>
            </w:r>
            <w:r>
              <w:t xml:space="preserve">muiden vaihto-opiskelijoiden</w:t>
            </w:r>
            <w:r>
              <w:t xml:space="preserve"> </w:t>
            </w:r>
            <w:r>
              <w:t xml:space="preserve">toimintaan. Alaotsikko</w:t>
            </w:r>
            <w:r>
              <w:t xml:space="preserve"> </w:t>
            </w:r>
            <w:r>
              <w:t xml:space="preserve">tyypillinen.</w:t>
            </w:r>
          </w:p>
        </w:tc>
      </w:tr>
    </w:tbl>
    <w:p>
      <w:pPr>
        <w:pStyle w:val="TextBody"/>
      </w:pPr>
      <w:r>
        <w:t xml:space="preserve">Taulukko 2: Esimerkit laadullisen analyysin tuloksena syntyneistä ryhmistä</w:t>
      </w:r>
    </w:p>
    <w:p>
      <w:pPr>
        <w:pStyle w:val="TextBody"/>
      </w:pPr>
      <w:r>
        <w:t xml:space="preserve">Aineiston isoimman ryhmän muodostavat esimerkin 1 kaltaiset</w:t>
      </w:r>
      <w:r>
        <w:t xml:space="preserve"> </w:t>
      </w:r>
      <w:r>
        <w:t xml:space="preserve">topiikkia asettavat virkkeet. Topiikki-indikaattorina on tässä</w:t>
      </w:r>
      <w:r>
        <w:t xml:space="preserve"> </w:t>
      </w:r>
      <w:r>
        <w:rPr>
          <w:i/>
        </w:rPr>
        <w:t xml:space="preserve">asuntoni</w:t>
      </w:r>
      <w:r>
        <w:t xml:space="preserve">-sana. Se on siis tekstin ensimmäinen eksplisiittinen maininta topiikista; asumiseen tai asuntoon ei ole viitattu edeltävissä kappaleissa. Vaikka esimerkissä 1 ei täyty Dikin</w:t>
      </w:r>
      <w:r>
        <w:t xml:space="preserve"> </w:t>
      </w:r>
      <w:r>
        <w:t xml:space="preserve">(1989: 275)</w:t>
      </w:r>
      <w:r>
        <w:t xml:space="preserve"> </w:t>
      </w:r>
      <w:r>
        <w:t xml:space="preserve">kuvailema ehto siitä, että varsinainen ylätopiikki olisi erikseen esitelty lukijalle</w:t>
      </w:r>
      <w:r>
        <w:t xml:space="preserve"> </w:t>
      </w:r>
      <w:r>
        <w:t xml:space="preserve">(vrt. myös Guijarro 2001: 110)</w:t>
      </w:r>
      <w:r>
        <w:t xml:space="preserve">,</w:t>
      </w:r>
      <w:r>
        <w:t xml:space="preserve"> </w:t>
      </w:r>
      <w:r>
        <w:rPr>
          <w:i/>
        </w:rPr>
        <w:t xml:space="preserve">asuntoni</w:t>
      </w:r>
      <w:r>
        <w:t xml:space="preserve"> </w:t>
      </w:r>
      <w:r>
        <w:t xml:space="preserve">on tulkittu analyysissämme alatopiikiksi (ks. osio x.x edellä). Kirjoittaja nimittäin vaikuttaa operoineen tässä, kuten useimmissa muissakin ryhmän 1</w:t>
      </w:r>
      <w:r>
        <w:rPr>
          <w:rStyle w:val="FootnoteReference"/>
        </w:rPr>
        <w:footnoteReference w:id="29"/>
      </w:r>
      <w:r>
        <w:t xml:space="preserve"> </w:t>
      </w:r>
      <w:r>
        <w:t xml:space="preserve">tapauksissa, yksinomaan tehtävänannon tarjoaman kysymyspatteriston ja saatavilla olevien mallitekstien puitteissa. Tästä seuraa, että asunto tai asuminen oletetaan lukijan käytettävissä olevaksi entiteetiksi</w:t>
      </w:r>
      <w:r>
        <w:t xml:space="preserve"> </w:t>
      </w:r>
      <w:r>
        <w:t xml:space="preserve">(vrt. Chafe 1987: 29; Lambrecht 1996: 99)</w:t>
      </w:r>
      <w:r>
        <w:t xml:space="preserve">, ja se on tuotu tekstiin ilman ennakkomainintoja tai esittelyjä. Voisi jopa sanoa, että esimerkin 1 kaltaiset tapaukset eivät niinkään aseta topiikkia, vaan ennemmin käyttävät jo asetetetuksi oletettua topiikkia (vrt. implisiittinen teema</w:t>
      </w:r>
      <w:r>
        <w:t xml:space="preserve"> </w:t>
      </w:r>
      <w:r>
        <w:t xml:space="preserve">Shore (2008)</w:t>
      </w:r>
      <w:r>
        <w:t xml:space="preserve">).</w:t>
      </w:r>
    </w:p>
    <w:p>
      <w:pPr>
        <w:pStyle w:val="TextBody"/>
      </w:pPr>
      <w:r>
        <w:t xml:space="preserve">Seuraavan kiinnostavan ryhmän muodostavat esimerkin 2 kaltaiset tapaukset, joissa topiikki-indikaattorina on persoonamuotoinen</w:t>
      </w:r>
      <w:r>
        <w:t xml:space="preserve"> </w:t>
      </w:r>
      <w:r>
        <w:rPr>
          <w:i/>
        </w:rPr>
        <w:t xml:space="preserve">asua</w:t>
      </w:r>
      <w:r>
        <w:t xml:space="preserve">-verbi. Virkkeiden pääasiallinen sisältö on yleensä</w:t>
      </w:r>
      <w:r>
        <w:t xml:space="preserve"> </w:t>
      </w:r>
      <w:r>
        <w:t xml:space="preserve">informaatio siitä, missä kirjoittaja on vaihtonsa aikana asunut. Tapaukset ovat edellistä ryhmää selkeämmin johdantoja uuteen aiheeseen, ja Dikin jaottelun mukaisesti esimerkin 2 lopussa mainittu</w:t>
      </w:r>
      <w:r>
        <w:t xml:space="preserve"> </w:t>
      </w:r>
      <w:r>
        <w:rPr>
          <w:i/>
        </w:rPr>
        <w:t xml:space="preserve">asuntola</w:t>
      </w:r>
      <w:r>
        <w:t xml:space="preserve"> </w:t>
      </w:r>
      <w:r>
        <w:t xml:space="preserve">muodostaa (osiossa x.x. määritellyssä termin teknisessä 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 rakenteet ovat siis keinoja esitellä</w:t>
      </w:r>
      <w:r>
        <w:t xml:space="preserve"> </w:t>
      </w:r>
      <w:r>
        <w:rPr>
          <w:i/>
        </w:rPr>
        <w:t xml:space="preserve">paikka X</w:t>
      </w:r>
      <w:r>
        <w:t xml:space="preserve">, josta tällaisella virkkeellä alkava kappale kertoo.</w:t>
      </w:r>
    </w:p>
    <w:p>
      <w:pPr>
        <w:pStyle w:val="TextBody"/>
      </w:pPr>
      <w:r>
        <w:t xml:space="preserve">Kertominen ja kertova tekstityyppi ovatkin aineiston tekstilajille tyypillistä, mikä näkyy useammassakin alaryhmässä. Esimerkin 10 edustamassa ryhmässä asumisesta raportoidaan kertovan</w:t>
      </w:r>
      <w:r>
        <w:t xml:space="preserve"> </w:t>
      </w:r>
      <w:r>
        <w:t xml:space="preserve">tekstityypin avulla, mikä käy annetusta esimerkistä esiin erityisen selvästi, koska</w:t>
      </w:r>
      <w:r>
        <w:t xml:space="preserve"> </w:t>
      </w:r>
      <w:r>
        <w:t xml:space="preserve">kirjoittaja on käyttänyt ajan ilmausta. Aikamuoto ryhmän 10 virkkeissä on tyypillisesti imperfekti. Esimerkin 3 edustamat virkkeet ovat ajallisesti muita monitasoisempia. Lukija johdatetaan kappaleen topiikkiin kuvaamalla jotakin, mikä on tapahtunut ennen sitä ajanjaksoa, jolle varsinainen käsiteltävä topiikki sijoittuu.</w:t>
      </w:r>
    </w:p>
    <w:p>
      <w:pPr>
        <w:pStyle w:val="TextBody"/>
      </w:pPr>
      <w:r>
        <w:t xml:space="preserve">Yhtälailla ryhmittelystämme on löydettävissä erilaisia tapoja aloittaa luonnehtimalla omia kokemuksiaan. Esimerkissä 4 topiikkia indikoi</w:t>
      </w:r>
      <w:r>
        <w:t xml:space="preserve"> </w:t>
      </w:r>
      <w:r>
        <w:rPr>
          <w:i/>
        </w:rPr>
        <w:t xml:space="preserve">asuminen</w:t>
      </w:r>
      <w:r>
        <w:t xml:space="preserve">, mikä tähän ryhmään luokitelluille onkin varsin tyypillistä: jostakin varsinaisen diskurssitopiikin osa-alueelta tiivistetään oma kokemus kompleksiseen deverbaalijohdokseen, jota luonnehditaan predikatiivilauseella. Näissä tapauksissa 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Strategiana on itsestään käsin kertoa, miten asiat ovat sujuneet, omia onnistumisia ja epäonnistumisia arvioiden. Informaatiorakenteen kannalta</w:t>
      </w:r>
      <w:r>
        <w:t xml:space="preserve"> </w:t>
      </w:r>
      <w:r>
        <w:t xml:space="preserve">nämä tapaukset ovat monesti ryhmän 1 tapaan alatopiikkeja. Esimerkki4</w:t>
      </w:r>
      <w:r>
        <w:t xml:space="preserve"> </w:t>
      </w:r>
      <w:r>
        <w:t xml:space="preserve">on kuitenkin esimerkkiä 1 selvemmin topiikkia asettava virke, sillä siinä</w:t>
      </w:r>
      <w:r>
        <w:t xml:space="preserve"> </w:t>
      </w:r>
      <w:r>
        <w:t xml:space="preserve">asumisen rooli yhtenä vaihtokokemuksen osana on ilmaistu eksplisiittisesti.</w:t>
      </w:r>
    </w:p>
    <w:p>
      <w:pPr>
        <w:pStyle w:val="TextBody"/>
      </w:pPr>
      <w:r>
        <w:t xml:space="preserve">[tähän seuraavaksi etäännytetyt kuvailut ja sitte lopetus linkkihommiin]</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TextBody"/>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maarallinen-analyysi"/>
      <w:bookmarkEnd w:id="30"/>
      <w:r>
        <w:t xml:space="preserve">Määrällinen analyysi</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TextBody"/>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03"/>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03"/>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03"/>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03"/>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03"/>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03"/>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32"/>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3"/>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3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4" w:name="paatelmat"/>
      <w:bookmarkEnd w:id="34"/>
      <w:r>
        <w:t xml:space="preserve">Päätelmät</w:t>
      </w:r>
    </w:p>
    <w:p>
      <w:pPr>
        <w:pStyle w:val="FirstParagraph"/>
      </w:pPr>
      <w:r>
        <w:t xml:space="preserve">Tekstikappaleen ydin voi sijaita yhtä lailla ortografisen kappaleen alussa kuin muualla (Komppa).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pPr>
      <w:r>
        <w:t xml:space="preserve">Juvonen sanoo, eri tekstityyppejä yhdistellen voi päästä samaan lopputulokseen, jolloin emme voi myöskään rakentaa mitään tiettyyn tekstilajiin soveltuvaa kaavaa. -&gt; meidän tuloksista kai voisi saada apua siihen, miten päästään alkuun tietyn tekstityypin käytössä ja sitä kautta rakennetaan haluttua tekstilajia??</w:t>
      </w:r>
    </w:p>
    <w:p>
      <w:pPr>
        <w:pStyle w:val="Compact"/>
        <w:numPr>
          <w:numId w:val="1004"/>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TextBody"/>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Givón, Talmy 1983.</w:t>
      </w:r>
      <w:r>
        <w:t xml:space="preserve"> </w:t>
      </w:r>
      <w:r>
        <w:rPr>
          <w:i/>
        </w:rPr>
        <w:t xml:space="preserve">Topic continuity in discourse</w:t>
      </w:r>
      <w:r>
        <w:t xml:space="preserve">. John Benjamins Publishing Company.</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Hiippala, Tuomo 2013. Modelling the structure of a multimodal artefact.</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Jisa, Harriet &amp; Liliana Tochinsky 2009. Developing a personalized stance through linguistic means in typologically different languages. Written expository discourse.</w:t>
      </w:r>
      <w:r>
        <w:t xml:space="preserve"> </w:t>
      </w:r>
      <w:r>
        <w:rPr>
          <w:i/>
        </w:rPr>
        <w:t xml:space="preserve">Written Language &amp; Literacy</w:t>
      </w:r>
      <w:r>
        <w:t xml:space="preserve"> </w:t>
      </w:r>
      <w:r>
        <w:t xml:space="preserve">12:1, 1–25.</w:t>
      </w:r>
    </w:p>
    <w:p>
      <w:pPr>
        <w:pStyle w:val="Bibliography"/>
      </w:pPr>
      <w:r>
        <w:t xml:space="preserve">Juvonen, Riitta 2014a. Kirjoitelma ja tekijän ääni: kehystämisen yhdyslauseet suomenkielisen ylioppilasaineen dialogisuuden hallinnassa.</w:t>
      </w:r>
    </w:p>
    <w:p>
      <w:pPr>
        <w:pStyle w:val="Bibliography"/>
      </w:pPr>
      <w:r>
        <w:t xml:space="preserve">Juvonen, Riitta 2014b. Näkökulma kirjoitelman dialogisuuteen: Kuinka- ja miten-yhdyslauseet ylioppilasaineessa.</w:t>
      </w:r>
      <w:r>
        <w:t xml:space="preserve"> </w:t>
      </w:r>
      <w:r>
        <w:rPr>
          <w:i/>
        </w:rPr>
        <w:t xml:space="preserve">Virittäjä</w:t>
      </w:r>
      <w:r>
        <w:t xml:space="preserve"> </w:t>
      </w:r>
      <w:r>
        <w:t xml:space="preserve">118:1, 72.</w:t>
      </w:r>
    </w:p>
    <w:p>
      <w:pPr>
        <w:pStyle w:val="Bibliography"/>
      </w:pPr>
      <w:r>
        <w:t xml:space="preserve">Juvonen, Riitta, Mikko Virtanen &amp; Eero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Paldanius, Hilkka 2017. Historian esseevastauksen funktionaalinen rakenne. Teoksessa: Sirkku Latomaa, Emilia Luukka, &amp; Niina Lilja (eds.)</w:t>
      </w:r>
      <w:r>
        <w:t xml:space="preserve"> </w:t>
      </w:r>
      <w:r>
        <w:rPr>
          <w:i/>
        </w:rPr>
        <w:t xml:space="preserve">AFinLAn vuosikirja 2017</w:t>
      </w:r>
      <w:r>
        <w:t xml:space="preserve">.. Suomen soveltavan kielitieteen yhdistys.</w:t>
      </w:r>
    </w:p>
    <w:p>
      <w:pPr>
        <w:pStyle w:val="Bibliography"/>
      </w:pPr>
      <w:r>
        <w:t xml:space="preserve">Shore, Susanna 2008. Lauseiden tekstuaalisesta jäsennyksestä.</w:t>
      </w:r>
      <w:r>
        <w:t xml:space="preserve"> </w:t>
      </w:r>
      <w:r>
        <w:rPr>
          <w:i/>
        </w:rPr>
        <w:t xml:space="preserve">Virittäjä</w:t>
      </w:r>
      <w:r>
        <w:t xml:space="preserve"> </w:t>
      </w:r>
      <w:r>
        <w:t xml:space="preserve">112:1, 24.</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0"/>
      <w:numFmt w:val="decimal"/>
      <w:lvlText w:val="(%1)"/>
      <w:lvlJc w:val="left"/>
      <w:pPr>
        <w:ind w:left="480" w:hanging="480"/>
      </w:pPr>
    </w:lvl>
    <w:lvl w:ilvl="1">
      <w:start w:val="10"/>
      <w:numFmt w:val="decimal"/>
      <w:lvlText w:val="(%2)"/>
      <w:lvlJc w:val="left"/>
      <w:pPr>
        <w:ind w:left="1200" w:hanging="480"/>
      </w:pPr>
    </w:lvl>
    <w:lvl w:ilvl="2">
      <w:start w:val="10"/>
      <w:numFmt w:val="decimal"/>
      <w:lvlText w:val="(%3)"/>
      <w:lvlJc w:val="left"/>
      <w:pPr>
        <w:ind w:left="1920" w:hanging="480"/>
      </w:pPr>
    </w:lvl>
    <w:lvl w:ilvl="3">
      <w:start w:val="10"/>
      <w:numFmt w:val="decimal"/>
      <w:lvlText w:val="(%4)"/>
      <w:lvlJc w:val="left"/>
      <w:pPr>
        <w:ind w:left="2640" w:hanging="480"/>
      </w:pPr>
    </w:lvl>
    <w:lvl w:ilvl="4">
      <w:start w:val="10"/>
      <w:numFmt w:val="decimal"/>
      <w:lvlText w:val="(%5)"/>
      <w:lvlJc w:val="left"/>
      <w:pPr>
        <w:ind w:left="3360" w:hanging="480"/>
      </w:pPr>
    </w:lvl>
    <w:lvl w:ilvl="5">
      <w:start w:val="10"/>
      <w:numFmt w:val="decimal"/>
      <w:lvlText w:val="(%6)"/>
      <w:lvlJc w:val="left"/>
      <w:pPr>
        <w:ind w:left="4080" w:hanging="480"/>
      </w:pPr>
    </w:lvl>
    <w:lvl w:ilvl="6">
      <w:start w:val="1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1"/>
      <w:numFmt w:val="decimal"/>
      <w:lvlText w:val="(%1)"/>
      <w:lvlJc w:val="left"/>
      <w:pPr>
        <w:ind w:left="480" w:hanging="480"/>
      </w:pPr>
    </w:lvl>
    <w:lvl w:ilvl="1">
      <w:start w:val="11"/>
      <w:numFmt w:val="decimal"/>
      <w:lvlText w:val="(%2)"/>
      <w:lvlJc w:val="left"/>
      <w:pPr>
        <w:ind w:left="1200" w:hanging="480"/>
      </w:pPr>
    </w:lvl>
    <w:lvl w:ilvl="2">
      <w:start w:val="11"/>
      <w:numFmt w:val="decimal"/>
      <w:lvlText w:val="(%3)"/>
      <w:lvlJc w:val="left"/>
      <w:pPr>
        <w:ind w:left="1920" w:hanging="480"/>
      </w:pPr>
    </w:lvl>
    <w:lvl w:ilvl="3">
      <w:start w:val="11"/>
      <w:numFmt w:val="decimal"/>
      <w:lvlText w:val="(%4)"/>
      <w:lvlJc w:val="left"/>
      <w:pPr>
        <w:ind w:left="2640" w:hanging="480"/>
      </w:pPr>
    </w:lvl>
    <w:lvl w:ilvl="4">
      <w:start w:val="11"/>
      <w:numFmt w:val="decimal"/>
      <w:lvlText w:val="(%5)"/>
      <w:lvlJc w:val="left"/>
      <w:pPr>
        <w:ind w:left="3360" w:hanging="480"/>
      </w:pPr>
    </w:lvl>
    <w:lvl w:ilvl="5">
      <w:start w:val="11"/>
      <w:numFmt w:val="decimal"/>
      <w:lvlText w:val="(%6)"/>
      <w:lvlJc w:val="left"/>
      <w:pPr>
        <w:ind w:left="4080" w:hanging="480"/>
      </w:pPr>
    </w:lvl>
    <w:lvl w:ilvl="6">
      <w:start w:val="1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2"/>
      <w:numFmt w:val="decimal"/>
      <w:lvlText w:val="(%1)"/>
      <w:lvlJc w:val="left"/>
      <w:pPr>
        <w:ind w:left="480" w:hanging="480"/>
      </w:pPr>
    </w:lvl>
    <w:lvl w:ilvl="1">
      <w:start w:val="12"/>
      <w:numFmt w:val="decimal"/>
      <w:lvlText w:val="(%2)"/>
      <w:lvlJc w:val="left"/>
      <w:pPr>
        <w:ind w:left="1200" w:hanging="480"/>
      </w:pPr>
    </w:lvl>
    <w:lvl w:ilvl="2">
      <w:start w:val="12"/>
      <w:numFmt w:val="decimal"/>
      <w:lvlText w:val="(%3)"/>
      <w:lvlJc w:val="left"/>
      <w:pPr>
        <w:ind w:left="1920" w:hanging="480"/>
      </w:pPr>
    </w:lvl>
    <w:lvl w:ilvl="3">
      <w:start w:val="12"/>
      <w:numFmt w:val="decimal"/>
      <w:lvlText w:val="(%4)"/>
      <w:lvlJc w:val="left"/>
      <w:pPr>
        <w:ind w:left="2640" w:hanging="480"/>
      </w:pPr>
    </w:lvl>
    <w:lvl w:ilvl="4">
      <w:start w:val="12"/>
      <w:numFmt w:val="decimal"/>
      <w:lvlText w:val="(%5)"/>
      <w:lvlJc w:val="left"/>
      <w:pPr>
        <w:ind w:left="3360" w:hanging="480"/>
      </w:pPr>
    </w:lvl>
    <w:lvl w:ilvl="5">
      <w:start w:val="12"/>
      <w:numFmt w:val="decimal"/>
      <w:lvlText w:val="(%6)"/>
      <w:lvlJc w:val="left"/>
      <w:pPr>
        <w:ind w:left="4080" w:hanging="480"/>
      </w:pPr>
    </w:lvl>
    <w:lvl w:ilvl="6">
      <w:start w:val="1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3"/>
      <w:numFmt w:val="decimal"/>
      <w:lvlText w:val="(%1)"/>
      <w:lvlJc w:val="left"/>
      <w:pPr>
        <w:ind w:left="480" w:hanging="480"/>
      </w:pPr>
    </w:lvl>
    <w:lvl w:ilvl="1">
      <w:start w:val="13"/>
      <w:numFmt w:val="decimal"/>
      <w:lvlText w:val="(%2)"/>
      <w:lvlJc w:val="left"/>
      <w:pPr>
        <w:ind w:left="1200" w:hanging="480"/>
      </w:pPr>
    </w:lvl>
    <w:lvl w:ilvl="2">
      <w:start w:val="13"/>
      <w:numFmt w:val="decimal"/>
      <w:lvlText w:val="(%3)"/>
      <w:lvlJc w:val="left"/>
      <w:pPr>
        <w:ind w:left="1920" w:hanging="480"/>
      </w:pPr>
    </w:lvl>
    <w:lvl w:ilvl="3">
      <w:start w:val="13"/>
      <w:numFmt w:val="decimal"/>
      <w:lvlText w:val="(%4)"/>
      <w:lvlJc w:val="left"/>
      <w:pPr>
        <w:ind w:left="2640" w:hanging="480"/>
      </w:pPr>
    </w:lvl>
    <w:lvl w:ilvl="4">
      <w:start w:val="13"/>
      <w:numFmt w:val="decimal"/>
      <w:lvlText w:val="(%5)"/>
      <w:lvlJc w:val="left"/>
      <w:pPr>
        <w:ind w:left="3360" w:hanging="480"/>
      </w:pPr>
    </w:lvl>
    <w:lvl w:ilvl="5">
      <w:start w:val="13"/>
      <w:numFmt w:val="decimal"/>
      <w:lvlText w:val="(%6)"/>
      <w:lvlJc w:val="left"/>
      <w:pPr>
        <w:ind w:left="4080" w:hanging="480"/>
      </w:pPr>
    </w:lvl>
    <w:lvl w:ilvl="6">
      <w:start w:val="1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bfa31e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5c9a8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d48a8c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55a10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20"/>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LibreOffice/5.4.2.2$Linux_X86_64 LibreOffice_project/40m0$Build-2</Application>
  <Pages>23</Pages>
  <Words>5328</Words>
  <Characters>42123</Characters>
  <CharactersWithSpaces>47183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2018-01-31T10:55:24Z</dcterms:created>
  <dcterms:modified xsi:type="dcterms:W3CDTF">2018-01-31T10:55:24Z</dcterms:modified>
</cp:coreProperties>
</file>