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Sata</w:t>
      </w:r>
      <w:r>
        <w:t xml:space="preserve"> </w:t>
      </w:r>
      <w:r>
        <w:t xml:space="preserve">ja</w:t>
      </w:r>
      <w:r>
        <w:t xml:space="preserve"> </w:t>
      </w:r>
      <w:r>
        <w:t xml:space="preserve">yksi</w:t>
      </w:r>
      <w:r>
        <w:t xml:space="preserve"> </w:t>
      </w:r>
      <w:r>
        <w:t xml:space="preserve">tapaa</w:t>
      </w:r>
      <w:r>
        <w:t xml:space="preserve"> </w:t>
      </w:r>
      <w:r>
        <w:t xml:space="preserve">ilmaista</w:t>
      </w:r>
      <w:r>
        <w:t xml:space="preserve"> </w:t>
      </w:r>
      <w:r>
        <w:t xml:space="preserve">topiikkia</w:t>
      </w:r>
    </w:p>
    <w:p>
      <w:pPr>
        <w:pStyle w:val="Author"/>
      </w:pPr>
      <w:r>
        <w:t xml:space="preserve">Kirsi</w:t>
      </w:r>
      <w:r>
        <w:t xml:space="preserve"> </w:t>
      </w:r>
      <w:r>
        <w:t xml:space="preserve">Sandberg</w:t>
      </w:r>
      <w:r>
        <w:t xml:space="preserve"> </w:t>
      </w:r>
      <w:r>
        <w:t xml:space="preserve">&amp;</w:t>
      </w:r>
      <w:r>
        <w:t xml:space="preserve"> </w:t>
      </w:r>
      <w:r>
        <w:t xml:space="preserve">Juho</w:t>
      </w:r>
      <w:r>
        <w:t xml:space="preserve"> </w:t>
      </w:r>
      <w:r>
        <w:t xml:space="preserve">Härme</w:t>
      </w:r>
    </w:p>
    <w:p>
      <w:pPr>
        <w:pStyle w:val="Heading1"/>
      </w:pPr>
      <w:bookmarkStart w:id="21" w:name="johdanto"/>
      <w:bookmarkEnd w:id="21"/>
      <w:r>
        <w:t xml:space="preserve">Johdanto</w:t>
      </w:r>
    </w:p>
    <w:p>
      <w:pPr>
        <w:pStyle w:val="Heading1"/>
      </w:pPr>
      <w:bookmarkStart w:id="22" w:name="otsikko"/>
      <w:bookmarkEnd w:id="22"/>
      <w:r>
        <w:t xml:space="preserve">Otsikko</w:t>
      </w:r>
    </w:p>
    <w:p>
      <w:pPr>
        <w:pStyle w:val="FirstParagraph"/>
      </w:pPr>
      <w:r>
        <w:t xml:space="preserve">TEstiä</w:t>
      </w:r>
    </w:p>
    <w:p>
      <w:pPr>
        <w:pStyle w:val="Compact"/>
        <w:numPr>
          <w:numId w:val="1001"/>
          <w:ilvl w:val="0"/>
        </w:numPr>
      </w:pPr>
      <w:r>
        <w:t xml:space="preserve">lista 1</w:t>
      </w:r>
    </w:p>
    <w:p>
      <w:pPr>
        <w:pStyle w:val="Compact"/>
        <w:numPr>
          <w:numId w:val="1001"/>
          <w:ilvl w:val="0"/>
        </w:numPr>
      </w:pPr>
      <w:r>
        <w:t xml:space="preserve">lista 2</w:t>
      </w:r>
    </w:p>
    <w:p>
      <w:pPr>
        <w:pStyle w:val="Heading2"/>
      </w:pPr>
      <w:bookmarkStart w:id="23" w:name="otsikko-2"/>
      <w:bookmarkEnd w:id="23"/>
      <w:r>
        <w:t xml:space="preserve">Otsikko 2</w:t>
      </w:r>
    </w:p>
    <w:p>
      <w:pPr>
        <w:pStyle w:val="FirstParagraph"/>
      </w:pPr>
      <w:r>
        <w:t xml:space="preserve">lklkjlkj</w:t>
      </w:r>
    </w:p>
    <w:p>
      <w:pPr>
        <w:pStyle w:val="Heading3"/>
      </w:pPr>
      <w:bookmarkStart w:id="24" w:name="otsikko-3"/>
      <w:bookmarkEnd w:id="24"/>
      <w:r>
        <w:t xml:space="preserve">Otsikko 3</w:t>
      </w:r>
    </w:p>
    <w:p>
      <w:pPr>
        <w:pStyle w:val="Heading1"/>
      </w:pPr>
      <w:bookmarkStart w:id="25" w:name="tutkimusaineisto-ja--metodi"/>
      <w:bookmarkEnd w:id="25"/>
      <w:r>
        <w:t xml:space="preserve">Tutkimusaineisto ja -metodi</w:t>
      </w:r>
    </w:p>
    <w:p>
      <w:pPr>
        <w:pStyle w:val="FirstParagraph"/>
      </w:pPr>
      <w:r>
        <w:t xml:space="preserve">Tutkimuksen ensimmäisessä vaiheessa aineistoon valikoidut tekstit analysoitiin</w:t>
      </w:r>
      <w:r>
        <w:t xml:space="preserve"> </w:t>
      </w:r>
      <w:r>
        <w:t xml:space="preserve">kappaleittain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siten, että jokaiselle kappaleelle merkittiin</w:t>
      </w:r>
      <w:r>
        <w:t xml:space="preserve"> </w:t>
      </w:r>
      <w:r>
        <w:t xml:space="preserve">topiikki eli se, mistä kappale kertoo (vrt. Lambrechtin määritelmä). Yhteensä</w:t>
      </w:r>
      <w:r>
        <w:t xml:space="preserve"> </w:t>
      </w:r>
      <w:r>
        <w:t xml:space="preserve">neljäkymmentä tekstiä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kattaneen kokeiluaineiston perusteella päätettiin</w:t>
      </w:r>
      <w:r>
        <w:t xml:space="preserve"> </w:t>
      </w:r>
      <w:r>
        <w:t xml:space="preserve">keskittyä</w:t>
      </w:r>
      <w:r>
        <w:t xml:space="preserve"> </w:t>
      </w:r>
      <w:r>
        <w:rPr>
          <w:i/>
        </w:rPr>
        <w:t xml:space="preserve">asumisesta</w:t>
      </w:r>
      <w:r>
        <w:t xml:space="preserve"> </w:t>
      </w:r>
      <w:r>
        <w:t xml:space="preserve">kertoviin kappaleisiin siitä syystä, että asumista</w:t>
      </w:r>
      <w:r>
        <w:t xml:space="preserve"> </w:t>
      </w:r>
      <w:r>
        <w:t xml:space="preserve">käsiteltiin lähes jokaisessa analysoidussa näytetekstissä ja että asuminen</w:t>
      </w:r>
      <w:r>
        <w:t xml:space="preserve"> </w:t>
      </w:r>
      <w:r>
        <w:t xml:space="preserve">aiheena havaittiin tavallisesti melko selvärajaiseksi. Koska tekstejä analysoi</w:t>
      </w:r>
      <w:r>
        <w:t xml:space="preserve"> </w:t>
      </w:r>
      <w:r>
        <w:t xml:space="preserve">kaksi eri henkilöä (kumpikin 20 tekstiä), näyteaineiston avulla testattiin</w:t>
      </w:r>
      <w:r>
        <w:t xml:space="preserve"> </w:t>
      </w:r>
      <w:r>
        <w:t xml:space="preserve">myös, kuinka samanlaisia tulkinnat kappaleiden aiheista olivat. (tähän joku</w:t>
      </w:r>
      <w:r>
        <w:t xml:space="preserve"> </w:t>
      </w:r>
      <w:r>
        <w:t xml:space="preserve">maininta niistä tuloksista).</w:t>
      </w:r>
    </w:p>
    <w:p>
      <w:pPr>
        <w:pStyle w:val="BodyText"/>
      </w:pPr>
      <w:r>
        <w:t xml:space="preserve">Kun kaikki tekstit kattava varsinainen kappalekohtainen analyysi saatiin</w:t>
      </w:r>
      <w:r>
        <w:t xml:space="preserve"> </w:t>
      </w:r>
      <w:r>
        <w:t xml:space="preserve">päätökseen, lopulliseksi aineistoksi muodostui 415</w:t>
      </w:r>
      <w:r>
        <w:t xml:space="preserve"> </w:t>
      </w:r>
      <w:r>
        <w:t xml:space="preserve">asumisesta kertovan kappaleen sisältävää tekstiä. Tekstit sinänsä ovat</w:t>
      </w:r>
      <w:r>
        <w:t xml:space="preserve"> </w:t>
      </w:r>
      <w:r>
        <w:t xml:space="preserve">keskimäärin 945 sanaa pitkiä ja sisältävät</w:t>
      </w:r>
      <w:r>
        <w:t xml:space="preserve"> </w:t>
      </w:r>
      <w:r>
        <w:t xml:space="preserve">kaiken kaikkiaan keskimäärin 13</w:t>
      </w:r>
      <w:r>
        <w:t xml:space="preserve"> </w:t>
      </w:r>
      <w:r>
        <w:t xml:space="preserve">kappaletta, joista vähintään yhden topiikiksi on edellä kuvatussa</w:t>
      </w:r>
      <w:r>
        <w:t xml:space="preserve"> </w:t>
      </w:r>
      <w:r>
        <w:t xml:space="preserve">tutkimusvaiheessa analysoitu asuminen.</w:t>
      </w:r>
    </w:p>
    <w:p>
      <w:pPr>
        <w:pStyle w:val="BodyText"/>
      </w:pPr>
      <w:r>
        <w:t xml:space="preserve">Asumisesta kertovien kappaleiden syntaktisesta rakenteesta saatiin yleiskuva</w:t>
      </w:r>
      <w:r>
        <w:t xml:space="preserve"> </w:t>
      </w:r>
      <w:r>
        <w:t xml:space="preserve">annotoimalla kappaleet koneellisesti dependenssijäsentimellä</w:t>
      </w:r>
      <w:r>
        <w:t xml:space="preserve"> </w:t>
      </w:r>
      <w:r>
        <w:t xml:space="preserve">(ks. Haverinen ym. 2014)</w:t>
      </w:r>
      <w:r>
        <w:t xml:space="preserve">. Koneellisesti tuotettu annotointi toimi lähtökohtana, kun</w:t>
      </w:r>
      <w:r>
        <w:t xml:space="preserve"> </w:t>
      </w:r>
      <w:r>
        <w:t xml:space="preserve">kappaleita ryhdyttiin luokittelemaan eri ryhmiin sen mukaan, miten niissä</w:t>
      </w:r>
      <w:r>
        <w:t xml:space="preserve"> </w:t>
      </w:r>
      <w:r>
        <w:t xml:space="preserve">indikoitiin asumistopiikkia. Luokittelu tapahtui seuraavien vaiheiden mukaisesti:</w:t>
      </w:r>
    </w:p>
    <w:p>
      <w:pPr>
        <w:pStyle w:val="Compact"/>
        <w:numPr>
          <w:numId w:val="1002"/>
          <w:ilvl w:val="0"/>
        </w:numPr>
      </w:pPr>
      <w:r>
        <w:t xml:space="preserve">Määriteltiin, että kaikista potentiaalisesti asumista indikoivista sanoista</w:t>
      </w:r>
      <w:r>
        <w:t xml:space="preserve"> </w:t>
      </w:r>
      <w:r>
        <w:t xml:space="preserve">otetaan mukaan ainoastaan varsinaiset asua-verbin johdokset, koska tämä oli</w:t>
      </w:r>
      <w:r>
        <w:t xml:space="preserve"> </w:t>
      </w:r>
      <w:r>
        <w:t xml:space="preserve">selvimmin rajattavissa oleva kategoria. Tarkasteltaessa</w:t>
      </w:r>
      <w:r>
        <w:t xml:space="preserve"> </w:t>
      </w:r>
      <w:r>
        <w:t xml:space="preserve">topiikki-indikaattoreita tarkasteltiin siis sitä, minkälaisissa rakenteissa</w:t>
      </w:r>
      <w:r>
        <w:t xml:space="preserve"> </w:t>
      </w:r>
      <w:r>
        <w:t xml:space="preserve">kunkin kappaleen ensimmäinen asua-johdos (kuten verbi</w:t>
      </w:r>
      <w:r>
        <w:t xml:space="preserve"> </w:t>
      </w:r>
      <w:r>
        <w:rPr>
          <w:i/>
        </w:rPr>
        <w:t xml:space="preserve">asua</w:t>
      </w:r>
      <w:r>
        <w:t xml:space="preserve"> </w:t>
      </w:r>
      <w:r>
        <w:t xml:space="preserve">tai substantiivit</w:t>
      </w:r>
      <w:r>
        <w:t xml:space="preserve"> </w:t>
      </w:r>
      <w:r>
        <w:rPr>
          <w:i/>
        </w:rPr>
        <w:t xml:space="preserve">asuminen</w:t>
      </w:r>
      <w:r>
        <w:t xml:space="preserve">,</w:t>
      </w:r>
      <w:r>
        <w:t xml:space="preserve"> </w:t>
      </w:r>
      <w:r>
        <w:rPr>
          <w:i/>
        </w:rPr>
        <w:t xml:space="preserve">asunto</w:t>
      </w:r>
      <w:r>
        <w:t xml:space="preserve">,</w:t>
      </w:r>
      <w:r>
        <w:t xml:space="preserve"> </w:t>
      </w:r>
      <w:r>
        <w:rPr>
          <w:i/>
        </w:rPr>
        <w:t xml:space="preserve">asuntoasia</w:t>
      </w:r>
      <w:r>
        <w:t xml:space="preserve">,</w:t>
      </w:r>
      <w:r>
        <w:t xml:space="preserve"> </w:t>
      </w:r>
      <w:r>
        <w:rPr>
          <w:i/>
        </w:rPr>
        <w:t xml:space="preserve">asuntomarkkinat</w:t>
      </w:r>
      <w:r>
        <w:t xml:space="preserve">) esiintyi.</w:t>
      </w:r>
    </w:p>
    <w:p>
      <w:pPr>
        <w:pStyle w:val="Compact"/>
        <w:numPr>
          <w:numId w:val="1002"/>
          <w:ilvl w:val="0"/>
        </w:numPr>
      </w:pPr>
      <w:r>
        <w:t xml:space="preserve">Jokaisesta kategoriasta valittiin tarkasteltavaksi puolet (tai vähintään x)</w:t>
      </w:r>
      <w:r>
        <w:t xml:space="preserve"> </w:t>
      </w:r>
      <w:r>
        <w:t xml:space="preserve">Tätä kautta mukaan valikoitui eniten niitä, joita… yms.</w:t>
      </w:r>
      <w:r>
        <w:t xml:space="preserve"> </w:t>
      </w:r>
      <w:r>
        <w:t xml:space="preserve">Tämä joukko analysoitiin siten, että mukaan otettiin vain tapaukset, joissa</w:t>
      </w:r>
      <w:r>
        <w:t xml:space="preserve"> </w:t>
      </w:r>
      <w:r>
        <w:t xml:space="preserve">tulkintamme mukaan toteutettiin alatopiikin funktiota.</w:t>
      </w:r>
    </w:p>
    <w:p>
      <w:pPr>
        <w:pStyle w:val="Compact"/>
        <w:numPr>
          <w:numId w:val="1002"/>
          <w:ilvl w:val="0"/>
        </w:numPr>
      </w:pPr>
      <w:r>
        <w:t xml:space="preserve">Kun jokaisesta syntaktisesta kategoriasta oli saatu kategorian suhteellisen</w:t>
      </w:r>
      <w:r>
        <w:t xml:space="preserve"> </w:t>
      </w:r>
      <w:r>
        <w:t xml:space="preserve">koon mukainen (tai suurin mahdollinen) määrä alatopiikkitapauksia, nämä</w:t>
      </w:r>
      <w:r>
        <w:t xml:space="preserve"> </w:t>
      </w:r>
      <w:r>
        <w:t xml:space="preserve">analysoitiin tarkemmin ja ryhmiteltiin eri tapauksiksi.</w:t>
      </w:r>
    </w:p>
    <w:p>
      <w:pPr>
        <w:pStyle w:val="FirstParagraph"/>
      </w:pPr>
      <w:r>
        <w:t xml:space="preserve">Analyysin varsinaiset tulokset kunkin syntaktisen kategorian osalta on kuvattu</w:t>
      </w:r>
      <w:r>
        <w:t xml:space="preserve"> </w:t>
      </w:r>
      <w:r>
        <w:t xml:space="preserve">tarkemmin seuraavassa.</w:t>
      </w:r>
    </w:p>
    <w:p>
      <w:pPr>
        <w:pStyle w:val="Heading1"/>
      </w:pPr>
      <w:bookmarkStart w:id="28" w:name="alatopiikkitapaukset-syntaktisten-kategorioiden-mukaan-ryhmiteltyina"/>
      <w:bookmarkEnd w:id="28"/>
      <w:r>
        <w:t xml:space="preserve">Alatopiikkitapaukset syntaktisten kategorioiden mukaan ryhmiteltyinä</w:t>
      </w:r>
    </w:p>
    <w:p>
      <w:pPr>
        <w:pStyle w:val="FirstParagraph"/>
      </w:pPr>
      <w:r>
        <w:t xml:space="preserve">Asua-verbi ja sen johdokset esiintyvät tutkimusaineistossa</w:t>
      </w:r>
      <w:r>
        <w:t xml:space="preserve"> </w:t>
      </w:r>
      <w:r>
        <w:t xml:space="preserve">tavallisimmin jo asumisesta kertovan kappaleen ensimmäisessä virkkeessä</w:t>
      </w:r>
      <w:r>
        <w:t xml:space="preserve"> </w:t>
      </w:r>
      <w:r>
        <w:t xml:space="preserve">(81,45 % tapauksista).</w:t>
      </w:r>
      <w:r>
        <w:t xml:space="preserve"> </w:t>
      </w:r>
      <w:r>
        <w:t xml:space="preserve">Juuri nämä ovat myös potentiaalisimpia kohteita alatopiikin esiintymisen kannalta,</w:t>
      </w:r>
      <w:r>
        <w:t xml:space="preserve"> </w:t>
      </w:r>
      <w:r>
        <w:t xml:space="preserve">minkä takia edellisessä osiossa kuvattu satunnaisotanta päätettiin kohdistaa näihin tapauksiin.</w:t>
      </w:r>
      <w:r>
        <w:t xml:space="preserve"> </w:t>
      </w:r>
      <w:r>
        <w:t xml:space="preserve">Lopputuloksena oli kaiken kaikkiaan 338</w:t>
      </w:r>
      <w:r>
        <w:t xml:space="preserve"> </w:t>
      </w:r>
      <w:r>
        <w:t xml:space="preserve">asumisesta kertovan kappaleen sisältävää tekstiä. Näissä itse asua-johdoksen</w:t>
      </w:r>
      <w:r>
        <w:t xml:space="preserve"> </w:t>
      </w:r>
      <w:r>
        <w:t xml:space="preserve">syntaktinen kategoria eli jäsentimen sille asettama dependenssirooli vaihteli</w:t>
      </w:r>
      <w:r>
        <w:t xml:space="preserve"> </w:t>
      </w:r>
      <w:r>
        <w:t xml:space="preserve">kuvion 1 mukaisesti:</w:t>
      </w:r>
    </w:p>
    <w:p>
      <w:pPr>
        <w:pStyle w:val="FigureWithCaption"/>
      </w:pPr>
      <w:r>
        <w:drawing>
          <wp:inline>
            <wp:extent cx="2772075" cy="1848050"/>
            <wp:effectExtent b="0" l="0" r="0" t="0"/>
            <wp:docPr descr="Kuvio 1: Asua-johdosten jakautuminen eri syntaktisiin kategorioihin." title="" id="1" name="Picture"/>
            <a:graphic>
              <a:graphicData uri="http://schemas.openxmlformats.org/drawingml/2006/picture">
                <pic:pic>
                  <pic:nvPicPr>
                    <pic:cNvPr descr="/home/juho/projects/100-tapaa-indikoida-topiikkia/output/koko_artikkeli_files/figure-docx/deproles.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Kuvio 1: Asua-johdosten jakautuminen eri syntaktisiin kategorioihin.</w:t>
      </w:r>
    </w:p>
    <w:p>
      <w:pPr>
        <w:pStyle w:val="BodyText"/>
      </w:pPr>
      <w:r>
        <w:t xml:space="preserve">Kuvion 1 mukaan tavallisin asumista</w:t>
      </w:r>
      <w:r>
        <w:t xml:space="preserve"> </w:t>
      </w:r>
      <w:r>
        <w:t xml:space="preserve">ilmaisevan topiikki-indikaattorin dependenssirooli on edellä kuvatulla tavalla</w:t>
      </w:r>
      <w:r>
        <w:t xml:space="preserve"> </w:t>
      </w:r>
      <w:r>
        <w:t xml:space="preserve">rajatussa tutkimusaineistossa objekti (</w:t>
      </w:r>
      <w:r>
        <w:rPr>
          <w:i/>
        </w:rPr>
        <w:t xml:space="preserve">dobj</w:t>
      </w:r>
      <w:r>
        <w:t xml:space="preserve">). Jonkin verran muista kategorioista</w:t>
      </w:r>
      <w:r>
        <w:t xml:space="preserve"> </w:t>
      </w:r>
      <w:r>
        <w:t xml:space="preserve">erottuvat myös predikaattiverbit (</w:t>
      </w:r>
      <w:r>
        <w:rPr>
          <w:i/>
        </w:rPr>
        <w:t xml:space="preserve">root</w:t>
      </w:r>
      <w:r>
        <w:t xml:space="preserve">) sekä tarkemmin määrittelemättömät</w:t>
      </w:r>
      <w:r>
        <w:t xml:space="preserve"> </w:t>
      </w:r>
      <w:r>
        <w:t xml:space="preserve">adverbiaalit (</w:t>
      </w:r>
      <w:r>
        <w:rPr>
          <w:i/>
        </w:rPr>
        <w:t xml:space="preserve">nmod</w:t>
      </w:r>
      <w:r>
        <w:t xml:space="preserve">). Eri kategorioista tutkittaviksi valikoitujen tapausten</w:t>
      </w:r>
      <w:r>
        <w:t xml:space="preserve"> </w:t>
      </w:r>
      <w:r>
        <w:t xml:space="preserve">määrä on esitetty taulukossa 1:</w:t>
      </w:r>
    </w:p>
    <w:p>
      <w:pPr>
        <w:pStyle w:val="TableCaption"/>
      </w:pPr>
      <w:r>
        <w:t xml:space="preserve">Taulukko 1: Syntaktiset kategoriat ja satunnaisotannan koko</w:t>
      </w:r>
    </w:p>
    <w:tbl>
      <w:tblPr>
        <w:tblStyle w:val="TableNormal"/>
        <w:tblW w:type="pct" w:w="0.0"/>
        <w:tblLook w:firstRow="1"/>
        <w:tblCaption w:val="Taulukko 1: Syntaktiset kategoriat ja satunnaisotannan kok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Yht.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Otanta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dobj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nmod:gobj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nsubj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nmod:poss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nsubj:cop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Muu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2"/>
      </w:pPr>
      <w:bookmarkStart w:id="30" w:name="predikaattiverbit"/>
      <w:bookmarkEnd w:id="30"/>
      <w:r>
        <w:t xml:space="preserve">Predikaattiverbit</w:t>
      </w:r>
    </w:p>
    <w:p>
      <w:pPr>
        <w:pStyle w:val="FirstParagraph"/>
      </w:pPr>
      <w:r>
        <w:t xml:space="preserve">Predikaattiverbitapaukset ovat harvoin..</w:t>
      </w:r>
    </w:p>
    <w:p>
      <w:pPr>
        <w:pStyle w:val="Heading2"/>
      </w:pPr>
      <w:bookmarkStart w:id="31" w:name="objektit"/>
      <w:bookmarkEnd w:id="31"/>
      <w:r>
        <w:t xml:space="preserve">Objektit</w:t>
      </w:r>
    </w:p>
    <w:p>
      <w:pPr>
        <w:pStyle w:val="Heading2"/>
      </w:pPr>
      <w:bookmarkStart w:id="32" w:name="jne"/>
      <w:bookmarkEnd w:id="32"/>
      <w:r>
        <w:t xml:space="preserve">jne</w:t>
      </w:r>
    </w:p>
    <w:p>
      <w:pPr>
        <w:pStyle w:val="Heading1"/>
      </w:pPr>
      <w:bookmarkStart w:id="33" w:name="paatelmia"/>
      <w:bookmarkEnd w:id="33"/>
      <w:r>
        <w:t xml:space="preserve">Päätelmiä</w:t>
      </w:r>
    </w:p>
    <w:p>
      <w:pPr>
        <w:pStyle w:val="Compact"/>
        <w:numPr>
          <w:numId w:val="1003"/>
          <w:ilvl w:val="0"/>
        </w:numPr>
      </w:pPr>
      <w:r>
        <w:t xml:space="preserve">Kuinka monta eri tapaa oikeasti löydettiin?</w:t>
      </w:r>
    </w:p>
    <w:p>
      <w:pPr>
        <w:pStyle w:val="Compact"/>
        <w:numPr>
          <w:numId w:val="1003"/>
          <w:ilvl w:val="0"/>
        </w:numPr>
      </w:pPr>
      <w:r>
        <w:t xml:space="preserve">mihin tällaista voisi soveltaa?</w:t>
      </w:r>
    </w:p>
    <w:p>
      <w:pPr>
        <w:pStyle w:val="Compact"/>
        <w:numPr>
          <w:numId w:val="1003"/>
          <w:ilvl w:val="0"/>
        </w:numPr>
      </w:pPr>
      <w:r>
        <w:t xml:space="preserve">mitä voidaan sanoa tekstilajista / kirjoittajista / yms.?</w:t>
      </w:r>
    </w:p>
    <w:p>
      <w:pPr>
        <w:pStyle w:val="Heading1"/>
      </w:pPr>
      <w:bookmarkStart w:id="34" w:name="lahteet"/>
      <w:bookmarkEnd w:id="34"/>
      <w:r>
        <w:t xml:space="preserve">Lähteet</w:t>
      </w:r>
    </w:p>
    <w:p>
      <w:pPr>
        <w:pStyle w:val="Bibliography"/>
      </w:pPr>
      <w:r>
        <w:t xml:space="preserve">Haverinen, Katri, Jenna Nyblom, Timo Viljanen, Veronika Laippala, Samuel Kohonen, Anna Missilä, Stina Ojala, Tapio Salakoski &amp; Filip Ginter 2014. Building the essential resources for Finnish: the Turku Dependency Treebank.</w:t>
      </w:r>
      <w:r>
        <w:t xml:space="preserve"> </w:t>
      </w:r>
      <w:r>
        <w:rPr>
          <w:i/>
        </w:rPr>
        <w:t xml:space="preserve">Language Resources and Evaluation</w:t>
      </w:r>
      <w:r>
        <w:t xml:space="preserve"> </w:t>
      </w:r>
      <w:r>
        <w:t xml:space="preserve">48:3, 1–39.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Käyttäen kirjoittajien itsensä tekemeää kappaleiden ortografista</w:t>
      </w:r>
      <w:r>
        <w:t xml:space="preserve"> </w:t>
      </w:r>
      <w:r>
        <w:t xml:space="preserve">erottelua.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Tarkista määrä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c031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e923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e682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 ja yksi tapaa ilmaista topiikkia</dc:title>
  <dc:creator>Kirsi Sandberg &amp; Juho Härme</dc:creator>
  <dcterms:created xsi:type="dcterms:W3CDTF">2017-12-20T05:48:34Z</dcterms:created>
  <dcterms:modified xsi:type="dcterms:W3CDTF">2017-12-20T05:48:34Z</dcterms:modified>
</cp:coreProperties>
</file>