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Ryhmien yleisrakenne on kuvattu seuraavassa taulukossa:</w:t>
      </w:r>
    </w:p>
    <w:tbl>
      <w:tblPr>
        <w:tblStyle w:val="TableNormal"/>
        <w:tblW w:type="pct" w:w="4583.333333333333"/>
        <w:tblLook w:firstRow="1"/>
      </w:tblPr>
      <w:tblGrid>
        <w:gridCol w:w="3630"/>
        <w:gridCol w:w="3630"/>
      </w:tblGrid>
      <w:tr>
        <w:trPr>
          <w:cnfStyle w:firstRow="1"/>
        </w:trPr>
        <w:tc>
          <w:tcPr>
            <w:tcBorders>
              <w:bottom w:val="single"/>
            </w:tcBorders>
            <w:vAlign w:val="bottom"/>
          </w:tcPr>
          <w:p>
            <w:pPr>
              <w:pStyle w:val="Compact"/>
              <w:jc w:val="left"/>
            </w:pPr>
            <w:r>
              <w:t xml:space="preserve">Nimi</w:t>
            </w:r>
          </w:p>
        </w:tc>
        <w:tc>
          <w:tcPr>
            <w:tcBorders>
              <w:bottom w:val="single"/>
            </w:tcBorders>
            <w:vAlign w:val="bottom"/>
          </w:tcPr>
          <w:p>
            <w:pPr>
              <w:pStyle w:val="Compact"/>
              <w:jc w:val="left"/>
            </w:pPr>
            <w:r>
              <w:t xml:space="preserve">Kuvaus</w:t>
            </w:r>
          </w:p>
        </w:tc>
      </w:tr>
      <w:tr>
        <w:tc>
          <w:p>
            <w:pPr>
              <w:pStyle w:val="Compact"/>
              <w:jc w:val="left"/>
            </w:pPr>
            <w:r>
              <w:t xml:space="preserve">Linkki</w:t>
            </w:r>
          </w:p>
        </w:tc>
        <w:tc>
          <w:p>
            <w:pPr>
              <w:pStyle w:val="Compact"/>
              <w:jc w:val="left"/>
            </w:pPr>
            <w:r>
              <w:t xml:space="preserve">Indikaattorin merkitys on</w:t>
            </w:r>
            <w:r>
              <w:t xml:space="preserve"> </w:t>
            </w:r>
            <w:r>
              <w:t xml:space="preserve">kiinnittynyt aikasempaan</w:t>
            </w:r>
            <w:r>
              <w:t xml:space="preserve"> </w:t>
            </w:r>
            <w:r>
              <w:t xml:space="preserve">tekstiin (joko edelliseen tai</w:t>
            </w:r>
            <w:r>
              <w:t xml:space="preserve"> </w:t>
            </w:r>
            <w:r>
              <w:t xml:space="preserve">sitä aikaisempaan</w:t>
            </w:r>
            <w:r>
              <w:t xml:space="preserve"> </w:t>
            </w:r>
            <w:r>
              <w:t xml:space="preserve">kappaleeseen)</w:t>
            </w:r>
          </w:p>
        </w:tc>
      </w:tr>
      <w:tr>
        <w:tc>
          <w:p>
            <w:pPr>
              <w:pStyle w:val="Compact"/>
              <w:jc w:val="left"/>
            </w:pPr>
            <w:r>
              <w:t xml:space="preserve">Yliopisto (maggy) tarjosi</w:t>
            </w:r>
          </w:p>
        </w:tc>
        <w:tc>
          <w:p>
            <w:pPr>
              <w:pStyle w:val="Compact"/>
              <w:jc w:val="left"/>
            </w:pPr>
            <w:r>
              <w:t xml:space="preserve">huomio kohdistetaan johonkin</w:t>
            </w:r>
            <w:r>
              <w:t xml:space="preserve"> </w:t>
            </w:r>
            <w:r>
              <w:t xml:space="preserve">ulkoiseen agenttiin</w:t>
            </w:r>
          </w:p>
        </w:tc>
      </w:tr>
      <w:tr>
        <w:tc>
          <w:p>
            <w:pPr>
              <w:pStyle w:val="Compact"/>
              <w:jc w:val="left"/>
            </w:pPr>
            <w:r>
              <w:t xml:space="preserve">Kontrasti</w:t>
            </w:r>
          </w:p>
        </w:tc>
        <w:tc>
          <w:p>
            <w:pPr>
              <w:pStyle w:val="Compact"/>
              <w:jc w:val="left"/>
            </w:pPr>
            <w:r>
              <w:t xml:space="preserve">Minä itse vs. muut tai muiden</w:t>
            </w:r>
            <w:r>
              <w:t xml:space="preserve"> </w:t>
            </w:r>
            <w:r>
              <w:t xml:space="preserve">vastaavat kokemukset</w:t>
            </w:r>
          </w:p>
        </w:tc>
      </w:tr>
      <w:tr>
        <w:tc>
          <w:p>
            <w:pPr>
              <w:pStyle w:val="Compact"/>
              <w:jc w:val="left"/>
            </w:pPr>
            <w:r>
              <w:t xml:space="preserve">Suurin osa opiskelijoista</w:t>
            </w:r>
          </w:p>
        </w:tc>
        <w:tc>
          <w:p>
            <w:pPr>
              <w:pStyle w:val="Compact"/>
              <w:jc w:val="left"/>
            </w:pPr>
            <w:r>
              <w:t xml:space="preserve">Kuvataan sitä, miten yleensä</w:t>
            </w:r>
            <w:r>
              <w:t xml:space="preserve"> </w:t>
            </w:r>
            <w:r>
              <w:t xml:space="preserve">tehdään X tai suurin osa tekee</w:t>
            </w:r>
            <w:r>
              <w:t xml:space="preserve"> </w:t>
            </w:r>
            <w:r>
              <w:t xml:space="preserve">X</w:t>
            </w:r>
          </w:p>
        </w:tc>
      </w:tr>
      <w:tr>
        <w:tc>
          <w:p>
            <w:pPr>
              <w:pStyle w:val="Compact"/>
              <w:jc w:val="left"/>
            </w:pPr>
            <w:r>
              <w:t xml:space="preserve">Selkeät yksittäiseen</w:t>
            </w:r>
            <w:r>
              <w:t xml:space="preserve"> </w:t>
            </w:r>
            <w:r>
              <w:t xml:space="preserve">tapahtumaan keskittyvät</w:t>
            </w:r>
            <w:r>
              <w:t xml:space="preserve"> </w:t>
            </w:r>
            <w:r>
              <w:t xml:space="preserve">narratiivit</w:t>
            </w:r>
          </w:p>
        </w:tc>
        <w:tc>
          <w:p>
            <w:pPr>
              <w:pStyle w:val="Compact"/>
              <w:jc w:val="left"/>
            </w:pPr>
            <w:r>
              <w:t xml:space="preserve">Johdatellaan aiheeseen</w:t>
            </w:r>
            <w:r>
              <w:t xml:space="preserve"> </w:t>
            </w:r>
            <w:r>
              <w:t xml:space="preserve">kertomalla jokin konkreettinen</w:t>
            </w:r>
            <w:r>
              <w:t xml:space="preserve"> </w:t>
            </w:r>
            <w:r>
              <w:t xml:space="preserve">tapahtuma tai episodi</w:t>
            </w:r>
          </w:p>
        </w:tc>
      </w:tr>
      <w:tr>
        <w:tc>
          <w:p>
            <w:pPr>
              <w:pStyle w:val="Compact"/>
              <w:jc w:val="left"/>
            </w:pPr>
            <w:r>
              <w:t xml:space="preserve">oma kokemus</w:t>
            </w:r>
          </w:p>
        </w:tc>
        <w:tc>
          <w:p>
            <w:pPr>
              <w:pStyle w:val="Compact"/>
              <w:jc w:val="left"/>
            </w:pPr>
            <w:r>
              <w:t xml:space="preserve">Jakaa lukijalle maailmantietoa</w:t>
            </w:r>
            <w:r>
              <w:t xml:space="preserve"> </w:t>
            </w:r>
            <w:r>
              <w:t xml:space="preserve">käsiteltävästä asiasta</w:t>
            </w:r>
            <w:r>
              <w:t xml:space="preserve"> </w:t>
            </w:r>
            <w:r>
              <w:t xml:space="preserve">kirjoittajan omana</w:t>
            </w:r>
            <w:r>
              <w:t xml:space="preserve"> </w:t>
            </w:r>
            <w:r>
              <w:t xml:space="preserve">näkemyksenä.</w:t>
            </w:r>
          </w:p>
        </w:tc>
      </w:tr>
      <w:tr>
        <w:tc>
          <w:p>
            <w:pPr>
              <w:pStyle w:val="Compact"/>
              <w:jc w:val="left"/>
            </w:pPr>
            <w:r>
              <w:t xml:space="preserve">yleistys</w:t>
            </w:r>
          </w:p>
        </w:tc>
        <w:tc>
          <w:p>
            <w:pPr>
              <w:pStyle w:val="Compact"/>
              <w:jc w:val="left"/>
            </w:pPr>
            <w:r>
              <w:t xml:space="preserve">Jakaa lukijalle maailmantietoa</w:t>
            </w:r>
            <w:r>
              <w:t xml:space="preserve"> </w:t>
            </w:r>
            <w:r>
              <w:t xml:space="preserve">käsiteltävästä asiasta.</w:t>
            </w:r>
          </w:p>
        </w:tc>
      </w:tr>
      <w:tr>
        <w:tc>
          <w:p>
            <w:pPr>
              <w:pStyle w:val="Compact"/>
              <w:jc w:val="left"/>
            </w:pPr>
            <w:r>
              <w:t xml:space="preserve">asuin paikassa x</w:t>
            </w:r>
          </w:p>
        </w:tc>
        <w:tc>
          <w:p>
            <w:pPr>
              <w:pStyle w:val="Compact"/>
              <w:jc w:val="left"/>
            </w:pPr>
            <w:r>
              <w:t xml:space="preserve">topiikki indikoidaan</w:t>
            </w:r>
            <w:r>
              <w:t xml:space="preserve"> </w:t>
            </w:r>
            <w:r>
              <w:t xml:space="preserve">predikaatilla</w:t>
            </w:r>
          </w:p>
        </w:tc>
      </w:tr>
      <w:tr>
        <w:tc>
          <w:p>
            <w:pPr>
              <w:pStyle w:val="Compact"/>
              <w:jc w:val="left"/>
            </w:pPr>
            <w:r>
              <w:t xml:space="preserve">Ennakoivat</w:t>
            </w:r>
          </w:p>
        </w:tc>
        <w:tc>
          <w:p>
            <w:pPr>
              <w:pStyle w:val="Compact"/>
              <w:jc w:val="left"/>
            </w:pPr>
            <w:r>
              <w:t xml:space="preserve">Ennakoidaan käsiteltävää</w:t>
            </w:r>
            <w:r>
              <w:t xml:space="preserve"> </w:t>
            </w:r>
            <w:r>
              <w:t xml:space="preserve">asiaa, usein käytetään</w:t>
            </w:r>
            <w:r>
              <w:t xml:space="preserve"> </w:t>
            </w:r>
            <w:r>
              <w:t xml:space="preserve">pluskvamperfektiä.</w:t>
            </w:r>
          </w:p>
        </w:tc>
      </w:tr>
      <w:tr>
        <w:tc>
          <w:p>
            <w:pPr>
              <w:pStyle w:val="Compact"/>
              <w:jc w:val="left"/>
            </w:pPr>
            <w:r>
              <w:t xml:space="preserve">ennakoivien ja predikoivien</w:t>
            </w:r>
            <w:r>
              <w:t xml:space="preserve"> </w:t>
            </w:r>
            <w:r>
              <w:t xml:space="preserve">välimaasto</w:t>
            </w:r>
          </w:p>
        </w:tc>
        <w:tc>
          <w:p>
            <w:pPr>
              <w:pStyle w:val="Compact"/>
              <w:jc w:val="left"/>
            </w:pPr>
            <w:r>
              <w:t xml:space="preserve">Ovat sekoitus ennakoivaa ja</w:t>
            </w:r>
            <w:r>
              <w:t xml:space="preserve"> </w:t>
            </w:r>
            <w:r>
              <w:t xml:space="preserve">predikoivaa ryhmää</w:t>
            </w:r>
          </w:p>
        </w:tc>
      </w:tr>
      <w:tr>
        <w:tc>
          <w:p>
            <w:pPr>
              <w:pStyle w:val="Compact"/>
              <w:jc w:val="left"/>
            </w:pPr>
            <w:r>
              <w:t xml:space="preserve">Listamaiset</w:t>
            </w:r>
          </w:p>
        </w:tc>
        <w:tc>
          <w:p>
            <w:pPr>
              <w:pStyle w:val="Compact"/>
              <w:jc w:val="left"/>
            </w:pPr>
            <w:r>
              <w:t xml:space="preserve">Asiaa käsitellään</w:t>
            </w:r>
            <w:r>
              <w:t xml:space="preserve"> </w:t>
            </w:r>
            <w:r>
              <w:t xml:space="preserve">sekventiaalisesti, ikään kuin</w:t>
            </w:r>
            <w:r>
              <w:t xml:space="preserve"> </w:t>
            </w:r>
            <w:r>
              <w:t xml:space="preserve">yhtenä monesta listan osasta.</w:t>
            </w:r>
          </w:p>
        </w:tc>
      </w:tr>
      <w:tr>
        <w:tc>
          <w:p>
            <w:pPr>
              <w:pStyle w:val="Compact"/>
              <w:jc w:val="left"/>
            </w:pPr>
            <w:r>
              <w:t xml:space="preserve">asunnon ja asumisen staattinen</w:t>
            </w:r>
            <w:r>
              <w:t xml:space="preserve"> </w:t>
            </w:r>
            <w:r>
              <w:t xml:space="preserve">kuvailu</w:t>
            </w:r>
          </w:p>
        </w:tc>
        <w:tc>
          <w:p>
            <w:pPr>
              <w:pStyle w:val="Compact"/>
              <w:jc w:val="left"/>
            </w:pPr>
            <w:r>
              <w:t xml:space="preserve">Kuvaavat staattisesti</w:t>
            </w:r>
            <w:r>
              <w:t xml:space="preserve"> </w:t>
            </w:r>
            <w:r>
              <w:t xml:space="preserve">käsiteltävää aihetta, jotain</w:t>
            </w:r>
            <w:r>
              <w:t xml:space="preserve"> </w:t>
            </w:r>
            <w:r>
              <w:t xml:space="preserve">sen ominaisuutta / sijaintia</w:t>
            </w:r>
            <w:r>
              <w:t xml:space="preserve"> </w:t>
            </w:r>
            <w:r>
              <w:t xml:space="preserve">yms.</w:t>
            </w:r>
          </w:p>
        </w:tc>
      </w:tr>
      <w:tr>
        <w:tc>
          <w:p>
            <w:pPr>
              <w:pStyle w:val="Compact"/>
              <w:jc w:val="left"/>
            </w:pPr>
            <w:r>
              <w:t xml:space="preserve">pari sanaa asumisesta</w:t>
            </w:r>
          </w:p>
        </w:tc>
        <w:tc>
          <w:p>
            <w:pPr>
              <w:pStyle w:val="Compact"/>
              <w:jc w:val="left"/>
            </w:pPr>
            <w:r>
              <w:t xml:space="preserve">Jollain kielellisellä</w:t>
            </w:r>
            <w:r>
              <w:t xml:space="preserve"> </w:t>
            </w:r>
            <w:r>
              <w:t xml:space="preserve">kliseellä johdatetaan, että</w:t>
            </w:r>
            <w:r>
              <w:t xml:space="preserve"> </w:t>
            </w:r>
            <w:r>
              <w:t xml:space="preserve">tulee uusi aihe</w:t>
            </w:r>
          </w:p>
        </w:tc>
      </w:tr>
    </w:tbl>
    <w:p>
      <w:pPr>
        <w:pStyle w:val="BodyText"/>
      </w:pPr>
      <w:r>
        <w:t xml:space="preserve">Taulukko 1: Laadullisen analyysin tuloksena saadut ryhmät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3"/>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aa8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e61e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fd27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2018-01-15T06:39:13Z</dcterms:created>
  <dcterms:modified xsi:type="dcterms:W3CDTF">2018-01-15T06:39:13Z</dcterms:modified>
</cp:coreProperties>
</file>