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2"/>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BodyText"/>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3"/>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BodyText"/>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4"/>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BodyText"/>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5"/>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6"/>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7"/>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BodyText"/>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08"/>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BodyText"/>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09"/>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0"/>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BodyText"/>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1"/>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BodyText"/>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2"/>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BodyText"/>
      </w:pPr>
      <w:r>
        <w:t xml:space="preserve">Laadullisessa analyysissa luokiteltiin omaksi pieneksi ryhmäkseen</w:t>
      </w:r>
      <w:r>
        <w:t xml:space="preserve"> </w:t>
      </w:r>
      <w:r>
        <w:t xml:space="preserve">myös esimerkin 12 kaltaiset 5 tapausta:</w:t>
      </w:r>
    </w:p>
    <w:p>
      <w:pPr>
        <w:pStyle w:val="Compact"/>
        <w:numPr>
          <w:numId w:val="1013"/>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BodyText"/>
      </w:pPr>
      <w:r>
        <w:t xml:space="preserve">Pienimmän mutta silti tarkastelemisen arvoisen ryhmän aineistossamme muodostivat</w:t>
      </w:r>
      <w:r>
        <w:t xml:space="preserve"> </w:t>
      </w:r>
      <w:r>
        <w:t xml:space="preserve">esimerkki 13 ja kolme muuta vastaavaa tapausta:</w:t>
      </w:r>
    </w:p>
    <w:p>
      <w:pPr>
        <w:pStyle w:val="Compact"/>
        <w:numPr>
          <w:numId w:val="1014"/>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BodyText"/>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puu"/>
      <w:bookmarkEnd w:id="30"/>
      <w:r>
        <w:t xml:space="preserve">Puu</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seuraavan ehdollisen luokittelupuuanalyysin</w:t>
      </w:r>
      <w:r>
        <w:t xml:space="preserve"> </w:t>
      </w:r>
      <w:r>
        <w:t xml:space="preserve">avulla.</w:t>
      </w:r>
    </w:p>
    <w:p>
      <w:pPr>
        <w:pStyle w:val="BodyText"/>
      </w:pPr>
      <w:r>
        <w:t xml:space="preserve">Ehdollisissa luokittelupuissa (</w:t>
      </w:r>
      <w:r>
        <w:rPr>
          <w:i/>
        </w:rPr>
        <w:t xml:space="preserve">conditional inference tree</w:t>
      </w:r>
      <w:r>
        <w:t xml:space="preserve">)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15"/>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1</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15"/>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15"/>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15"/>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15"/>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15"/>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luokittelupuu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3 (tilan</w:t>
      </w:r>
      <w:r>
        <w:t xml:space="preserve"> </w:t>
      </w:r>
      <w:r>
        <w:t xml:space="preserve">säästämiseksi kuvio on esitetty kierrettynä vaakatasoon).</w:t>
      </w:r>
    </w:p>
    <w:p>
      <w:pPr>
        <w:pStyle w:val="FigureWithCaption"/>
      </w:pPr>
      <w:r>
        <w:drawing>
          <wp:inline>
            <wp:extent cx="5334000" cy="3809999"/>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6-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eri selittävien muuttujien vaikutuksen selitettävään</w:t>
      </w:r>
      <w:r>
        <w:t xml:space="preserve"> </w:t>
      </w:r>
      <w:r>
        <w:t xml:space="preserve">muuttujaan sarjana päätöksiä (kuvan ympyränmuotoiset noodit), jotka on numeroitu</w:t>
      </w:r>
      <w:r>
        <w:t xml:space="preserve"> </w:t>
      </w:r>
      <w:r>
        <w:t xml:space="preserve">yhdestä 19:ään, esimerkiksi:</w:t>
      </w:r>
      <w:r>
        <w:t xml:space="preserve"> </w:t>
      </w:r>
      <w:r>
        <w:rPr>
          <w:i/>
        </w:rPr>
        <w:t xml:space="preserve">jos jonkin aineiston tapauksen dependenssirooli</w:t>
      </w:r>
      <w:r>
        <w:rPr>
          <w:i/>
        </w:rPr>
        <w:t xml:space="preserve"> </w:t>
      </w:r>
      <w:r>
        <w:rPr>
          <w:i/>
        </w:rPr>
        <w:t xml:space="preserve">on predikaatti (noodi 1) ja 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BodyText"/>
      </w:pPr>
      <w:r>
        <w:t xml:space="preserve">Oleellista tässä esitetyssä luokitteluanalyysissä on, että vaikka itse</w:t>
      </w:r>
      <w:r>
        <w:t xml:space="preserve"> </w:t>
      </w:r>
      <w:r>
        <w:t xml:space="preserve">luokittelu ryhmiin tehtiin puhtaasti kirjoittajien tulkinnan</w:t>
      </w:r>
      <w:r>
        <w:t xml:space="preserve"> </w:t>
      </w:r>
      <w:r>
        <w:t xml:space="preserve">perusteella ja kustakin ryhmästä annettiin edellä funktionaalinen kuvaus,</w:t>
      </w:r>
      <w:r>
        <w:t xml:space="preserve"> </w:t>
      </w:r>
      <w:r>
        <w:t xml:space="preserve">on ryhmäiä mahdollista kuvailla melko pitkälle myös suoraviivaisten</w:t>
      </w:r>
      <w:r>
        <w:t xml:space="preserve"> </w:t>
      </w:r>
      <w:r>
        <w:t xml:space="preserve">rakenteellisten ominaisuuksien valossa. Karkeasti ottaen</w:t>
      </w:r>
      <w:r>
        <w:t xml:space="preserve"> </w:t>
      </w:r>
      <w:r>
        <w:t xml:space="preserve">voidaan todeta, että laadullisen analyysin tuloksena laadituista</w:t>
      </w:r>
      <w:r>
        <w:t xml:space="preserve"> </w:t>
      </w:r>
      <w:r>
        <w:t xml:space="preserve">kolmestatoista ryhmästä 7 pystytään päättelemään</w:t>
      </w:r>
      <w:r>
        <w:t xml:space="preserve"> </w:t>
      </w:r>
      <w:r>
        <w:t xml:space="preserve">myös indikaattorisanaan ja sen ympäristöön liittyvien</w:t>
      </w:r>
      <w:r>
        <w:t xml:space="preserve"> </w:t>
      </w:r>
      <w:r>
        <w:t xml:space="preserve">rakenteellisten ominaisuuksien perusteella.</w:t>
      </w:r>
      <w:r>
        <w:t xml:space="preserve"> </w:t>
      </w:r>
      <w:r>
        <w:t xml:space="preserve">Nämä ryhmät ja niihin johtavat päättelyketjut on</w:t>
      </w:r>
      <w:r>
        <w:t xml:space="preserve"> </w:t>
      </w:r>
      <w:r>
        <w:t xml:space="preserve">esitetty taulukossa :</w:t>
      </w:r>
    </w:p>
    <w:tbl>
      <w:tblPr>
        <w:tblStyle w:val="TableNormal"/>
        <w:tblW w:type="pct" w:w="4652.777777777778"/>
        <w:tblLook w:firstRow="1"/>
      </w:tblPr>
      <w:tblGrid>
        <w:gridCol w:w="880"/>
        <w:gridCol w:w="3410"/>
        <w:gridCol w:w="3080"/>
      </w:tblGrid>
      <w:tr>
        <w:trPr>
          <w:cnfStyle w:firstRow="1"/>
        </w:trPr>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päättelyketju</w:t>
            </w:r>
          </w:p>
        </w:tc>
        <w:tc>
          <w:tcPr>
            <w:tcBorders>
              <w:bottom w:val="single"/>
            </w:tcBorders>
            <w:vAlign w:val="bottom"/>
          </w:tcPr>
          <w:p>
            <w:pPr>
              <w:pStyle w:val="Compact"/>
              <w:jc w:val="left"/>
            </w:pPr>
            <w:r>
              <w:t xml:space="preserve">luokittelupuun.loppunoodit</w:t>
            </w:r>
          </w:p>
        </w:tc>
      </w:tr>
      <w:tr>
        <w:tc>
          <w:p>
            <w:pPr>
              <w:pStyle w:val="Compact"/>
              <w:jc w:val="left"/>
            </w:pPr>
            <w:r>
              <w:t xml:space="preserve">1</w:t>
            </w:r>
          </w:p>
        </w:tc>
        <w:tc>
          <w:p>
            <w:pPr>
              <w:pStyle w:val="Compact"/>
              <w:jc w:val="left"/>
            </w:pPr>
            <w:r>
              <w:t xml:space="preserve">Indikaattorisana ei</w:t>
            </w:r>
            <w:r>
              <w:t xml:space="preserve"> </w:t>
            </w:r>
            <w:r>
              <w:t xml:space="preserve">predikaattiverbi → ei</w:t>
            </w:r>
            <w:r>
              <w:t xml:space="preserve"> </w:t>
            </w:r>
            <w:r>
              <w:t xml:space="preserve">eksplisiisiittistä sidosta</w:t>
            </w:r>
            <w:r>
              <w:t xml:space="preserve"> </w:t>
            </w:r>
            <w:r>
              <w:t xml:space="preserve">edeltävään tekstiin →</w:t>
            </w:r>
            <w:r>
              <w:t xml:space="preserve"> </w:t>
            </w:r>
            <w:r>
              <w:t xml:space="preserve">aikamuoto imperfekti →</w:t>
            </w:r>
            <w:r>
              <w:t xml:space="preserve"> </w:t>
            </w:r>
            <w:r>
              <w:t xml:space="preserve">dependenssirooli ei subj →</w:t>
            </w:r>
            <w:r>
              <w:t xml:space="preserve"> </w:t>
            </w:r>
            <w:r>
              <w:t xml:space="preserve">verbi 1. pers</w:t>
            </w:r>
          </w:p>
        </w:tc>
        <w:tc>
          <w:p>
            <w:pPr>
              <w:pStyle w:val="Compact"/>
              <w:jc w:val="left"/>
            </w:pPr>
            <w:r>
              <w:t xml:space="preserve">7</w:t>
            </w:r>
          </w:p>
        </w:tc>
      </w:tr>
      <w:tr>
        <w:tc>
          <w:p>
            <w:pPr>
              <w:pStyle w:val="Compact"/>
              <w:jc w:val="left"/>
            </w:pPr>
            <w:r>
              <w:t xml:space="preserve">2</w:t>
            </w:r>
          </w:p>
        </w:tc>
        <w:tc>
          <w:p>
            <w:pPr>
              <w:pStyle w:val="Compact"/>
              <w:jc w:val="left"/>
            </w:pPr>
            <w:r>
              <w:t xml:space="preserve">Indikaattorisana</w:t>
            </w:r>
            <w:r>
              <w:t xml:space="preserve"> </w:t>
            </w:r>
            <w:r>
              <w:t xml:space="preserve">predikaattiverbi → verbi</w:t>
            </w:r>
            <w:r>
              <w:t xml:space="preserve"> </w:t>
            </w:r>
            <w:r>
              <w:t xml:space="preserve">1.pers</w:t>
            </w:r>
          </w:p>
        </w:tc>
        <w:tc>
          <w:p>
            <w:pPr>
              <w:pStyle w:val="Compact"/>
              <w:jc w:val="left"/>
            </w:pPr>
            <w:r>
              <w:t xml:space="preserve">17 ja 18</w:t>
            </w:r>
          </w:p>
        </w:tc>
      </w:tr>
      <w:tr>
        <w:tc>
          <w:p>
            <w:pPr>
              <w:pStyle w:val="Compact"/>
              <w:jc w:val="left"/>
            </w:pPr>
            <w:r>
              <w:t xml:space="preserve">3</w:t>
            </w:r>
          </w:p>
        </w:tc>
        <w:tc>
          <w:p>
            <w:pPr>
              <w:pStyle w:val="Compact"/>
              <w:jc w:val="left"/>
            </w:pPr>
            <w:r>
              <w:t xml:space="preserve">Indikaattorisana ei</w:t>
            </w:r>
            <w:r>
              <w:t xml:space="preserve"> </w:t>
            </w:r>
            <w:r>
              <w:t xml:space="preserve">predikaattiverbi → ei</w:t>
            </w:r>
            <w:r>
              <w:t xml:space="preserve"> </w:t>
            </w:r>
            <w:r>
              <w:t xml:space="preserve">eksplisiisiittistä sidosta</w:t>
            </w:r>
            <w:r>
              <w:t xml:space="preserve"> </w:t>
            </w:r>
            <w:r>
              <w:t xml:space="preserve">edeltävään tekstiin →</w:t>
            </w:r>
            <w:r>
              <w:t xml:space="preserve"> </w:t>
            </w:r>
            <w:r>
              <w:t xml:space="preserve">liittoaikamuoto</w:t>
            </w:r>
          </w:p>
        </w:tc>
        <w:tc>
          <w:p>
            <w:pPr>
              <w:pStyle w:val="Compact"/>
              <w:jc w:val="left"/>
            </w:pPr>
            <w:r>
              <w:t xml:space="preserve">12</w:t>
            </w:r>
          </w:p>
        </w:tc>
      </w:tr>
      <w:tr>
        <w:tc>
          <w:p>
            <w:pPr>
              <w:pStyle w:val="Compact"/>
              <w:jc w:val="left"/>
            </w:pPr>
            <w:r>
              <w:t xml:space="preserve">4</w:t>
            </w:r>
          </w:p>
        </w:tc>
        <w:tc>
          <w:p>
            <w:pPr>
              <w:pStyle w:val="Compact"/>
              <w:jc w:val="left"/>
            </w:pPr>
            <w:r>
              <w:t xml:space="preserve">Indikaattorisana ei</w:t>
            </w:r>
            <w:r>
              <w:t xml:space="preserve"> </w:t>
            </w:r>
            <w:r>
              <w:t xml:space="preserve">predikaattiverbi → ei</w:t>
            </w:r>
            <w:r>
              <w:t xml:space="preserve"> </w:t>
            </w:r>
            <w:r>
              <w:t xml:space="preserve">eksplisiisiittistä sidosta</w:t>
            </w:r>
            <w:r>
              <w:t xml:space="preserve"> </w:t>
            </w:r>
            <w:r>
              <w:t xml:space="preserve">edeltävään tekstiin →</w:t>
            </w:r>
            <w:r>
              <w:t xml:space="preserve"> </w:t>
            </w:r>
            <w:r>
              <w:t xml:space="preserve">aikamuoto imperfekti →</w:t>
            </w:r>
            <w:r>
              <w:t xml:space="preserve"> </w:t>
            </w:r>
            <w:r>
              <w:t xml:space="preserve">indikaattorisana osa</w:t>
            </w:r>
            <w:r>
              <w:t xml:space="preserve"> </w:t>
            </w:r>
            <w:r>
              <w:t xml:space="preserve">kompleksista lauseketta</w:t>
            </w:r>
            <w:r>
              <w:t xml:space="preserve"> </w:t>
            </w:r>
            <w:r>
              <w:t xml:space="preserve">(dependenssirooli nmod:x)</w:t>
            </w:r>
          </w:p>
        </w:tc>
        <w:tc>
          <w:p>
            <w:pPr>
              <w:pStyle w:val="Compact"/>
              <w:jc w:val="left"/>
            </w:pPr>
            <w:r>
              <w:t xml:space="preserve">9</w:t>
            </w:r>
          </w:p>
        </w:tc>
      </w:tr>
      <w:tr>
        <w:tc>
          <w:p>
            <w:pPr>
              <w:pStyle w:val="Compact"/>
              <w:jc w:val="left"/>
            </w:pPr>
            <w:r>
              <w:t xml:space="preserve">6</w:t>
            </w:r>
          </w:p>
        </w:tc>
        <w:tc>
          <w:p>
            <w:pPr>
              <w:pStyle w:val="Compact"/>
              <w:jc w:val="left"/>
            </w:pPr>
            <w:r>
              <w:t xml:space="preserve">Indikaattorisana ei</w:t>
            </w:r>
            <w:r>
              <w:t xml:space="preserve"> </w:t>
            </w:r>
            <w:r>
              <w:t xml:space="preserve">predikaattiverbi → ei</w:t>
            </w:r>
            <w:r>
              <w:t xml:space="preserve"> </w:t>
            </w:r>
            <w:r>
              <w:t xml:space="preserve">eksplisiisiittistä sidosta</w:t>
            </w:r>
            <w:r>
              <w:t xml:space="preserve"> </w:t>
            </w:r>
            <w:r>
              <w:t xml:space="preserve">edeltävään tekstiin →</w:t>
            </w:r>
            <w:r>
              <w:t xml:space="preserve"> </w:t>
            </w:r>
            <w:r>
              <w:t xml:space="preserve">aikamuoto imperfekti →</w:t>
            </w:r>
            <w:r>
              <w:t xml:space="preserve"> </w:t>
            </w:r>
            <w:r>
              <w:t xml:space="preserve">indikaattorisana subjektina</w:t>
            </w:r>
          </w:p>
        </w:tc>
        <w:tc>
          <w:p>
            <w:pPr>
              <w:pStyle w:val="Compact"/>
              <w:jc w:val="left"/>
            </w:pPr>
            <w:r>
              <w:t xml:space="preserve">11</w:t>
            </w:r>
          </w:p>
        </w:tc>
      </w:tr>
      <w:tr>
        <w:tc>
          <w:p>
            <w:pPr>
              <w:pStyle w:val="Compact"/>
              <w:jc w:val="left"/>
            </w:pPr>
            <w:r>
              <w:t xml:space="preserve">8</w:t>
            </w:r>
          </w:p>
        </w:tc>
        <w:tc>
          <w:p>
            <w:pPr>
              <w:pStyle w:val="Compact"/>
              <w:jc w:val="left"/>
            </w:pPr>
            <w:r>
              <w:t xml:space="preserve">Indikaattorisana ei</w:t>
            </w:r>
            <w:r>
              <w:t xml:space="preserve"> </w:t>
            </w:r>
            <w:r>
              <w:t xml:space="preserve">predikaattiverbi → ei</w:t>
            </w:r>
            <w:r>
              <w:t xml:space="preserve"> </w:t>
            </w:r>
            <w:r>
              <w:t xml:space="preserve">eksplisiisiittistä sidosta</w:t>
            </w:r>
            <w:r>
              <w:t xml:space="preserve"> </w:t>
            </w:r>
            <w:r>
              <w:t xml:space="preserve">edeltävään tekstiin →</w:t>
            </w:r>
            <w:r>
              <w:t xml:space="preserve"> </w:t>
            </w:r>
            <w:r>
              <w:t xml:space="preserve">aikamuoto preesens</w:t>
            </w:r>
          </w:p>
        </w:tc>
        <w:tc>
          <w:p>
            <w:pPr>
              <w:pStyle w:val="Compact"/>
              <w:jc w:val="left"/>
            </w:pPr>
            <w:r>
              <w:t xml:space="preserve">13</w:t>
            </w:r>
          </w:p>
        </w:tc>
      </w:tr>
      <w:tr>
        <w:tc>
          <w:p>
            <w:pPr>
              <w:pStyle w:val="Compact"/>
              <w:jc w:val="left"/>
            </w:pPr>
            <w:r>
              <w:t xml:space="preserve">13</w:t>
            </w:r>
          </w:p>
        </w:tc>
        <w:tc>
          <w:p>
            <w:pPr>
              <w:pStyle w:val="Compact"/>
              <w:jc w:val="left"/>
            </w:pPr>
            <w:r>
              <w:t xml:space="preserve">Indikaattorisana</w:t>
            </w:r>
            <w:r>
              <w:t xml:space="preserve"> </w:t>
            </w:r>
            <w:r>
              <w:t xml:space="preserve">predikaattiverbi → verbi muu</w:t>
            </w:r>
            <w:r>
              <w:t xml:space="preserve"> </w:t>
            </w:r>
            <w:r>
              <w:t xml:space="preserve">kuin 1.pers</w:t>
            </w:r>
          </w:p>
        </w:tc>
        <w:tc>
          <w:p>
            <w:pPr>
              <w:pStyle w:val="Compact"/>
              <w:jc w:val="left"/>
            </w:pPr>
            <w:r>
              <w:t xml:space="preserve">19</w:t>
            </w:r>
          </w:p>
        </w:tc>
      </w:tr>
    </w:tbl>
    <w:p>
      <w:pPr>
        <w:pStyle w:val="BodyText"/>
      </w:pPr>
      <w:r>
        <w:t xml:space="preserve">Taulukko 1: Kvantitatiivisesti pääteltävissä olevat ryhmät</w:t>
      </w:r>
    </w:p>
    <w:p>
      <w:pPr>
        <w:pStyle w:val="BodyText"/>
      </w:pPr>
      <w:r>
        <w:t xml:space="preserve">Taulukossa on esitetty…</w:t>
      </w:r>
      <w:r>
        <w:t xml:space="preserve"> </w:t>
      </w:r>
      <w:r>
        <w:t xml:space="preserve">Lisäksi…</w:t>
      </w:r>
    </w:p>
    <w:p>
      <w:pPr>
        <w:pStyle w:val="Heading2"/>
      </w:pPr>
      <w:bookmarkStart w:id="33" w:name="kirjoittajan-nakokulma"/>
      <w:bookmarkEnd w:id="33"/>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4" w:name="paatelmat"/>
      <w:bookmarkEnd w:id="34"/>
      <w:r>
        <w:t xml:space="preserve">Päätelmät</w:t>
      </w:r>
    </w:p>
    <w:p>
      <w:pPr>
        <w:pStyle w:val="Compact"/>
        <w:numPr>
          <w:numId w:val="1016"/>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17"/>
          <w:ilvl w:val="0"/>
        </w:numPr>
      </w:pPr>
      <w:r>
        <w:t xml:space="preserve">Konkreettinen sovellus fraasipankissa tms.</w:t>
      </w:r>
    </w:p>
    <w:p>
      <w:pPr>
        <w:pStyle w:val="Heading1"/>
      </w:pPr>
      <w:bookmarkStart w:id="35" w:name="lahteet"/>
      <w:bookmarkEnd w:id="35"/>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Text"/>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30a9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540a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7ce205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787af8f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48211af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6e48d19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682f0e3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f19006c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ad3c51b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edbb4c4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467b62b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26123c7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5892311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5dfe37e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2993dca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
    <w:nsid w:val="d0990a0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1">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2018-01-24T08:16:29Z</dcterms:created>
  <dcterms:modified xsi:type="dcterms:W3CDTF">2018-01-24T08:16:29Z</dcterms:modified>
</cp:coreProperties>
</file>