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FirstParagraph"/>
      </w:pPr>
      <w:r>
        <w:t xml:space="preserve">Oppilaitoksissa ja korkeakouluissa opiskelee kasvava joukko kirjoittajia,</w:t>
      </w:r>
      <w:r>
        <w:t xml:space="preserve"> </w:t>
      </w:r>
      <w:r>
        <w:t xml:space="preserve">jolla ei peruskoulun päättötodistuksesta huolimatta ole hallinnassaan</w:t>
      </w:r>
      <w:r>
        <w:t xml:space="preserve"> </w:t>
      </w:r>
      <w:r>
        <w:t xml:space="preserve">opinnoissa menestymiseen tarvittavia tekstitaitoja ja riittävää</w:t>
      </w:r>
      <w:r>
        <w:t xml:space="preserve"> </w:t>
      </w:r>
      <w:r>
        <w:t xml:space="preserve">repertuaaria kirjoitetulle ilmaisulle tyypillisiä rakenteita. Osa heistä</w:t>
      </w:r>
      <w:r>
        <w:t xml:space="preserve"> </w:t>
      </w:r>
      <w:r>
        <w:t xml:space="preserve">on suorittanut opintonsa S2-oppimäärän mukaisesti, mutta opiskeluun</w:t>
      </w:r>
      <w:r>
        <w:t xml:space="preserve"> </w:t>
      </w:r>
      <w:r>
        <w:t xml:space="preserve">liittyvien tekstilajien ja ns. akateemisten genrejen hallinta tuottaa</w:t>
      </w:r>
      <w:r>
        <w:t xml:space="preserve"> </w:t>
      </w:r>
      <w:r>
        <w:t xml:space="preserve">hankaluuksia myös suomalaisen peruskoulun suomi äidinkielenä -oppimäärän</w:t>
      </w:r>
      <w:r>
        <w:t xml:space="preserve"> </w:t>
      </w:r>
      <w:r>
        <w:t xml:space="preserve">suorittaneille</w:t>
      </w:r>
      <w:r>
        <w:t xml:space="preserve"> </w:t>
      </w:r>
      <w:r>
        <w:t xml:space="preserve">(ks. esim. Kuusela 2010)</w:t>
      </w:r>
      <w:r>
        <w:t xml:space="preserve">. 2010-luvulla kielten ja</w:t>
      </w:r>
      <w:r>
        <w:t xml:space="preserve"> </w:t>
      </w:r>
      <w:r>
        <w:t xml:space="preserve">kirjoittamisen opetuksessa korostuu tekstilähtöisyys ja funktionaalinen</w:t>
      </w:r>
      <w:r>
        <w:t xml:space="preserve"> </w:t>
      </w:r>
      <w:r>
        <w:t xml:space="preserve">tapa tarkastella kieltä (ks esim. opsit &amp; muita lähteitä). Tässä</w:t>
      </w:r>
      <w:r>
        <w:t xml:space="preserve"> </w:t>
      </w:r>
      <w:r>
        <w:t xml:space="preserve">kehyksessä perinteinen, Suomenkin kontekstissa pääosin preskriptiivinen</w:t>
      </w:r>
      <w:r>
        <w:t xml:space="preserve"> </w:t>
      </w:r>
      <w:r>
        <w:t xml:space="preserve">kuvaus</w:t>
      </w:r>
      <w:r>
        <w:t xml:space="preserve"> </w:t>
      </w:r>
      <w:r>
        <w:t xml:space="preserve">(Komppa 2012: 121)</w:t>
      </w:r>
      <w:r>
        <w:t xml:space="preserve"> </w:t>
      </w:r>
      <w:r>
        <w:t xml:space="preserve">tekstikokonaisuuden ja -kappaleen rakentumisesta</w:t>
      </w:r>
      <w:r>
        <w:t xml:space="preserve"> </w:t>
      </w:r>
      <w:r>
        <w:t xml:space="preserve">ei palvele tarkoitustaan. Ns. uusi kirjoittaja on aktiivinen tiedonhakija</w:t>
      </w:r>
      <w:r>
        <w:t xml:space="preserve"> </w:t>
      </w:r>
      <w:r>
        <w:t xml:space="preserve">ja tekstien tutkija, joka ei enää kysy, miten minun pitäisi tämä tehdä</w:t>
      </w:r>
      <w:r>
        <w:t xml:space="preserve"> </w:t>
      </w:r>
      <w:r>
        <w:t xml:space="preserve">vaan miten eri tavoilla tämä on tehty.</w:t>
      </w:r>
    </w:p>
    <w:p>
      <w:pPr>
        <w:pStyle w:val="BodyText"/>
      </w:pPr>
      <w:r>
        <w:t xml:space="preserve">Tutkimusperustaisen kirjoittamisenopetuksen tueksi tarvitaan</w:t>
      </w:r>
      <w:r>
        <w:t xml:space="preserve"> </w:t>
      </w:r>
      <w:r>
        <w:t xml:space="preserve">käyttöpohjaista, kuvailevaa tutkimusta. Yksi keskeinen kriteeri mm.</w:t>
      </w:r>
      <w:r>
        <w:t xml:space="preserve"> </w:t>
      </w:r>
      <w:r>
        <w:t xml:space="preserve">äidinkielen ylioppilaskokeen arvioinnissa on kappaleiden sujuva</w:t>
      </w:r>
      <w:r>
        <w:t xml:space="preserve"> </w:t>
      </w:r>
      <w:r>
        <w:t xml:space="preserve">liittyminen toisiinsa (Ylioppilastutkintolautakunta 2017), mutta</w:t>
      </w:r>
      <w:r>
        <w:t xml:space="preserve"> </w:t>
      </w:r>
      <w:r>
        <w:t xml:space="preserve">saatavilla on enemmän tietoa siitä, miten se pitäisi tehdä, kuin</w:t>
      </w:r>
      <w:r>
        <w:t xml:space="preserve"> </w:t>
      </w:r>
      <w:r>
        <w:t xml:space="preserve">todellisesta kielenkäytöstä (Komppa sanoo tämän sivulla 121 ja viittaa</w:t>
      </w:r>
      <w:r>
        <w:t xml:space="preserve"> </w:t>
      </w:r>
      <w:r>
        <w:t xml:space="preserve">(Chafe 1994: 296)</w:t>
      </w:r>
      <w:r>
        <w:t xml:space="preserve">)</w:t>
      </w:r>
    </w:p>
    <w:p>
      <w:pPr>
        <w:pStyle w:val="BodyText"/>
      </w:pPr>
      <w:r>
        <w:t xml:space="preserve">Tarve syntaksin ja tekstin rajapinnan analyysille (lähdeviite,</w:t>
      </w:r>
      <w:r>
        <w:t xml:space="preserve"> </w:t>
      </w:r>
      <w:r>
        <w:t xml:space="preserve">eu-kartoitus) -&gt; sovellusmahdollisuudet</w:t>
      </w:r>
    </w:p>
    <w:p>
      <w:pPr>
        <w:pStyle w:val="Heading1"/>
      </w:pPr>
      <w:bookmarkStart w:id="22" w:name="tutkimusaineisto-ja--metodi"/>
      <w:bookmarkEnd w:id="22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1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1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1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5" w:name="alatopiikkitapaukset-syntaktisten-kategorioiden-mukaan-ryhmiteltyina"/>
      <w:bookmarkEnd w:id="25"/>
      <w:r>
        <w:t xml:space="preserve">Alatopiikkitapaukset syntaktisten kategorioiden mukaan ryhmiteltyinä</w:t>
      </w:r>
    </w:p>
    <w:p>
      <w:pPr>
        <w:pStyle w:val="FirstParagraph"/>
      </w:pPr>
      <w:r>
        <w:t xml:space="preserve">Asua-verbi ja sen johdokset esiintyvät tutkimusaineistossa</w:t>
      </w:r>
      <w:r>
        <w:t xml:space="preserve"> </w:t>
      </w:r>
      <w:r>
        <w:t xml:space="preserve">tavallisimmin jo asumisesta kertovan kappaleen ensimmäisessä virkkeessä</w:t>
      </w:r>
      <w:r>
        <w:t xml:space="preserve"> </w:t>
      </w:r>
      <w:r>
        <w:t xml:space="preserve">(81,45 % tapauksista).</w:t>
      </w:r>
      <w:r>
        <w:t xml:space="preserve"> </w:t>
      </w:r>
      <w:r>
        <w:t xml:space="preserve">Juuri nämä ovat myös potentiaalisimpia kohteita alatopiikin esiintymisen kannalta,</w:t>
      </w:r>
      <w:r>
        <w:t xml:space="preserve"> </w:t>
      </w:r>
      <w:r>
        <w:t xml:space="preserve">minkä takia edellisessä osiossa kuvattu satunnaisotanta päätettiin kohdistaa näihin tapauksiin.</w:t>
      </w:r>
      <w:r>
        <w:t xml:space="preserve"> </w:t>
      </w:r>
      <w:r>
        <w:t xml:space="preserve">Lopputuloksena oli kaiken kaikkiaan 338</w:t>
      </w:r>
      <w:r>
        <w:t xml:space="preserve"> </w:t>
      </w:r>
      <w:r>
        <w:t xml:space="preserve">asumisesta kertovan kappaleen sisältävää tekstiä. Näissä itse asua-johdoksen</w:t>
      </w:r>
      <w:r>
        <w:t xml:space="preserve"> </w:t>
      </w:r>
      <w:r>
        <w:t xml:space="preserve">syntaktinen kategoria eli jäsentimen sille asettama dependenssirooli vaihteli</w:t>
      </w:r>
      <w:r>
        <w:t xml:space="preserve"> </w:t>
      </w:r>
      <w:r>
        <w:t xml:space="preserve">kuvion mukaisesti:</w:t>
      </w:r>
    </w:p>
    <w:p>
      <w:pPr>
        <w:pStyle w:val="FigureWithCaption"/>
      </w:pPr>
      <w:r>
        <w:drawing>
          <wp:inline>
            <wp:extent cx="2772075" cy="1848050"/>
            <wp:effectExtent b="0" l="0" r="0" t="0"/>
            <wp:docPr descr="Kuvio 1: Asua-johdosten jakautuminen eri syntaktisiin kategorioihin.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deproles.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Kuvio 1: Asua-johdosten jakautuminen eri syntaktisiin kategorioihin.</w:t>
      </w:r>
    </w:p>
    <w:p>
      <w:pPr>
        <w:pStyle w:val="BodyText"/>
      </w:pPr>
      <w:r>
        <w:t xml:space="preserve">Kuvion 1 mukaan tavallisin asumista</w:t>
      </w:r>
      <w:r>
        <w:t xml:space="preserve"> </w:t>
      </w:r>
      <w:r>
        <w:t xml:space="preserve">ilmaisevan topiikki-indikaattorin dependenssirooli on edellä kuvatulla tavalla</w:t>
      </w:r>
      <w:r>
        <w:t xml:space="preserve"> </w:t>
      </w:r>
      <w:r>
        <w:t xml:space="preserve">rajatussa tutkimusaineistossa objekti (</w:t>
      </w:r>
      <w:r>
        <w:rPr>
          <w:i/>
        </w:rPr>
        <w:t xml:space="preserve">dobj</w:t>
      </w:r>
      <w:r>
        <w:t xml:space="preserve">). Jonkin verran muista kategorioista</w:t>
      </w:r>
      <w:r>
        <w:t xml:space="preserve"> </w:t>
      </w:r>
      <w:r>
        <w:t xml:space="preserve">erottuvat myös predikaattiverbit (</w:t>
      </w:r>
      <w:r>
        <w:rPr>
          <w:i/>
        </w:rPr>
        <w:t xml:space="preserve">root</w:t>
      </w:r>
      <w:r>
        <w:t xml:space="preserve">) sekä tarkemmin määrittelemättömät</w:t>
      </w:r>
      <w:r>
        <w:t xml:space="preserve"> </w:t>
      </w:r>
      <w:r>
        <w:t xml:space="preserve">adverbiaalit (</w:t>
      </w:r>
      <w:r>
        <w:rPr>
          <w:i/>
        </w:rPr>
        <w:t xml:space="preserve">nmod</w:t>
      </w:r>
      <w:r>
        <w:t xml:space="preserve">). Eri kategorioista tutkittaviksi valikoitujen tapausten</w:t>
      </w:r>
      <w:r>
        <w:t xml:space="preserve"> </w:t>
      </w:r>
      <w:r>
        <w:t xml:space="preserve">määrä on esitetty taulukossa :</w:t>
      </w:r>
    </w:p>
    <w:p>
      <w:pPr>
        <w:pStyle w:val="TableCaption"/>
      </w:pPr>
      <w:r>
        <w:t xml:space="preserve">Taulukko 1: Syntaktiset kategoriat ja satunnaisotannan koko</w:t>
      </w:r>
    </w:p>
    <w:tbl>
      <w:tblPr>
        <w:tblStyle w:val="TableNormal"/>
        <w:tblW w:type="pct" w:w="0.0"/>
        <w:tblLook w:firstRow="1"/>
        <w:tblCaption w:val="Taulukko 1: Syntaktiset kategoriat ja satunnaisotannan koko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Yht.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Otanta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dobj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nmod:gobj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nmod:poss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nsubj:cop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Muu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p>
      <w:pPr>
        <w:pStyle w:val="BodyText"/>
      </w:pPr>
      <w:r>
        <w:t xml:space="preserve">Taulukossa 1 kuvatut kategoriat on seuraavassa</w:t>
      </w:r>
      <w:r>
        <w:t xml:space="preserve"> </w:t>
      </w:r>
      <w:r>
        <w:t xml:space="preserve">analysoitu seuraavalla tavalla:</w:t>
      </w:r>
    </w:p>
    <w:p>
      <w:pPr>
        <w:pStyle w:val="Compact"/>
        <w:numPr>
          <w:numId w:val="1002"/>
          <w:ilvl w:val="0"/>
        </w:numPr>
      </w:pPr>
      <w:r>
        <w:t xml:space="preserve">Jokaisesta kategoriasta on tutkittu taulukossa 1</w:t>
      </w:r>
      <w:r>
        <w:t xml:space="preserve"> </w:t>
      </w:r>
      <w:r>
        <w:t xml:space="preserve">esitetyn otannan mukainen määrä tapauksia ja näistä on eroteltu ne tapaukset,</w:t>
      </w:r>
      <w:r>
        <w:t xml:space="preserve"> </w:t>
      </w:r>
      <w:r>
        <w:t xml:space="preserve">joissa kyseessä todella on ollut alatopiikki.</w:t>
      </w:r>
    </w:p>
    <w:p>
      <w:pPr>
        <w:pStyle w:val="Compact"/>
        <w:numPr>
          <w:numId w:val="1002"/>
          <w:ilvl w:val="0"/>
        </w:numPr>
      </w:pPr>
      <w:r>
        <w:t xml:space="preserve">Alatopiikkitapaukset on ryhmitelty siten, että ne tapaukset, jotka tulkintamme mukaan</w:t>
      </w:r>
      <w:r>
        <w:t xml:space="preserve"> </w:t>
      </w:r>
      <w:r>
        <w:t xml:space="preserve">ovat olleet samanlaisia, on analysoitu osaksi samaa ryhmää</w:t>
      </w:r>
    </w:p>
    <w:p>
      <w:pPr>
        <w:pStyle w:val="Compact"/>
        <w:numPr>
          <w:numId w:val="1002"/>
          <w:ilvl w:val="0"/>
        </w:numPr>
      </w:pPr>
      <w:r>
        <w:t xml:space="preserve">Lopuksi eri syntaktisten kategorioiden perusteella saaduista tapauksista tehdään synteesi,</w:t>
      </w:r>
      <w:r>
        <w:t xml:space="preserve"> </w:t>
      </w:r>
      <w:r>
        <w:t xml:space="preserve">joka esitelmään Päätelmiä-osiossa.</w:t>
      </w:r>
    </w:p>
    <w:p>
      <w:pPr>
        <w:pStyle w:val="Heading2"/>
      </w:pPr>
      <w:bookmarkStart w:id="27" w:name="objektit"/>
      <w:bookmarkEnd w:id="27"/>
      <w:r>
        <w:t xml:space="preserve">Objektit</w:t>
      </w:r>
    </w:p>
    <w:p>
      <w:pPr>
        <w:pStyle w:val="FirstParagraph"/>
      </w:pPr>
      <w:r>
        <w:t xml:space="preserve">Alkuun: kuinka monta alatopiikkitapausta</w:t>
      </w:r>
    </w:p>
    <w:p>
      <w:pPr>
        <w:pStyle w:val="Heading2"/>
      </w:pPr>
      <w:bookmarkStart w:id="28" w:name="predikaattiverbit"/>
      <w:bookmarkEnd w:id="28"/>
      <w:r>
        <w:t xml:space="preserve">Predikaattiverbit</w:t>
      </w:r>
    </w:p>
    <w:p>
      <w:pPr>
        <w:pStyle w:val="FirstParagraph"/>
      </w:pPr>
      <w:r>
        <w:t xml:space="preserve">Alkuun: kuinka monta alatopiikkitapausta</w:t>
      </w:r>
    </w:p>
    <w:p>
      <w:pPr>
        <w:pStyle w:val="BodyText"/>
      </w:pPr>
      <w:r>
        <w:t xml:space="preserve">Predikaattiverbitapaukset ovat harvoin..</w:t>
      </w:r>
    </w:p>
    <w:p>
      <w:pPr>
        <w:pStyle w:val="Heading2"/>
      </w:pPr>
      <w:bookmarkStart w:id="29" w:name="jne"/>
      <w:bookmarkEnd w:id="29"/>
      <w:r>
        <w:t xml:space="preserve">jne</w:t>
      </w:r>
    </w:p>
    <w:p>
      <w:pPr>
        <w:pStyle w:val="FirstParagraph"/>
      </w:pPr>
      <w:r>
        <w:t xml:space="preserve">Alkuun: kuinka monta alatopiikkitapausta</w:t>
      </w:r>
    </w:p>
    <w:p>
      <w:pPr>
        <w:pStyle w:val="Heading1"/>
      </w:pPr>
      <w:bookmarkStart w:id="30" w:name="paatelmia"/>
      <w:bookmarkEnd w:id="30"/>
      <w:r>
        <w:t xml:space="preserve">Päätelmiä</w:t>
      </w:r>
    </w:p>
    <w:p>
      <w:pPr>
        <w:pStyle w:val="FirstParagraph"/>
      </w:pPr>
      <w:r>
        <w:t xml:space="preserve">Ensin: edellä tehdyn analyysin perusteella saadut ryhmät kootusti</w:t>
      </w:r>
    </w:p>
    <w:p>
      <w:pPr>
        <w:pStyle w:val="BodyText"/>
      </w:pPr>
      <w:r>
        <w:t xml:space="preserve">Sitten:</w:t>
      </w:r>
    </w:p>
    <w:p>
      <w:pPr>
        <w:pStyle w:val="Compact"/>
        <w:numPr>
          <w:numId w:val="1003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3"/>
          <w:ilvl w:val="0"/>
        </w:numPr>
      </w:pPr>
      <w:r>
        <w:t xml:space="preserve">mihin tällaista voisi soveltaa?</w:t>
      </w:r>
    </w:p>
    <w:p>
      <w:pPr>
        <w:numPr>
          <w:numId w:val="1003"/>
          <w:ilvl w:val="0"/>
        </w:numPr>
      </w:pPr>
      <w:r>
        <w:t xml:space="preserve">mitä voidaan sanoa tekstilajista / kirjoittajista / yms.?</w:t>
      </w:r>
    </w:p>
    <w:p>
      <w:pPr>
        <w:numPr>
          <w:numId w:val="1003"/>
          <w:ilvl w:val="0"/>
        </w:numPr>
      </w:pPr>
      <w:r>
        <w:t xml:space="preserve">Testaa</w:t>
      </w:r>
      <w:r>
        <w:t xml:space="preserve"> </w:t>
      </w:r>
      <w:r>
        <w:t xml:space="preserve">“</w:t>
      </w:r>
      <w:r>
        <w:t xml:space="preserve">valvottua klusterianalyysiä</w:t>
      </w:r>
      <w:r>
        <w:t xml:space="preserve">”</w:t>
      </w:r>
      <w:r>
        <w:t xml:space="preserve"> </w:t>
      </w:r>
      <w:r>
        <w:t xml:space="preserve">käyttäen tässä tehtyä luokittelua pohjana</w:t>
      </w:r>
    </w:p>
    <w:p>
      <w:pPr>
        <w:pStyle w:val="Heading1"/>
      </w:pPr>
      <w:bookmarkStart w:id="31" w:name="lahteet"/>
      <w:bookmarkEnd w:id="31"/>
      <w:r>
        <w:t xml:space="preserve">Lähteet</w:t>
      </w:r>
    </w:p>
    <w:p>
      <w:pPr>
        <w:pStyle w:val="Bibliography"/>
      </w:pPr>
      <w:r>
        <w:t xml:space="preserve">Chafe, Wallace 1994.</w:t>
      </w:r>
      <w:r>
        <w:t xml:space="preserve"> </w:t>
      </w:r>
      <w:r>
        <w:rPr>
          <w:i/>
        </w:rPr>
        <w:t xml:space="preserve">Discourse, consciousness, and time: The flow and displacement of conscious experience in speaking and writing</w:t>
      </w:r>
      <w:r>
        <w:t xml:space="preserve">. University of Chicago Press.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p>
      <w:pPr>
        <w:pStyle w:val="Bibliography"/>
      </w:pPr>
      <w:r>
        <w:t xml:space="preserve">Komppa, Johanna 2012. Retorisen rakenteen teoria suomi toisena kielenä-ylioppilaskokeen kirjoitelman kokonaisrakenteen ja kappalejaon tarkastelussa.</w:t>
      </w:r>
    </w:p>
    <w:p>
      <w:pPr>
        <w:pStyle w:val="Bibliography"/>
      </w:pPr>
      <w:r>
        <w:t xml:space="preserve">Kuusela, Jorma 2010. Kun kirjoittaminen ei suju. Teoksessa: Elina Harjunen, Riitta Juvonen, Jorma Kuusela, Beatrice Silén, M Sääkslahti, &amp; M Örnmark (eds.)</w:t>
      </w:r>
      <w:r>
        <w:t xml:space="preserve"> </w:t>
      </w:r>
      <w:r>
        <w:rPr>
          <w:i/>
        </w:rPr>
        <w:t xml:space="preserve">Miten peruskoululaiset kirjoittavat?</w:t>
      </w:r>
      <w:r>
        <w:t xml:space="preserve"> </w:t>
      </w:r>
      <w:r>
        <w:t xml:space="preserve">Vsk. 9. Opetushallitus. Saatavissa:</w:t>
      </w:r>
      <w:r>
        <w:t xml:space="preserve"> </w:t>
      </w:r>
      <w:hyperlink r:id="rId32">
        <w:r>
          <w:rPr>
            <w:rStyle w:val="Hyperlink"/>
          </w:rPr>
          <w:t xml:space="preserve">http://oph.fi/download/132345_Miten_peruskoululaiset_kirjoittavat.pdf</w:t>
        </w:r>
      </w:hyperlink>
      <w:r>
        <w:t xml:space="preserve"> </w:t>
      </w:r>
      <w:r>
        <w:t xml:space="preserve">[viitattu 19.12.2017].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dfa3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c468a0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378150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2" Target="http://oph.fi/download/132345_Miten_peruskoululaiset_kirjoittava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oph.fi/download/132345_Miten_peruskoululaiset_kirjoittava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2018-01-02T11:18:18Z</dcterms:created>
  <dcterms:modified xsi:type="dcterms:W3CDTF">2018-01-02T11:18:18Z</dcterms:modified>
</cp:coreProperties>
</file>