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Pari sanaa asumisesta – miten yliopisto-opiskelijoiden kirjoittamissa vaihtoraporteissa asetetaan asuminen tek</w:t>
      </w:r>
      <w:r>
        <w:rPr/>
        <w:t>p</w:t>
      </w:r>
      <w:r>
        <w:rPr/>
        <w:t>stikappaleen topiikiksi?</w:t>
      </w:r>
    </w:p>
    <w:p>
      <w:pPr>
        <w:pStyle w:val="Author"/>
        <w:rPr/>
      </w:pPr>
      <w:r>
        <w:rPr/>
        <w:t>Kirsi Sandberg &amp; Juho Härme</w:t>
      </w:r>
    </w:p>
    <w:p>
      <w:pPr>
        <w:pStyle w:val="Heading1"/>
        <w:rPr/>
      </w:pPr>
      <w:bookmarkStart w:id="0" w:name="johdanto"/>
      <w:bookmarkEnd w:id="0"/>
      <w:r>
        <w:rPr/>
        <w:t>Johdanto</w:t>
      </w:r>
    </w:p>
    <w:p>
      <w:pPr>
        <w:pStyle w:val="FirstParagraph"/>
        <w:rPr/>
      </w:pPr>
      <w:r>
        <w:rPr/>
        <w:t>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TextBody"/>
        <w:rPr/>
      </w:pPr>
      <w:r>
        <w:rPr/>
        <w:t>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TextBody"/>
        <w:rPr/>
      </w:pPr>
      <w:r>
        <w:rPr/>
        <w:t>Tekstin kirjoittamisesta tekstikappaleiden tasolla saatavilla on enemmän aineistoa ja ohjeita siitä, miten se pitäisi tehdä, kuin deskriptiivistä tietoa todellisesta kielenkäytöstä (Komppa 2012: 121) (Chafe 1994: 296).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TextBody"/>
        <w:rPr/>
      </w:pPr>
      <w:r>
        <w:rPr/>
        <w:t>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rPr/>
      </w:pPr>
      <w:r>
        <w:rPr/>
        <w:t>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 “Tekstit eivät synny tyhjiössä, vaan pikemminkin ne liikkuvat laumoina ja ovat suhteessa toisiinsa monin tavoin” (2013: 69). Tässä tutkimuksessa siis tarkastellaan, millä tavalla ja mitä rakenteita käyttäen kirjoittaja asettaa tekstikappaleen sisältötopiikin ja näin ollen miten kirjoittaja siirtyy tekstitopiikista toiseen. Analyysin avulla haetaan vastausta seuraaviin tutkimuskysymyksiin:</w:t>
      </w:r>
    </w:p>
    <w:p>
      <w:pPr>
        <w:pStyle w:val="Compact"/>
        <w:numPr>
          <w:ilvl w:val="0"/>
          <w:numId w:val="1"/>
        </w:numPr>
        <w:rPr/>
      </w:pPr>
      <w:r>
        <w:rPr/>
        <w:t>Millaisia tapoja yliopisto-opiskelijat käyttävät saman topiikin asettamiseen?</w:t>
      </w:r>
    </w:p>
    <w:p>
      <w:pPr>
        <w:pStyle w:val="Compact"/>
        <w:numPr>
          <w:ilvl w:val="0"/>
          <w:numId w:val="1"/>
        </w:numPr>
        <w:rPr/>
      </w:pPr>
      <w:r>
        <w:rPr/>
        <w:t>Miten näitä tapoja voidaan määritellä toisaalta funktionaalisesti, toisaalta syntaktisesti?</w:t>
      </w:r>
    </w:p>
    <w:p>
      <w:pPr>
        <w:pStyle w:val="FirstParagraph"/>
        <w:rPr/>
      </w:pPr>
      <w:r>
        <w:rPr/>
        <w:t>Tutkimus toteutetaan korpusvetoisesti yhdistelemällä laadullisia (osio 4.1) ja määrällisiä (osio 4.2) menetelmiä. Tähän perustelut aineistovalinnalle.</w:t>
      </w:r>
    </w:p>
    <w:p>
      <w:pPr>
        <w:pStyle w:val="Heading1"/>
        <w:rPr/>
      </w:pPr>
      <w:bookmarkStart w:id="1" w:name="tekstikappale-ja-sen-topiikki"/>
      <w:bookmarkEnd w:id="1"/>
      <w:r>
        <w:rPr/>
        <w:t>Tekstikappale ja sen topiikki</w:t>
      </w:r>
    </w:p>
    <w:p>
      <w:pPr>
        <w:pStyle w:val="FirstParagraph"/>
        <w:rPr/>
      </w:pPr>
      <w:r>
        <w:rPr/>
        <w:t>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TextBody"/>
        <w:rPr/>
      </w:pPr>
      <w:r>
        <w:rPr/>
        <w:t>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TextBody"/>
        <w:rPr/>
      </w:pPr>
      <w:r>
        <w:rPr/>
        <w:t>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rPr/>
      </w:pPr>
      <w:r>
        <w:rPr/>
        <w:t xml:space="preserve">Tekstikappaleen ytimen tavoittelun sijaan kohdistammekin huomiomme siihen, miten kirjoittaja toteuttaa siirtymän aiheesta toiseen. Nimitämme siirtymän toteuttavia virkkeitä Juvosta (XX) mukaillen </w:t>
      </w:r>
      <w:r>
        <w:rPr>
          <w:i/>
        </w:rPr>
        <w:t>topiikkia asettaviksi</w:t>
      </w:r>
      <w:r>
        <w:rPr/>
        <w:t>. Tutkimuksemme kartoittaa eri tapoja asettaa topiikkia tarkastelemalla laajahkosta aineistosta sitä, miten eri kirjoittavat ovat siirtyneet yhteen ja samaan topiikkiin.</w:t>
      </w:r>
    </w:p>
    <w:p>
      <w:pPr>
        <w:pStyle w:val="TextBody"/>
        <w:rPr/>
      </w:pPr>
      <w:r>
        <w:rPr/>
        <w:t>Käyttämämme topiikin määritelmä perustuu Simon Dikin esitykseen kielioppiin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p>
    <w:p>
      <w:pPr>
        <w:pStyle w:val="TextBody"/>
        <w:rPr/>
      </w:pPr>
      <w:r>
        <w:rPr/>
        <w:t>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TextBody"/>
        <w:rPr/>
      </w:pPr>
      <w:r>
        <w:rPr/>
        <w:t>Minä haluaisin ottaa tähän sitten tarkemmin tämän, ihan oma kappaleensa? Yleensä subtop kuvataan tapana jatkaa topiikkiketjua eikä alkaa sitä. (ks. artikkeli topical chains drivessä) Subtopissa voi nähdä yhteyden esim. tekstin implisittiseen teemaan, Shore)</w:t>
      </w:r>
    </w:p>
    <w:p>
      <w:pPr>
        <w:pStyle w:val="Compact"/>
        <w:numPr>
          <w:ilvl w:val="0"/>
          <w:numId w:val="2"/>
        </w:numPr>
        <w:rPr/>
      </w:pPr>
      <w:r>
        <w:rPr/>
        <w:t>johdantotopiikki, kun tämä on esitelty, framille tulee 2) mainittu/given-topiikki (meillä ainoastaan linkkitapaukset) 3) alatopiikki s. 275 (lista)</w:t>
      </w:r>
    </w:p>
    <w:p>
      <w:pPr>
        <w:pStyle w:val="FirstParagraph"/>
        <w:rPr/>
      </w:pPr>
      <w:r>
        <w:rPr/>
        <w:t>Miten alemman tason topiikista siirrytään seuraavaan. (kts. Dik 270)</w:t>
      </w:r>
    </w:p>
    <w:p>
      <w:pPr>
        <w:pStyle w:val="TextBody"/>
        <w:rPr/>
      </w:pPr>
      <w:r>
        <w:rPr/>
        <w:t>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TextBody"/>
        <w:rPr/>
      </w:pPr>
      <w:r>
        <w:rPr/>
        <w:t>Johdanto, Topiikki 1, Topiikki 2, Topiikki 3 ….. Päätelmät</w:t>
      </w:r>
    </w:p>
    <w:p>
      <w:pPr>
        <w:pStyle w:val="TextBody"/>
        <w:rPr/>
      </w:pPr>
      <w:r>
        <w:rPr/>
        <w:t>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rPr/>
      </w:pPr>
      <w:bookmarkStart w:id="2" w:name="tutkimusaineisto-ja--metodi"/>
      <w:bookmarkEnd w:id="2"/>
      <w:r>
        <w:rPr/>
        <w:t>Tutkimusaineisto ja -metodi</w:t>
      </w:r>
    </w:p>
    <w:p>
      <w:pPr>
        <w:pStyle w:val="FirstParagraph"/>
        <w:rPr/>
      </w:pPr>
      <w:r>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rPr>
        <w:t>etukäteisjärjestelyt</w:t>
      </w:r>
      <w:r>
        <w:rPr/>
        <w:t xml:space="preserve">, </w:t>
      </w:r>
      <w:r>
        <w:rPr>
          <w:i/>
        </w:rPr>
        <w:t>asuminen</w:t>
      </w:r>
      <w:r>
        <w:rPr/>
        <w:t xml:space="preserve"> ja </w:t>
      </w:r>
      <w:r>
        <w:rPr>
          <w:i/>
        </w:rPr>
        <w:t>merkityksellisyys</w:t>
      </w:r>
      <w:r>
        <w:rPr/>
        <w:t>).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1 kaltainen: niiden diskurssitopiikkina on vaihtokokemus ylipäätään, ja tätä ylemmän tason topiikkia käsitellään jakamalla se alatopiikkeihin, joista tavallisimmat on lueteltu kuviossa.</w:t>
      </w:r>
    </w:p>
    <w:p>
      <w:pPr>
        <w:pStyle w:val="FigurewithCaption"/>
        <w:rPr/>
      </w:pPr>
      <w:r>
        <w:rPr/>
        <w:drawing>
          <wp:inline distT="0" distB="0" distL="0" distR="0">
            <wp:extent cx="5334000" cy="2800350"/>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334000" cy="2800350"/>
                    </a:xfrm>
                    <a:prstGeom prst="rect">
                      <a:avLst/>
                    </a:prstGeom>
                  </pic:spPr>
                </pic:pic>
              </a:graphicData>
            </a:graphic>
          </wp:inline>
        </w:drawing>
      </w:r>
    </w:p>
    <w:p>
      <w:pPr>
        <w:pStyle w:val="ImageCaption"/>
        <w:rPr/>
      </w:pPr>
      <w:r>
        <w:rPr/>
        <w:t>Kuvio 1: Matkakertomustekstien diskurssitopiikki ja alatopiikit</w:t>
      </w:r>
    </w:p>
    <w:p>
      <w:pPr>
        <w:pStyle w:val="TextBody"/>
        <w:rPr/>
      </w:pPr>
      <w:r>
        <w:rPr/>
        <w:t>Tässä käsiteltävä lopullinen tutkimusaineisto kattaa kaikkiaan 492 opiskelijoiden laatimaa tekstiä, jotka tutkimuksen ensimmäisessä vaiheessa annotoitiin kappaleittain</w:t>
      </w:r>
      <w:r>
        <w:rPr>
          <w:rStyle w:val="FootnoteAnchor"/>
        </w:rPr>
        <w:footnoteReference w:id="2"/>
      </w:r>
      <w:r>
        <w:rPr/>
        <w:t xml:space="preserve"> siten, että jokaiselle kappaleelle merkittiin topiikki. Yhteensä kaksikymmentä tekstiä käsittäneen kokeiluaineiston perusteella päätettiin keskittyä </w:t>
      </w:r>
      <w:r>
        <w:rPr>
          <w:i/>
        </w:rPr>
        <w:t>asumisesta</w:t>
      </w:r>
      <w:r>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TextBody"/>
        <w:rPr/>
      </w:pPr>
      <w:r>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TextBody"/>
        <w:rPr/>
      </w:pPr>
      <w:r>
        <w:rPr/>
        <w:t>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Prosessi piti sisällään seuraavat vaiheet:</w:t>
      </w:r>
    </w:p>
    <w:p>
      <w:pPr>
        <w:pStyle w:val="Compact"/>
        <w:numPr>
          <w:ilvl w:val="0"/>
          <w:numId w:val="3"/>
        </w:numPr>
        <w:rPr/>
      </w:pPr>
      <w:r>
        <w:rPr/>
        <w:t xml:space="preserve">Määriteltiin, että analysoitavien kappaleiden topiikin asettavat virkkeet luokitellaan sen perusteella, mikä sana toimii </w:t>
      </w:r>
      <w:r>
        <w:rPr>
          <w:i/>
        </w:rPr>
        <w:t>topiikki-indikaattorina</w:t>
      </w:r>
      <w:r>
        <w:rPr/>
        <w:t xml:space="preserve"> eli ensimmäisenä leksikaalisena vihjeenä kappaleen topiikista. Analysoitavien kappaleiden määrää rajattiin siten, että mukaan otettiin ainoastaan sellaiset tapaukset, joissa topiikki-indikaattorina oli joskin </w:t>
      </w:r>
      <w:r>
        <w:rPr>
          <w:i/>
        </w:rPr>
        <w:t>asua</w:t>
      </w:r>
      <w:r>
        <w:rPr/>
        <w:t xml:space="preserve">-verbin johdos (kuten </w:t>
      </w:r>
      <w:r>
        <w:rPr>
          <w:i/>
        </w:rPr>
        <w:t>asunto</w:t>
      </w:r>
      <w:r>
        <w:rPr/>
        <w:t xml:space="preserve">, </w:t>
      </w:r>
      <w:r>
        <w:rPr>
          <w:i/>
        </w:rPr>
        <w:t>asuntoasia</w:t>
      </w:r>
      <w:r>
        <w:rPr/>
        <w:t xml:space="preserve"> tai </w:t>
      </w:r>
      <w:r>
        <w:rPr>
          <w:i/>
        </w:rPr>
        <w:t>asuminen</w:t>
      </w:r>
      <w:r>
        <w:rPr/>
        <w:t xml:space="preserve">) tai </w:t>
      </w:r>
      <w:r>
        <w:rPr>
          <w:i/>
        </w:rPr>
        <w:t>asua</w:t>
      </w:r>
      <w:r>
        <w:rPr/>
        <w:t>-verbi itse.</w:t>
      </w:r>
    </w:p>
    <w:p>
      <w:pPr>
        <w:pStyle w:val="Compact"/>
        <w:numPr>
          <w:ilvl w:val="0"/>
          <w:numId w:val="3"/>
        </w:numPr>
        <w:rPr/>
      </w:pPr>
      <w:r>
        <w:rPr/>
        <w:t xml:space="preserve">Huomio kohdistettiin vain niihin 338 tapaukseen, joissa </w:t>
      </w:r>
      <w:r>
        <w:rPr>
          <w:i/>
        </w:rPr>
        <w:t>asua</w:t>
      </w:r>
      <w:r>
        <w:rPr/>
        <w:t>-johdos sijaitsee ensimmäisen asumisesta kertovan kappaleen ensimmäisessä virkkeessä. Tällä varmistettiin se, että tarkastelun kohteeksi tulee mahdollisimman paljon juuri niitä virkkeitä, joissa kirjoittaja todella siirtyy vanhasta topiikista uuteen.</w:t>
      </w:r>
    </w:p>
    <w:p>
      <w:pPr>
        <w:pStyle w:val="Compact"/>
        <w:numPr>
          <w:ilvl w:val="0"/>
          <w:numId w:val="3"/>
        </w:numPr>
        <w:rPr/>
      </w:pPr>
      <w:r>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t xml:space="preserve">Jos tutkitaan tarkemmin niitä kategorioita, jotka syntaktinen jäsennin on merkinnyt tutkimukseen valikoituneiden kappaleiden ensimmäisille </w:t>
      </w:r>
      <w:r>
        <w:rPr>
          <w:i/>
        </w:rPr>
        <w:t>asua</w:t>
      </w:r>
      <w:r>
        <w:rPr/>
        <w:t>-johdoksille, saadaan taulukon 1 mukainen jakauma.</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28"/>
        <w:gridCol w:w="1222"/>
        <w:gridCol w:w="3009"/>
        <w:gridCol w:w="3008"/>
        <w:gridCol w:w="471"/>
      </w:tblGrid>
      <w:tr>
        <w:trPr>
          <w:cnfStyle w:firstRow="1"/>
        </w:trPr>
        <w:tc>
          <w:tcPr>
            <w:tcW w:w="1128" w:type="dxa"/>
            <w:tcBorders>
              <w:bottom w:val="single" w:sz="6" w:space="0" w:color="000001"/>
              <w:insideH w:val="single" w:sz="6" w:space="0" w:color="000001"/>
            </w:tcBorders>
            <w:shd w:fill="auto" w:val="clear"/>
            <w:vAlign w:val="bottom"/>
          </w:tcPr>
          <w:p>
            <w:pPr>
              <w:pStyle w:val="Compact"/>
              <w:spacing w:before="36" w:after="36"/>
              <w:jc w:val="left"/>
              <w:rPr/>
            </w:pPr>
            <w:r>
              <w:rPr/>
              <w:t> </w:t>
            </w:r>
          </w:p>
        </w:tc>
        <w:tc>
          <w:tcPr>
            <w:tcW w:w="1222" w:type="dxa"/>
            <w:tcBorders>
              <w:bottom w:val="single" w:sz="6" w:space="0" w:color="000001"/>
              <w:insideH w:val="single" w:sz="6" w:space="0" w:color="000001"/>
            </w:tcBorders>
            <w:shd w:fill="auto" w:val="clear"/>
            <w:vAlign w:val="bottom"/>
          </w:tcPr>
          <w:p>
            <w:pPr>
              <w:pStyle w:val="Compact"/>
              <w:spacing w:before="36" w:after="36"/>
              <w:jc w:val="left"/>
              <w:rPr/>
            </w:pPr>
            <w:r>
              <w:rPr/>
              <w:t>Frekvenssi</w:t>
            </w:r>
          </w:p>
        </w:tc>
        <w:tc>
          <w:tcPr>
            <w:tcW w:w="3009" w:type="dxa"/>
            <w:tcBorders>
              <w:bottom w:val="single" w:sz="6" w:space="0" w:color="000001"/>
              <w:insideH w:val="single" w:sz="6" w:space="0" w:color="000001"/>
            </w:tcBorders>
            <w:shd w:fill="auto" w:val="clear"/>
            <w:vAlign w:val="bottom"/>
          </w:tcPr>
          <w:p>
            <w:pPr>
              <w:pStyle w:val="Compact"/>
              <w:spacing w:before="36" w:after="36"/>
              <w:jc w:val="left"/>
              <w:rPr/>
            </w:pPr>
            <w:r>
              <w:rPr/>
              <w:t>Selitys</w:t>
            </w:r>
          </w:p>
        </w:tc>
        <w:tc>
          <w:tcPr>
            <w:tcW w:w="3008" w:type="dxa"/>
            <w:tcBorders>
              <w:bottom w:val="single" w:sz="6" w:space="0" w:color="000001"/>
              <w:insideH w:val="single" w:sz="6" w:space="0" w:color="000001"/>
            </w:tcBorders>
            <w:shd w:fill="auto" w:val="clear"/>
            <w:vAlign w:val="bottom"/>
          </w:tcPr>
          <w:p>
            <w:pPr>
              <w:pStyle w:val="Compact"/>
              <w:spacing w:before="36" w:after="36"/>
              <w:jc w:val="left"/>
              <w:rPr/>
            </w:pPr>
            <w:r>
              <w:rPr/>
              <w:t>Esimerkki</w:t>
            </w:r>
          </w:p>
        </w:tc>
        <w:tc>
          <w:tcPr>
            <w:tcW w:w="471" w:type="dxa"/>
            <w:tcBorders>
              <w:bottom w:val="single" w:sz="6" w:space="0" w:color="000001"/>
              <w:insideH w:val="single" w:sz="6" w:space="0" w:color="000001"/>
            </w:tcBorders>
            <w:shd w:fill="auto" w:val="clear"/>
            <w:vAlign w:val="bottom"/>
          </w:tcPr>
          <w:p>
            <w:pPr>
              <w:pStyle w:val="Compact"/>
              <w:spacing w:before="36" w:after="36"/>
              <w:jc w:val="left"/>
              <w:rPr/>
            </w:pPr>
            <w:r>
              <w:rPr/>
              <w:t>N</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dobj</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94</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objekti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Hankin asunnon</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47</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root</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60</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predikaattiverbi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Asuin kerrostalossa</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30</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nmod</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50</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luokittelematon adverbiaali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Asunnon suhteen</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25</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nmod:gobj</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34</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nominaalisen verbimuodon objekti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Asunnon hankkiminen</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17</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nsubj</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32</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subjekti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Asuminen järjestyi</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16</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nmod:poss</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29</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omistusrakenteen kohde</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Asuntoloiden vuokrataso</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14</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nsubj:cop</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21</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kopulalauseen subjekti</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Asuntola on uusi</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10</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muu</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18</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esim. infinitiivitäydennykset</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Halusin asumaan paikallisten kanssa</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9</w:t>
            </w:r>
          </w:p>
        </w:tc>
      </w:tr>
      <w:tr>
        <w:trPr/>
        <w:tc>
          <w:tcPr>
            <w:tcW w:w="112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Yht.</w:t>
            </w:r>
          </w:p>
        </w:tc>
        <w:tc>
          <w:tcPr>
            <w:tcW w:w="122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338</w:t>
            </w:r>
          </w:p>
        </w:tc>
        <w:tc>
          <w:tcPr>
            <w:tcW w:w="300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3008"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47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168</w:t>
            </w:r>
          </w:p>
        </w:tc>
      </w:tr>
    </w:tbl>
    <w:p>
      <w:pPr>
        <w:pStyle w:val="TextBody"/>
        <w:rPr/>
      </w:pPr>
      <w:r>
        <w:rPr/>
        <w:t>Taulukko 1: Asua-johdosten jakautuminen eri syntaktisiin kategorioihin.</w:t>
      </w:r>
    </w:p>
    <w:p>
      <w:pPr>
        <w:pStyle w:val="TextBody"/>
        <w:rPr/>
      </w:pPr>
      <w:r>
        <w:rPr/>
        <w:t xml:space="preserve">Taulukon Frekvenssi-sarakkeesta nähdään paitsi se, että yhteensä edellä kuvattujen kolmen annotointi- ja rajausvaiheen jälkeen jäljelle jäi 338 tekstiä, myös se, että selvästi tavallisimpia topiikki-indikaattoreita olivat objektina esiintyvät asua-johdokset. Kategoriat, joiden edustajia oli yhteensä alle kymmenen, niputettiin yhdeksi </w:t>
      </w:r>
      <w:r>
        <w:rPr>
          <w:i/>
        </w:rPr>
        <w:t>muu</w:t>
      </w:r>
      <w:r>
        <w:rPr/>
        <w:t xml:space="preserve">-kategoriaksi. Varsinainen satunnaisotanta tehtiin taulukossa esitettyjen kategorioiden perusteella siten, että jokaisesta taulukossa luetellusta ryhmästä (mukaan lukien </w:t>
      </w:r>
      <w:r>
        <w:rPr>
          <w:i/>
        </w:rPr>
        <w:t>muu</w:t>
      </w:r>
      <w:r>
        <w:rPr/>
        <w:t>-ryhmä) valittiin satunnaisesti ryhmän kokonaisfrekvenssin puolikasta vastaava määrä tapauksia (ks. taulukon viimeinen sarake).</w:t>
      </w:r>
      <w:r>
        <w:rPr>
          <w:rStyle w:val="FootnoteAnchor"/>
        </w:rPr>
        <w:footnoteReference w:id="3"/>
      </w:r>
      <w:r>
        <w:rPr/>
        <w:t xml:space="preserve"> Nämä 168 tapauksesta otettiin varsinaisen laadullisen analyysin kohteeksi.</w:t>
      </w:r>
    </w:p>
    <w:p>
      <w:pPr>
        <w:pStyle w:val="TextBody"/>
        <w:rPr/>
      </w:pPr>
      <w:r>
        <w:rPr/>
        <w:t>Laadullisen analyysin tavoitteena oli ryhmitellä aineistosta erotellut 168 tekstiä siten, että yhteen ryhmään päätyisivät aina ne tavat asettaa topiikki, jotka syntaktisilta tai funktionaalisilta ominaisuuksiltaan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ryhmitelty minkään ennalta määriteltyjen kriteerien pohjalta, vaan sillä perusteella, mitkä tapaukset muistuttivat toisiaan.</w:t>
      </w:r>
    </w:p>
    <w:p>
      <w:pPr>
        <w:pStyle w:val="TextBody"/>
        <w:rPr/>
      </w:pPr>
      <w:r>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p>
    <w:p>
      <w:pPr>
        <w:pStyle w:val="TextBody"/>
        <w:rPr/>
      </w:pPr>
      <w:r>
        <w:rPr/>
        <w:t>…</w:t>
      </w:r>
      <w:r>
        <w:rPr/>
        <w:t>.vielä kappale ryhmittelyn perusteista ja siitä, ettei semant. kriteerejä käytetty…</w:t>
      </w:r>
    </w:p>
    <w:p>
      <w:pPr>
        <w:pStyle w:val="Heading1"/>
        <w:rPr/>
      </w:pPr>
      <w:bookmarkStart w:id="3" w:name="tulokset"/>
      <w:bookmarkEnd w:id="3"/>
      <w:r>
        <w:rPr/>
        <w:t>Tulokset</w:t>
      </w:r>
    </w:p>
    <w:p>
      <w:pPr>
        <w:pStyle w:val="FirstParagraph"/>
        <w:rPr/>
      </w:pPr>
      <w:r>
        <w:rPr/>
        <w:t>Edellä kuvatun laadullisen analyysin tuloksena tutkittavaksi valitut 168 tekstiä jaoteteltiin 13 ryhmään. Osiossa 4.1. kutakin ryhmää luonnehditaan yleisellä tasolla tarkastelemalla lähemmin yhtä edustavaa esimerkkiä. Vaikka varsinainen ryhmäjako on tehty puhtaan laadullisin perustein pohjaamalla tapausten keskinäiseen samankaltaisuuteen, tulkitaan osiossa 4.2. analyysin tulosta eli itse jaottelua määrällisten ominaisuuksien pohjalta.</w:t>
      </w:r>
    </w:p>
    <w:p>
      <w:pPr>
        <w:pStyle w:val="Heading2"/>
        <w:rPr/>
      </w:pPr>
      <w:bookmarkStart w:id="4" w:name="laadullinen-analyysi"/>
      <w:bookmarkEnd w:id="4"/>
      <w:r>
        <w:rPr/>
        <w:t>Laadullinen analyysi</w:t>
      </w:r>
    </w:p>
    <w:p>
      <w:pPr>
        <w:pStyle w:val="FirstParagraph"/>
        <w:rPr/>
      </w:pPr>
      <w:r>
        <w:rPr/>
        <w:t xml:space="preserve">Käymme tässä alaluvussa laadullisen analyysin tuloksena syntyneet ryhmät läpi niiden koon mukaisessa järjestyksessä suurimmasta pienimpään. Aineiston laajimman ryhmän, kaikkiaan 31 tapausta, muodostavat esimerkin 1 kaltaiset topiikkia asettavat virkkeet. Ryhmässä on jonkin verran tekstejä (7 kpl / 22.58 %), joissa varsinaista asumisesta kertovaa kappaletta tai kappaleita edeltää aiheeseen johdattava väliotsikko kuten </w:t>
      </w:r>
      <w:r>
        <w:rPr>
          <w:i/>
        </w:rPr>
        <w:t>Asuminen</w:t>
      </w:r>
      <w:r>
        <w:rPr/>
        <w:t xml:space="preserve"> tai </w:t>
      </w:r>
      <w:r>
        <w:rPr>
          <w:i/>
        </w:rPr>
        <w:t>Asuminen Istanbulissa</w:t>
      </w:r>
      <w:r>
        <w:rPr/>
        <w:t xml:space="preserve"> – näin ei kuitenkaan ole tässä esitetyn virkkeen tapauksessa.</w:t>
      </w:r>
    </w:p>
    <w:p>
      <w:pPr>
        <w:pStyle w:val="Compact"/>
        <w:numPr>
          <w:ilvl w:val="0"/>
          <w:numId w:val="4"/>
        </w:numPr>
        <w:rPr/>
      </w:pPr>
      <w:r>
        <w:rPr/>
        <w:t>Asuntoni sain vuokrattua Apartiksen (paikallinen TOAS) kautta.</w:t>
      </w:r>
    </w:p>
    <w:p>
      <w:pPr>
        <w:pStyle w:val="FirstParagraph"/>
        <w:rPr/>
      </w:pPr>
      <w:r>
        <w:rPr/>
        <w:t xml:space="preserve">Esimerkin 1 topiikki-indikaattorina on </w:t>
      </w:r>
      <w:r>
        <w:rPr>
          <w:i/>
        </w:rPr>
        <w:t>asuntoni</w:t>
      </w:r>
      <w:r>
        <w:rPr/>
        <w:t xml:space="preserve">-sana, joka tälle ryhmälle leimallisesti on lauseen alussa sijaitseva objekti. Asumiseen tai asuntoon ei ole viitattu edeltävissä kappaleissa, vaan topiikkia asettava virke on samalla ensimmäinen maininta itse topiikista: esimerkkiä 1 edeltävässä tekstissä kirjoittaja on käsitellyt ensin valmistelujaan kotoa käsin, sitten kielikurssia melko seikkaperäisesti, vaihto-opiskelijoille järjestettyä vapaa-ajan ohjelmaa ja lopuksi vielä reflektoinut omaa osaamistaan valitsemallaan kielikurssilla. Informaatiorakenteellisesti tarkasteltuna esimerkin 1 </w:t>
      </w:r>
      <w:r>
        <w:rPr>
          <w:i/>
        </w:rPr>
        <w:t>asuntoni</w:t>
      </w:r>
      <w:r>
        <w:rPr/>
        <w:t xml:space="preserve"> voidaan nähdä alatopiikkina (ks. osio x.x edellä), vaikka esimerkissä 1 ei täyty Dikin (1989: 275) kuvailema ehto siitä, että varsinainen ylätopiikki olisi erikseen esitelty lukijalle (vrt. myös Guijarro 2001: 110). Kirjoittaja kuitenkin operoi tässä ja useimmissa ryhmän 1</w:t>
      </w:r>
      <w:r>
        <w:rPr>
          <w:rStyle w:val="FootnoteAnchor"/>
        </w:rPr>
        <w:footnoteReference w:id="4"/>
      </w:r>
      <w:r>
        <w:rPr/>
        <w:t xml:space="preserve"> tapauksissa niin selkeästi tehtävänannossa ehdotetun rakenteen puitteissa, että hän olettaa lukijan automaattisesti jakavan käsityksen siitä, mitä aiheita tekstin diskurssitopiikkiin, vaihtokokemukseen, liittyvien asioiden joukko pitää sisällään. Asunto tai asuminen nähdään toisin sanoen lukijan käytettävissä olevana entiteettinä (vrt. Chafe 1987: 29; Lambrecht 1996: 99), mikä mahdollistaa sen tuomisen tekstiin ilman ennakkomainintoja tai esittelyjä. Voisi jopa sanoa, että esimerkin 1 kaltaiset tapaukset eivät niinkään aseta topiikkia, vaan ennemmin käyttävät jo asetetetuksi oletettua topiikkia.</w:t>
      </w:r>
    </w:p>
    <w:p>
      <w:pPr>
        <w:pStyle w:val="TextBody"/>
        <w:rPr/>
      </w:pPr>
      <w:r>
        <w:rPr/>
        <w:t>Toiseksi suurimman laadullisen analyysin tuloksena syntyneistä ryhmistä muodostavat esimerkin 2 kaltaiset tapaukset, joita tutkimusaineistossa on 21 kappaletta. Esimerkkiä 2 samoin kuin 6 muuta tämän ryhmän virkettä (yht. 33.33 % ryhmän tapauksista) edeltää asumiseen viittaava väliotsikko.</w:t>
      </w:r>
    </w:p>
    <w:p>
      <w:pPr>
        <w:pStyle w:val="Compact"/>
        <w:numPr>
          <w:ilvl w:val="0"/>
          <w:numId w:val="5"/>
        </w:numPr>
        <w:rPr/>
      </w:pPr>
      <w:r>
        <w:rPr/>
        <w:t>Vaihtoni aikana asuin Grandmontin asuntolassa.</w:t>
      </w:r>
    </w:p>
    <w:p>
      <w:pPr>
        <w:pStyle w:val="FirstParagraph"/>
        <w:rPr/>
      </w:pPr>
      <w:r>
        <w:rPr/>
        <w:t xml:space="preserve">Kaikissa ryhmän 2 tapauksista topiikki-indikaattorina on persoonamuotoinen </w:t>
      </w:r>
      <w:r>
        <w:rPr>
          <w:i/>
        </w:rPr>
        <w:t>asua</w:t>
      </w:r>
      <w:r>
        <w:rPr/>
        <w:t xml:space="preserve">-verbi, ja virkkeiden pääasiallinen sisältö on yleensä informaatio siitä, missä kirjoittaja on vaihtonsa aikana asunut. Tämän ryhmän tapaukset ovat edellistä ryhmää selkeämmin nimenomaan johdantoja uuteen aiheeseen, ja Dikin jaottelun mukaisesti esimerkin 2 lopussa mainittu </w:t>
      </w:r>
      <w:r>
        <w:rPr>
          <w:i/>
        </w:rPr>
        <w:t>asuntola</w:t>
      </w:r>
      <w:r>
        <w:rPr/>
        <w:t xml:space="preserve"> muodostaa (osiossa x.x. määritellyssä termin teknisessä merkityksessä) uuden topiikin (1989: 269). Vastaavat </w:t>
      </w:r>
      <w:r>
        <w:rPr>
          <w:i/>
        </w:rPr>
        <w:t>asuin paikassa X</w:t>
      </w:r>
      <w:r>
        <w:rPr/>
        <w:t xml:space="preserve"> -tyyppiset rakenteet ovat siis keinoja esitellä </w:t>
      </w:r>
      <w:r>
        <w:rPr>
          <w:i/>
        </w:rPr>
        <w:t>paikka X</w:t>
      </w:r>
      <w:r>
        <w:rPr/>
        <w:t>, josta tällaisella virkkeellä alkava kappale kertoo. Esimerkin 2 tapauksessa kirjoittaja jatkaa kappalettaan kuvailemalla asuntonsa sisustuksen, kämppäkaverit ja vuokran suuruuden.</w:t>
      </w:r>
    </w:p>
    <w:p>
      <w:pPr>
        <w:pStyle w:val="TextBody"/>
        <w:rPr/>
      </w:pPr>
      <w:r>
        <w:rPr/>
        <w:t>Esimerkin 3 kaltaisten tapausten muodostama ryhmä on täsmalleen samankokoinen kuin ryhmä 2 (21 tapausta) – sattumalta myös otsikoitujen kappaleiden määrä on identtinen (7 kappaletta).</w:t>
      </w:r>
    </w:p>
    <w:p>
      <w:pPr>
        <w:pStyle w:val="Compact"/>
        <w:numPr>
          <w:ilvl w:val="0"/>
          <w:numId w:val="6"/>
        </w:numPr>
        <w:rPr/>
      </w:pPr>
      <w:r>
        <w:rPr/>
        <w:t>Olin löytänyt asunnon ensimmäiseksi kuukaudeksi Airbnb:n kautta ennen Italiaan saapumista.</w:t>
      </w:r>
    </w:p>
    <w:p>
      <w:pPr>
        <w:pStyle w:val="FirstParagraph"/>
        <w:rPr/>
      </w:pPr>
      <w:r>
        <w:rPr/>
        <w:t xml:space="preserve">Esimerkin 3 edustamat virkkeet ovat ajallisesti muita monitasoisempia. Lukija johdatetaan kappaleen topiikkiin kuvaamalla jotakin, mikä on tapahtunut ennen sitä ajanjaksoa, jolle varsinainen käsiteltävä topiikki sijoittuu. Esimerkin 3 tapauksessa luodaan pieni jännite: jos kerran ensimmäiseksi kuukaudeksi oli löydetty AirBnb-asunto, miten asumisasia lopullisesti ratkaistiin? Avausvirkkeen jälkeen kappaleessa selviää, että AirBnb-ratkaisusta muodostuikin lopulta asunto koko vaihdon ajaksi. Kappaleen loppuosassa kirjoittaja kuvailee tarkemmin asunnon yksityiskohtia: sijaintia, kulkuyhteyksiä ja tyypillisyyttä kohdekulttuurissa. Informaatiorakenteeltaan ryhmä 3 onkin hyvin samanlainen kuin edellinen ryhmä: koko kappaleen topiikkina oleva </w:t>
      </w:r>
      <w:r>
        <w:rPr>
          <w:i/>
        </w:rPr>
        <w:t>asunto</w:t>
      </w:r>
      <w:r>
        <w:rPr/>
        <w:t xml:space="preserve"> esitellään uutena topiikkina ensimmäisessä virkkeessä.</w:t>
      </w:r>
    </w:p>
    <w:p>
      <w:pPr>
        <w:pStyle w:val="TextBody"/>
        <w:rPr/>
      </w:pPr>
      <w:r>
        <w:rPr/>
        <w:t>Neljäntenä ryhmänä tarkastellaan seuraavanlaisia tapauksia, joissa topiikki asetetaan luonnehtimalla jotenkin kirjoittajan henkilökohtaista kokemusta aiheesta:</w:t>
      </w:r>
    </w:p>
    <w:p>
      <w:pPr>
        <w:pStyle w:val="Compact"/>
        <w:numPr>
          <w:ilvl w:val="0"/>
          <w:numId w:val="7"/>
        </w:numPr>
        <w:rPr/>
      </w:pPr>
      <w:r>
        <w:rPr/>
        <w:t>Asuminen, tai siis lähinnä asunnon hankkiminen, oli varmaankin vaihdon hankalin juttu.</w:t>
      </w:r>
    </w:p>
    <w:p>
      <w:pPr>
        <w:pStyle w:val="FirstParagraph"/>
        <w:rPr/>
      </w:pPr>
      <w:r>
        <w:rPr/>
        <w:t xml:space="preserve">Esimerkissä 4 topiikkia indikoi </w:t>
      </w:r>
      <w:r>
        <w:rPr>
          <w:i/>
        </w:rPr>
        <w:t>asuminen</w:t>
      </w:r>
      <w:r>
        <w:rPr/>
        <w:t xml:space="preserve">, mikä tähän ryhmään luokitelluilla kaikkiaan 16 tapauksella onkin tyypillistä: kenties suoraviivaisin tapa kuvailla omaa kokemusta jostakin varsinaisen diskurssitopiikin osa-alueesta on niputtaa kokemus nominalisoituun verbimuotoon ja luonnehtia tätä predikatiivilauseella. Näissä tapauksissa kuvataan, miten </w:t>
      </w:r>
      <w:r>
        <w:rPr>
          <w:i/>
        </w:rPr>
        <w:t>asunnon hakeminen oli helppoa</w:t>
      </w:r>
      <w:r>
        <w:rPr/>
        <w:t xml:space="preserve"> tai miten </w:t>
      </w:r>
      <w:r>
        <w:rPr>
          <w:i/>
        </w:rPr>
        <w:t>kaikkein vaikeinta oli asunnon löytäminen</w:t>
      </w:r>
      <w:r>
        <w:rPr/>
        <w:t>. Kirjoittajan näkökulma onkin usein koko tekstin ja diskurssitopiikinkin tasolla subjektiivinen – strategiana on kertoa käsiteltävästä asiasta sen kautta, miten asiat ovat sujuneet, omia onnistumisia ja epäonnistumisia arvioiden. Informaatiorakenteen kannalta nämä tapaukset ovat monesti ryhmän 1 tapaan alatopiikkeja. Esimerkki 4 on kuitenkin esimerkkiä 1 selvemmin topiikkia asettava virke, sillä siinä asumisen rooli yhtenä vaihtokokemuksen osana on ilmaistu eksplisiittisesti. Vain kahdessa ryhmän 4 tapauksessa asumisesta kertovaa kappaletta edeltää väliotsikko.</w:t>
      </w:r>
    </w:p>
    <w:p>
      <w:pPr>
        <w:pStyle w:val="TextBody"/>
        <w:rPr/>
      </w:pPr>
      <w:r>
        <w:rPr/>
        <w:t xml:space="preserve">Esimerkissä 5 indikaattorina on </w:t>
      </w:r>
      <w:r>
        <w:rPr>
          <w:i/>
        </w:rPr>
        <w:t>asuntoloista</w:t>
      </w:r>
      <w:r>
        <w:rPr/>
        <w:t>-sana.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w:t>
      </w:r>
    </w:p>
    <w:p>
      <w:pPr>
        <w:pStyle w:val="Compact"/>
        <w:numPr>
          <w:ilvl w:val="0"/>
          <w:numId w:val="8"/>
        </w:numPr>
        <w:rPr/>
      </w:pPr>
      <w:r>
        <w:rPr/>
        <w:t>Asuntoloista valitsin Julius Raab Heimin vanhojen matkakertomusten perusteella.</w:t>
      </w:r>
    </w:p>
    <w:p>
      <w:pPr>
        <w:pStyle w:val="FirstParagraph"/>
        <w:rPr/>
      </w:pPr>
      <w:r>
        <w:rPr/>
        <w:t>Esimerkin 5 kaltaisia aiempaan kontekstiin tietoisesti sidottuja tapauksia on aineistossa 14 kappaletta. Näissä tapauksissa kyse on virketasolla tarkasteltuna joko annetuista topiikeista – jos kontekstuaalinen linkki on muodostettu suhteellisen lähellä tässä käsiteltävää varsinaista asumiskappaletta – tai, jos edellinen maininta on selvästi kauempana, palautetuista topiikeista (Dik 1989: 270–271). X:ssä tämän ryhmän virkkeessä kappaletta edeltää välitotsikko.</w:t>
      </w:r>
    </w:p>
    <w:p>
      <w:pPr>
        <w:pStyle w:val="Compact"/>
        <w:numPr>
          <w:ilvl w:val="0"/>
          <w:numId w:val="9"/>
        </w:numPr>
        <w:rPr/>
      </w:pPr>
      <w:r>
        <w:rPr/>
        <w:t>Ulkomaisille opiskelijoille tarkoitettu asuntola on vain kolme vuotta vanha ja täten melko moderni.</w:t>
      </w:r>
    </w:p>
    <w:p>
      <w:pPr>
        <w:pStyle w:val="FirstParagraph"/>
        <w:rPr/>
      </w:pPr>
      <w:r>
        <w:rPr/>
        <w:t>Esimerkissä 6 kirjoittaja esittelee uuden topiikin lähtemällä liikkeelle konkreettisesti asuntonsa luonnehtimisesta (vrt. esimerkki 4, jossa luonnehditaan kirjoittajan kokemusta). Vastaavia asuntolaa tai asumista staattisesti kuvaavia topiikin asettavia virkkeitä on kaikkiaan 12 kappaletta. Informaatiorakenteeltaan nämä tapaukset ovat monesti lähellä ryhmää 2, sillä molemmissa kappaleen ensimmäinen virke esittelee lukijalle sen, minkä yksityiskohtaiseen kuvailuun koko loppukappale keskittyy. Esimerkissä 6 topiikki asetetaan kuitenkin jossain määrin implisiittisemmin, ja hyppäys edellisestä aiheesta (esimerkin 6 tapauksessa HIV-testin teettäminen) on tyypillisesti rajumpi. Tämä selittää sitä, että peräti 58.33 % ryhmän 6 tapauksista (ei kuitenkaan tässä esitetty esimerkki) sisältää asumiskappaletta edeltävän väliotsikon.</w:t>
      </w:r>
    </w:p>
    <w:p>
      <w:pPr>
        <w:pStyle w:val="TextBody"/>
        <w:rPr/>
      </w:pPr>
      <w:r>
        <w:rPr/>
        <w:t>Esimerkki 7 edustaa kaikkiaan 10 tapausta käsittävää ryhmää, jonka ominaispiirteenä on kirjottajan itsensä vertailu muihin vaihdossa olleisiin.</w:t>
      </w:r>
    </w:p>
    <w:p>
      <w:pPr>
        <w:pStyle w:val="Compact"/>
        <w:numPr>
          <w:ilvl w:val="0"/>
          <w:numId w:val="10"/>
        </w:numPr>
        <w:rPr/>
      </w:pPr>
      <w:r>
        <w:rPr/>
        <w:t>Itselläni kävi tuuri asunnon suhteen löytäessäni edullisen huoneen Chelseasta aivan Manhattanin keskeltä.</w:t>
      </w:r>
    </w:p>
    <w:p>
      <w:pPr>
        <w:pStyle w:val="FirstParagraph"/>
        <w:rPr/>
      </w:pPr>
      <w:r>
        <w:rPr/>
        <w:t>Informaatiorakenteeltaan ryhmän 7 tapaukset ovat nekin tyypillisesti alatopiikkeja, ja olettavat indikaattorisanan implikoiman topiikin jossain määrin esimerkin 1 kaltaisesti jo asetetuksi. Toisaalta esimerkissä 7 on samoja piirteitä kuin esimerkissä 4: myös tässä reflektoidaan sitä, mikä omassa kokemuksessa oli helppoa ja mikä vaikeaa. Yhdessäkään ryhmän 7 tapauksessa ei ole asumiseen viittaavaa väliotsikkoa.</w:t>
      </w:r>
    </w:p>
    <w:p>
      <w:pPr>
        <w:pStyle w:val="TextBody"/>
        <w:rPr/>
      </w:pPr>
      <w:r>
        <w:rPr/>
        <w:t xml:space="preserve">Samoin kuin esimerkissä 4, myös esimerkissä 8 topiikki-indikaattorina on koko lauseen ensimmäisena sijaitseva </w:t>
      </w:r>
      <w:r>
        <w:rPr>
          <w:i/>
        </w:rPr>
        <w:t>asuminen</w:t>
      </w:r>
      <w:r>
        <w:rPr/>
        <w:t>-sana. Erona näiden esimerkkien välillä on, että siinä missä esimerkki 4 on informaatiorakenteen kannalta omasta vaihtokokemuksesta lohkaistu alatopiikki, ankkuroituu esimerkki 8 siihen fyysiseen paikkaan, jossa vaihto tapahtui:</w:t>
      </w:r>
    </w:p>
    <w:p>
      <w:pPr>
        <w:pStyle w:val="Compact"/>
        <w:numPr>
          <w:ilvl w:val="0"/>
          <w:numId w:val="11"/>
        </w:numPr>
        <w:rPr/>
      </w:pPr>
      <w:r>
        <w:rPr/>
        <w:t>Asuminen Tokiossa on aika kallista.</w:t>
      </w:r>
    </w:p>
    <w:p>
      <w:pPr>
        <w:pStyle w:val="FirstParagraph"/>
        <w:rPr/>
      </w:pPr>
      <w:r>
        <w:rPr/>
        <w:t xml:space="preserve">Ryhmän 8 kirjoittajat eivät lähde liikkeelle omista kokemuksistaan, vaan käsittelevät tilannetta laajemmin, tavoitteenaan eräässä mielessä jakaa maailmantietoa lukijalleen. Esimerkin 8 edustama ryhmä kattaa kaikkiaan 10 tapausta, joista kahdessa (mukaan lukien esimerkki 8) asumisesta kertovaa kappaletta edeltää väliotsikko </w:t>
      </w:r>
      <w:r>
        <w:rPr>
          <w:i/>
        </w:rPr>
        <w:t>Asuminen</w:t>
      </w:r>
      <w:r>
        <w:rPr/>
        <w:t>.</w:t>
      </w:r>
    </w:p>
    <w:p>
      <w:pPr>
        <w:pStyle w:val="TextBody"/>
        <w:rPr/>
      </w:pPr>
      <w:r>
        <w:rPr/>
        <w:t>Yleistys kirjoittajan oman kokemuspiirin ulkopuolelle voidaan kuitenkin tehdä myös toisella tavalla. Esimerkissä 9 ja kahdeksassa muussa tapauksessa tämä tapahtuu keskittymällä johonkin ulkoiseen agenttiin, jonka toimet vaikuttavat kirjoittajaan yleisesti ja asumisen järjestymiseen erityisesti:</w:t>
      </w:r>
    </w:p>
    <w:p>
      <w:pPr>
        <w:pStyle w:val="Compact"/>
        <w:numPr>
          <w:ilvl w:val="0"/>
          <w:numId w:val="12"/>
        </w:numPr>
        <w:rPr/>
      </w:pPr>
      <w:r>
        <w:rPr/>
        <w:t>Suurlähetystön henkilökunta tarjosi resurssiensa puitteissa apuaan mm. maahantuloon, käytännön järjestelyihin sekä asunnon löytämiseen liittyvissä asioissa.</w:t>
      </w:r>
    </w:p>
    <w:p>
      <w:pPr>
        <w:pStyle w:val="FirstParagraph"/>
        <w:rPr/>
      </w:pPr>
      <w:r>
        <w:rPr/>
        <w:t>Esimerkissä 9 on informaatiorakenteen kannalta katsottuna kyse esimerkkien 2, 3 ja 6 tapaan uudesta topiikista, mutta sen esittely toteutetaan hyödyntämällä jotakin tekstin kannalta keskeistä toimijaa, tässä tapauksessa suurlähetystön henkilökuntaa. Kuten ryhmän 7 kohdalla, myös ryhmässä 9 yli puolessa tapauksia (55.56 %) asumisesta kertovaa kappaletta edeltää väliotsikko.</w:t>
      </w:r>
    </w:p>
    <w:p>
      <w:pPr>
        <w:pStyle w:val="TextBody"/>
        <w:rPr/>
      </w:pPr>
      <w:r>
        <w:rPr/>
        <w:t>Esimerkin 10 edustamassa ryhmässä asumisesta raportoidaan kertovan tekstityypin avulla, mikä käy tästä esimerkistä esiin erityisen selvästi, koska kirjoittaja on käyttänyt ajan ilmausta.</w:t>
      </w:r>
    </w:p>
    <w:p>
      <w:pPr>
        <w:pStyle w:val="Compact"/>
        <w:numPr>
          <w:ilvl w:val="0"/>
          <w:numId w:val="13"/>
        </w:numPr>
        <w:rPr/>
      </w:pPr>
      <w:r>
        <w:rPr/>
        <w:t>Lensin Wieniin sunnuntaina ja lento-kentältä suuntasin suoraan asunnolleni.</w:t>
      </w:r>
    </w:p>
    <w:p>
      <w:pPr>
        <w:pStyle w:val="FirstParagraph"/>
        <w:rPr/>
      </w:pPr>
      <w:r>
        <w:rPr/>
        <w:t>Aikamuoto ryhmän 10 virkkeissä on tyypillisesti imperfekti. Näissäkin tapauksissa topiikki-indikaattori on informaatiorakenteen kannalta uusi topiikki, joka esimerkin narratiivisuuden vuoksi tulee asetetuksi muita tässä tarkasteltuja uuden topiikin sisältäviä ryhmiä implisiittisemmin. Kaikkiaan ryhmään 10 kuuluu 9 tapausta, joista niistäkin suurin osa (5 kpl) sisältää väliotsikon.</w:t>
      </w:r>
    </w:p>
    <w:p>
      <w:pPr>
        <w:pStyle w:val="TextBody"/>
        <w:rPr/>
      </w:pPr>
      <w:r>
        <w:rPr/>
        <w:t>Oman, selvästi muista erottuvan ryhmänsä muodostavat ne esimerkin 11 edustamat 6 tapausta, joissa kirjoittaja eksplisiittisesti ilmaisee siirtyvänsä käsittelemään asumista.</w:t>
      </w:r>
    </w:p>
    <w:p>
      <w:pPr>
        <w:pStyle w:val="Compact"/>
        <w:numPr>
          <w:ilvl w:val="0"/>
          <w:numId w:val="14"/>
        </w:numPr>
        <w:rPr/>
      </w:pPr>
      <w:r>
        <w:rPr/>
        <w:t>Sitten pari sanaa asumisesta.</w:t>
      </w:r>
    </w:p>
    <w:p>
      <w:pPr>
        <w:pStyle w:val="FirstParagraph"/>
        <w:rPr/>
      </w:pPr>
      <w:r>
        <w:rPr>
          <w:i/>
        </w:rPr>
        <w:t>Sitten pari sanaa asumisesta</w:t>
      </w:r>
      <w:r>
        <w:rPr/>
        <w:t xml:space="preserve"> -tyyppisten johdantovirkkeiden voisi ajatella jossain määrin korvaavan väliotsikoita tekstissä, vaikka yksi tähän ryhmään luokiteltu virke (</w:t>
      </w:r>
      <w:r>
        <w:rPr>
          <w:i/>
        </w:rPr>
        <w:t>Monella varmaan herää jo kysymys, entäs asuminen?</w:t>
      </w:r>
      <w:r>
        <w:rPr/>
        <w:t>) tekeekin poikkeuksen. Nämä 6 esimerkkiä edustavat Dikin jaottelussa uusia topiikkeja (1989: 268), ja ovat aiheeseen johdattamisen implisiittisyys–eksplisiittisyys-asteikon eksplisiittisessä ääripäässä (vrt. päinvastaisessa ääripäässä sijaitseva ryhmä 1).</w:t>
      </w:r>
    </w:p>
    <w:p>
      <w:pPr>
        <w:pStyle w:val="TextBody"/>
        <w:rPr/>
      </w:pPr>
      <w:r>
        <w:rPr/>
        <w:t>Laadullisessa analyysissa luokiteltiin omaksi pieneksi ryhmäkseen myös esimerkin 12 kaltaiset 5 tapausta:</w:t>
      </w:r>
    </w:p>
    <w:p>
      <w:pPr>
        <w:pStyle w:val="Compact"/>
        <w:numPr>
          <w:ilvl w:val="0"/>
          <w:numId w:val="15"/>
        </w:numPr>
        <w:rPr/>
      </w:pPr>
      <w:r>
        <w:rPr/>
        <w:t>Saapuessani Varsovaan minulla oli onneksi jo asunto tiedossa.</w:t>
      </w:r>
    </w:p>
    <w:p>
      <w:pPr>
        <w:pStyle w:val="FirstParagraph"/>
        <w:rPr/>
      </w:pPr>
      <w:r>
        <w:rPr/>
        <w:t>Nämä topiikkia asettavat tapaukset sijoittuvat ryhmien 2, 3 ja 10 välimaastoon. Kuten mainituissa ryhmissä, myös näissä tapauksissa kyseessä on varsinainen aiheeseen johdattava virke, jossa kappaleen topiikki esitellään uutena avausvirkkeen loppupuolella. Myös ryhmässä 12 kuvataan ajallinen jännite, mutta se esitetään usein eri järjestyksessä kuin ryhmässä 3. Siinä missä esimerkki 3 esitti kappaleen alussa avoimen tilanteen ja myöhemmässä kappaleessa tilanteen ratkaisun, aloittaa esimerkki 12 ratkaisusta (saavuttaessa asunto oli jo löydetty) ja käyttää lopun kappaleen takaumamaisesti sen kuvailuun, miten ratkaisuun päästiin (kirjoittaja oli etsinyt asuntoa valmiiksi Facebookin kautta).</w:t>
      </w:r>
    </w:p>
    <w:p>
      <w:pPr>
        <w:pStyle w:val="TextBody"/>
        <w:rPr/>
      </w:pPr>
      <w:r>
        <w:rPr/>
        <w:t>Pienimmän mutta silti tarkastelemisen arvoisen ryhmän aineistossamme muodostivat esimerkki 13 ja kolme muuta vastaavaa tapausta:</w:t>
      </w:r>
    </w:p>
    <w:p>
      <w:pPr>
        <w:pStyle w:val="Compact"/>
        <w:numPr>
          <w:ilvl w:val="0"/>
          <w:numId w:val="16"/>
        </w:numPr>
        <w:rPr/>
      </w:pPr>
      <w:r>
        <w:rPr/>
        <w:t>Lähes kaikki Bratislavan kauppakorkeakoulun vaihto-opiskelijat asuivat Ekonom-nimisessä dormitoryssa.</w:t>
      </w:r>
    </w:p>
    <w:p>
      <w:pPr>
        <w:pStyle w:val="FirstParagraph"/>
        <w:rPr/>
      </w:pPr>
      <w:r>
        <w:rPr/>
        <w:t xml:space="preserve">Nämä topiikkia asettavat virkkeet ovat lähellä ryhmää 7, johon luetuissa tapauksissa oleellista on kirjoittajan itsensä vertailu muihin. Ryhmässä 13 kirjoittaja lähtee liikkeelle siitä, miten yleensä tehdään tai miten suurin osa tekee. Tämä voitaisiin esittää vastakohtana omalla kokemukselle, mutta ryhmän 13 tapauksille on tyypillistä, että myös kirjoittaja noudattaa kuvailtua ennemmistön toimintatapaa. Virke 13 on todella vain keino johdattaa lukija kappaleen varsinaiseen aiheeseen, </w:t>
      </w:r>
      <w:r>
        <w:rPr>
          <w:i/>
        </w:rPr>
        <w:t>Ekonom</w:t>
      </w:r>
      <w:r>
        <w:rPr/>
        <w:t>-nimiseen asuntolaan (uusi topiikki), jonka sijainnista, vuokratasosta ja muista ominaisuuksista kappale kertoo. Yhtä lukuun ottamatta kaikki tämän ryhmän tapaukset sisältävät myös asumiseen viittaavan väliotsikon.</w:t>
      </w:r>
    </w:p>
    <w:p>
      <w:pPr>
        <w:pStyle w:val="TextBody"/>
        <w:rPr/>
      </w:pPr>
      <w:r>
        <w:rPr/>
        <w:t>Kuten edellä metodin kuvauksen yhteydessä todettiin, tässä kuvatut eri topiikin asettamistapoja edustavat ryhmät on muodostettu sijoittamalla aina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Seuraavaksi nyt esiteltyjen ryhmien rakenteellisia tyyppipiirteitä tutkitaan tarkemmin määrällisestä näkökulmasta. Argumenttimme on, että vaikka ryhmät on muodostettu puhtaasti tulkitsemalla eri tekstien välisiä samankaltaisuuksia, on suurimmalle osalle ryhmistä melko yksinkertaista antaa myös muodolliset, lähinnä rakenteeseen perustuvat määritelmät, joiden soveltaminen voi joillekin kirjoittajille tai opettajulle olla abstrakteja funktionaalisten ominaisuuksien kuvailuja helpompaa.</w:t>
      </w:r>
    </w:p>
    <w:p>
      <w:pPr>
        <w:pStyle w:val="Heading2"/>
        <w:rPr/>
      </w:pPr>
      <w:bookmarkStart w:id="5" w:name="maarallinen-analyysi"/>
      <w:bookmarkEnd w:id="5"/>
      <w:r>
        <w:rPr/>
        <w:t>Määrällinen analyysi</w:t>
      </w:r>
    </w:p>
    <w:p>
      <w:pPr>
        <w:pStyle w:val="FirstParagraph"/>
        <w:rPr/>
      </w:pPr>
      <w:r>
        <w:rPr/>
        <w:t>Tekstuaalisia funktioita ja ja kappaletason elementtejä kuvattaessa on usein.. Esimerkiksi Vuorijärvellä kuvaus “blablaa”. Jos opettaja haluaa konkretisoida eri tekstistrategioita, hänen on tavallisesti turvauduttava vain abstrakteihin määritelmiin. Yhtenä tämän tutkimuksen tarkoituksena on kuitenkin tuottaa myös toisenlaista, rakenteiden tason tietoa… Tätä tietoa on kerätty seuraavassa soveltamalla laadullisen analyysin tuloksena saatuun ryhmäjakoon määrällisiä menetelmiä, tarkemmin ottaen ehdollisia päätöksentekopuita (</w:t>
      </w:r>
      <w:r>
        <w:rPr>
          <w:i/>
        </w:rPr>
        <w:t>conditional inference trees</w:t>
      </w:r>
      <w:r>
        <w:rPr/>
        <w:t>).</w:t>
      </w:r>
    </w:p>
    <w:p>
      <w:pPr>
        <w:pStyle w:val="TextBody"/>
        <w:rPr/>
      </w:pPr>
      <w:r>
        <w:rPr/>
        <w:t>Ehdollisissa päätöksentekopuissa ajatuksena on, että (Levshina 2015, x) . Analyysissa määritellään yksi selitettävä muuttuja (vrt. Ketokivi 2015, x) ja (tavallisesti useita) selittäviä muuttujia, joiden avulla jonkin tapauksen päätymistä johonkin luokkaan pyritään ennustamaan. Nyt käsillä olevassa tutkimuksessa selitettävän muuttujan muodostavat laadullisen analyysin tuloksena luodut topiikin asetustapojen 13 ryhmää. Yksittäisen matkakertomuksen päätymistä johonkin näistä ryhmistä on suorittamassamme luokittelupuuanalyysissä tarkasteltu seuraavien selittävien muuttujien avulla.</w:t>
      </w:r>
    </w:p>
    <w:p>
      <w:pPr>
        <w:pStyle w:val="Compact"/>
        <w:numPr>
          <w:ilvl w:val="0"/>
          <w:numId w:val="17"/>
        </w:numPr>
        <w:rPr/>
      </w:pPr>
      <w:r>
        <w:rPr>
          <w:i/>
        </w:rPr>
        <w:t>Topiikki-indikaattorin dependenssirooli.</w:t>
      </w:r>
      <w:r>
        <w:rPr/>
        <w:t xml:space="preserve"> Tämän muuttujan avulla määriteltiin alkuperäinen satunnaisotanta. Sen arvojen pohjana ovat taulukossa 1 luetellut dependenssiroolit, joita kuitenkin lavennettiin siten, että arvot </w:t>
      </w:r>
      <w:r>
        <w:rPr>
          <w:i/>
        </w:rPr>
        <w:t>nsubj</w:t>
      </w:r>
      <w:r>
        <w:rPr/>
        <w:t xml:space="preserve"> ja </w:t>
      </w:r>
      <w:r>
        <w:rPr>
          <w:i/>
        </w:rPr>
        <w:t>nsubj:cop</w:t>
      </w:r>
      <w:r>
        <w:rPr/>
        <w:t xml:space="preserve"> yhdistettiin yhdeksi subjektin kategoriaksi (</w:t>
      </w:r>
      <w:r>
        <w:rPr>
          <w:i/>
        </w:rPr>
        <w:t>subj</w:t>
      </w:r>
      <w:r>
        <w:rPr/>
        <w:t xml:space="preserve">) ja arvot </w:t>
      </w:r>
      <w:r>
        <w:rPr>
          <w:i/>
        </w:rPr>
        <w:t>nmod:poss</w:t>
      </w:r>
      <w:r>
        <w:rPr/>
        <w:t xml:space="preserve"> sekä </w:t>
      </w:r>
      <w:r>
        <w:rPr>
          <w:i/>
        </w:rPr>
        <w:t>nmod:gobj</w:t>
      </w:r>
      <w:r>
        <w:rPr/>
        <w:t xml:space="preserve"> yhdeksi </w:t>
      </w:r>
      <w:r>
        <w:rPr>
          <w:i/>
        </w:rPr>
        <w:t>nmod:x</w:t>
      </w:r>
      <w:r>
        <w:rPr/>
        <w:t>-kategoriaksi, jolla viitattiin kaikkiin kompleksisiin nominaalirakenteisiin (</w:t>
      </w:r>
      <w:r>
        <w:rPr>
          <w:i/>
        </w:rPr>
        <w:t>asunnon hankinta</w:t>
      </w:r>
      <w:r>
        <w:rPr/>
        <w:t xml:space="preserve">, </w:t>
      </w:r>
      <w:r>
        <w:rPr>
          <w:i/>
        </w:rPr>
        <w:t>asumisen järjestäminen</w:t>
      </w:r>
      <w:r>
        <w:rPr/>
        <w:t>).</w:t>
      </w:r>
    </w:p>
    <w:p>
      <w:pPr>
        <w:pStyle w:val="Compact"/>
        <w:numPr>
          <w:ilvl w:val="0"/>
          <w:numId w:val="17"/>
        </w:numPr>
        <w:rPr/>
      </w:pPr>
      <w:r>
        <w:rPr>
          <w:i/>
        </w:rPr>
        <w:t>Topiikki-indikaattorin sijainti virkkeessä</w:t>
      </w:r>
      <w:r>
        <w:rPr/>
        <w:t xml:space="preserve"> jakaa aineiston kahteen luokkaan: tapauksiin, joissa topiikki-indikaattori on koko virkkeen ensimmäisenä ja muihin tapauksiin.</w:t>
      </w:r>
    </w:p>
    <w:p>
      <w:pPr>
        <w:pStyle w:val="Compact"/>
        <w:numPr>
          <w:ilvl w:val="0"/>
          <w:numId w:val="17"/>
        </w:numPr>
        <w:rPr/>
      </w:pPr>
      <w:r>
        <w:rPr/>
        <w:t xml:space="preserve">Myös </w:t>
      </w:r>
      <w:r>
        <w:rPr>
          <w:i/>
        </w:rPr>
        <w:t>lauseen predikaattiverbin persoona</w:t>
      </w:r>
      <w:r>
        <w:rPr/>
        <w:t xml:space="preserve"> jaettiin kahteen kategoriaan: tapauksiin, joissa predikaattiverbi on ensimmäisessä persoonassa ja muihin tapauksiin.</w:t>
      </w:r>
    </w:p>
    <w:p>
      <w:pPr>
        <w:pStyle w:val="Compact"/>
        <w:numPr>
          <w:ilvl w:val="0"/>
          <w:numId w:val="17"/>
        </w:numPr>
        <w:rPr/>
      </w:pPr>
      <w:r>
        <w:rPr>
          <w:i/>
        </w:rPr>
        <w:t>Side muuhun tekstiin</w:t>
      </w:r>
      <w:r>
        <w:rPr/>
        <w:t xml:space="preserve"> -muuttujalla on kolme kategoriaa: tapaukset, joissa asumistopiikkia on pohjustettu jo edellisessä kappaleessa muttei niin selvästi, että kyseessä olisi linkkitapaus (</w:t>
      </w:r>
      <w:r>
        <w:rPr>
          <w:i/>
        </w:rPr>
        <w:t>edel.</w:t>
      </w:r>
      <w:r>
        <w:rPr/>
        <w:t>); tapaukset, joissa topiikki asetetaan viittaamalla selkeästi johonkin edellä muodostettuun linkkiin (</w:t>
      </w:r>
      <w:r>
        <w:rPr>
          <w:i/>
        </w:rPr>
        <w:t>linkki</w:t>
      </w:r>
      <w:r>
        <w:rPr/>
        <w:t>); tapaukset, joissa asumiskappaletta edeltää väliotsikko (</w:t>
      </w:r>
      <w:r>
        <w:rPr>
          <w:i/>
        </w:rPr>
        <w:t>ots</w:t>
      </w:r>
      <w:r>
        <w:rPr/>
        <w:t>) sekä tapaukset, joissa mitään edellä kuvatuista siteistä ei ole (</w:t>
      </w:r>
      <w:r>
        <w:rPr>
          <w:i/>
        </w:rPr>
        <w:t>x</w:t>
      </w:r>
      <w:r>
        <w:rPr/>
        <w:t>).</w:t>
      </w:r>
    </w:p>
    <w:p>
      <w:pPr>
        <w:pStyle w:val="Compact"/>
        <w:numPr>
          <w:ilvl w:val="0"/>
          <w:numId w:val="17"/>
        </w:numPr>
        <w:rPr/>
      </w:pPr>
      <w:r>
        <w:rPr>
          <w:i/>
        </w:rPr>
        <w:t>Topiikki-indikaattorin morfologinen rakenne</w:t>
      </w:r>
      <w:r>
        <w:rPr/>
        <w:t xml:space="preserve"> erottelee toisistaan finiittiverbit, infintiivimuodot (mukaan lukien minen-johdokset) ja substantiivit.</w:t>
      </w:r>
    </w:p>
    <w:p>
      <w:pPr>
        <w:pStyle w:val="Compact"/>
        <w:numPr>
          <w:ilvl w:val="0"/>
          <w:numId w:val="17"/>
        </w:numPr>
        <w:rPr/>
      </w:pPr>
      <w:r>
        <w:rPr>
          <w:i/>
        </w:rPr>
        <w:t>Aikamuoto</w:t>
      </w:r>
      <w:r>
        <w:rPr/>
        <w:t xml:space="preserve">-muuttuja pitää sisällään arvot </w:t>
      </w:r>
      <w:r>
        <w:rPr>
          <w:i/>
        </w:rPr>
        <w:t>preesens</w:t>
      </w:r>
      <w:r>
        <w:rPr/>
        <w:t xml:space="preserve">, </w:t>
      </w:r>
      <w:r>
        <w:rPr>
          <w:i/>
        </w:rPr>
        <w:t>imperfekti</w:t>
      </w:r>
      <w:r>
        <w:rPr/>
        <w:t xml:space="preserve">, </w:t>
      </w:r>
      <w:r>
        <w:rPr>
          <w:i/>
        </w:rPr>
        <w:t>pluskvamperfekti/perferkti</w:t>
      </w:r>
      <w:r>
        <w:rPr>
          <w:rStyle w:val="FootnoteAnchor"/>
          <w:i/>
        </w:rPr>
        <w:footnoteReference w:id="5"/>
      </w:r>
      <w:r>
        <w:rPr/>
        <w:t xml:space="preserve"> ja </w:t>
      </w:r>
      <w:r>
        <w:rPr>
          <w:i/>
        </w:rPr>
        <w:t>ellipsi</w:t>
      </w:r>
      <w:r>
        <w:rPr/>
        <w:t xml:space="preserve"> (–).</w:t>
      </w:r>
    </w:p>
    <w:p>
      <w:pPr>
        <w:pStyle w:val="FirstParagraph"/>
        <w:rPr/>
      </w:pPr>
      <w:r>
        <w:rPr/>
        <w:t xml:space="preserve">Näiden muuttujien perusteella rakennettiin päätöksentekopuu R-ohjelmiston </w:t>
      </w:r>
      <w:r>
        <w:rPr>
          <w:i/>
        </w:rPr>
        <w:t>party</w:t>
      </w:r>
      <w:r>
        <w:rPr/>
        <w:t xml:space="preserve">-kirjastoon kuuluvaa </w:t>
      </w:r>
      <w:r>
        <w:rPr>
          <w:i/>
        </w:rPr>
        <w:t>ctree</w:t>
      </w:r>
      <w:r>
        <w:rPr/>
        <w:t>-funktiota (Hothorn ym. 2006) käyttäen. Analyysin tulos on esitetty kuviossa 3.</w:t>
      </w:r>
    </w:p>
    <w:p>
      <w:pPr>
        <w:pStyle w:val="FigurewithCaption"/>
        <w:rPr/>
      </w:pPr>
      <w:r>
        <w:rPr/>
        <w:drawing>
          <wp:inline distT="0" distB="0" distL="0" distR="0">
            <wp:extent cx="5334000" cy="38100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334000" cy="3810000"/>
                    </a:xfrm>
                    <a:prstGeom prst="rect">
                      <a:avLst/>
                    </a:prstGeom>
                  </pic:spPr>
                </pic:pic>
              </a:graphicData>
            </a:graphic>
          </wp:inline>
        </w:drawing>
      </w:r>
    </w:p>
    <w:p>
      <w:pPr>
        <w:pStyle w:val="ImageCaption"/>
        <w:rPr/>
      </w:pPr>
      <w:r>
        <w:rPr/>
        <w:t>Kuvio 3: Topiikkia asettavien ryhmien rakenne luokittelupuun avulla tarkasteltuna</w:t>
      </w:r>
    </w:p>
    <w:p>
      <w:pPr>
        <w:pStyle w:val="TextBody"/>
        <w:rPr/>
      </w:pPr>
      <w:r>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rPr>
        <w:t>jos jonkin tapauksen dependenssirooli on predikaatti (noodi 1) ja pääverbin persoona ensimmäinen (noodi 15) ja jos lisäksi tapausta ei edellä väliotsikko, kyseessä on aina ryhmään 2 kuuluva tapaus (noodi 18)</w:t>
      </w:r>
      <w:r>
        <w:rPr/>
        <w:t>. Jos taas dependenssirooli on predikaatti (noodi 1), joka ei kuitenkaan esiinny ensimmäisessä persoonassa, on kyseessä useimmiten ryhmän 13 tapaus, vaikka muutkin vaihtoehdot ovat mahdollisia. Jokaisen noodin kohdalle on myös merkitty p-arvo (tästä tarkemmin).</w:t>
      </w:r>
    </w:p>
    <w:p>
      <w:pPr>
        <w:pStyle w:val="TextBody"/>
        <w:rPr/>
      </w:pPr>
      <w:r>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rPr>
        <w:footnoteReference w:id="6"/>
      </w:r>
      <w:r>
        <w:rPr/>
        <w:t xml:space="preserve"> yksinkertaista rakenteellisen mikrotason muuttujaa: verbin persoonaa, aikamuotoa ja indikaattorisanan dependenssiroolia. Taulukossa 2 on tiivistetty näiden muuttujien vaikutus topiikkia asettavan virkkeen päätymiseen johonkin laadullisessa analyysissa määritellyistä ryhmistä.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99"/>
        <w:gridCol w:w="1585"/>
        <w:gridCol w:w="2667"/>
        <w:gridCol w:w="751"/>
        <w:gridCol w:w="2336"/>
      </w:tblGrid>
      <w:tr>
        <w:trPr>
          <w:cnfStyle w:firstRow="1"/>
        </w:trPr>
        <w:tc>
          <w:tcPr>
            <w:tcW w:w="1499" w:type="dxa"/>
            <w:tcBorders>
              <w:bottom w:val="single" w:sz="6" w:space="0" w:color="000001"/>
              <w:insideH w:val="single" w:sz="6" w:space="0" w:color="000001"/>
            </w:tcBorders>
            <w:shd w:fill="auto" w:val="clear"/>
            <w:vAlign w:val="bottom"/>
          </w:tcPr>
          <w:p>
            <w:pPr>
              <w:pStyle w:val="Compact"/>
              <w:spacing w:before="36" w:after="36"/>
              <w:jc w:val="left"/>
              <w:rPr/>
            </w:pPr>
            <w:r>
              <w:rPr/>
              <w:t>Verbin persoona</w:t>
            </w:r>
          </w:p>
        </w:tc>
        <w:tc>
          <w:tcPr>
            <w:tcW w:w="1585" w:type="dxa"/>
            <w:tcBorders>
              <w:bottom w:val="single" w:sz="6" w:space="0" w:color="000001"/>
              <w:insideH w:val="single" w:sz="6" w:space="0" w:color="000001"/>
            </w:tcBorders>
            <w:shd w:fill="auto" w:val="clear"/>
            <w:vAlign w:val="bottom"/>
          </w:tcPr>
          <w:p>
            <w:pPr>
              <w:pStyle w:val="Compact"/>
              <w:spacing w:before="36" w:after="36"/>
              <w:jc w:val="left"/>
              <w:rPr/>
            </w:pPr>
            <w:r>
              <w:rPr/>
              <w:t>Verbin aikamuoto</w:t>
            </w:r>
          </w:p>
        </w:tc>
        <w:tc>
          <w:tcPr>
            <w:tcW w:w="2667" w:type="dxa"/>
            <w:tcBorders>
              <w:bottom w:val="single" w:sz="6" w:space="0" w:color="000001"/>
              <w:insideH w:val="single" w:sz="6" w:space="0" w:color="000001"/>
            </w:tcBorders>
            <w:shd w:fill="auto" w:val="clear"/>
            <w:vAlign w:val="bottom"/>
          </w:tcPr>
          <w:p>
            <w:pPr>
              <w:pStyle w:val="Compact"/>
              <w:spacing w:before="36" w:after="36"/>
              <w:jc w:val="left"/>
              <w:rPr/>
            </w:pPr>
            <w:r>
              <w:rPr/>
              <w:t>Indikaattorisanan dependenssirooli</w:t>
            </w:r>
          </w:p>
        </w:tc>
        <w:tc>
          <w:tcPr>
            <w:tcW w:w="751" w:type="dxa"/>
            <w:tcBorders>
              <w:bottom w:val="single" w:sz="6" w:space="0" w:color="000001"/>
              <w:insideH w:val="single" w:sz="6" w:space="0" w:color="000001"/>
            </w:tcBorders>
            <w:shd w:fill="auto" w:val="clear"/>
            <w:vAlign w:val="bottom"/>
          </w:tcPr>
          <w:p>
            <w:pPr>
              <w:pStyle w:val="Compact"/>
              <w:spacing w:before="36" w:after="36"/>
              <w:jc w:val="left"/>
              <w:rPr/>
            </w:pPr>
            <w:r>
              <w:rPr/>
              <w:t>ryhmä</w:t>
            </w:r>
          </w:p>
        </w:tc>
        <w:tc>
          <w:tcPr>
            <w:tcW w:w="2336" w:type="dxa"/>
            <w:tcBorders>
              <w:bottom w:val="single" w:sz="6" w:space="0" w:color="000001"/>
              <w:insideH w:val="single" w:sz="6" w:space="0" w:color="000001"/>
            </w:tcBorders>
            <w:shd w:fill="auto" w:val="clear"/>
            <w:vAlign w:val="bottom"/>
          </w:tcPr>
          <w:p>
            <w:pPr>
              <w:pStyle w:val="Compact"/>
              <w:spacing w:before="36" w:after="36"/>
              <w:jc w:val="left"/>
              <w:rPr/>
            </w:pPr>
            <w:r>
              <w:rPr/>
              <w:t>luokittelupuun loppunoodit</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1.</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imperfekti</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ei predikaatti</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7</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1.</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predikaatti</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17 ja 18</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pl.perf/perf.</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12</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muu kuin 1.</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imperfekti</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osa kompleksista lauseketta</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4</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9</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imperfekti</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subjekti</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6</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11</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preesens</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ei predikaatti</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8</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13</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muu kuin 1.</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predikaatti</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13</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19</w:t>
            </w:r>
          </w:p>
        </w:tc>
      </w:tr>
      <w:tr>
        <w:trPr/>
        <w:tc>
          <w:tcPr>
            <w:tcW w:w="149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muu kuin 1.</w:t>
            </w:r>
          </w:p>
        </w:tc>
        <w:tc>
          <w:tcPr>
            <w:tcW w:w="158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imperfekti</w:t>
            </w:r>
          </w:p>
        </w:tc>
        <w:tc>
          <w:tcPr>
            <w:tcW w:w="26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i/>
              </w:rPr>
              <w:t>ei predikaatti, ei subjekti, ei osana kompleksista lauseketta</w:t>
            </w:r>
          </w:p>
        </w:tc>
        <w:tc>
          <w:tcPr>
            <w:tcW w:w="751"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7 ja 9</w:t>
            </w:r>
          </w:p>
        </w:tc>
        <w:tc>
          <w:tcPr>
            <w:tcW w:w="233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10</w:t>
            </w:r>
          </w:p>
        </w:tc>
      </w:tr>
    </w:tbl>
    <w:p>
      <w:pPr>
        <w:pStyle w:val="TextBody"/>
        <w:rPr/>
      </w:pPr>
      <w:r>
        <w:rPr/>
        <w:t>Taulukko 2: Kvantitatiivisesti pääteltävissä olevat ryhmät</w:t>
      </w:r>
    </w:p>
    <w:p>
      <w:pPr>
        <w:pStyle w:val="TextBody"/>
        <w:rPr/>
      </w:pPr>
      <w:r>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rPr>
        <w:t>asunnon hankinta</w:t>
      </w:r>
      <w:r>
        <w:rPr/>
        <w:t xml:space="preserve"> tai </w:t>
      </w:r>
      <w:r>
        <w:rPr>
          <w:i/>
        </w:rPr>
        <w:t>asumisen järjestäminen</w:t>
      </w:r>
      <w:r>
        <w:rPr/>
        <w:t>. Ryhmä 3 taas voidaan määritellä ennen kaikkea aikamuodon pohjalta: siihen kuuluvat 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TextBody"/>
        <w:rPr/>
      </w:pPr>
      <w:r>
        <w:rPr/>
        <w:t>Päätelmäluvun puolelle se, miä tästä kaikesta seuraa.</w:t>
      </w:r>
    </w:p>
    <w:p>
      <w:pPr>
        <w:pStyle w:val="Heading1"/>
        <w:rPr/>
      </w:pPr>
      <w:bookmarkStart w:id="6" w:name="paatelmat"/>
      <w:bookmarkEnd w:id="6"/>
      <w:r>
        <w:rPr/>
        <w:t>Päätelmät</w:t>
      </w:r>
    </w:p>
    <w:p>
      <w:pPr>
        <w:pStyle w:val="Compact"/>
        <w:numPr>
          <w:ilvl w:val="0"/>
          <w:numId w:val="18"/>
        </w:numPr>
        <w:rPr/>
      </w:pPr>
      <w:r>
        <w:rPr/>
        <w:t xml:space="preserve">Kirjoittamisen opetuksen kannalta ajateltuna. Työkaluja nimenomaan sen listaamiseen, </w:t>
      </w:r>
      <w:r>
        <w:rPr>
          <w:i/>
        </w:rPr>
        <w:t>miten on tehty</w:t>
      </w:r>
      <w:r>
        <w:rPr/>
        <w:t>. HUOM&gt;&gt; oppilaalle itselleen arvioitavaksi, mikä sopii tekstilajiin ja omaan tyyliin ja kulloinkin käsiteltävään aiheeseen.</w:t>
      </w:r>
    </w:p>
    <w:p>
      <w:pPr>
        <w:pStyle w:val="FirstParagraph"/>
        <w:rPr/>
      </w:pPr>
      <w:r>
        <w:rPr/>
        <w:t>Tähän analyysia siitä, miksi tietyt rakenteet vallitsevia. Kertooko esim siitä, ettei tietoisesti rakenneta, vaan vedetään assosiatiivisesti?</w:t>
      </w:r>
    </w:p>
    <w:p>
      <w:pPr>
        <w:pStyle w:val="TextBody"/>
        <w:rPr/>
      </w:pPr>
      <w:r>
        <w:rPr/>
        <w:t xml:space="preserve">– </w:t>
      </w:r>
      <w:r>
        <w:rPr/>
        <w:t>Mitä hyötyä sitten siitä, että voi jostain kuulla erilaisista tavoista aloittaa kappale?</w:t>
      </w:r>
    </w:p>
    <w:p>
      <w:pPr>
        <w:pStyle w:val="Compact"/>
        <w:numPr>
          <w:ilvl w:val="0"/>
          <w:numId w:val="19"/>
        </w:numPr>
        <w:rPr/>
      </w:pPr>
      <w:r>
        <w:rPr/>
        <w:t>Konkreettinen sovellus fraasipankissa tms.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p>
    <w:p>
      <w:pPr>
        <w:pStyle w:val="Bibliography"/>
        <w:rPr/>
      </w:pPr>
      <w:r>
        <w:rPr/>
        <w:t xml:space="preserve">Chafe, Wallace 1987. Cognitive constraints on information flow. 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Chafe, Wallace 1994. </w:t>
      </w:r>
      <w:r>
        <w:rPr>
          <w:i/>
        </w:rPr>
        <w:t>Discourse, consciousness, and time: The flow and displacement of conscious experience in speaking and writing</w:t>
      </w:r>
      <w:r>
        <w:rPr/>
        <w:t>. University of Chicago Press.</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Guijarro, A. Jesús Moya 2001. Topicality chains in two discourse genres. </w:t>
      </w:r>
      <w:r>
        <w:rPr>
          <w:i/>
        </w:rPr>
        <w:t>Estudios Ingleses de la Universidad Complutense</w:t>
      </w:r>
      <w:r>
        <w:rPr/>
        <w:t xml:space="preserve"> 9: 103–128.</w:t>
      </w:r>
    </w:p>
    <w:p>
      <w:pPr>
        <w:pStyle w:val="Bibliography"/>
        <w:rPr/>
      </w:pPr>
      <w:r>
        <w:rPr/>
        <w:t xml:space="preserve">Haverinen, Katri, Jenna Nyblom, Timo Viljanen, Veronika Laippala, Samuel Kohonen, Anna Missilä, Stina Ojala, Tapio Salakoski &amp; Filip Ginter 2014. Building the essential resources for Finnish: the Turku Dependency Treebank. </w:t>
      </w:r>
      <w:r>
        <w:rPr>
          <w:i/>
        </w:rPr>
        <w:t>Language Resources and Evaluation</w:t>
      </w:r>
      <w:r>
        <w:rPr/>
        <w:t xml:space="preserve"> 48:3, 1–39.</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pPr>
      <w:r>
        <w:rPr/>
        <w:t xml:space="preserve">Ketokivi, Mikko 2015. </w:t>
      </w:r>
      <w:r>
        <w:rPr>
          <w:i/>
        </w:rPr>
        <w:t>Tilastollinen päättely ja tieteellinen argumentointi</w:t>
      </w:r>
      <w:r>
        <w:rPr/>
        <w:t xml:space="preserve"> 2. laaj. laitos. Helsinki: Gaudeamus.</w:t>
      </w:r>
    </w:p>
    <w:p>
      <w:pPr>
        <w:pStyle w:val="Bibliography"/>
        <w:rPr/>
      </w:pPr>
      <w:r>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pPr>
      <w:r>
        <w:rPr/>
        <w:t xml:space="preserve">Levshina, Natalia 2015. </w:t>
      </w:r>
      <w:r>
        <w:rPr>
          <w:i/>
        </w:rPr>
        <w:t>How to do linguistics with R: Data exploration and statistical analysis</w:t>
      </w:r>
      <w:r>
        <w:rPr/>
        <w:t>. John Benjamins Publishing Company.</w:t>
      </w:r>
    </w:p>
    <w:p>
      <w:pPr>
        <w:pStyle w:val="Bibliography"/>
        <w:spacing w:before="0" w:after="200"/>
        <w:rPr/>
      </w:pPr>
      <w:r>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r>
      <w:r>
        <w:rPr/>
        <w:tab/>
        <w:t xml:space="preserve"> Käyttäen kirjoittajien itsensä tekemää kappaleiden ortografista erottelua.</w:t>
      </w:r>
    </w:p>
  </w:footnote>
  <w:footnote w:id="3">
    <w:p>
      <w:pPr>
        <w:pStyle w:val="Footnote"/>
        <w:spacing w:before="0" w:after="200"/>
        <w:rPr/>
      </w:pPr>
      <w:r>
        <w:rPr/>
        <w:footnoteRef/>
        <w:tab/>
      </w:r>
      <w:r>
        <w:rPr/>
        <w:tab/>
        <w:t xml:space="preserve"> Satunnaisotannan tekninen toteutus dokumentoitiin git-versionhallintaan ja on nähtävillä osoitteessa x (tarkistettu 8.1.2017)</w:t>
      </w:r>
    </w:p>
  </w:footnote>
  <w:footnote w:id="4">
    <w:p>
      <w:pPr>
        <w:pStyle w:val="Footnote"/>
        <w:spacing w:before="0" w:after="200"/>
        <w:rPr/>
      </w:pPr>
      <w:r>
        <w:rPr/>
        <w:footnoteRef/>
        <w:tab/>
      </w:r>
      <w:r>
        <w:rPr/>
        <w:tab/>
        <w:t xml:space="preserve"> Viitaamme jatkossa ryhmiin tässä esitettyjen esimerkkien numeron perusteella.</w:t>
      </w:r>
    </w:p>
  </w:footnote>
  <w:footnote w:id="5">
    <w:p>
      <w:pPr>
        <w:pStyle w:val="Footnote"/>
        <w:spacing w:before="0" w:after="200"/>
        <w:rPr/>
      </w:pPr>
      <w:r>
        <w:rPr/>
        <w:footnoteRef/>
        <w:tab/>
      </w:r>
      <w:r>
        <w:rPr/>
        <w:tab/>
        <w:t xml:space="preserve"> Perfektitapauksia aineistossa oli vain yksi ja sekin konditionaalissa, joten molemmat suomen liittoaikamuodot yhdistettiin samaan kategoriaan.</w:t>
      </w:r>
    </w:p>
  </w:footnote>
  <w:footnote w:id="6">
    <w:p>
      <w:pPr>
        <w:pStyle w:val="Footnote"/>
        <w:spacing w:before="0" w:after="200"/>
        <w:rPr/>
      </w:pPr>
      <w:r>
        <w:rPr/>
        <w:footnoteRef/>
        <w:tab/>
      </w:r>
      <w:r>
        <w:rPr/>
        <w:tab/>
        <w:t xml:space="preserve"> Päätöksentekopuun tuottaneessa algoritmissa indikaattorin sijainti osoittautui 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LibreOffice/5.4.2.2$Linux_X86_64 LibreOffice_project/40m0$Build-2</Application>
  <Pages>22</Pages>
  <Words>4766</Words>
  <Characters>37540</Characters>
  <CharactersWithSpaces>42084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2018-01-24T12:17:31Z</dcterms:created>
  <dc:creator>Kirsi Sandberg &amp; Juho Härme</dc:creator>
  <dc:description/>
  <dc:language>en-US</dc:language>
  <cp:lastModifiedBy/>
  <dcterms:modified xsi:type="dcterms:W3CDTF">2018-01-24T14:31:23Z</dcterms:modified>
  <cp:revision>1</cp:revision>
  <dc:subject/>
  <dc:title>Pari sanaa asumisesta – miten yliopisto-opiskelijoiden kirjoittamissa vaihtoraporteissa asetetaan asuminen tekstikappaleen topiikiksi?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