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Pari sanaa asumisesta – miten yliopisto-opiskelijoiden kirjoittamissa vaihtoraporteissa asetetaan asuminen tekstikappaleen topiikiksi?</w:t>
      </w:r>
    </w:p>
    <w:p>
      <w:pPr>
        <w:pStyle w:val="Author"/>
        <w:rPr/>
      </w:pPr>
      <w:r>
        <w:rPr/>
        <w:t>Kirsi Sandberg &amp; Juho Härme</w:t>
      </w:r>
    </w:p>
    <w:p>
      <w:pPr>
        <w:pStyle w:val="Heading1"/>
        <w:rPr/>
      </w:pPr>
      <w:bookmarkStart w:id="0" w:name="johdanto"/>
      <w:bookmarkEnd w:id="0"/>
      <w:r>
        <w:rPr/>
        <w:t>Johdanto</w:t>
      </w:r>
    </w:p>
    <w:p>
      <w:pPr>
        <w:pStyle w:val="FirstParagraph"/>
        <w:rPr/>
      </w:pPr>
      <w:r>
        <w:rPr/>
        <w:t>Opiskelijavaihdosta kirjoitettava vaihtoraportti on institutionaalinen teksti, jonka kirjoittamiseen yliopisto antaa sisältöpainotteisen ohjeistuksen. Näillä verkossa julkaistavilla raporteilla on selkeä funktio: tukea vaihtojaksoa suunnittelevia opireport number of matchesskelijoita päätöksenteossa ja omaan tulevaan vaihtojaksoonsa valmistautumisessa. Niiden voi katsoa edustavan samaa tekstilajia (tekstilajin määritelmästä ks. esim. (Juvonen ym. 2012)) [tähän vielä Suvin määritelmä mukaan].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rPr/>
      </w:pPr>
      <w:r>
        <w:rPr/>
        <w:t>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 (Vuorijärvi 2013: 15) 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 (Jisa &amp; Tochinsky 2009)]</w:t>
      </w:r>
    </w:p>
    <w:p>
      <w:pPr>
        <w:pStyle w:val="TextBody"/>
        <w:rPr/>
      </w:pPr>
      <w:r>
        <w:rPr/>
        <w:t>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 (Juvonen 2014a)).</w:t>
      </w:r>
    </w:p>
    <w:p>
      <w:pPr>
        <w:pStyle w:val="TextBody"/>
        <w:rPr/>
      </w:pPr>
      <w:r>
        <w:rPr/>
        <w:t>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 (Juvonen 2014a)(Komppa 2012)(Paldanius 2017)(Vuorijärvi 2013)). Hierarkkisesti rakentuneiden tekstien rinnalla eää huomattavan paljon tekstilajeja (Hiippala 2013)(Komppa 2012)(Vuorijärvi 2013)),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rPr/>
      </w:pPr>
      <w:r>
        <w:rPr/>
        <w:t>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ilvl w:val="0"/>
          <w:numId w:val="1"/>
        </w:numPr>
        <w:rPr/>
      </w:pPr>
      <w:r>
        <w:rPr/>
        <w:t>Millaisia tapoja yliopisto-opiskelijat käyttävät saman topiikin asettamiseen?</w:t>
      </w:r>
    </w:p>
    <w:p>
      <w:pPr>
        <w:pStyle w:val="Compact"/>
        <w:numPr>
          <w:ilvl w:val="0"/>
          <w:numId w:val="1"/>
        </w:numPr>
        <w:rPr/>
      </w:pPr>
      <w:r>
        <w:rPr/>
        <w:t>Miten näitä tapoja voidaan määritellä toisaalta funktionaalisesti, toisaalta syntaktisesti?</w:t>
      </w:r>
    </w:p>
    <w:p>
      <w:pPr>
        <w:pStyle w:val="FirstParagraph"/>
        <w:rPr/>
      </w:pPr>
      <w:r>
        <w:rPr/>
        <w:t>Tutkimus toteutetaan korpusvetoisesti yhdistelemällä laadullisia (osio 4.1) ja määrällisiä (osio 4.2) menetelmiä.</w:t>
      </w:r>
    </w:p>
    <w:p>
      <w:pPr>
        <w:pStyle w:val="Heading1"/>
        <w:rPr/>
      </w:pPr>
      <w:bookmarkStart w:id="1" w:name="tekstikappale-ja-sen-topiikki"/>
      <w:bookmarkEnd w:id="1"/>
      <w:r>
        <w:rPr/>
        <w:t>Tekstikappale ja sen topiikki</w:t>
      </w:r>
    </w:p>
    <w:p>
      <w:pPr>
        <w:pStyle w:val="FirstParagraph"/>
        <w:rPr/>
      </w:pPr>
      <w:r>
        <w:rPr/>
        <w:t>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rPr/>
      </w:pPr>
      <w:r>
        <w:rPr/>
        <w:t>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rPr/>
      </w:pPr>
      <w:r>
        <w:rPr/>
        <w:t xml:space="preserve">Englanninkielisessä kirjoittamisen opetuksen perinteessä on ollut tapana käyttää topic sentence -käsitettä kuvaamaan virkettä, jolla kirjoittaja ilmaisee kappaleen tärkeimmän ajatuksen. Suomeksi tämä kääntyy nykyisellään ydinvirkkeeksi, joka yhdessä tukivirkkeiden kanssa muodostaa kappaleen. Ydinvirkkeiden todellisesta yleisyydestä ollaan tutkijoiden keskuudessa kuitenkin montaa mieltä (ks. Smith 2008). TÄHÄN EHKÄ PITÄISI POIMIA JOKU PERUSTELU EDELLISELLE. Tekstikappaleen ytimen tavoittelun sijaan kohdistammekin huomiomme siihen, miten kirjoittaja siirtyy tekstissään aiheesta toiseen. Nimitämme siirtymän toteuttavia virkkeitä </w:t>
      </w:r>
      <w:r>
        <w:rPr>
          <w:i/>
        </w:rPr>
        <w:t>topiikkia asettaviksi</w:t>
      </w:r>
      <w:r>
        <w:rPr/>
        <w:t xml:space="preserve"> vrt. (Juvonen 2014b).</w:t>
      </w:r>
    </w:p>
    <w:p>
      <w:pPr>
        <w:pStyle w:val="TextBody"/>
        <w:rPr/>
      </w:pPr>
      <w:r>
        <w:rPr/>
        <w:t xml:space="preserve">Käyttämämme topiikin käsite pohjaa Simon Dikin funktionaalisessa kieliopissaan (1989) antamaan esitykseen, jota vastaavassa tekstikappaleiden rakenteen analyysissa on soveltanut mm. Jesus Guijarro (2001). Dikin mukaan (mts. 266) kaikilla diskursseilla (joka Dikin määrittelemänä tarkottaa mitä tahansa koherenttia tekstiä) on se ominaisuus, että ne kertovat jostakin. Tämä ominaisuus, jota nimitämme </w:t>
      </w:r>
      <w:r>
        <w:rPr>
          <w:i/>
        </w:rPr>
        <w:t>aiheisuudeksi</w:t>
      </w:r>
      <w:r>
        <w:rPr/>
        <w:t xml:space="preserve"> (</w:t>
      </w:r>
      <w:r>
        <w:rPr>
          <w:i/>
        </w:rPr>
        <w:t>aboutness</w:t>
      </w:r>
      <w:r>
        <w:rPr/>
        <w:t>), koskee paitsi tekstiä kokonaisuutena, myös siitä eroteltuja alakokonaisuuksia, kuten kappaleita ja virkkeitä. Määrittelemmekin topiikin tämän artikkelin puitteissa siksi, mistä teksti, kappale tai virke kertoo (vrt. Lambrecht 1996: 118).</w:t>
      </w:r>
    </w:p>
    <w:p>
      <w:pPr>
        <w:pStyle w:val="TextBody"/>
        <w:rPr/>
      </w:pPr>
      <w:r>
        <w:rPr/>
        <w:t xml:space="preserve">Tekstin sisällä topiikit muodostavat Dikin (mt. 271, vrt. myös Givón 1983) jaottelussa topiikkiketjuja, joiden katsomme tässä artikkelissa koostuvan </w:t>
      </w:r>
      <w:r>
        <w:rPr>
          <w:i/>
        </w:rPr>
        <w:t>esittelytopiikeista</w:t>
      </w:r>
      <w:r>
        <w:rPr/>
        <w:t xml:space="preserve"> (Dikillä </w:t>
      </w:r>
      <w:r>
        <w:rPr>
          <w:i/>
        </w:rPr>
        <w:t>new topic</w:t>
      </w:r>
      <w:r>
        <w:rPr/>
        <w:t xml:space="preserve">), </w:t>
      </w:r>
      <w:r>
        <w:rPr>
          <w:i/>
        </w:rPr>
        <w:t>esitellyistä topiikeista</w:t>
      </w:r>
      <w:r>
        <w:rPr/>
        <w:t xml:space="preserve"> (Dikillä </w:t>
      </w:r>
      <w:r>
        <w:rPr>
          <w:i/>
        </w:rPr>
        <w:t>given topic</w:t>
      </w:r>
      <w:r>
        <w:rPr/>
        <w:t xml:space="preserve">) ja </w:t>
      </w:r>
      <w:r>
        <w:rPr>
          <w:i/>
        </w:rPr>
        <w:t>lohkotopiikeista</w:t>
      </w:r>
      <w:r>
        <w:rPr/>
        <w:t xml:space="preserve"> (Dikillä </w:t>
      </w:r>
      <w:r>
        <w:rPr>
          <w:i/>
        </w:rPr>
        <w:t>subtopic</w:t>
      </w:r>
      <w:r>
        <w:rPr/>
        <w:t>).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 edellä esiteltyyn topiikkiin kiinteästi liittyvää assosiaatioiden joukkoa viitatakseen entiteettiin, jota itseään ei vielä ole mainittu.</w:t>
      </w:r>
    </w:p>
    <w:p>
      <w:pPr>
        <w:pStyle w:val="TextBody"/>
        <w:rPr/>
      </w:pPr>
      <w:r>
        <w:rPr/>
        <w:t xml:space="preserve">Ajatus kytkeytyy Wallace Chafen semiaktiivisuuden käsitteeseen (1987: 29), ja käytettävissä olemiseen Knud Lambrechtilla (1996: 99). Esimerkki Dikiltä (mts. 275) on lause </w:t>
      </w:r>
      <w:r>
        <w:rPr>
          <w:i/>
        </w:rPr>
        <w:t>John gave a party last week, but the music was awful</w:t>
      </w:r>
      <w:r>
        <w:rPr/>
        <w:t xml:space="preserve">, jossa </w:t>
      </w:r>
      <w:r>
        <w:rPr>
          <w:i/>
        </w:rPr>
        <w:t>musiikki</w:t>
      </w:r>
      <w:r>
        <w:rPr/>
        <w:t xml:space="preserve"> on juhlien käsitteen avulla tekstiin tuotu lohkotopiikki. Lohkotopiikkien muodostumisessa keskeisiä ovatkin sanojen väliset merkityssuhteet kuten hyponymia ja meronymia (vrt. Shore 2008: 33). Shoren esityksessä suomen tekstuaalisesta jäsennyksestä assosiaatioihin perustuviin tekstinosien välisiin suhteisiin suhtaudutaan varauksella; ilmiötä kuvataan implisiittisen teeman käsitteellä (Shore 2008, ?).</w:t>
      </w:r>
    </w:p>
    <w:p>
      <w:pPr>
        <w:pStyle w:val="TextBody"/>
        <w:rPr/>
      </w:pPr>
      <w:r>
        <w:rPr/>
        <w:t>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rPr/>
      </w:pPr>
      <w:bookmarkStart w:id="2" w:name="tutkimusaineisto-ja--metodi"/>
      <w:bookmarkEnd w:id="2"/>
      <w:r>
        <w:rPr/>
        <w:t>Tutkimusaineisto ja -metodi</w:t>
      </w:r>
    </w:p>
    <w:p>
      <w:pPr>
        <w:pStyle w:val="FirstParagraph"/>
        <w:rPr/>
      </w:pPr>
      <w:r>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rPr>
        <w:t>etukäteisjärjestelyt</w:t>
      </w:r>
      <w:r>
        <w:rPr/>
        <w:t xml:space="preserve">, </w:t>
      </w:r>
      <w:r>
        <w:rPr>
          <w:i/>
        </w:rPr>
        <w:t>asuminen</w:t>
      </w:r>
      <w:r>
        <w:rPr/>
        <w:t xml:space="preserve"> ja </w:t>
      </w:r>
      <w:r>
        <w:rPr>
          <w:i/>
        </w:rPr>
        <w:t>merkityksellisyys</w:t>
      </w:r>
      <w:r>
        <w:rPr/>
        <w:t>).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1 kaltainen: niiden diskurssitopiikkina on vaihtokokemus ylipäätään, ja tätä ylemmän tason topiikkia käsitellään jakamalla se alatopiikkeihin, joista tavallisimmat on lueteltu kuviossa.</w:t>
      </w:r>
    </w:p>
    <w:p>
      <w:pPr>
        <w:pStyle w:val="Normal"/>
        <w:rPr/>
      </w:pPr>
      <w:r>
        <w:rPr/>
        <w:drawing>
          <wp:inline distT="0" distB="0" distL="114935" distR="114935">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pPr>
      <w:r>
        <w:rPr/>
        <w:t>Kuvio 1: Matkakertomustekstien diskurssitopiikki ja alatopiikit</w:t>
      </w:r>
    </w:p>
    <w:p>
      <w:pPr>
        <w:pStyle w:val="TextBody"/>
        <w:rPr/>
      </w:pPr>
      <w:r>
        <w:rPr/>
        <w:t>Tässä käsiteltävä lopullinen tutkimusaineisto kattaa kaikkiaan 492 opiskelijoiden laatimaa tekstiä, jotka tutkimuksen ensimmäisessä vaiheessa annotoitiin kappaleittain</w:t>
      </w:r>
      <w:r>
        <w:rPr>
          <w:rStyle w:val="FootnoteAnchor"/>
        </w:rPr>
        <w:footnoteReference w:id="2"/>
      </w:r>
      <w:r>
        <w:rPr/>
        <w:t xml:space="preserve"> siten, että jokaiselle kappaleelle merkittiin topiikki. Yhteensä kaksikymmentä tekstiä käsittäneen kokeiluaineiston perusteella päätettiin keskittyä </w:t>
      </w:r>
      <w:r>
        <w:rPr>
          <w:i/>
        </w:rPr>
        <w:t>asumisesta</w:t>
      </w:r>
      <w:r>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TextBody"/>
        <w:rPr/>
      </w:pPr>
      <w:r>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TextBody"/>
        <w:rPr/>
      </w:pPr>
      <w:r>
        <w:rPr/>
        <w:t>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Prosessi piti sisällään seuraavat vaiheet:</w:t>
      </w:r>
    </w:p>
    <w:p>
      <w:pPr>
        <w:pStyle w:val="Compact"/>
        <w:numPr>
          <w:ilvl w:val="0"/>
          <w:numId w:val="2"/>
        </w:numPr>
        <w:rPr/>
      </w:pPr>
      <w:r>
        <w:rPr/>
        <w:t xml:space="preserve">Määriteltiin, että analysoitavien kappaleiden topiikin asettavat virkkeet luokitellaan sen perusteella, mikä sana toimii </w:t>
      </w:r>
      <w:r>
        <w:rPr>
          <w:i/>
        </w:rPr>
        <w:t>topiikki-indikaattorina</w:t>
      </w:r>
      <w:r>
        <w:rPr/>
        <w:t xml:space="preserve"> eli ensimmäisenä leksikaalisena vihjeenä kappaleen topiikista. Analysoitavien kappaleiden määrää rajattiin siten, että mukaan otettiin ainoastaan sellaiset tapaukset, joissa topiikki-indikaattorina oli joskin </w:t>
      </w:r>
      <w:r>
        <w:rPr>
          <w:i/>
        </w:rPr>
        <w:t>asua</w:t>
      </w:r>
      <w:r>
        <w:rPr/>
        <w:t xml:space="preserve">-verbin johdos (kuten </w:t>
      </w:r>
      <w:r>
        <w:rPr>
          <w:i/>
        </w:rPr>
        <w:t>asunto</w:t>
      </w:r>
      <w:r>
        <w:rPr/>
        <w:t xml:space="preserve">, </w:t>
      </w:r>
      <w:r>
        <w:rPr>
          <w:i/>
        </w:rPr>
        <w:t>asuntoasia</w:t>
      </w:r>
      <w:r>
        <w:rPr/>
        <w:t xml:space="preserve"> tai </w:t>
      </w:r>
      <w:r>
        <w:rPr>
          <w:i/>
        </w:rPr>
        <w:t>asuminen</w:t>
      </w:r>
      <w:r>
        <w:rPr/>
        <w:t xml:space="preserve">) tai </w:t>
      </w:r>
      <w:r>
        <w:rPr>
          <w:i/>
        </w:rPr>
        <w:t>asua</w:t>
      </w:r>
      <w:r>
        <w:rPr/>
        <w:t>-verbi itse.</w:t>
      </w:r>
    </w:p>
    <w:p>
      <w:pPr>
        <w:pStyle w:val="Compact"/>
        <w:numPr>
          <w:ilvl w:val="0"/>
          <w:numId w:val="2"/>
        </w:numPr>
        <w:rPr/>
      </w:pPr>
      <w:r>
        <w:rPr/>
        <w:t xml:space="preserve">Huomio kohdistettiin vain niihin 338 tapaukseen, joissa </w:t>
      </w:r>
      <w:r>
        <w:rPr>
          <w:i/>
        </w:rPr>
        <w:t>asua</w:t>
      </w:r>
      <w:r>
        <w:rPr/>
        <w:t>-johdos sijaitsee ensimmäisen asumisesta kertovan kappaleen ensimmäisessä virkkeessä. Tällä varmistettiin se, että tarkastelun kohteeksi tulee mahdollisimman paljon juuri niitä virkkeitä, joissa kirjoittaja todella siirtyy vanhasta topiikista uuteen.</w:t>
      </w:r>
    </w:p>
    <w:p>
      <w:pPr>
        <w:pStyle w:val="Compact"/>
        <w:numPr>
          <w:ilvl w:val="0"/>
          <w:numId w:val="2"/>
        </w:numPr>
        <w:rPr/>
      </w:pPr>
      <w:r>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t xml:space="preserve">Jos tutkitaan tarkemmin niitä kategorioita, jotka syntaktinen jäsennin on merkinnyt tutkimukseen valikoituneiden kappaleiden ensimmäisille </w:t>
      </w:r>
      <w:r>
        <w:rPr>
          <w:i/>
        </w:rPr>
        <w:t>asua</w:t>
      </w:r>
      <w:r>
        <w:rPr/>
        <w:t>-johdoksille, saadaan taulukon 1 mukainen jakauma.</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28"/>
        <w:gridCol w:w="1222"/>
        <w:gridCol w:w="3009"/>
        <w:gridCol w:w="3008"/>
        <w:gridCol w:w="471"/>
      </w:tblGrid>
      <w:tr>
        <w:trPr>
          <w:cnfStyle w:firstRow="1"/>
        </w:trPr>
        <w:tc>
          <w:tcPr>
            <w:tcW w:w="1128" w:type="dxa"/>
            <w:tcBorders>
              <w:bottom w:val="single" w:sz="6" w:space="0" w:color="000001"/>
              <w:insideH w:val="single" w:sz="6" w:space="0" w:color="000001"/>
            </w:tcBorders>
            <w:shd w:fill="auto" w:val="clear"/>
            <w:vAlign w:val="bottom"/>
          </w:tcPr>
          <w:p>
            <w:pPr>
              <w:pStyle w:val="Compact"/>
              <w:jc w:val="left"/>
              <w:rPr/>
            </w:pPr>
            <w:r>
              <w:rPr/>
              <w:t> </w:t>
            </w:r>
          </w:p>
        </w:tc>
        <w:tc>
          <w:tcPr>
            <w:tcW w:w="1222" w:type="dxa"/>
            <w:tcBorders>
              <w:bottom w:val="single" w:sz="6" w:space="0" w:color="000001"/>
              <w:insideH w:val="single" w:sz="6" w:space="0" w:color="000001"/>
            </w:tcBorders>
            <w:shd w:fill="auto" w:val="clear"/>
            <w:vAlign w:val="bottom"/>
          </w:tcPr>
          <w:p>
            <w:pPr>
              <w:pStyle w:val="Compact"/>
              <w:jc w:val="left"/>
              <w:rPr/>
            </w:pPr>
            <w:r>
              <w:rPr/>
              <w:t>Frekvenssi</w:t>
            </w:r>
          </w:p>
        </w:tc>
        <w:tc>
          <w:tcPr>
            <w:tcW w:w="3009" w:type="dxa"/>
            <w:tcBorders>
              <w:bottom w:val="single" w:sz="6" w:space="0" w:color="000001"/>
              <w:insideH w:val="single" w:sz="6" w:space="0" w:color="000001"/>
            </w:tcBorders>
            <w:shd w:fill="auto" w:val="clear"/>
            <w:vAlign w:val="bottom"/>
          </w:tcPr>
          <w:p>
            <w:pPr>
              <w:pStyle w:val="Compact"/>
              <w:jc w:val="left"/>
              <w:rPr/>
            </w:pPr>
            <w:r>
              <w:rPr/>
              <w:t>Selitys</w:t>
            </w:r>
          </w:p>
        </w:tc>
        <w:tc>
          <w:tcPr>
            <w:tcW w:w="3008" w:type="dxa"/>
            <w:tcBorders>
              <w:bottom w:val="single" w:sz="6" w:space="0" w:color="000001"/>
              <w:insideH w:val="single" w:sz="6" w:space="0" w:color="000001"/>
            </w:tcBorders>
            <w:shd w:fill="auto" w:val="clear"/>
            <w:vAlign w:val="bottom"/>
          </w:tcPr>
          <w:p>
            <w:pPr>
              <w:pStyle w:val="Compact"/>
              <w:jc w:val="left"/>
              <w:rPr/>
            </w:pPr>
            <w:r>
              <w:rPr/>
              <w:t>Esimerkki</w:t>
            </w:r>
          </w:p>
        </w:tc>
        <w:tc>
          <w:tcPr>
            <w:tcW w:w="471" w:type="dxa"/>
            <w:tcBorders>
              <w:bottom w:val="single" w:sz="6" w:space="0" w:color="000001"/>
              <w:insideH w:val="single" w:sz="6" w:space="0" w:color="000001"/>
            </w:tcBorders>
            <w:shd w:fill="auto" w:val="clear"/>
            <w:vAlign w:val="bottom"/>
          </w:tcPr>
          <w:p>
            <w:pPr>
              <w:pStyle w:val="Compact"/>
              <w:jc w:val="left"/>
              <w:rPr/>
            </w:pPr>
            <w:r>
              <w:rPr/>
              <w:t>N</w:t>
            </w:r>
          </w:p>
        </w:tc>
      </w:tr>
      <w:tr>
        <w:trPr/>
        <w:tc>
          <w:tcPr>
            <w:tcW w:w="1128" w:type="dxa"/>
            <w:tcBorders/>
            <w:shd w:fill="auto" w:val="clear"/>
          </w:tcPr>
          <w:p>
            <w:pPr>
              <w:pStyle w:val="Compact"/>
              <w:jc w:val="left"/>
              <w:rPr/>
            </w:pPr>
            <w:r>
              <w:rPr/>
              <w:t>dobj</w:t>
            </w:r>
          </w:p>
        </w:tc>
        <w:tc>
          <w:tcPr>
            <w:tcW w:w="1222" w:type="dxa"/>
            <w:tcBorders/>
            <w:shd w:fill="auto" w:val="clear"/>
          </w:tcPr>
          <w:p>
            <w:pPr>
              <w:pStyle w:val="Compact"/>
              <w:jc w:val="left"/>
              <w:rPr/>
            </w:pPr>
            <w:r>
              <w:rPr/>
              <w:t>94</w:t>
            </w:r>
          </w:p>
        </w:tc>
        <w:tc>
          <w:tcPr>
            <w:tcW w:w="3009" w:type="dxa"/>
            <w:tcBorders/>
            <w:shd w:fill="auto" w:val="clear"/>
          </w:tcPr>
          <w:p>
            <w:pPr>
              <w:pStyle w:val="Compact"/>
              <w:jc w:val="left"/>
              <w:rPr/>
            </w:pPr>
            <w:r>
              <w:rPr/>
              <w:t>objekti</w:t>
            </w:r>
          </w:p>
        </w:tc>
        <w:tc>
          <w:tcPr>
            <w:tcW w:w="3008" w:type="dxa"/>
            <w:tcBorders/>
            <w:shd w:fill="auto" w:val="clear"/>
          </w:tcPr>
          <w:p>
            <w:pPr>
              <w:pStyle w:val="Compact"/>
              <w:jc w:val="left"/>
              <w:rPr/>
            </w:pPr>
            <w:r>
              <w:rPr>
                <w:i/>
              </w:rPr>
              <w:t>Hankin asunnon</w:t>
            </w:r>
          </w:p>
        </w:tc>
        <w:tc>
          <w:tcPr>
            <w:tcW w:w="471" w:type="dxa"/>
            <w:tcBorders/>
            <w:shd w:fill="auto" w:val="clear"/>
          </w:tcPr>
          <w:p>
            <w:pPr>
              <w:pStyle w:val="Compact"/>
              <w:jc w:val="left"/>
              <w:rPr/>
            </w:pPr>
            <w:r>
              <w:rPr/>
              <w:t>47</w:t>
            </w:r>
          </w:p>
        </w:tc>
      </w:tr>
      <w:tr>
        <w:trPr/>
        <w:tc>
          <w:tcPr>
            <w:tcW w:w="1128" w:type="dxa"/>
            <w:tcBorders/>
            <w:shd w:fill="auto" w:val="clear"/>
          </w:tcPr>
          <w:p>
            <w:pPr>
              <w:pStyle w:val="Compact"/>
              <w:jc w:val="left"/>
              <w:rPr/>
            </w:pPr>
            <w:r>
              <w:rPr/>
              <w:t>root</w:t>
            </w:r>
          </w:p>
        </w:tc>
        <w:tc>
          <w:tcPr>
            <w:tcW w:w="1222" w:type="dxa"/>
            <w:tcBorders/>
            <w:shd w:fill="auto" w:val="clear"/>
          </w:tcPr>
          <w:p>
            <w:pPr>
              <w:pStyle w:val="Compact"/>
              <w:jc w:val="left"/>
              <w:rPr/>
            </w:pPr>
            <w:r>
              <w:rPr/>
              <w:t>60</w:t>
            </w:r>
          </w:p>
        </w:tc>
        <w:tc>
          <w:tcPr>
            <w:tcW w:w="3009" w:type="dxa"/>
            <w:tcBorders/>
            <w:shd w:fill="auto" w:val="clear"/>
          </w:tcPr>
          <w:p>
            <w:pPr>
              <w:pStyle w:val="Compact"/>
              <w:jc w:val="left"/>
              <w:rPr/>
            </w:pPr>
            <w:r>
              <w:rPr/>
              <w:t>predikaattiverbi</w:t>
            </w:r>
          </w:p>
        </w:tc>
        <w:tc>
          <w:tcPr>
            <w:tcW w:w="3008" w:type="dxa"/>
            <w:tcBorders/>
            <w:shd w:fill="auto" w:val="clear"/>
          </w:tcPr>
          <w:p>
            <w:pPr>
              <w:pStyle w:val="Compact"/>
              <w:jc w:val="left"/>
              <w:rPr/>
            </w:pPr>
            <w:r>
              <w:rPr>
                <w:i/>
              </w:rPr>
              <w:t>Asuin kerrostalossa</w:t>
            </w:r>
          </w:p>
        </w:tc>
        <w:tc>
          <w:tcPr>
            <w:tcW w:w="471" w:type="dxa"/>
            <w:tcBorders/>
            <w:shd w:fill="auto" w:val="clear"/>
          </w:tcPr>
          <w:p>
            <w:pPr>
              <w:pStyle w:val="Compact"/>
              <w:jc w:val="left"/>
              <w:rPr/>
            </w:pPr>
            <w:r>
              <w:rPr/>
              <w:t>30</w:t>
            </w:r>
          </w:p>
        </w:tc>
      </w:tr>
      <w:tr>
        <w:trPr/>
        <w:tc>
          <w:tcPr>
            <w:tcW w:w="1128" w:type="dxa"/>
            <w:tcBorders/>
            <w:shd w:fill="auto" w:val="clear"/>
          </w:tcPr>
          <w:p>
            <w:pPr>
              <w:pStyle w:val="Compact"/>
              <w:jc w:val="left"/>
              <w:rPr/>
            </w:pPr>
            <w:r>
              <w:rPr/>
              <w:t>nmod</w:t>
            </w:r>
          </w:p>
        </w:tc>
        <w:tc>
          <w:tcPr>
            <w:tcW w:w="1222" w:type="dxa"/>
            <w:tcBorders/>
            <w:shd w:fill="auto" w:val="clear"/>
          </w:tcPr>
          <w:p>
            <w:pPr>
              <w:pStyle w:val="Compact"/>
              <w:jc w:val="left"/>
              <w:rPr/>
            </w:pPr>
            <w:r>
              <w:rPr/>
              <w:t>50</w:t>
            </w:r>
          </w:p>
        </w:tc>
        <w:tc>
          <w:tcPr>
            <w:tcW w:w="3009" w:type="dxa"/>
            <w:tcBorders/>
            <w:shd w:fill="auto" w:val="clear"/>
          </w:tcPr>
          <w:p>
            <w:pPr>
              <w:pStyle w:val="Compact"/>
              <w:jc w:val="left"/>
              <w:rPr/>
            </w:pPr>
            <w:r>
              <w:rPr/>
              <w:t>luokittelematon adverbiaali</w:t>
            </w:r>
          </w:p>
        </w:tc>
        <w:tc>
          <w:tcPr>
            <w:tcW w:w="3008" w:type="dxa"/>
            <w:tcBorders/>
            <w:shd w:fill="auto" w:val="clear"/>
          </w:tcPr>
          <w:p>
            <w:pPr>
              <w:pStyle w:val="Compact"/>
              <w:jc w:val="left"/>
              <w:rPr/>
            </w:pPr>
            <w:r>
              <w:rPr>
                <w:i/>
              </w:rPr>
              <w:t>Asunnon suhteen</w:t>
            </w:r>
          </w:p>
        </w:tc>
        <w:tc>
          <w:tcPr>
            <w:tcW w:w="471" w:type="dxa"/>
            <w:tcBorders/>
            <w:shd w:fill="auto" w:val="clear"/>
          </w:tcPr>
          <w:p>
            <w:pPr>
              <w:pStyle w:val="Compact"/>
              <w:jc w:val="left"/>
              <w:rPr/>
            </w:pPr>
            <w:r>
              <w:rPr/>
              <w:t>25</w:t>
            </w:r>
          </w:p>
        </w:tc>
      </w:tr>
      <w:tr>
        <w:trPr/>
        <w:tc>
          <w:tcPr>
            <w:tcW w:w="1128" w:type="dxa"/>
            <w:tcBorders/>
            <w:shd w:fill="auto" w:val="clear"/>
          </w:tcPr>
          <w:p>
            <w:pPr>
              <w:pStyle w:val="Compact"/>
              <w:jc w:val="left"/>
              <w:rPr/>
            </w:pPr>
            <w:r>
              <w:rPr/>
              <w:t>nmod:gobj</w:t>
            </w:r>
          </w:p>
        </w:tc>
        <w:tc>
          <w:tcPr>
            <w:tcW w:w="1222" w:type="dxa"/>
            <w:tcBorders/>
            <w:shd w:fill="auto" w:val="clear"/>
          </w:tcPr>
          <w:p>
            <w:pPr>
              <w:pStyle w:val="Compact"/>
              <w:jc w:val="left"/>
              <w:rPr/>
            </w:pPr>
            <w:r>
              <w:rPr/>
              <w:t>34</w:t>
            </w:r>
          </w:p>
        </w:tc>
        <w:tc>
          <w:tcPr>
            <w:tcW w:w="3009" w:type="dxa"/>
            <w:tcBorders/>
            <w:shd w:fill="auto" w:val="clear"/>
          </w:tcPr>
          <w:p>
            <w:pPr>
              <w:pStyle w:val="Compact"/>
              <w:jc w:val="left"/>
              <w:rPr/>
            </w:pPr>
            <w:r>
              <w:rPr/>
              <w:t>nominaalisen verbimuodon objekti</w:t>
            </w:r>
          </w:p>
        </w:tc>
        <w:tc>
          <w:tcPr>
            <w:tcW w:w="3008" w:type="dxa"/>
            <w:tcBorders/>
            <w:shd w:fill="auto" w:val="clear"/>
          </w:tcPr>
          <w:p>
            <w:pPr>
              <w:pStyle w:val="Compact"/>
              <w:jc w:val="left"/>
              <w:rPr/>
            </w:pPr>
            <w:r>
              <w:rPr>
                <w:i/>
              </w:rPr>
              <w:t>Asunnon hankkiminen</w:t>
            </w:r>
          </w:p>
        </w:tc>
        <w:tc>
          <w:tcPr>
            <w:tcW w:w="471" w:type="dxa"/>
            <w:tcBorders/>
            <w:shd w:fill="auto" w:val="clear"/>
          </w:tcPr>
          <w:p>
            <w:pPr>
              <w:pStyle w:val="Compact"/>
              <w:jc w:val="left"/>
              <w:rPr/>
            </w:pPr>
            <w:r>
              <w:rPr/>
              <w:t>17</w:t>
            </w:r>
          </w:p>
        </w:tc>
      </w:tr>
      <w:tr>
        <w:trPr/>
        <w:tc>
          <w:tcPr>
            <w:tcW w:w="1128" w:type="dxa"/>
            <w:tcBorders/>
            <w:shd w:fill="auto" w:val="clear"/>
          </w:tcPr>
          <w:p>
            <w:pPr>
              <w:pStyle w:val="Compact"/>
              <w:jc w:val="left"/>
              <w:rPr/>
            </w:pPr>
            <w:r>
              <w:rPr/>
              <w:t>nsubj</w:t>
            </w:r>
          </w:p>
        </w:tc>
        <w:tc>
          <w:tcPr>
            <w:tcW w:w="1222" w:type="dxa"/>
            <w:tcBorders/>
            <w:shd w:fill="auto" w:val="clear"/>
          </w:tcPr>
          <w:p>
            <w:pPr>
              <w:pStyle w:val="Compact"/>
              <w:jc w:val="left"/>
              <w:rPr/>
            </w:pPr>
            <w:r>
              <w:rPr/>
              <w:t>32</w:t>
            </w:r>
          </w:p>
        </w:tc>
        <w:tc>
          <w:tcPr>
            <w:tcW w:w="3009" w:type="dxa"/>
            <w:tcBorders/>
            <w:shd w:fill="auto" w:val="clear"/>
          </w:tcPr>
          <w:p>
            <w:pPr>
              <w:pStyle w:val="Compact"/>
              <w:jc w:val="left"/>
              <w:rPr/>
            </w:pPr>
            <w:r>
              <w:rPr/>
              <w:t>subjekti</w:t>
            </w:r>
          </w:p>
        </w:tc>
        <w:tc>
          <w:tcPr>
            <w:tcW w:w="3008" w:type="dxa"/>
            <w:tcBorders/>
            <w:shd w:fill="auto" w:val="clear"/>
          </w:tcPr>
          <w:p>
            <w:pPr>
              <w:pStyle w:val="Compact"/>
              <w:jc w:val="left"/>
              <w:rPr/>
            </w:pPr>
            <w:r>
              <w:rPr>
                <w:i/>
              </w:rPr>
              <w:t>Asuminen järjestyi</w:t>
            </w:r>
          </w:p>
        </w:tc>
        <w:tc>
          <w:tcPr>
            <w:tcW w:w="471" w:type="dxa"/>
            <w:tcBorders/>
            <w:shd w:fill="auto" w:val="clear"/>
          </w:tcPr>
          <w:p>
            <w:pPr>
              <w:pStyle w:val="Compact"/>
              <w:jc w:val="left"/>
              <w:rPr/>
            </w:pPr>
            <w:r>
              <w:rPr/>
              <w:t>16</w:t>
            </w:r>
          </w:p>
        </w:tc>
      </w:tr>
      <w:tr>
        <w:trPr/>
        <w:tc>
          <w:tcPr>
            <w:tcW w:w="1128" w:type="dxa"/>
            <w:tcBorders/>
            <w:shd w:fill="auto" w:val="clear"/>
          </w:tcPr>
          <w:p>
            <w:pPr>
              <w:pStyle w:val="Compact"/>
              <w:jc w:val="left"/>
              <w:rPr/>
            </w:pPr>
            <w:r>
              <w:rPr/>
              <w:t>nmod:poss</w:t>
            </w:r>
          </w:p>
        </w:tc>
        <w:tc>
          <w:tcPr>
            <w:tcW w:w="1222" w:type="dxa"/>
            <w:tcBorders/>
            <w:shd w:fill="auto" w:val="clear"/>
          </w:tcPr>
          <w:p>
            <w:pPr>
              <w:pStyle w:val="Compact"/>
              <w:jc w:val="left"/>
              <w:rPr/>
            </w:pPr>
            <w:r>
              <w:rPr/>
              <w:t>29</w:t>
            </w:r>
          </w:p>
        </w:tc>
        <w:tc>
          <w:tcPr>
            <w:tcW w:w="3009" w:type="dxa"/>
            <w:tcBorders/>
            <w:shd w:fill="auto" w:val="clear"/>
          </w:tcPr>
          <w:p>
            <w:pPr>
              <w:pStyle w:val="Compact"/>
              <w:jc w:val="left"/>
              <w:rPr/>
            </w:pPr>
            <w:r>
              <w:rPr/>
              <w:t>omistusrakenteen kohde</w:t>
            </w:r>
          </w:p>
        </w:tc>
        <w:tc>
          <w:tcPr>
            <w:tcW w:w="3008" w:type="dxa"/>
            <w:tcBorders/>
            <w:shd w:fill="auto" w:val="clear"/>
          </w:tcPr>
          <w:p>
            <w:pPr>
              <w:pStyle w:val="Compact"/>
              <w:jc w:val="left"/>
              <w:rPr/>
            </w:pPr>
            <w:r>
              <w:rPr>
                <w:i/>
              </w:rPr>
              <w:t>Asuntoloiden vuokrataso</w:t>
            </w:r>
          </w:p>
        </w:tc>
        <w:tc>
          <w:tcPr>
            <w:tcW w:w="471" w:type="dxa"/>
            <w:tcBorders/>
            <w:shd w:fill="auto" w:val="clear"/>
          </w:tcPr>
          <w:p>
            <w:pPr>
              <w:pStyle w:val="Compact"/>
              <w:jc w:val="left"/>
              <w:rPr/>
            </w:pPr>
            <w:r>
              <w:rPr/>
              <w:t>14</w:t>
            </w:r>
          </w:p>
        </w:tc>
      </w:tr>
      <w:tr>
        <w:trPr/>
        <w:tc>
          <w:tcPr>
            <w:tcW w:w="1128" w:type="dxa"/>
            <w:tcBorders/>
            <w:shd w:fill="auto" w:val="clear"/>
          </w:tcPr>
          <w:p>
            <w:pPr>
              <w:pStyle w:val="Compact"/>
              <w:jc w:val="left"/>
              <w:rPr/>
            </w:pPr>
            <w:r>
              <w:rPr/>
              <w:t>nsubj:cop</w:t>
            </w:r>
          </w:p>
        </w:tc>
        <w:tc>
          <w:tcPr>
            <w:tcW w:w="1222" w:type="dxa"/>
            <w:tcBorders/>
            <w:shd w:fill="auto" w:val="clear"/>
          </w:tcPr>
          <w:p>
            <w:pPr>
              <w:pStyle w:val="Compact"/>
              <w:jc w:val="left"/>
              <w:rPr/>
            </w:pPr>
            <w:r>
              <w:rPr/>
              <w:t>21</w:t>
            </w:r>
          </w:p>
        </w:tc>
        <w:tc>
          <w:tcPr>
            <w:tcW w:w="3009" w:type="dxa"/>
            <w:tcBorders/>
            <w:shd w:fill="auto" w:val="clear"/>
          </w:tcPr>
          <w:p>
            <w:pPr>
              <w:pStyle w:val="Compact"/>
              <w:jc w:val="left"/>
              <w:rPr/>
            </w:pPr>
            <w:r>
              <w:rPr/>
              <w:t>kopulalauseen subjekti</w:t>
            </w:r>
          </w:p>
        </w:tc>
        <w:tc>
          <w:tcPr>
            <w:tcW w:w="3008" w:type="dxa"/>
            <w:tcBorders/>
            <w:shd w:fill="auto" w:val="clear"/>
          </w:tcPr>
          <w:p>
            <w:pPr>
              <w:pStyle w:val="Compact"/>
              <w:jc w:val="left"/>
              <w:rPr/>
            </w:pPr>
            <w:r>
              <w:rPr>
                <w:i/>
              </w:rPr>
              <w:t>Asuntola on uusi</w:t>
            </w:r>
          </w:p>
        </w:tc>
        <w:tc>
          <w:tcPr>
            <w:tcW w:w="471" w:type="dxa"/>
            <w:tcBorders/>
            <w:shd w:fill="auto" w:val="clear"/>
          </w:tcPr>
          <w:p>
            <w:pPr>
              <w:pStyle w:val="Compact"/>
              <w:jc w:val="left"/>
              <w:rPr/>
            </w:pPr>
            <w:r>
              <w:rPr/>
              <w:t>10</w:t>
            </w:r>
          </w:p>
        </w:tc>
      </w:tr>
      <w:tr>
        <w:trPr/>
        <w:tc>
          <w:tcPr>
            <w:tcW w:w="1128" w:type="dxa"/>
            <w:tcBorders/>
            <w:shd w:fill="auto" w:val="clear"/>
          </w:tcPr>
          <w:p>
            <w:pPr>
              <w:pStyle w:val="Compact"/>
              <w:jc w:val="left"/>
              <w:rPr/>
            </w:pPr>
            <w:r>
              <w:rPr/>
              <w:t>muu</w:t>
            </w:r>
          </w:p>
        </w:tc>
        <w:tc>
          <w:tcPr>
            <w:tcW w:w="1222" w:type="dxa"/>
            <w:tcBorders/>
            <w:shd w:fill="auto" w:val="clear"/>
          </w:tcPr>
          <w:p>
            <w:pPr>
              <w:pStyle w:val="Compact"/>
              <w:jc w:val="left"/>
              <w:rPr/>
            </w:pPr>
            <w:r>
              <w:rPr/>
              <w:t>18</w:t>
            </w:r>
          </w:p>
        </w:tc>
        <w:tc>
          <w:tcPr>
            <w:tcW w:w="3009" w:type="dxa"/>
            <w:tcBorders/>
            <w:shd w:fill="auto" w:val="clear"/>
          </w:tcPr>
          <w:p>
            <w:pPr>
              <w:pStyle w:val="Compact"/>
              <w:jc w:val="left"/>
              <w:rPr/>
            </w:pPr>
            <w:r>
              <w:rPr/>
              <w:t>esim. infinitiivitäydennykset</w:t>
            </w:r>
          </w:p>
        </w:tc>
        <w:tc>
          <w:tcPr>
            <w:tcW w:w="3008" w:type="dxa"/>
            <w:tcBorders/>
            <w:shd w:fill="auto" w:val="clear"/>
          </w:tcPr>
          <w:p>
            <w:pPr>
              <w:pStyle w:val="Compact"/>
              <w:jc w:val="left"/>
              <w:rPr/>
            </w:pPr>
            <w:r>
              <w:rPr>
                <w:i/>
              </w:rPr>
              <w:t>Halusin asumaan paikallisten kanssa</w:t>
            </w:r>
          </w:p>
        </w:tc>
        <w:tc>
          <w:tcPr>
            <w:tcW w:w="471" w:type="dxa"/>
            <w:tcBorders/>
            <w:shd w:fill="auto" w:val="clear"/>
          </w:tcPr>
          <w:p>
            <w:pPr>
              <w:pStyle w:val="Compact"/>
              <w:jc w:val="left"/>
              <w:rPr/>
            </w:pPr>
            <w:r>
              <w:rPr/>
              <w:t>9</w:t>
            </w:r>
          </w:p>
        </w:tc>
      </w:tr>
      <w:tr>
        <w:trPr/>
        <w:tc>
          <w:tcPr>
            <w:tcW w:w="1128" w:type="dxa"/>
            <w:tcBorders/>
            <w:shd w:fill="auto" w:val="clear"/>
          </w:tcPr>
          <w:p>
            <w:pPr>
              <w:pStyle w:val="Compact"/>
              <w:jc w:val="left"/>
              <w:rPr/>
            </w:pPr>
            <w:r>
              <w:rPr/>
              <w:t>Yht.</w:t>
            </w:r>
          </w:p>
        </w:tc>
        <w:tc>
          <w:tcPr>
            <w:tcW w:w="1222" w:type="dxa"/>
            <w:tcBorders/>
            <w:shd w:fill="auto" w:val="clear"/>
          </w:tcPr>
          <w:p>
            <w:pPr>
              <w:pStyle w:val="Compact"/>
              <w:jc w:val="left"/>
              <w:rPr/>
            </w:pPr>
            <w:r>
              <w:rPr/>
              <w:t>338</w:t>
            </w:r>
          </w:p>
        </w:tc>
        <w:tc>
          <w:tcPr>
            <w:tcW w:w="3009" w:type="dxa"/>
            <w:tcBorders/>
            <w:shd w:fill="auto" w:val="clear"/>
          </w:tcPr>
          <w:p>
            <w:pPr>
              <w:pStyle w:val="Compact"/>
              <w:jc w:val="left"/>
              <w:rPr/>
            </w:pPr>
            <w:r>
              <w:rPr/>
              <w:t>—</w:t>
            </w:r>
          </w:p>
        </w:tc>
        <w:tc>
          <w:tcPr>
            <w:tcW w:w="3008" w:type="dxa"/>
            <w:tcBorders/>
            <w:shd w:fill="auto" w:val="clear"/>
          </w:tcPr>
          <w:p>
            <w:pPr>
              <w:pStyle w:val="Compact"/>
              <w:jc w:val="left"/>
              <w:rPr/>
            </w:pPr>
            <w:r>
              <w:rPr/>
              <w:t>—</w:t>
            </w:r>
          </w:p>
        </w:tc>
        <w:tc>
          <w:tcPr>
            <w:tcW w:w="471" w:type="dxa"/>
            <w:tcBorders/>
            <w:shd w:fill="auto" w:val="clear"/>
          </w:tcPr>
          <w:p>
            <w:pPr>
              <w:pStyle w:val="Compact"/>
              <w:jc w:val="left"/>
              <w:rPr/>
            </w:pPr>
            <w:r>
              <w:rPr/>
              <w:t>168</w:t>
            </w:r>
          </w:p>
        </w:tc>
      </w:tr>
    </w:tbl>
    <w:p>
      <w:pPr>
        <w:pStyle w:val="TextBody"/>
        <w:rPr/>
      </w:pPr>
      <w:r>
        <w:rPr/>
        <w:t>Taulukko 1: Asua-johdosten jakautuminen eri syntaktisiin kategorioihin.</w:t>
      </w:r>
    </w:p>
    <w:p>
      <w:pPr>
        <w:pStyle w:val="TextBody"/>
        <w:rPr/>
      </w:pPr>
      <w:r>
        <w:rPr/>
        <w:t xml:space="preserve">Taulukon Frekvenssi-sarakkeesta nähdään paitsi se, että yhteensä edellä kuvattujen kolmen annotointi- ja rajausvaiheen jälkeen jäljelle jäi 338 tekstiä, myös se, että selvästi tavallisimpia topiikki-indikaattoreita olivat objektina esiintyvät asua-johdokset. Kategoriat, joiden edustajia oli yhteensä alle kymmenen, niputettiin yhdeksi </w:t>
      </w:r>
      <w:r>
        <w:rPr>
          <w:i/>
        </w:rPr>
        <w:t>muu</w:t>
      </w:r>
      <w:r>
        <w:rPr/>
        <w:t xml:space="preserve">-kategoriaksi. Varsinainen satunnaisotanta tehtiin taulukossa esitettyjen kategorioiden perusteella siten, että jokaisesta taulukossa luetellusta ryhmästä (mukaan lukien </w:t>
      </w:r>
      <w:r>
        <w:rPr>
          <w:i/>
        </w:rPr>
        <w:t>muu</w:t>
      </w:r>
      <w:r>
        <w:rPr/>
        <w:t>-ryhmä) valittiin satunnaisesti ryhmän kokonaisfrekvenssin puolikasta vastaava määrä tapauksia (ks. taulukon viimeinen sarake).</w:t>
      </w:r>
      <w:r>
        <w:rPr>
          <w:rStyle w:val="FootnoteAnchor"/>
        </w:rPr>
        <w:footnoteReference w:id="3"/>
      </w:r>
      <w:r>
        <w:rPr/>
        <w:t xml:space="preserve"> Nämä 168 tapauksesta otettiin varsinaisen laadullisen analyysin kohteeksi.</w:t>
      </w:r>
    </w:p>
    <w:p>
      <w:pPr>
        <w:pStyle w:val="TextBody"/>
        <w:rPr/>
      </w:pPr>
      <w:r>
        <w:rPr/>
        <w:t>Laadullisen analyysin tavoitteena oli ryhmitellä aineistosta erotellut 168 tekstiä siten, että yhteen ryhmään päätyisivät aina ne tavat asettaa topiikki, jotka syntaktisilta tai funktionaalisilta ominaisuuksiltaan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ryhmitelty minkään ennalta määriteltyjen kriteerien pohjalta, vaan sillä perusteella, mitkä tapaukset muistuttivat toisiaan.</w:t>
      </w:r>
    </w:p>
    <w:p>
      <w:pPr>
        <w:pStyle w:val="TextBody"/>
        <w:rPr/>
      </w:pPr>
      <w:r>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p>
    <w:p>
      <w:pPr>
        <w:pStyle w:val="TextBody"/>
        <w:rPr/>
      </w:pPr>
      <w:r>
        <w:rPr/>
        <w:t>…</w:t>
      </w:r>
      <w:r>
        <w:rPr/>
        <w:t>.vielä kappale ryhmittelyn perusteista ja siitä, ettei semant. kriteerejä käytetty…</w:t>
      </w:r>
    </w:p>
    <w:p>
      <w:pPr>
        <w:pStyle w:val="Heading1"/>
        <w:rPr/>
      </w:pPr>
      <w:bookmarkStart w:id="3" w:name="tulokset"/>
      <w:bookmarkEnd w:id="3"/>
      <w:r>
        <w:rPr/>
        <w:t>Tulokset</w:t>
      </w:r>
    </w:p>
    <w:p>
      <w:pPr>
        <w:pStyle w:val="FirstParagraph"/>
        <w:rPr/>
      </w:pPr>
      <w:r>
        <w:rPr/>
        <w:t>Edellä kuvatun laadullisen analyysin tuloksena tutkittavaksi valitut 168 tekstiä jaoteteltiin 13 ryhmään. Osiossa 4.1. kutakin ryhmää luonnehditaan yleisellä tasolla tarkastelemalla lähemmin yhtä edustavaa esimerkkiä. Vaikka varsinainen ryhmäjako on tehty puhtaan laadullisin perustein pohjaamalla tapausten keskinäiseen samankaltaisuuteen, tulkitaan osiossa 4.2. analyysin tulosta eli itse jaottelua määrällisten ominaisuuksien pohjalta.</w:t>
      </w:r>
    </w:p>
    <w:p>
      <w:pPr>
        <w:pStyle w:val="Heading2"/>
        <w:rPr/>
      </w:pPr>
      <w:bookmarkStart w:id="4" w:name="laadullinen-analyysi"/>
      <w:bookmarkEnd w:id="4"/>
      <w:r>
        <w:rPr/>
        <w:t>Laadullinen analyysi</w:t>
      </w:r>
    </w:p>
    <w:p>
      <w:pPr>
        <w:pStyle w:val="FirstParagraph"/>
        <w:rPr/>
      </w:pPr>
      <w:r>
        <w:rPr/>
        <w:t>Taulukkoon 2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46"/>
        <w:gridCol w:w="2946"/>
        <w:gridCol w:w="2946"/>
      </w:tblGrid>
      <w:tr>
        <w:trPr>
          <w:cnfStyle w:firstRow="1"/>
        </w:trPr>
        <w:tc>
          <w:tcPr>
            <w:tcW w:w="2946" w:type="dxa"/>
            <w:tcBorders>
              <w:bottom w:val="single" w:sz="6" w:space="0" w:color="000001"/>
              <w:insideH w:val="single" w:sz="6" w:space="0" w:color="000001"/>
            </w:tcBorders>
            <w:shd w:fill="auto" w:val="clear"/>
            <w:vAlign w:val="bottom"/>
          </w:tcPr>
          <w:p>
            <w:pPr>
              <w:pStyle w:val="Compact"/>
              <w:jc w:val="left"/>
              <w:rPr/>
            </w:pPr>
            <w:r>
              <w:rPr/>
              <w:t>Topiikkia asettava virke</w:t>
            </w:r>
          </w:p>
        </w:tc>
        <w:tc>
          <w:tcPr>
            <w:tcW w:w="2946" w:type="dxa"/>
            <w:tcBorders>
              <w:bottom w:val="single" w:sz="6" w:space="0" w:color="000001"/>
              <w:insideH w:val="single" w:sz="6" w:space="0" w:color="000001"/>
            </w:tcBorders>
            <w:shd w:fill="auto" w:val="clear"/>
            <w:vAlign w:val="bottom"/>
          </w:tcPr>
          <w:p>
            <w:pPr>
              <w:pStyle w:val="Compact"/>
              <w:jc w:val="left"/>
              <w:rPr/>
            </w:pPr>
            <w:r>
              <w:rPr/>
              <w:t>Konteksti</w:t>
            </w:r>
          </w:p>
        </w:tc>
        <w:tc>
          <w:tcPr>
            <w:tcW w:w="2946" w:type="dxa"/>
            <w:tcBorders>
              <w:bottom w:val="single" w:sz="6" w:space="0" w:color="000001"/>
              <w:insideH w:val="single" w:sz="6" w:space="0" w:color="000001"/>
            </w:tcBorders>
            <w:shd w:fill="auto" w:val="clear"/>
            <w:vAlign w:val="bottom"/>
          </w:tcPr>
          <w:p>
            <w:pPr>
              <w:pStyle w:val="Compact"/>
              <w:jc w:val="left"/>
              <w:rPr/>
            </w:pPr>
            <w:r>
              <w:rPr/>
              <w:t>Siirtymän toteutus</w:t>
            </w:r>
          </w:p>
        </w:tc>
      </w:tr>
      <w:tr>
        <w:trPr/>
        <w:tc>
          <w:tcPr>
            <w:tcW w:w="2946" w:type="dxa"/>
            <w:tcBorders/>
            <w:shd w:fill="auto" w:val="clear"/>
          </w:tcPr>
          <w:p>
            <w:pPr>
              <w:pStyle w:val="Compact"/>
              <w:jc w:val="left"/>
              <w:rPr/>
            </w:pPr>
            <w:r>
              <w:rPr>
                <w:i/>
              </w:rPr>
              <w:t>Asuntoni sain vuokrattua Apartiksen( paikallinen TOAS) kautta.</w:t>
            </w:r>
          </w:p>
        </w:tc>
        <w:tc>
          <w:tcPr>
            <w:tcW w:w="2946" w:type="dxa"/>
            <w:tcBorders/>
            <w:shd w:fill="auto" w:val="clear"/>
          </w:tcPr>
          <w:p>
            <w:pPr>
              <w:pStyle w:val="Compact"/>
              <w:jc w:val="left"/>
              <w:rPr/>
            </w:pPr>
            <w:r>
              <w:rPr/>
              <w:t>Käsittelee ennakkovalmisteluja yms. Lopuksi reflektoi osaamistaan kielikurssilla.</w:t>
            </w:r>
          </w:p>
        </w:tc>
        <w:tc>
          <w:tcPr>
            <w:tcW w:w="2946" w:type="dxa"/>
            <w:tcBorders/>
            <w:shd w:fill="auto" w:val="clear"/>
          </w:tcPr>
          <w:p>
            <w:pPr>
              <w:pStyle w:val="Compact"/>
              <w:jc w:val="left"/>
              <w:rPr/>
            </w:pPr>
            <w:r>
              <w:rPr/>
              <w:t>Alatopiikilla, vaikka ylätopiikkia ei ilmipantu.</w:t>
            </w:r>
          </w:p>
        </w:tc>
      </w:tr>
      <w:tr>
        <w:trPr/>
        <w:tc>
          <w:tcPr>
            <w:tcW w:w="2946" w:type="dxa"/>
            <w:tcBorders/>
            <w:shd w:fill="auto" w:val="clear"/>
          </w:tcPr>
          <w:p>
            <w:pPr>
              <w:pStyle w:val="Compact"/>
              <w:jc w:val="left"/>
              <w:rPr/>
            </w:pPr>
            <w:r>
              <w:rPr>
                <w:i/>
              </w:rPr>
              <w:t>Vaihtoni aikana asuin Grandmontin asuntolassa.</w:t>
            </w:r>
          </w:p>
        </w:tc>
        <w:tc>
          <w:tcPr>
            <w:tcW w:w="2946" w:type="dxa"/>
            <w:tcBorders/>
            <w:shd w:fill="auto" w:val="clear"/>
          </w:tcPr>
          <w:p>
            <w:pPr>
              <w:pStyle w:val="Compact"/>
              <w:jc w:val="left"/>
              <w:rPr/>
            </w:pPr>
            <w:r>
              <w:rPr/>
              <w:t>Kertoo, missä asui vaihtonsa aikana; kuvailee sisustuksen, kämppäkaverit ja vuokran.</w:t>
            </w:r>
          </w:p>
        </w:tc>
        <w:tc>
          <w:tcPr>
            <w:tcW w:w="2946" w:type="dxa"/>
            <w:tcBorders/>
            <w:shd w:fill="auto" w:val="clear"/>
          </w:tcPr>
          <w:p>
            <w:pPr>
              <w:pStyle w:val="Compact"/>
              <w:jc w:val="left"/>
              <w:rPr/>
            </w:pPr>
            <w:r>
              <w:rPr/>
              <w:t>Esittelytopiikilla. Predikaattina on asua-verbi. Kertoo, missä kirjoittaja on asunut.</w:t>
            </w:r>
          </w:p>
        </w:tc>
      </w:tr>
      <w:tr>
        <w:trPr/>
        <w:tc>
          <w:tcPr>
            <w:tcW w:w="2946" w:type="dxa"/>
            <w:tcBorders/>
            <w:shd w:fill="auto" w:val="clear"/>
          </w:tcPr>
          <w:p>
            <w:pPr>
              <w:pStyle w:val="Compact"/>
              <w:jc w:val="left"/>
              <w:rPr/>
            </w:pPr>
            <w:r>
              <w:rPr>
                <w:i/>
              </w:rPr>
              <w:t>Olin löytänyt asunnon ensimmäiseksi kuukaudeksi Airbnb:n kautta ennen Italiaan saapumista.</w:t>
            </w:r>
          </w:p>
        </w:tc>
        <w:tc>
          <w:tcPr>
            <w:tcW w:w="2946" w:type="dxa"/>
            <w:tcBorders/>
            <w:shd w:fill="auto" w:val="clear"/>
          </w:tcPr>
          <w:p>
            <w:pPr>
              <w:pStyle w:val="Compact"/>
              <w:jc w:val="left"/>
              <w:rPr/>
            </w:pPr>
            <w:r>
              <w:rPr/>
              <w:t>Kertoo, mitä tapahtunut ennen kuvattavaa jaksoa. Kuvailee tarkemmin sijaintia, kulkuyhteyksiä yms.</w:t>
            </w:r>
          </w:p>
        </w:tc>
        <w:tc>
          <w:tcPr>
            <w:tcW w:w="2946" w:type="dxa"/>
            <w:tcBorders/>
            <w:shd w:fill="auto" w:val="clear"/>
          </w:tcPr>
          <w:p>
            <w:pPr>
              <w:pStyle w:val="Compact"/>
              <w:jc w:val="left"/>
              <w:rPr/>
            </w:pPr>
            <w:r>
              <w:rPr/>
              <w:t>Esittelytopiikilla, mutta aikarakenteltaan monitasoisempi kuin ryhmä 3.</w:t>
            </w:r>
          </w:p>
        </w:tc>
      </w:tr>
      <w:tr>
        <w:trPr/>
        <w:tc>
          <w:tcPr>
            <w:tcW w:w="2946" w:type="dxa"/>
            <w:tcBorders/>
            <w:shd w:fill="auto" w:val="clear"/>
          </w:tcPr>
          <w:p>
            <w:pPr>
              <w:pStyle w:val="Compact"/>
              <w:jc w:val="left"/>
              <w:rPr/>
            </w:pPr>
            <w:r>
              <w:rPr>
                <w:i/>
              </w:rPr>
              <w:t>Asuminen, tai siis lähinnä asunnon hankkiminen, oli varmaankin vaihdon hankalin juttu.</w:t>
            </w:r>
          </w:p>
        </w:tc>
        <w:tc>
          <w:tcPr>
            <w:tcW w:w="2946" w:type="dxa"/>
            <w:tcBorders/>
            <w:shd w:fill="auto" w:val="clear"/>
          </w:tcPr>
          <w:p>
            <w:pPr>
              <w:pStyle w:val="Compact"/>
              <w:jc w:val="left"/>
              <w:rPr/>
            </w:pPr>
            <w:r>
              <w:rPr/>
              <w:t>Arvioi edeltävässä kurssitarjonnan tasoa, paperiasioiden hoitumista yms.</w:t>
            </w:r>
          </w:p>
        </w:tc>
        <w:tc>
          <w:tcPr>
            <w:tcW w:w="2946" w:type="dxa"/>
            <w:tcBorders/>
            <w:shd w:fill="auto" w:val="clear"/>
          </w:tcPr>
          <w:p>
            <w:pPr>
              <w:pStyle w:val="Compact"/>
              <w:jc w:val="left"/>
              <w:rPr/>
            </w:pPr>
            <w:r>
              <w:rPr/>
              <w:t>Diskurssista johdetulla alatopiikilla, jota indikoi usein deverbaalisubstantiivi. Luonnehtii kirjoittajan subjektiivista kokemusta.</w:t>
            </w:r>
          </w:p>
        </w:tc>
      </w:tr>
      <w:tr>
        <w:trPr/>
        <w:tc>
          <w:tcPr>
            <w:tcW w:w="2946" w:type="dxa"/>
            <w:tcBorders/>
            <w:shd w:fill="auto" w:val="clear"/>
          </w:tcPr>
          <w:p>
            <w:pPr>
              <w:pStyle w:val="Compact"/>
              <w:jc w:val="left"/>
              <w:rPr/>
            </w:pPr>
            <w:r>
              <w:rPr>
                <w:i/>
              </w:rPr>
              <w:t>Asuntoloista valitsin Julius Raab Heimin vanhojen matkakertomusten perusteella.</w:t>
            </w:r>
          </w:p>
        </w:tc>
        <w:tc>
          <w:tcPr>
            <w:tcW w:w="2946" w:type="dxa"/>
            <w:tcBorders/>
            <w:shd w:fill="auto" w:val="clear"/>
          </w:tcPr>
          <w:p>
            <w:pPr>
              <w:pStyle w:val="Compact"/>
              <w:jc w:val="left"/>
              <w:rPr/>
            </w:pPr>
            <w:r>
              <w:rPr/>
              <w:t>Kuvannut vaihtoon hakua ja kotimaan järjestelyjä. Maininnut jo paikallisista asuntolavaihtoehdoista.</w:t>
            </w:r>
          </w:p>
        </w:tc>
        <w:tc>
          <w:tcPr>
            <w:tcW w:w="2946" w:type="dxa"/>
            <w:tcBorders/>
            <w:shd w:fill="auto" w:val="clear"/>
          </w:tcPr>
          <w:p>
            <w:pPr>
              <w:pStyle w:val="Compact"/>
              <w:jc w:val="left"/>
              <w:rPr/>
            </w:pPr>
            <w:r>
              <w:rPr/>
              <w:t>Edeltävässä kappaleessa annetun tai hiukan kauempaa palautetun topiikin avulla. Kuuluvat toissijaisesti johonkin toiseen alaryhmään.</w:t>
            </w:r>
          </w:p>
        </w:tc>
      </w:tr>
      <w:tr>
        <w:trPr/>
        <w:tc>
          <w:tcPr>
            <w:tcW w:w="2946" w:type="dxa"/>
            <w:tcBorders/>
            <w:shd w:fill="auto" w:val="clear"/>
          </w:tcPr>
          <w:p>
            <w:pPr>
              <w:pStyle w:val="Compact"/>
              <w:jc w:val="left"/>
              <w:rPr/>
            </w:pPr>
            <w:r>
              <w:rPr>
                <w:i/>
              </w:rPr>
              <w:t>Ulkomaisille opiskelijoille tarkoitettu asuntola on vain kolme vuotta vanha ja täten melko moderni.</w:t>
            </w:r>
          </w:p>
        </w:tc>
        <w:tc>
          <w:tcPr>
            <w:tcW w:w="2946" w:type="dxa"/>
            <w:tcBorders/>
            <w:shd w:fill="auto" w:val="clear"/>
          </w:tcPr>
          <w:p>
            <w:pPr>
              <w:pStyle w:val="Compact"/>
              <w:jc w:val="left"/>
              <w:rPr/>
            </w:pPr>
            <w:r>
              <w:rPr/>
              <w:t>Edellinen kappale lennosta ja saapumisesta.</w:t>
            </w:r>
          </w:p>
        </w:tc>
        <w:tc>
          <w:tcPr>
            <w:tcW w:w="2946" w:type="dxa"/>
            <w:tcBorders/>
            <w:shd w:fill="auto" w:val="clear"/>
          </w:tcPr>
          <w:p>
            <w:pPr>
              <w:pStyle w:val="Compact"/>
              <w:jc w:val="left"/>
              <w:rPr/>
            </w:pPr>
            <w:r>
              <w:rPr/>
              <w:t>Muistuttavat 2. ryhmän tapauksia, kytkös implisiittisempi, usein väliotsikko. Luonnehtii asuntoa / asuntolaa konkreettisesti.</w:t>
            </w:r>
          </w:p>
        </w:tc>
      </w:tr>
      <w:tr>
        <w:trPr/>
        <w:tc>
          <w:tcPr>
            <w:tcW w:w="2946" w:type="dxa"/>
            <w:tcBorders/>
            <w:shd w:fill="auto" w:val="clear"/>
          </w:tcPr>
          <w:p>
            <w:pPr>
              <w:pStyle w:val="Compact"/>
              <w:jc w:val="left"/>
              <w:rPr/>
            </w:pPr>
            <w:r>
              <w:rPr>
                <w:i/>
              </w:rPr>
              <w:t>Itselläni kävi tuuri asunnon suhteen löytäessäni edullisen huoneen Chelseasta aivan Manhattanin keskeltä.</w:t>
            </w:r>
          </w:p>
        </w:tc>
        <w:tc>
          <w:tcPr>
            <w:tcW w:w="2946" w:type="dxa"/>
            <w:tcBorders/>
            <w:shd w:fill="auto" w:val="clear"/>
          </w:tcPr>
          <w:p>
            <w:pPr>
              <w:pStyle w:val="Compact"/>
              <w:jc w:val="left"/>
              <w:rPr/>
            </w:pPr>
            <w:r>
              <w:rPr/>
              <w:t>Tekstin viimeinen kappale. Edellä arvioinut kokemustaan kokonaisuutena.</w:t>
            </w:r>
          </w:p>
        </w:tc>
        <w:tc>
          <w:tcPr>
            <w:tcW w:w="2946" w:type="dxa"/>
            <w:tcBorders/>
            <w:shd w:fill="auto" w:val="clear"/>
          </w:tcPr>
          <w:p>
            <w:pPr>
              <w:pStyle w:val="Compact"/>
              <w:jc w:val="left"/>
              <w:rPr/>
            </w:pPr>
            <w:r>
              <w:rPr/>
              <w:t>Alatopiikin avulla. Muistuttaa 1. ryhmää, mutta sisältönä verrataan omia kokemuksia toisten kokemuksiin.</w:t>
            </w:r>
          </w:p>
        </w:tc>
      </w:tr>
      <w:tr>
        <w:trPr/>
        <w:tc>
          <w:tcPr>
            <w:tcW w:w="2946" w:type="dxa"/>
            <w:tcBorders/>
            <w:shd w:fill="auto" w:val="clear"/>
          </w:tcPr>
          <w:p>
            <w:pPr>
              <w:pStyle w:val="Compact"/>
              <w:jc w:val="left"/>
              <w:rPr/>
            </w:pPr>
            <w:r>
              <w:rPr>
                <w:i/>
              </w:rPr>
              <w:t>Asuminen Tokiossa on aika kallista.</w:t>
            </w:r>
          </w:p>
        </w:tc>
        <w:tc>
          <w:tcPr>
            <w:tcW w:w="2946" w:type="dxa"/>
            <w:tcBorders/>
            <w:shd w:fill="auto" w:val="clear"/>
          </w:tcPr>
          <w:p>
            <w:pPr>
              <w:pStyle w:val="Compact"/>
              <w:jc w:val="left"/>
              <w:rPr/>
            </w:pPr>
            <w:r>
              <w:rPr/>
              <w:t>Kappale melkein tekstin lopussa. Edellä kuvannut vapaa-ajan mahdollisuuksia.</w:t>
            </w:r>
          </w:p>
        </w:tc>
        <w:tc>
          <w:tcPr>
            <w:tcW w:w="2946" w:type="dxa"/>
            <w:tcBorders/>
            <w:shd w:fill="auto" w:val="clear"/>
          </w:tcPr>
          <w:p>
            <w:pPr>
              <w:pStyle w:val="Compact"/>
              <w:jc w:val="left"/>
              <w:rPr/>
            </w:pPr>
            <w:r>
              <w:rPr/>
              <w:t>4. ryhmän tapaan, mutta jakaen maailmantietoa, ei eksplikoiden omia kokemuksia.</w:t>
            </w:r>
          </w:p>
        </w:tc>
      </w:tr>
      <w:tr>
        <w:trPr/>
        <w:tc>
          <w:tcPr>
            <w:tcW w:w="2946" w:type="dxa"/>
            <w:tcBorders/>
            <w:shd w:fill="auto" w:val="clear"/>
          </w:tcPr>
          <w:p>
            <w:pPr>
              <w:pStyle w:val="Compact"/>
              <w:jc w:val="left"/>
              <w:rPr/>
            </w:pPr>
            <w:r>
              <w:rPr>
                <w:i/>
              </w:rPr>
              <w:t>Suurlähetystön henkilökunta tarjosi resurssiensa puitteissa apuaan mm. maahantuloon, käytännön järjestelyihin sekä asunnon löytämiseen liittyvissä asioissa.</w:t>
            </w:r>
          </w:p>
        </w:tc>
        <w:tc>
          <w:tcPr>
            <w:tcW w:w="2946" w:type="dxa"/>
            <w:tcBorders/>
            <w:shd w:fill="auto" w:val="clear"/>
          </w:tcPr>
          <w:p>
            <w:pPr>
              <w:pStyle w:val="Compact"/>
              <w:jc w:val="left"/>
              <w:rPr/>
            </w:pPr>
            <w:r>
              <w:rPr/>
              <w:t>Edellä kuvannut hakuprosessia. Jatkaa vuokratasoon ja hintoihin.</w:t>
            </w:r>
          </w:p>
        </w:tc>
        <w:tc>
          <w:tcPr>
            <w:tcW w:w="2946" w:type="dxa"/>
            <w:tcBorders/>
            <w:shd w:fill="auto" w:val="clear"/>
          </w:tcPr>
          <w:p>
            <w:pPr>
              <w:pStyle w:val="Compact"/>
              <w:jc w:val="left"/>
              <w:rPr/>
            </w:pPr>
            <w:r>
              <w:rPr/>
              <w:t>Esittelytopiikin avulla, mutta kirjoittaja ei ole agentiivinen toimija. Fokuksessa joku muu keskeinen toimija.</w:t>
            </w:r>
          </w:p>
        </w:tc>
      </w:tr>
      <w:tr>
        <w:trPr/>
        <w:tc>
          <w:tcPr>
            <w:tcW w:w="2946" w:type="dxa"/>
            <w:tcBorders/>
            <w:shd w:fill="auto" w:val="clear"/>
          </w:tcPr>
          <w:p>
            <w:pPr>
              <w:pStyle w:val="Compact"/>
              <w:jc w:val="left"/>
              <w:rPr/>
            </w:pPr>
            <w:r>
              <w:rPr>
                <w:i/>
              </w:rPr>
              <w:t>Lensin Wieniin sunnuntaina ja lento-kentältä suuntasin suoraan asunnolleni.</w:t>
            </w:r>
          </w:p>
        </w:tc>
        <w:tc>
          <w:tcPr>
            <w:tcW w:w="2946" w:type="dxa"/>
            <w:tcBorders/>
            <w:shd w:fill="auto" w:val="clear"/>
          </w:tcPr>
          <w:p>
            <w:pPr>
              <w:pStyle w:val="Compact"/>
              <w:jc w:val="left"/>
              <w:rPr/>
            </w:pPr>
            <w:r>
              <w:rPr/>
              <w:t>Tekstin alkupuolella – edellä vain hakuprosessin kuvaus.</w:t>
            </w:r>
          </w:p>
        </w:tc>
        <w:tc>
          <w:tcPr>
            <w:tcW w:w="2946" w:type="dxa"/>
            <w:tcBorders/>
            <w:shd w:fill="auto" w:val="clear"/>
          </w:tcPr>
          <w:p>
            <w:pPr>
              <w:pStyle w:val="Compact"/>
              <w:jc w:val="left"/>
              <w:rPr/>
            </w:pPr>
            <w:r>
              <w:rPr/>
              <w:t>edellisiä implisiitisempi, kuitenkin uuden topiikin avulla. Kertova tekstityyppi ja aikamuoto yleensä imperfekti. Narraatio.</w:t>
            </w:r>
          </w:p>
        </w:tc>
      </w:tr>
      <w:tr>
        <w:trPr/>
        <w:tc>
          <w:tcPr>
            <w:tcW w:w="2946" w:type="dxa"/>
            <w:tcBorders/>
            <w:shd w:fill="auto" w:val="clear"/>
          </w:tcPr>
          <w:p>
            <w:pPr>
              <w:pStyle w:val="Compact"/>
              <w:jc w:val="left"/>
              <w:rPr/>
            </w:pPr>
            <w:r>
              <w:rPr>
                <w:i/>
              </w:rPr>
              <w:t>Sitten pari sanaa asumisesta.</w:t>
            </w:r>
          </w:p>
        </w:tc>
        <w:tc>
          <w:tcPr>
            <w:tcW w:w="2946" w:type="dxa"/>
            <w:tcBorders/>
            <w:shd w:fill="auto" w:val="clear"/>
          </w:tcPr>
          <w:p>
            <w:pPr>
              <w:pStyle w:val="Compact"/>
              <w:jc w:val="left"/>
              <w:rPr/>
            </w:pPr>
            <w:r>
              <w:rPr/>
              <w:t>Edellä yksityiskohtaisesti esim. seminaarien opintopisteistä.</w:t>
            </w:r>
          </w:p>
        </w:tc>
        <w:tc>
          <w:tcPr>
            <w:tcW w:w="2946" w:type="dxa"/>
            <w:tcBorders/>
            <w:shd w:fill="auto" w:val="clear"/>
          </w:tcPr>
          <w:p>
            <w:pPr>
              <w:pStyle w:val="Compact"/>
              <w:jc w:val="left"/>
              <w:rPr/>
            </w:pPr>
            <w:r>
              <w:rPr/>
              <w:t>metatekstin kautta. Uusi topiikki, joka tuodaan tekstiin eksplisiittisesti.</w:t>
            </w:r>
          </w:p>
        </w:tc>
      </w:tr>
      <w:tr>
        <w:trPr/>
        <w:tc>
          <w:tcPr>
            <w:tcW w:w="2946" w:type="dxa"/>
            <w:tcBorders/>
            <w:shd w:fill="auto" w:val="clear"/>
          </w:tcPr>
          <w:p>
            <w:pPr>
              <w:pStyle w:val="Compact"/>
              <w:jc w:val="left"/>
              <w:rPr/>
            </w:pPr>
            <w:r>
              <w:rPr>
                <w:i/>
              </w:rPr>
              <w:t>Saapuessani Varsovaan minulla oli onneksi jo asunto tiedossa.</w:t>
            </w:r>
          </w:p>
        </w:tc>
        <w:tc>
          <w:tcPr>
            <w:tcW w:w="2946" w:type="dxa"/>
            <w:tcBorders/>
            <w:shd w:fill="auto" w:val="clear"/>
          </w:tcPr>
          <w:p>
            <w:pPr>
              <w:pStyle w:val="Compact"/>
              <w:jc w:val="left"/>
              <w:rPr/>
            </w:pPr>
            <w:r>
              <w:rPr/>
              <w:t>Edellä kieltenopiskelusta, jatkaa hintoihin.</w:t>
            </w:r>
          </w:p>
        </w:tc>
        <w:tc>
          <w:tcPr>
            <w:tcW w:w="2946" w:type="dxa"/>
            <w:tcBorders/>
            <w:shd w:fill="auto" w:val="clear"/>
          </w:tcPr>
          <w:p>
            <w:pPr>
              <w:pStyle w:val="Compact"/>
              <w:jc w:val="left"/>
              <w:rPr/>
            </w:pPr>
            <w:r>
              <w:rPr/>
              <w:t>uuden topiikin avulla, joka avausvirkkeen loppupuolella. Ajallinen jännite, katsotaan kuvatusta aikapisteestä taaksepäin.</w:t>
            </w:r>
          </w:p>
        </w:tc>
      </w:tr>
      <w:tr>
        <w:trPr/>
        <w:tc>
          <w:tcPr>
            <w:tcW w:w="2946" w:type="dxa"/>
            <w:tcBorders/>
            <w:shd w:fill="auto" w:val="clear"/>
          </w:tcPr>
          <w:p>
            <w:pPr>
              <w:pStyle w:val="Compact"/>
              <w:jc w:val="left"/>
              <w:rPr/>
            </w:pPr>
            <w:r>
              <w:rPr>
                <w:i/>
              </w:rPr>
              <w:t>Lähes kaikki Bratislavan kauppakorkeakoulun vaihto-opiskelijat asuivat Ekonom-nimisessä dormitoryssa.</w:t>
            </w:r>
          </w:p>
        </w:tc>
        <w:tc>
          <w:tcPr>
            <w:tcW w:w="2946" w:type="dxa"/>
            <w:tcBorders/>
            <w:shd w:fill="auto" w:val="clear"/>
          </w:tcPr>
          <w:p>
            <w:pPr>
              <w:pStyle w:val="Compact"/>
              <w:jc w:val="left"/>
              <w:rPr/>
            </w:pPr>
            <w:r>
              <w:rPr/>
              <w:t>Kuvannut saapumista ja tutor-toimintaa.</w:t>
            </w:r>
          </w:p>
        </w:tc>
        <w:tc>
          <w:tcPr>
            <w:tcW w:w="2946" w:type="dxa"/>
            <w:tcBorders/>
            <w:shd w:fill="auto" w:val="clear"/>
          </w:tcPr>
          <w:p>
            <w:pPr>
              <w:pStyle w:val="Compact"/>
              <w:jc w:val="left"/>
              <w:rPr/>
            </w:pPr>
            <w:r>
              <w:rPr/>
              <w:t>7. ryhmän tapaan, mutta samaistuen, ei kontrastoiden muiden vaihto-opiskelijoiden toimintaan. Alaotsikko tyypillinen.</w:t>
            </w:r>
          </w:p>
        </w:tc>
      </w:tr>
    </w:tbl>
    <w:p>
      <w:pPr>
        <w:pStyle w:val="TextBody"/>
        <w:rPr/>
      </w:pPr>
      <w:r>
        <w:rPr/>
        <w:t>Taulukko 2: Esimerkit laadullisen analyysin tuloksena syntyneistä ryhmistä</w:t>
      </w:r>
    </w:p>
    <w:p>
      <w:pPr>
        <w:pStyle w:val="TextBody"/>
        <w:rPr/>
      </w:pPr>
      <w:r>
        <w:rPr/>
        <w:t xml:space="preserve">Aineiston isoimman ryhmän muodostavat esimerkin 1 kaltaiset topiikkia asettavat virkkeet. Topiikki-indikaattorina on tässä </w:t>
      </w:r>
      <w:r>
        <w:rPr>
          <w:i/>
        </w:rPr>
        <w:t>asuntoni</w:t>
      </w:r>
      <w:r>
        <w:rPr/>
        <w:t xml:space="preserve">-sana. Se on siis tekstin ensimmäinen eksplisiittinen maininta topiikista; asumiseen tai asuntoon ei ole viitattu edeltävissä kappaleissa. Vaikka esimerkissä 1 ei täyty Dikin (1989: 275) kuvailema ehto siitä, että varsinainen ylätopiikki olisi erikseen esitelty lukijalle (vrt. myös Guijarro 2001: 110), </w:t>
      </w:r>
      <w:r>
        <w:rPr>
          <w:i/>
        </w:rPr>
        <w:t>asuntoni</w:t>
      </w:r>
      <w:r>
        <w:rPr/>
        <w:t xml:space="preserve"> on tulkittu analyysissämme alatopiikiksi (ks. osio x.x edellä). Kirjoittaja nimittäin vaikuttaa operoineen tässä, kuten useimmissa muissakin ryhmän 1</w:t>
      </w:r>
      <w:r>
        <w:rPr>
          <w:rStyle w:val="FootnoteAnchor"/>
        </w:rPr>
        <w:footnoteReference w:id="4"/>
      </w:r>
      <w:r>
        <w:rPr/>
        <w:t xml:space="preserve"> tapauksissa, yksinomaan tehtävänannon tarjoaman kysymyspatteriston ja saatavilla olevien mallitekstien puitteissa. Tästä seuraa, että asunto tai asuminen oletetaan lukijan käytettävissä olevaksi entiteetiksi (vrt. Chafe 1987: 29; Lambrecht 1996: 99), ja se on tuotu tekstiin ilman ennakkomainintoja tai esittelyjä. Voisi jopa sanoa, että esimerkin 1 kaltaiset tapaukset eivät niinkään aseta topiikkia, vaan ennemmin käyttävät jo asetetetuksi oletettua topiikkia (vrt. implisiittinen teema Shore (2008)).</w:t>
      </w:r>
    </w:p>
    <w:p>
      <w:pPr>
        <w:pStyle w:val="TextBody"/>
        <w:rPr/>
      </w:pPr>
      <w:r>
        <w:rPr/>
        <w:t xml:space="preserve">Seuraavan kiinnostavan ryhmän muodostavat esimerkin 2 kaltaiset tapaukset, joissa topiikki-indikaattorina on persoonamuotoinen </w:t>
      </w:r>
      <w:r>
        <w:rPr>
          <w:i/>
        </w:rPr>
        <w:t>asua</w:t>
      </w:r>
      <w:r>
        <w:rPr/>
        <w:t xml:space="preserve">-verbi. Virkkeiden pääasiallinen sisältö on yleensä informaatio siitä, missä kirjoittaja on vaihtonsa aikana asunut. Tapaukset ovat edellistä ryhmää selkeämmin johdantoja uuteen aiheeseen, ja Dikin jaottelun mukaisesti esimerkin 2 lopussa mainittu </w:t>
      </w:r>
      <w:r>
        <w:rPr>
          <w:i/>
        </w:rPr>
        <w:t>asuntola</w:t>
      </w:r>
      <w:r>
        <w:rPr/>
        <w:t xml:space="preserve"> muodostaa (osiossa x.x. määritellyssä termin teknisessä merkityksessä) uuden topiikin (1989: 269). Vastaavat </w:t>
      </w:r>
      <w:r>
        <w:rPr>
          <w:i/>
        </w:rPr>
        <w:t>asuin paikassa X</w:t>
      </w:r>
      <w:r>
        <w:rPr/>
        <w:t xml:space="preserve"> -tyyppiset rakenteet ovat siis keinoja esitellä </w:t>
      </w:r>
      <w:r>
        <w:rPr>
          <w:i/>
        </w:rPr>
        <w:t>paikka X</w:t>
      </w:r>
      <w:r>
        <w:rPr/>
        <w:t>, josta tällaisella virkkeellä alkava kappale kertoo.</w:t>
      </w:r>
    </w:p>
    <w:p>
      <w:pPr>
        <w:pStyle w:val="TextBody"/>
        <w:rPr/>
      </w:pPr>
      <w:r>
        <w:rPr/>
        <w:t>Kertominen ja kertova tekstityyppi ovatkin aineiston tekstilajille tyypillistä, mikä näkyy useammassakin alaryhmässä. Esimerkin 10 edustamassa ryhmässä asumisesta raportoidaan kertovan tekstityypin avulla, mikä käy annetusta esimerkistä esiin erityisen selvästi, koska 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rPr/>
      </w:pPr>
      <w:r>
        <w:rPr/>
        <w:t xml:space="preserve">Yhtälailla ryhmittelystämme on löydettävissä erilaisia tapoja aloittaa luonnehtimalla omia kokemuksiaan. Esimerkissä 4 topiikkia indikoi </w:t>
      </w:r>
      <w:r>
        <w:rPr>
          <w:i/>
        </w:rPr>
        <w:t>asuminen</w:t>
      </w:r>
      <w:r>
        <w:rPr/>
        <w:t xml:space="preserve">, mikä tähän ryhmään luokitelluille onkin varsin tyypillistä: jostakin varsinaisen diskurssitopiikin osa-alueelta tiivistetään oma kokemus kompleksiseen deverbaalijohdokseen, jota luonnehditaan predikatiivilauseella. Näissä tapauksissa kuvataan, miten </w:t>
      </w:r>
      <w:r>
        <w:rPr>
          <w:i/>
        </w:rPr>
        <w:t>asunnon hakeminen oli helppoa</w:t>
      </w:r>
      <w:r>
        <w:rPr/>
        <w:t xml:space="preserve"> tai miten </w:t>
      </w:r>
      <w:r>
        <w:rPr>
          <w:i/>
        </w:rPr>
        <w:t>kaikkein vaikeinta oli asunnon löytäminen</w:t>
      </w:r>
      <w:r>
        <w:rPr/>
        <w:t>. Strategiana on itsestään käsin kertoa, miten asiat ovat sujuneet, omia onnistumisia ja epäonnistumisia arvioiden. Informaatiorakenteen kannalta nämä tapaukset ovat monesti ryhmän 1 tapaan alatopiikkeja. Esimerkki4 on kuitenkin esimerkkiä 1 selvemmin topiikkia asettava virke, sillä siinä asumisen rooli yhtenä vaihtokokemuksen osana on ilmaistu eksplisiittisesti.</w:t>
      </w:r>
    </w:p>
    <w:p>
      <w:pPr>
        <w:pStyle w:val="TextBody"/>
        <w:rPr/>
      </w:pPr>
      <w:r>
        <w:rPr/>
        <w:t>[tähän seuraavaksi etäännytetyt kuvailut ja sitte lopetus linkkihommiin]</w:t>
      </w:r>
    </w:p>
    <w:p>
      <w:pPr>
        <w:pStyle w:val="TextBody"/>
        <w:rPr/>
      </w:pPr>
      <w:r>
        <w:rPr/>
        <w:t xml:space="preserve">Esimerkissä 5 indikaattorina on </w:t>
      </w:r>
      <w:r>
        <w:rPr>
          <w:i/>
        </w:rPr>
        <w:t>asuntoloista</w:t>
      </w:r>
      <w:r>
        <w:rPr/>
        <w:t>-sana.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Esimerkin 5 kaltaisia aiempaan kontekstiin tietoisesti sidottuja tapauksia on aineistossa 14 kappaletta. Näissä tapauksissa kyse on virketasolla tarkasteltuna joko annetuista topiikeista – jos kontekstuaalinen linkki on muodostettu suhteellisen lähellä tässä käsiteltävää varsinaista asumiskappaletta – tai, jos edellinen maininta on selvästi kauempana, palautetuista topiikeista (Dik 1989: 270–271). X:ssä tämän ryhmän virkkeessä kappaletta edeltää välitotsikko.</w:t>
      </w:r>
    </w:p>
    <w:p>
      <w:pPr>
        <w:pStyle w:val="TextBody"/>
        <w:rPr/>
      </w:pPr>
      <w:r>
        <w:rPr/>
        <w:t>Kuten edellä metodin kuvauksen yhteydessä todettiin, tässä kuvatut eri topiikin asettamistapoja edustavat ryhmät on muodostettu sijoittamalla aina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Seuraavaksi nyt esiteltyjen ryhmien rakenteellisia tyyppipiirteitä tutkitaan tarkemmin määrällisestä näkökulmasta. Argumenttimme on, että vaikka ryhmät on muodostettu puhtaasti tulkitsemalla eri tekstien välisiä samankaltaisuuksia, on suurimmalle osalle ryhmistä melko yksinkertaista antaa myös muodolliset, lähinnä rakenteeseen perustuvat määritelmät, joiden soveltaminen voi joillekin kirjoittajille tai opettajulle olla abstrakteja funktionaalisten ominaisuuksien kuvailuja helpompaa.</w:t>
      </w:r>
    </w:p>
    <w:p>
      <w:pPr>
        <w:pStyle w:val="Heading2"/>
        <w:rPr/>
      </w:pPr>
      <w:bookmarkStart w:id="5" w:name="maarallinen-analyysi"/>
      <w:bookmarkEnd w:id="5"/>
      <w:r>
        <w:rPr/>
        <w:t>Määrällinen analyysi</w:t>
      </w:r>
    </w:p>
    <w:p>
      <w:pPr>
        <w:pStyle w:val="FirstParagraph"/>
        <w:rPr/>
      </w:pPr>
      <w:r>
        <w:rPr/>
        <w:t>Tekstuaalisia funktioita ja ja kappaletason elementtejä kuvattaessa on usein.. Esimerkiksi Vuorijärvellä kuvaus “blablaa”. Jos opettaja haluaa konkretisoida eri tekstistrategioita, hänen on tavallisesti turvauduttava vain abstrakteihin määritelmiin. Yhtenä tämän tutkimuksen tarkoituksena on kuitenkin tuottaa myös toisenlaista, rakenteiden tason tietoa… Tätä tietoa on kerätty seuraavassa soveltamalla laadullisen analyysin tuloksena saatuun ryhmäjakoon määrällisiä menetelmiä, tarkemmin ottaen ehdollisia päätöksentekopuita (</w:t>
      </w:r>
      <w:r>
        <w:rPr>
          <w:i/>
        </w:rPr>
        <w:t>conditional inference trees</w:t>
      </w:r>
      <w:r>
        <w:rPr/>
        <w:t>).</w:t>
      </w:r>
    </w:p>
    <w:p>
      <w:pPr>
        <w:pStyle w:val="TextBody"/>
        <w:rPr/>
      </w:pPr>
      <w:r>
        <w:rPr/>
        <w:t>Ehdollisissa päätöksentekopuissa ajatuksena on, että (Levshina 2015, x) . Analyysissa määritellään yksi selitettävä muuttuja (vrt. Ketokivi 2015, x) ja (tavallisesti useita) selittäviä muuttujia, joiden avulla jonkin tapauksen päätymistä johonkin luokkaan pyritään ennustamaan. Nyt käsillä olevassa tutkimuksessa selitettävän muuttujan muodostavat laadullisen analyysin tuloksena luodut topiikin asetustapojen 13 ryhmää. Yksittäisen matkakertomuksen päätymistä johonkin näistä ryhmistä on suorittamassamme luokittelupuuanalyysissä tarkasteltu seuraavien selittävien muuttujien avulla.</w:t>
      </w:r>
    </w:p>
    <w:p>
      <w:pPr>
        <w:pStyle w:val="Compact"/>
        <w:numPr>
          <w:ilvl w:val="0"/>
          <w:numId w:val="3"/>
        </w:numPr>
        <w:rPr/>
      </w:pPr>
      <w:r>
        <w:rPr>
          <w:i/>
        </w:rPr>
        <w:t>Topiikki-indikaattorin dependenssirooli.</w:t>
      </w:r>
      <w:r>
        <w:rPr/>
        <w:t xml:space="preserve"> Tämän muuttujan avulla määriteltiin alkuperäinen satunnaisotanta. Sen arvojen pohjana ovat taulukossa 1 luetellut dependenssiroolit, joita kuitenkin lavennettiin siten, että arvot </w:t>
      </w:r>
      <w:r>
        <w:rPr>
          <w:i/>
        </w:rPr>
        <w:t>nsubj</w:t>
      </w:r>
      <w:r>
        <w:rPr/>
        <w:t xml:space="preserve"> ja </w:t>
      </w:r>
      <w:r>
        <w:rPr>
          <w:i/>
        </w:rPr>
        <w:t>nsubj:cop</w:t>
      </w:r>
      <w:r>
        <w:rPr/>
        <w:t xml:space="preserve"> yhdistettiin yhdeksi subjektin kategoriaksi (</w:t>
      </w:r>
      <w:r>
        <w:rPr>
          <w:i/>
        </w:rPr>
        <w:t>subj</w:t>
      </w:r>
      <w:r>
        <w:rPr/>
        <w:t xml:space="preserve">) ja arvot </w:t>
      </w:r>
      <w:r>
        <w:rPr>
          <w:i/>
        </w:rPr>
        <w:t>nmod:poss</w:t>
      </w:r>
      <w:r>
        <w:rPr/>
        <w:t xml:space="preserve"> sekä </w:t>
      </w:r>
      <w:r>
        <w:rPr>
          <w:i/>
        </w:rPr>
        <w:t>nmod:gobj</w:t>
      </w:r>
      <w:r>
        <w:rPr/>
        <w:t xml:space="preserve"> yhdeksi </w:t>
      </w:r>
      <w:r>
        <w:rPr>
          <w:i/>
        </w:rPr>
        <w:t>nmod:x</w:t>
      </w:r>
      <w:r>
        <w:rPr/>
        <w:t>-kategoriaksi, jolla viitattiin kaikkiin kompleksisiin nominaalirakenteisiin (</w:t>
      </w:r>
      <w:r>
        <w:rPr>
          <w:i/>
        </w:rPr>
        <w:t>asunnon hankinta</w:t>
      </w:r>
      <w:r>
        <w:rPr/>
        <w:t xml:space="preserve">, </w:t>
      </w:r>
      <w:r>
        <w:rPr>
          <w:i/>
        </w:rPr>
        <w:t>asumisen järjestäminen</w:t>
      </w:r>
      <w:r>
        <w:rPr/>
        <w:t>).</w:t>
      </w:r>
    </w:p>
    <w:p>
      <w:pPr>
        <w:pStyle w:val="Compact"/>
        <w:numPr>
          <w:ilvl w:val="0"/>
          <w:numId w:val="3"/>
        </w:numPr>
        <w:rPr/>
      </w:pPr>
      <w:r>
        <w:rPr>
          <w:i/>
        </w:rPr>
        <w:t>Topiikki-indikaattorin sijainti virkkeessä</w:t>
      </w:r>
      <w:r>
        <w:rPr/>
        <w:t xml:space="preserve"> jakaa aineiston kahteen luokkaan: tapauksiin, joissa topiikki-indikaattori on koko virkkeen ensimmäisenä ja muihin tapauksiin.</w:t>
      </w:r>
    </w:p>
    <w:p>
      <w:pPr>
        <w:pStyle w:val="Compact"/>
        <w:numPr>
          <w:ilvl w:val="0"/>
          <w:numId w:val="3"/>
        </w:numPr>
        <w:rPr/>
      </w:pPr>
      <w:r>
        <w:rPr/>
        <w:t xml:space="preserve">Myös </w:t>
      </w:r>
      <w:r>
        <w:rPr>
          <w:i/>
        </w:rPr>
        <w:t>lauseen predikaattiverbin persoona</w:t>
      </w:r>
      <w:r>
        <w:rPr/>
        <w:t xml:space="preserve"> jaettiin kahteen kategoriaan: tapauksiin, joissa predikaattiverbi on ensimmäisessä persoonassa ja muihin tapauksiin.</w:t>
      </w:r>
    </w:p>
    <w:p>
      <w:pPr>
        <w:pStyle w:val="Compact"/>
        <w:numPr>
          <w:ilvl w:val="0"/>
          <w:numId w:val="3"/>
        </w:numPr>
        <w:rPr/>
      </w:pPr>
      <w:r>
        <w:rPr>
          <w:i/>
        </w:rPr>
        <w:t>Side muuhun tekstiin</w:t>
      </w:r>
      <w:r>
        <w:rPr/>
        <w:t xml:space="preserve"> -muuttujalla on kolme kategoriaa: tapaukset, joissa asumistopiikkia on pohjustettu jo edellisessä kappaleessa muttei niin selvästi, että kyseessä olisi linkkitapaus (</w:t>
      </w:r>
      <w:r>
        <w:rPr>
          <w:i/>
        </w:rPr>
        <w:t>edel.</w:t>
      </w:r>
      <w:r>
        <w:rPr/>
        <w:t>); tapaukset, joissa topiikki asetetaan viittaamalla selkeästi johonkin edellä muodostettuun linkkiin (</w:t>
      </w:r>
      <w:r>
        <w:rPr>
          <w:i/>
        </w:rPr>
        <w:t>linkki</w:t>
      </w:r>
      <w:r>
        <w:rPr/>
        <w:t>); tapaukset, joissa asumiskappaletta edeltää väliotsikko (</w:t>
      </w:r>
      <w:r>
        <w:rPr>
          <w:i/>
        </w:rPr>
        <w:t>ots</w:t>
      </w:r>
      <w:r>
        <w:rPr/>
        <w:t>) sekä tapaukset, joissa mitään edellä kuvatuista siteistä ei ole (</w:t>
      </w:r>
      <w:r>
        <w:rPr>
          <w:i/>
        </w:rPr>
        <w:t>x</w:t>
      </w:r>
      <w:r>
        <w:rPr/>
        <w:t>).</w:t>
      </w:r>
    </w:p>
    <w:p>
      <w:pPr>
        <w:pStyle w:val="Compact"/>
        <w:numPr>
          <w:ilvl w:val="0"/>
          <w:numId w:val="3"/>
        </w:numPr>
        <w:rPr/>
      </w:pPr>
      <w:r>
        <w:rPr>
          <w:i/>
        </w:rPr>
        <w:t>Topiikki-indikaattorin morfologinen rakenne</w:t>
      </w:r>
      <w:r>
        <w:rPr/>
        <w:t xml:space="preserve"> erottelee toisistaan finiittiverbit, infintiivimuodot (mukaan lukien minen-johdokset) ja substantiivit.</w:t>
      </w:r>
    </w:p>
    <w:p>
      <w:pPr>
        <w:pStyle w:val="Compact"/>
        <w:numPr>
          <w:ilvl w:val="0"/>
          <w:numId w:val="3"/>
        </w:numPr>
        <w:rPr/>
      </w:pPr>
      <w:r>
        <w:rPr>
          <w:i/>
        </w:rPr>
        <w:t>Aikamuoto</w:t>
      </w:r>
      <w:r>
        <w:rPr/>
        <w:t xml:space="preserve">-muuttuja pitää sisällään arvot </w:t>
      </w:r>
      <w:r>
        <w:rPr>
          <w:i/>
        </w:rPr>
        <w:t>preesens</w:t>
      </w:r>
      <w:r>
        <w:rPr/>
        <w:t xml:space="preserve">, </w:t>
      </w:r>
      <w:r>
        <w:rPr>
          <w:i/>
        </w:rPr>
        <w:t>imperfekti</w:t>
      </w:r>
      <w:r>
        <w:rPr/>
        <w:t xml:space="preserve">, </w:t>
      </w:r>
      <w:r>
        <w:rPr>
          <w:i/>
        </w:rPr>
        <w:t>pluskvamperfekti/perferkti</w:t>
      </w:r>
      <w:r>
        <w:rPr>
          <w:rStyle w:val="FootnoteAnchor"/>
          <w:i/>
        </w:rPr>
        <w:footnoteReference w:id="5"/>
      </w:r>
      <w:r>
        <w:rPr/>
        <w:t xml:space="preserve"> ja </w:t>
      </w:r>
      <w:r>
        <w:rPr>
          <w:i/>
        </w:rPr>
        <w:t>ellipsi</w:t>
      </w:r>
      <w:r>
        <w:rPr/>
        <w:t xml:space="preserve"> (–).</w:t>
      </w:r>
    </w:p>
    <w:p>
      <w:pPr>
        <w:pStyle w:val="FirstParagraph"/>
        <w:rPr/>
      </w:pPr>
      <w:r>
        <w:rPr/>
        <w:t xml:space="preserve">Näiden muuttujien perusteella rakennettiin päätöksentekopuu R-ohjelmiston </w:t>
      </w:r>
      <w:r>
        <w:rPr>
          <w:i/>
        </w:rPr>
        <w:t>party</w:t>
      </w:r>
      <w:r>
        <w:rPr/>
        <w:t xml:space="preserve">-kirjastoon kuuluvaa </w:t>
      </w:r>
      <w:r>
        <w:rPr>
          <w:i/>
        </w:rPr>
        <w:t>ctree</w:t>
      </w:r>
      <w:r>
        <w:rPr/>
        <w:t>-funktiota (Hothorn ym. 2006) käyttäen. Analyysin tulos on esitetty kuviossa 3.</w:t>
      </w:r>
    </w:p>
    <w:p>
      <w:pPr>
        <w:pStyle w:val="Normal"/>
        <w:rPr/>
      </w:pPr>
      <w:r>
        <w:rPr/>
        <w:drawing>
          <wp:inline distT="0" distB="0" distL="114935" distR="114935">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pPr>
      <w:r>
        <w:rPr/>
        <w:t>Kuvio 3: Topiikkia asettavien ryhmien rakenne luokittelupuun avulla tarkasteltuna</w:t>
      </w:r>
    </w:p>
    <w:p>
      <w:pPr>
        <w:pStyle w:val="TextBody"/>
        <w:rPr/>
      </w:pPr>
      <w:r>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rPr>
        <w:t>jos jonkin tapauksen dependenssirooli on predikaatti (noodi 1) ja pääverbin persoona ensimmäinen (noodi 15) ja jos lisäksi tapausta ei edellä väliotsikko, kyseessä on aina ryhmään 2 kuuluva tapaus (noodi 18)</w:t>
      </w:r>
      <w:r>
        <w:rPr/>
        <w:t>. Jos taas dependenssirooli on predikaatti (noodi 1), joka ei kuitenkaan esiinny ensimmäisessä persoonassa, on kyseessä useimmiten ryhmän 13 tapaus, vaikka muutkin vaihtoehdot ovat mahdollisia. Jokaisen noodin kohdalle on myös merkitty p-arvo (tästä tarkemmin).</w:t>
      </w:r>
    </w:p>
    <w:p>
      <w:pPr>
        <w:pStyle w:val="TextBody"/>
        <w:rPr/>
      </w:pPr>
      <w:r>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rPr>
        <w:footnoteReference w:id="6"/>
      </w:r>
      <w:r>
        <w:rPr/>
        <w:t xml:space="preserve"> yksinkertaista rakenteellisen mikrotason muuttujaa: verbin persoonaa, aikamuotoa ja indikaattorisanan dependenssiroolia. Taulukossa 3 on tiivistetty näiden muuttujien vaikutus topiikkia asettavan virkkeen päätymiseen johonkin laadullisessa analyysissa määritellyistä ryhmistä.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00"/>
        <w:gridCol w:w="1584"/>
        <w:gridCol w:w="2668"/>
        <w:gridCol w:w="750"/>
        <w:gridCol w:w="2336"/>
      </w:tblGrid>
      <w:tr>
        <w:trPr>
          <w:cnfStyle w:firstRow="1"/>
        </w:trPr>
        <w:tc>
          <w:tcPr>
            <w:tcW w:w="1500" w:type="dxa"/>
            <w:tcBorders>
              <w:bottom w:val="single" w:sz="6" w:space="0" w:color="000001"/>
              <w:insideH w:val="single" w:sz="6" w:space="0" w:color="000001"/>
            </w:tcBorders>
            <w:shd w:fill="auto" w:val="clear"/>
            <w:vAlign w:val="bottom"/>
          </w:tcPr>
          <w:p>
            <w:pPr>
              <w:pStyle w:val="Compact"/>
              <w:jc w:val="left"/>
              <w:rPr/>
            </w:pPr>
            <w:r>
              <w:rPr/>
              <w:t>Verbin persoona</w:t>
            </w:r>
          </w:p>
        </w:tc>
        <w:tc>
          <w:tcPr>
            <w:tcW w:w="1584" w:type="dxa"/>
            <w:tcBorders>
              <w:bottom w:val="single" w:sz="6" w:space="0" w:color="000001"/>
              <w:insideH w:val="single" w:sz="6" w:space="0" w:color="000001"/>
            </w:tcBorders>
            <w:shd w:fill="auto" w:val="clear"/>
            <w:vAlign w:val="bottom"/>
          </w:tcPr>
          <w:p>
            <w:pPr>
              <w:pStyle w:val="Compact"/>
              <w:jc w:val="left"/>
              <w:rPr/>
            </w:pPr>
            <w:r>
              <w:rPr/>
              <w:t>Verbin aikamuoto</w:t>
            </w:r>
          </w:p>
        </w:tc>
        <w:tc>
          <w:tcPr>
            <w:tcW w:w="2668" w:type="dxa"/>
            <w:tcBorders>
              <w:bottom w:val="single" w:sz="6" w:space="0" w:color="000001"/>
              <w:insideH w:val="single" w:sz="6" w:space="0" w:color="000001"/>
            </w:tcBorders>
            <w:shd w:fill="auto" w:val="clear"/>
            <w:vAlign w:val="bottom"/>
          </w:tcPr>
          <w:p>
            <w:pPr>
              <w:pStyle w:val="Compact"/>
              <w:jc w:val="left"/>
              <w:rPr/>
            </w:pPr>
            <w:r>
              <w:rPr/>
              <w:t>Indikaattorisanan dependenssirooli</w:t>
            </w:r>
          </w:p>
        </w:tc>
        <w:tc>
          <w:tcPr>
            <w:tcW w:w="750" w:type="dxa"/>
            <w:tcBorders>
              <w:bottom w:val="single" w:sz="6" w:space="0" w:color="000001"/>
              <w:insideH w:val="single" w:sz="6" w:space="0" w:color="000001"/>
            </w:tcBorders>
            <w:shd w:fill="auto" w:val="clear"/>
            <w:vAlign w:val="bottom"/>
          </w:tcPr>
          <w:p>
            <w:pPr>
              <w:pStyle w:val="Compact"/>
              <w:jc w:val="left"/>
              <w:rPr/>
            </w:pPr>
            <w:r>
              <w:rPr/>
              <w:t>ryhmä</w:t>
            </w:r>
          </w:p>
        </w:tc>
        <w:tc>
          <w:tcPr>
            <w:tcW w:w="2336" w:type="dxa"/>
            <w:tcBorders>
              <w:bottom w:val="single" w:sz="6" w:space="0" w:color="000001"/>
              <w:insideH w:val="single" w:sz="6" w:space="0" w:color="000001"/>
            </w:tcBorders>
            <w:shd w:fill="auto" w:val="clear"/>
            <w:vAlign w:val="bottom"/>
          </w:tcPr>
          <w:p>
            <w:pPr>
              <w:pStyle w:val="Compact"/>
              <w:jc w:val="left"/>
              <w:rPr/>
            </w:pPr>
            <w:r>
              <w:rPr/>
              <w:t>luokittelupuun loppunoodit</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1</w:t>
            </w:r>
          </w:p>
        </w:tc>
        <w:tc>
          <w:tcPr>
            <w:tcW w:w="2336" w:type="dxa"/>
            <w:tcBorders/>
            <w:shd w:fill="auto" w:val="clear"/>
          </w:tcPr>
          <w:p>
            <w:pPr>
              <w:pStyle w:val="Compact"/>
              <w:jc w:val="left"/>
              <w:rPr/>
            </w:pPr>
            <w:r>
              <w:rPr/>
              <w:t>7</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2</w:t>
            </w:r>
          </w:p>
        </w:tc>
        <w:tc>
          <w:tcPr>
            <w:tcW w:w="2336" w:type="dxa"/>
            <w:tcBorders/>
            <w:shd w:fill="auto" w:val="clear"/>
          </w:tcPr>
          <w:p>
            <w:pPr>
              <w:pStyle w:val="Compact"/>
              <w:jc w:val="left"/>
              <w:rPr/>
            </w:pPr>
            <w:r>
              <w:rPr/>
              <w:t>17 ja 18</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pl.perf/perf.</w:t>
            </w:r>
          </w:p>
        </w:tc>
        <w:tc>
          <w:tcPr>
            <w:tcW w:w="2668" w:type="dxa"/>
            <w:tcBorders/>
            <w:shd w:fill="auto" w:val="clear"/>
          </w:tcPr>
          <w:p>
            <w:pPr>
              <w:pStyle w:val="Compact"/>
              <w:jc w:val="left"/>
              <w:rPr/>
            </w:pPr>
            <w:r>
              <w:rPr/>
              <w:t>–</w:t>
            </w:r>
          </w:p>
        </w:tc>
        <w:tc>
          <w:tcPr>
            <w:tcW w:w="750" w:type="dxa"/>
            <w:tcBorders/>
            <w:shd w:fill="auto" w:val="clear"/>
          </w:tcPr>
          <w:p>
            <w:pPr>
              <w:pStyle w:val="Compact"/>
              <w:jc w:val="left"/>
              <w:rPr/>
            </w:pPr>
            <w:r>
              <w:rPr/>
              <w:t>3</w:t>
            </w:r>
          </w:p>
        </w:tc>
        <w:tc>
          <w:tcPr>
            <w:tcW w:w="2336" w:type="dxa"/>
            <w:tcBorders/>
            <w:shd w:fill="auto" w:val="clear"/>
          </w:tcPr>
          <w:p>
            <w:pPr>
              <w:pStyle w:val="Compact"/>
              <w:jc w:val="left"/>
              <w:rPr/>
            </w:pPr>
            <w:r>
              <w:rPr/>
              <w:t>12</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osa kompleksista lauseketta</w:t>
            </w:r>
          </w:p>
        </w:tc>
        <w:tc>
          <w:tcPr>
            <w:tcW w:w="750" w:type="dxa"/>
            <w:tcBorders/>
            <w:shd w:fill="auto" w:val="clear"/>
          </w:tcPr>
          <w:p>
            <w:pPr>
              <w:pStyle w:val="Compact"/>
              <w:jc w:val="left"/>
              <w:rPr/>
            </w:pPr>
            <w:r>
              <w:rPr/>
              <w:t>4</w:t>
            </w:r>
          </w:p>
        </w:tc>
        <w:tc>
          <w:tcPr>
            <w:tcW w:w="2336" w:type="dxa"/>
            <w:tcBorders/>
            <w:shd w:fill="auto" w:val="clear"/>
          </w:tcPr>
          <w:p>
            <w:pPr>
              <w:pStyle w:val="Compact"/>
              <w:jc w:val="left"/>
              <w:rPr/>
            </w:pPr>
            <w:r>
              <w:rPr/>
              <w:t>9</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subjekti</w:t>
            </w:r>
          </w:p>
        </w:tc>
        <w:tc>
          <w:tcPr>
            <w:tcW w:w="750" w:type="dxa"/>
            <w:tcBorders/>
            <w:shd w:fill="auto" w:val="clear"/>
          </w:tcPr>
          <w:p>
            <w:pPr>
              <w:pStyle w:val="Compact"/>
              <w:jc w:val="left"/>
              <w:rPr/>
            </w:pPr>
            <w:r>
              <w:rPr/>
              <w:t>6</w:t>
            </w:r>
          </w:p>
        </w:tc>
        <w:tc>
          <w:tcPr>
            <w:tcW w:w="2336" w:type="dxa"/>
            <w:tcBorders/>
            <w:shd w:fill="auto" w:val="clear"/>
          </w:tcPr>
          <w:p>
            <w:pPr>
              <w:pStyle w:val="Compact"/>
              <w:jc w:val="left"/>
              <w:rPr/>
            </w:pPr>
            <w:r>
              <w:rPr/>
              <w:t>11</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preesens</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8</w:t>
            </w:r>
          </w:p>
        </w:tc>
        <w:tc>
          <w:tcPr>
            <w:tcW w:w="2336" w:type="dxa"/>
            <w:tcBorders/>
            <w:shd w:fill="auto" w:val="clear"/>
          </w:tcPr>
          <w:p>
            <w:pPr>
              <w:pStyle w:val="Compact"/>
              <w:jc w:val="left"/>
              <w:rPr/>
            </w:pPr>
            <w:r>
              <w:rPr/>
              <w:t>13</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13</w:t>
            </w:r>
          </w:p>
        </w:tc>
        <w:tc>
          <w:tcPr>
            <w:tcW w:w="2336" w:type="dxa"/>
            <w:tcBorders/>
            <w:shd w:fill="auto" w:val="clear"/>
          </w:tcPr>
          <w:p>
            <w:pPr>
              <w:pStyle w:val="Compact"/>
              <w:jc w:val="left"/>
              <w:rPr/>
            </w:pPr>
            <w:r>
              <w:rPr/>
              <w:t>19</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 ei subjekti, ei osana kompleksista lauseketta</w:t>
            </w:r>
          </w:p>
        </w:tc>
        <w:tc>
          <w:tcPr>
            <w:tcW w:w="750" w:type="dxa"/>
            <w:tcBorders/>
            <w:shd w:fill="auto" w:val="clear"/>
          </w:tcPr>
          <w:p>
            <w:pPr>
              <w:pStyle w:val="Compact"/>
              <w:jc w:val="left"/>
              <w:rPr/>
            </w:pPr>
            <w:r>
              <w:rPr/>
              <w:t>7 ja 9</w:t>
            </w:r>
          </w:p>
        </w:tc>
        <w:tc>
          <w:tcPr>
            <w:tcW w:w="2336" w:type="dxa"/>
            <w:tcBorders/>
            <w:shd w:fill="auto" w:val="clear"/>
          </w:tcPr>
          <w:p>
            <w:pPr>
              <w:pStyle w:val="Compact"/>
              <w:jc w:val="left"/>
              <w:rPr/>
            </w:pPr>
            <w:r>
              <w:rPr/>
              <w:t>10</w:t>
            </w:r>
          </w:p>
        </w:tc>
      </w:tr>
    </w:tbl>
    <w:p>
      <w:pPr>
        <w:pStyle w:val="TextBody"/>
        <w:rPr/>
      </w:pPr>
      <w:r>
        <w:rPr/>
        <w:t>Taulukko 3: Kvantitatiivisesti pääteltävissä olevat ryhmät</w:t>
      </w:r>
    </w:p>
    <w:p>
      <w:pPr>
        <w:pStyle w:val="TextBody"/>
        <w:rPr/>
      </w:pPr>
      <w:r>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rPr>
        <w:t>asunnon hankinta</w:t>
      </w:r>
      <w:r>
        <w:rPr/>
        <w:t xml:space="preserve"> tai </w:t>
      </w:r>
      <w:r>
        <w:rPr>
          <w:i/>
        </w:rPr>
        <w:t>asumisen järjestäminen</w:t>
      </w:r>
      <w:r>
        <w:rPr/>
        <w:t>. Ryhmä 3 taas voidaan määritellä ennen kaikkea aikamuodon pohjalta: siihen kuuluvat 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TextBody"/>
        <w:rPr/>
      </w:pPr>
      <w:r>
        <w:rPr/>
        <w:t>Päätelmäluvun puolelle se, miä tästä kaikesta seuraa.</w:t>
      </w:r>
    </w:p>
    <w:p>
      <w:pPr>
        <w:pStyle w:val="Heading1"/>
        <w:rPr/>
      </w:pPr>
      <w:bookmarkStart w:id="6" w:name="paatelmat"/>
      <w:bookmarkEnd w:id="6"/>
      <w:r>
        <w:rPr/>
        <w:t>Päätelmät</w:t>
      </w:r>
    </w:p>
    <w:p>
      <w:pPr>
        <w:pStyle w:val="FirstParagraph"/>
        <w:rPr/>
      </w:pPr>
      <w:r>
        <w:rPr/>
        <w:t>Tekstikappaleen ydin voi sijaita yhtä lailla ortografisen kappaleen alussa kuin muualla (Komppa).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rPr/>
      </w:pPr>
      <w:r>
        <w:rPr/>
        <w:t>Juvonen sanoo, eri tekstityyppejä yhdistellen voi päästä samaan lopputulokseen, jolloin emme voi myöskään rakentaa mitään tiettyyn tekstilajiin soveltuvaa kaavaa. -&gt; meidän tuloksista kai voisi saada apua siihen, miten päästään alkuun tietyn tekstityypin käytössä ja sitä kautta rakennetaan haluttua tekstilajia??</w:t>
      </w:r>
    </w:p>
    <w:p>
      <w:pPr>
        <w:pStyle w:val="Compact"/>
        <w:numPr>
          <w:ilvl w:val="0"/>
          <w:numId w:val="4"/>
        </w:numPr>
        <w:rPr/>
      </w:pPr>
      <w:r>
        <w:rPr/>
        <w:t xml:space="preserve">Kirjoittamisen opetuksen kannalta ajateltuna. Työkaluja nimenomaan sen listaamiseen, </w:t>
      </w:r>
      <w:r>
        <w:rPr>
          <w:i/>
        </w:rPr>
        <w:t>miten on tehty</w:t>
      </w:r>
      <w:r>
        <w:rPr/>
        <w:t>. HUOM&gt;&gt; oppilaalle itselleen arvioitavaksi, mikä sopii tekstilajiin ja omaan tyyliin ja kulloinkin käsiteltävään aiheeseen.</w:t>
      </w:r>
    </w:p>
    <w:p>
      <w:pPr>
        <w:pStyle w:val="FirstParagraph"/>
        <w:rPr/>
      </w:pPr>
      <w:r>
        <w:rPr/>
        <w:t>Tähän analyysia siitä, miksi tietyt rakenteet vallitsevia. Kertooko esim siitä, ettei tietoisesti rakenneta, vaan vedetään assosiatiivisesti?</w:t>
      </w:r>
    </w:p>
    <w:p>
      <w:pPr>
        <w:pStyle w:val="TextBody"/>
        <w:rPr/>
      </w:pPr>
      <w:r>
        <w:rPr/>
        <w:t xml:space="preserve">– </w:t>
      </w:r>
      <w:r>
        <w:rPr/>
        <w:t>Mitä hyötyä sitten siitä, että voi jostain kuulla erilaisista tavoista aloittaa kappale?</w:t>
      </w:r>
    </w:p>
    <w:p>
      <w:pPr>
        <w:pStyle w:val="Compact"/>
        <w:numPr>
          <w:ilvl w:val="0"/>
          <w:numId w:val="5"/>
        </w:numPr>
        <w:rPr/>
      </w:pPr>
      <w:r>
        <w:rPr/>
        <w:t>Konkreettinen sovellus fraasipankissa tms.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r>
        <w:rPr/>
        <w:t>k</w:t>
      </w:r>
    </w:p>
    <w:p>
      <w:pPr>
        <w:pStyle w:val="Bibliography"/>
        <w:rPr/>
      </w:pPr>
      <w:r>
        <w:rPr/>
        <w:t xml:space="preserve">Chafe, Wallace 1987. Cognitive constraints on information flow. 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Givón, Talmy 1983. </w:t>
      </w:r>
      <w:r>
        <w:rPr>
          <w:i/>
        </w:rPr>
        <w:t>Topic continuity in discourse</w:t>
      </w:r>
      <w:r>
        <w:rPr/>
        <w:t>. John Benjamins Publishing Company.</w:t>
      </w:r>
    </w:p>
    <w:p>
      <w:pPr>
        <w:pStyle w:val="Bibliography"/>
        <w:rPr/>
      </w:pPr>
      <w:r>
        <w:rPr/>
        <w:t xml:space="preserve">Guijarro, A. Jesús Moya 2001. Topicality chains in two discourse genres. </w:t>
      </w:r>
      <w:r>
        <w:rPr>
          <w:i/>
        </w:rPr>
        <w:t>Estudios Ingleses de la Universidad Complutense</w:t>
      </w:r>
      <w:r>
        <w:rPr/>
        <w:t xml:space="preserve"> 9: 103–128.</w:t>
      </w:r>
    </w:p>
    <w:p>
      <w:pPr>
        <w:pStyle w:val="Bibliography"/>
        <w:rPr/>
      </w:pPr>
      <w:r>
        <w:rPr/>
        <w:t xml:space="preserve">Haverinen, Katri, Jenna Nyblom, Timo Viljanen, Veronika Laippala, Samuel Kohonen, Anna Missilä, Stina Ojala, Tapio Salakoski &amp; Filip Ginter 2014. Building the essential resources for Finnish: the Turku Dependency Treebank. </w:t>
      </w:r>
      <w:r>
        <w:rPr>
          <w:i/>
        </w:rPr>
        <w:t>Language Resources and Evaluation</w:t>
      </w:r>
      <w:r>
        <w:rPr/>
        <w:t xml:space="preserve"> 48:3, 1–39.</w:t>
      </w:r>
    </w:p>
    <w:p>
      <w:pPr>
        <w:pStyle w:val="Bibliography"/>
        <w:rPr/>
      </w:pPr>
      <w:r>
        <w:rPr/>
        <w:t>Hiippala, Tuomo 2013. Modelling the structure of a multimodal artefact.</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pPr>
      <w:r>
        <w:rPr/>
        <w:t xml:space="preserve">Jisa, Harriet &amp; Liliana Tochinsky 2009. Developing a personalized stance through linguistic means in typologically different languages. Written expository discourse. </w:t>
      </w:r>
      <w:r>
        <w:rPr>
          <w:i/>
        </w:rPr>
        <w:t>Written Language &amp; Literacy</w:t>
      </w:r>
      <w:r>
        <w:rPr/>
        <w:t xml:space="preserve"> 12:1, 1–25.</w:t>
      </w:r>
    </w:p>
    <w:p>
      <w:pPr>
        <w:pStyle w:val="Bibliography"/>
        <w:rPr/>
      </w:pPr>
      <w:r>
        <w:rPr/>
        <w:t>Juvonen, Riitta 2014a. Kirjoitelma ja tekijän ääni: kehystämisen yhdyslauseet suomenkielisen ylioppilasaineen dialogisuuden hallinnassa.</w:t>
      </w:r>
    </w:p>
    <w:p>
      <w:pPr>
        <w:pStyle w:val="Bibliography"/>
        <w:rPr/>
      </w:pPr>
      <w:r>
        <w:rPr/>
        <w:t xml:space="preserve">Juvonen, Riitta 2014b. Näkökulma kirjoitelman dialogisuuteen: Kuinka- ja miten-yhdyslauseet ylioppilasaineessa. </w:t>
      </w:r>
      <w:r>
        <w:rPr>
          <w:i/>
        </w:rPr>
        <w:t>Virittäjä</w:t>
      </w:r>
      <w:r>
        <w:rPr/>
        <w:t xml:space="preserve"> 118:1, 72.</w:t>
      </w:r>
    </w:p>
    <w:p>
      <w:pPr>
        <w:pStyle w:val="Bibliography"/>
        <w:rPr/>
      </w:pPr>
      <w:r>
        <w:rPr/>
        <w:t xml:space="preserve">Juvonen, Riitta, Mikko Virtanen &amp; Eero Voutilainen 2012. Fennistisen tekstilajitutkimuksen suuntia. </w:t>
      </w:r>
      <w:r>
        <w:rPr>
          <w:i/>
        </w:rPr>
        <w:t>Vesa Heikkinen, Eero Voutilainen, Petri Lauerma, Ulla Tiililä &amp; Mikko Lounela (toim.), Genreanalyysi. Tekstilajitutkimuksen käsikirja</w:t>
      </w:r>
      <w:r>
        <w:rPr/>
        <w:t xml:space="preserve"> 453–469.</w:t>
      </w:r>
    </w:p>
    <w:p>
      <w:pPr>
        <w:pStyle w:val="Bibliography"/>
        <w:rPr/>
      </w:pPr>
      <w:r>
        <w:rPr/>
        <w:t xml:space="preserve">Ketokivi, Mikko 2015. </w:t>
      </w:r>
      <w:r>
        <w:rPr>
          <w:i/>
        </w:rPr>
        <w:t>Tilastollinen päättely ja tieteellinen argumentointi</w:t>
      </w:r>
      <w:r>
        <w:rPr/>
        <w:t xml:space="preserve"> 2. laaj. laitos. Helsinki: Gaudeamus.</w:t>
      </w:r>
    </w:p>
    <w:p>
      <w:pPr>
        <w:pStyle w:val="Bibliography"/>
        <w:rPr/>
      </w:pPr>
      <w:r>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pPr>
      <w:r>
        <w:rPr/>
        <w:t xml:space="preserve">Levshina, Natalia 2015. </w:t>
      </w:r>
      <w:r>
        <w:rPr>
          <w:i/>
        </w:rPr>
        <w:t>How to do linguistics with R: Data exploration and statistical analysis</w:t>
      </w:r>
      <w:r>
        <w:rPr/>
        <w:t>. John Benjamins Publishing Company.</w:t>
      </w:r>
    </w:p>
    <w:p>
      <w:pPr>
        <w:pStyle w:val="Bibliography"/>
        <w:rPr/>
      </w:pPr>
      <w:r>
        <w:rPr/>
        <w:t xml:space="preserve">Paldanius, Hilkka 2017. Historian esseevastauksen funktionaalinen rakenne. Teoksessa: Sirkku Latomaa, Emilia Luukka, &amp; Niina Lilja (eds.) </w:t>
      </w:r>
      <w:r>
        <w:rPr>
          <w:i/>
        </w:rPr>
        <w:t>AFinLAn vuosikirja 2017</w:t>
      </w:r>
      <w:r>
        <w:rPr/>
        <w:t>.. Suomen soveltavan kielitieteen yhdistys.</w:t>
      </w:r>
    </w:p>
    <w:p>
      <w:pPr>
        <w:pStyle w:val="Bibliography"/>
        <w:rPr/>
      </w:pPr>
      <w:r>
        <w:rPr/>
        <w:t xml:space="preserve">Shore, Susanna 2008. Lauseiden tekstuaalisesta jäsennyksestä. </w:t>
      </w:r>
      <w:r>
        <w:rPr>
          <w:i/>
        </w:rPr>
        <w:t>Virittäjä</w:t>
      </w:r>
      <w:r>
        <w:rPr/>
        <w:t xml:space="preserve"> 112:1, 24.</w:t>
      </w:r>
    </w:p>
    <w:p>
      <w:pPr>
        <w:pStyle w:val="Bibliography"/>
        <w:bidi w:val="0"/>
        <w:spacing w:before="0" w:after="200"/>
        <w:rPr/>
      </w:pPr>
      <w:r>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Käyttäen kirjoittajien itsensä tekemää kappaleiden ortografista erottelua.</w:t>
      </w:r>
    </w:p>
  </w:footnote>
  <w:footnote w:id="3">
    <w:p>
      <w:pPr>
        <w:pStyle w:val="Footnote"/>
        <w:spacing w:before="0" w:after="200"/>
        <w:rPr/>
      </w:pPr>
      <w:r>
        <w:rPr/>
        <w:footnoteRef/>
        <w:tab/>
        <w:t xml:space="preserve"> </w:t>
      </w:r>
      <w:r>
        <w:rPr/>
        <w:t>Satunnaisotannan tekninen toteutus dokumentoitiin git-versionhallintaan ja on nähtävillä osoitteessa x (tarkistettu 8.1.2017)</w:t>
      </w:r>
    </w:p>
  </w:footnote>
  <w:footnote w:id="4">
    <w:p>
      <w:pPr>
        <w:pStyle w:val="Footnote"/>
        <w:spacing w:before="0" w:after="200"/>
        <w:rPr/>
      </w:pPr>
      <w:r>
        <w:rPr/>
        <w:footnoteRef/>
        <w:tab/>
        <w:t xml:space="preserve"> </w:t>
      </w:r>
      <w:r>
        <w:rPr/>
        <w:t>Viitaamme jatkossa ryhmiin tässä esitettyjen esimerkkien numeron perusteella.</w:t>
      </w:r>
    </w:p>
  </w:footnote>
  <w:footnote w:id="5">
    <w:p>
      <w:pPr>
        <w:pStyle w:val="Footnote"/>
        <w:spacing w:before="0" w:after="200"/>
        <w:rPr/>
      </w:pPr>
      <w:r>
        <w:rPr/>
        <w:footnoteRef/>
        <w:tab/>
        <w:t xml:space="preserve"> </w:t>
      </w:r>
      <w:r>
        <w:rPr/>
        <w:t>Perfektitapauksia aineistossa oli vain yksi ja sekin konditionaalissa, joten molemmat suomen liittoaikamuodot yhdistettiin samaan kategoriaan.</w:t>
      </w:r>
    </w:p>
  </w:footnote>
  <w:footnote w:id="6">
    <w:p>
      <w:pPr>
        <w:pStyle w:val="Footnote"/>
        <w:spacing w:before="0" w:after="200"/>
        <w:rPr/>
      </w:pPr>
      <w:r>
        <w:rPr/>
        <w:footnoteRef/>
        <w:tab/>
        <w:t xml:space="preserve"> </w:t>
      </w:r>
      <w:r>
        <w:rPr/>
        <w:t>Päätöksentekopuun tuottaneessa algoritmissa indikaattorin sijainti osoittautui 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2018-01-31T10:55:24Z</dcterms:created>
  <dc:creator>Kirsi Sandberg &amp; Juho Härme</dc:creator>
  <dc:description/>
  <dc:language>fi-FI</dc:language>
  <cp:lastModifiedBy/>
  <dcterms:modified xsi:type="dcterms:W3CDTF">2018-01-31T13:31:48Z</dcterms:modified>
  <cp:revision>2</cp:revision>
  <dc:subject/>
  <dc:title>Pari sanaa asumisesta – miten yliopisto-opiskelijoiden kirjoittamissa vaihtoraporteissa asetetaan asuminen tekstikappaleen topiikiksi?</dc:title>
</cp:coreProperties>
</file>