
<file path=[Content_Types].xml><?xml version="1.0" encoding="utf-8"?>
<Types xmlns="http://schemas.openxmlformats.org/package/2006/content-types">
  <Default Extension="jpg" ContentType="image/jpeg"/>
  <Default Extension="xml" ContentType="application/xml"/>
  <Default Extension="rels" ContentType="application/vnd.openxmlformats-package.relationship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pic="http://schemas.openxmlformats.org/drawingml/2006/picture" xmlns:wp="http://schemas.openxmlformats.org/drawingml/2006/wordprocessingDrawing" xmlns:a="http://schemas.openxmlformats.org/drawingml/2006/main" xmlns:r="http://schemas.openxmlformats.org/officeDocument/2006/relationships" xmlns:w="http://schemas.openxmlformats.org/wordprocessingml/2006/main">
  <w:body>
    <w:p>
      <w:pPr>
        <w:keepNext w:val="1"/>
        <w:keepLines w:val="1"/>
        <w:spacing w:before="100" w:beforeAutospacing="1" w:after="100" w:afterAutospacing="1"/>
        <w:outlineLvl w:val="0"/>
        <w:rPr>
          <w:kern w:val="44"/>
          <w:sz w:val="44"/>
          <w:szCs w:val="44"/>
        </w:rPr>
      </w:pPr>
      <w:r>
        <w:rPr>
          <w:rFonts w:hint="eastAsia"/>
          <w:b w:val="1"/>
          <w:sz w:val="44"/>
        </w:rPr>
        <w:t>第二届全国数字文旅与人工智能专业建设大会</w:t>
      </w:r>
    </w:p>
    <w:p>
      <w:pPr>
        <w:keepNext w:val="1"/>
        <w:keepLines w:val="1"/>
        <w:spacing w:before="100" w:beforeAutospacing="1" w:after="100" w:afterAutospacing="1"/>
        <w:outlineLvl w:val="1"/>
        <w:rPr>
          <w:sz w:val="32"/>
          <w:szCs w:val="32"/>
        </w:rPr>
      </w:pPr>
      <w:r>
        <w:rPr>
          <w:rFonts w:hint="eastAsia"/>
          <w:b w:val="1"/>
          <w:sz w:val="32"/>
        </w:rPr>
        <w:t>教学典型案例申报材料（定稿）</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tcPr>
          <w:p>
            <w:pPr>
              <w:rPr>
                <w:b w:val="1"/>
                <w:bCs w:val="1"/>
              </w:rPr>
            </w:pPr>
            <w:r>
              <w:rPr>
                <w:rFonts w:hint="eastAsia"/>
                <w:b w:val="1"/>
              </w:rPr>
              <w:t>项目</w:t>
            </w:r>
          </w:p>
        </w:tc>
        <w:tc>
          <w:tcPr>
            <w:tcW w:w="4153" w:type="dxa"/>
          </w:tcPr>
          <w:p>
            <w:pPr>
              <w:rPr>
                <w:b w:val="1"/>
                <w:bCs w:val="1"/>
              </w:rPr>
            </w:pPr>
            <w:r>
              <w:rPr>
                <w:rFonts w:hint="eastAsia"/>
                <w:b w:val="1"/>
              </w:rPr>
              <w:t>内容</w:t>
            </w:r>
          </w:p>
        </w:tc>
      </w:tr>
      <w:tr>
        <w:trPr/>
        <w:tc>
          <w:tcPr>
            <w:tcW w:w="4153" w:type="dxa"/>
          </w:tcPr>
          <w:p>
            <w:r>
              <w:rPr>
                <w:rFonts w:hint="eastAsia"/>
              </w:rPr>
              <w:t>案例题目</w:t>
            </w:r>
          </w:p>
        </w:tc>
        <w:tc>
          <w:tcPr>
            <w:tcW w:w="4153" w:type="dxa"/>
          </w:tcPr>
          <w:p>
            <w:r>
              <w:rPr>
                <w:rFonts w:hint="eastAsia"/>
              </w:rPr>
              <w:t>从产业工具到教学基础设施——AI 赋能酒店管理专业「收益管理」课程新形态建设案例</w:t>
            </w:r>
          </w:p>
        </w:tc>
      </w:tr>
      <w:tr>
        <w:trPr/>
        <w:tc>
          <w:tcPr>
            <w:tcW w:w="4153" w:type="dxa"/>
          </w:tcPr>
          <w:p>
            <w:r>
              <w:rPr>
                <w:rFonts w:hint="eastAsia"/>
              </w:rPr>
              <w:t>申报方向</w:t>
            </w:r>
          </w:p>
        </w:tc>
        <w:tc>
          <w:tcPr>
            <w:tcW w:w="4153" w:type="dxa"/>
          </w:tcPr>
          <w:p>
            <w:r>
              <w:rPr>
                <w:rFonts w:hint="eastAsia"/>
              </w:rPr>
              <w:t>AI 大模型在旅游专业建设与教学创新中的应用</w:t>
            </w:r>
          </w:p>
        </w:tc>
      </w:tr>
      <w:tr>
        <w:trPr/>
        <w:tc>
          <w:tcPr>
            <w:tcW w:w="4153" w:type="dxa"/>
          </w:tcPr>
          <w:p>
            <w:r>
              <w:rPr>
                <w:rFonts w:hint="eastAsia"/>
              </w:rPr>
              <w:t>作者单位</w:t>
            </w:r>
          </w:p>
        </w:tc>
        <w:tc>
          <w:tcPr>
            <w:tcW w:w="4153" w:type="dxa"/>
          </w:tcPr>
          <w:p>
            <w:r>
              <w:rPr>
                <w:rFonts w:hint="eastAsia"/>
              </w:rPr>
              <w:t>【个人工作室全称】</w:t>
            </w:r>
          </w:p>
        </w:tc>
      </w:tr>
      <w:tr>
        <w:trPr/>
        <w:tc>
          <w:tcPr>
            <w:tcW w:w="4153" w:type="dxa"/>
          </w:tcPr>
          <w:p>
            <w:r>
              <w:rPr>
                <w:rFonts w:hint="eastAsia"/>
              </w:rPr>
              <w:t>作　　者</w:t>
            </w:r>
          </w:p>
        </w:tc>
        <w:tc>
          <w:tcPr>
            <w:tcW w:w="4153" w:type="dxa"/>
          </w:tcPr>
          <w:p>
            <w:r>
              <w:rPr>
                <w:rFonts w:hint="eastAsia"/>
              </w:rPr>
              <w:t>【姓名／「行业专家」称谓】</w:t>
            </w:r>
          </w:p>
        </w:tc>
      </w:tr>
      <w:tr>
        <w:trPr/>
        <w:tc>
          <w:tcPr>
            <w:tcW w:w="4153" w:type="dxa"/>
          </w:tcPr>
          <w:p>
            <w:r>
              <w:rPr>
                <w:rFonts w:hint="eastAsia"/>
              </w:rPr>
              <w:t>联系方式</w:t>
            </w:r>
          </w:p>
        </w:tc>
        <w:tc>
          <w:tcPr>
            <w:tcW w:w="4153" w:type="dxa"/>
          </w:tcPr>
          <w:p>
            <w:r>
              <w:rPr>
                <w:rFonts w:hint="eastAsia"/>
              </w:rPr>
              <w:t>【电话】｜【邮箱】</w:t>
            </w:r>
          </w:p>
        </w:tc>
      </w:tr>
      <w:tr>
        <w:trPr/>
        <w:tc>
          <w:tcPr>
            <w:tcW w:w="4153" w:type="dxa"/>
          </w:tcPr>
          <w:p>
            <w:r>
              <w:rPr>
                <w:rFonts w:hint="eastAsia"/>
              </w:rPr>
              <w:t>投稿邮箱</w:t>
            </w:r>
          </w:p>
        </w:tc>
        <w:tc>
          <w:tcPr>
            <w:tcW w:w="4153" w:type="dxa"/>
          </w:tcPr>
          <w:p>
            <w:r>
              <w:t>383956601@qq.com</w:t>
            </w:r>
          </w:p>
        </w:tc>
      </w:tr>
      <w:tr>
        <w:trPr/>
        <w:tc>
          <w:tcPr>
            <w:tcW w:w="4153" w:type="dxa"/>
          </w:tcPr>
          <w:p>
            <w:r>
              <w:rPr>
                <w:rFonts w:hint="eastAsia"/>
              </w:rPr>
              <w:t>邮件主题</w:t>
            </w:r>
          </w:p>
        </w:tc>
        <w:tc>
          <w:tcPr>
            <w:tcW w:w="4153" w:type="dxa"/>
          </w:tcPr>
          <w:p>
            <w:r>
              <w:rPr>
                <w:rFonts w:hint="eastAsia"/>
              </w:rPr>
              <w:t>第二届大会案例/发言申请＋【个人工作室全称】＋【姓名】</w:t>
            </w:r>
          </w:p>
        </w:tc>
      </w:tr>
      <w:tr>
        <w:trPr/>
        <w:tc>
          <w:tcPr>
            <w:tcW w:w="4153" w:type="dxa"/>
          </w:tcPr>
          <w:p>
            <w:r>
              <w:rPr>
                <w:rFonts w:hint="eastAsia"/>
              </w:rPr>
              <w:t>提交期限</w:t>
            </w:r>
          </w:p>
        </w:tc>
        <w:tc>
          <w:tcPr>
            <w:tcW w:w="4153" w:type="dxa"/>
          </w:tcPr>
          <w:p>
            <w:r>
              <w:rPr>
                <w:rFonts w:hint="eastAsia"/>
              </w:rPr>
              <w:t>2026 年 10 月 30 日</w:t>
            </w:r>
          </w:p>
        </w:tc>
      </w:tr>
    </w:tbl>
    <w:p>
      <w:pPr>
        <w:keepNext w:val="1"/>
        <w:keepLines w:val="1"/>
        <w:spacing w:before="100" w:beforeAutospacing="1" w:after="100" w:afterAutospacing="1"/>
        <w:outlineLvl w:val="1"/>
        <w:rPr>
          <w:sz w:val="32"/>
          <w:szCs w:val="32"/>
        </w:rPr>
      </w:pPr>
      <w:r>
        <w:rPr>
          <w:rFonts w:hint="eastAsia"/>
          <w:b w:val="1"/>
          <w:sz w:val="32"/>
        </w:rPr>
        <w:t>一、案例摘要（邮件正文用）</w:t>
      </w:r>
    </w:p>
    <w:p>
      <w:r>
        <w:rPr>
          <w:rFonts w:hint="eastAsia"/>
          <w:b w:val="1"/>
        </w:rPr>
        <w:t>（一）背景与问题。</w:t>
      </w:r>
      <w:r>
        <w:rPr>
          <w:rFonts w:hint="eastAsia"/>
        </w:rPr>
        <w:t xml:space="preserve"> 收益管理是酒店管理专业核心课，但长期面临「三难」：缺本土化教材（国外教材的市场语境、数据口径与国内教学脱节）；缺实训工具（学生学完指标定义，不会做一次真实的定价决策）；缺师资（多数专业教师无产业一线经验，讲授容易停留在概念层）。产业界成熟的收益决策方法（预测—定价—库存—渠道的判定体系）与高校教学之间存在明显断层。</w:t>
      </w:r>
    </w:p>
    <w:p>
      <w:r>
        <w:rPr>
          <w:rFonts w:hint="eastAsia"/>
          <w:b w:val="1"/>
        </w:rPr>
        <w:t>（二）建设思路与内容。</w:t>
      </w:r>
      <w:r>
        <w:rPr>
          <w:rFonts w:hint="eastAsia"/>
        </w:rPr>
        <w:t xml:space="preserve"> 以「把产业工具转化为教学基础设施」为思路，建设「一套教材、一张图谱、一批案例、一组实训」：</w:t>
      </w:r>
    </w:p>
    <w:p>
      <w:pPr>
        <w:numPr>
          <w:ilvl w:val="0"/>
          <w:numId w:val="1"/>
        </w:numPr>
      </w:pPr>
      <w:r>
        <w:rPr>
          <w:rFonts w:hint="eastAsia"/>
          <w:b w:val="1"/>
        </w:rPr>
        <w:t>教材层</w:t>
      </w:r>
      <w:r>
        <w:rPr>
          <w:rFonts w:hint="eastAsia"/>
        </w:rPr>
        <w:t>：五篇三十二章主干加扩展至四十一章，按「学习目标—思维导图—案例导入—正文—实训数据—口诀—二维码—一页纸小结」七件套组织，配套教师版与学生版；</w:t>
      </w:r>
    </w:p>
    <w:p>
      <w:pPr>
        <w:numPr>
          <w:ilvl w:val="0"/>
          <w:numId w:val="1"/>
        </w:numPr>
      </w:pPr>
      <w:r>
        <w:rPr>
          <w:rFonts w:hint="eastAsia"/>
          <w:b w:val="1"/>
        </w:rPr>
        <w:t>知识层</w:t>
      </w:r>
      <w:r>
        <w:rPr>
          <w:rFonts w:hint="eastAsia"/>
        </w:rPr>
        <w:t>：建成覆盖全课程的知识图谱（约 93 个节点），按「看数对标—预测计划—定价—库存渠道—客源团队—执行复盘」流程主轴分层，实现章节—概念—判定表—案例四层关联，支持按学习路径导航；</w:t>
      </w:r>
    </w:p>
    <w:p>
      <w:pPr>
        <w:numPr>
          <w:ilvl w:val="0"/>
          <w:numId w:val="1"/>
        </w:numPr>
      </w:pPr>
      <w:r>
        <w:rPr>
          <w:rFonts w:hint="eastAsia"/>
          <w:b w:val="1"/>
        </w:rPr>
        <w:t>案例层</w:t>
      </w:r>
      <w:r>
        <w:rPr>
          <w:rFonts w:hint="eastAsia"/>
        </w:rPr>
        <w:t>：302 个分层案例（入门/进阶/挑战），含产教融合案例（企业真实经营场景脱敏改编）；</w:t>
      </w:r>
    </w:p>
    <w:p>
      <w:pPr>
        <w:numPr>
          <w:ilvl w:val="0"/>
          <w:numId w:val="1"/>
        </w:numPr>
      </w:pPr>
      <w:r>
        <w:rPr>
          <w:rFonts w:hint="eastAsia"/>
          <w:b w:val="1"/>
        </w:rPr>
        <w:t>实训层</w:t>
      </w:r>
      <w:r>
        <w:rPr>
          <w:rFonts w:hint="eastAsia"/>
        </w:rPr>
        <w:t>：15 张决策判定表口袋化，12 个交互式实训游戏（含收益例会角色扮演模拟），143 个知识点闯关；</w:t>
      </w:r>
    </w:p>
    <w:p>
      <w:pPr>
        <w:numPr>
          <w:ilvl w:val="0"/>
          <w:numId w:val="1"/>
        </w:numPr>
      </w:pPr>
      <w:r>
        <w:rPr>
          <w:rFonts w:hint="eastAsia"/>
          <w:b w:val="1"/>
        </w:rPr>
        <w:t>认证层</w:t>
      </w:r>
      <w:r>
        <w:rPr>
          <w:rFonts w:hint="eastAsia"/>
        </w:rPr>
        <w:t>：建立 OBE 能力域与 HSMAI CRME 知识域的映射，衔接岗课赛证。</w:t>
      </w:r>
    </w:p>
    <w:p>
      <w:r>
        <w:rPr>
          <w:rFonts w:hint="eastAsia"/>
          <w:b w:val="1"/>
        </w:rPr>
        <w:t>（三）创新点。</w:t>
      </w:r>
      <w:r>
        <w:rPr>
          <w:rFonts w:hint="eastAsia"/>
        </w:rPr>
        <w:t xml:space="preserve"> 一是</w:t>
      </w:r>
      <w:r>
        <w:rPr>
          <w:rFonts w:hint="eastAsia"/>
          <w:b w:val="1"/>
        </w:rPr>
        <w:t>工具化</w:t>
      </w:r>
      <w:r>
        <w:rPr>
          <w:rFonts w:hint="eastAsia"/>
        </w:rPr>
        <w:t>：把收益决策从「凭经验」变为「查判定表」，显著降低教学门槛与非产业背景教师的开课难度；二是</w:t>
      </w:r>
      <w:r>
        <w:rPr>
          <w:rFonts w:hint="eastAsia"/>
          <w:b w:val="1"/>
        </w:rPr>
        <w:t>游戏化</w:t>
      </w:r>
      <w:r>
        <w:rPr>
          <w:rFonts w:hint="eastAsia"/>
        </w:rPr>
        <w:t>：以角色扮演模拟收益例会，把决策训练变成可重复、可纠错的演练；三是</w:t>
      </w:r>
      <w:r>
        <w:rPr>
          <w:rFonts w:hint="eastAsia"/>
          <w:b w:val="1"/>
        </w:rPr>
        <w:t>图谱化</w:t>
      </w:r>
      <w:r>
        <w:rPr>
          <w:rFonts w:hint="eastAsia"/>
        </w:rPr>
        <w:t>：知识图谱打通教材、案例与工具，为个性化学习与 AI 助教应用提供结构化底座；四是</w:t>
      </w:r>
      <w:r>
        <w:rPr>
          <w:rFonts w:hint="eastAsia"/>
          <w:b w:val="1"/>
        </w:rPr>
        <w:t>产教融合</w:t>
      </w:r>
      <w:r>
        <w:rPr>
          <w:rFonts w:hint="eastAsia"/>
        </w:rPr>
        <w:t>：产业专家与高校教师共建，案例与判定表来源于真实经营场景（脱敏）。</w:t>
      </w:r>
    </w:p>
    <w:p>
      <w:r>
        <w:rPr>
          <w:rFonts w:hint="eastAsia"/>
          <w:b w:val="1"/>
        </w:rPr>
        <w:t>（四）实践与应用。</w:t>
      </w:r>
      <w:r>
        <w:rPr>
          <w:rFonts w:hint="eastAsia"/>
        </w:rPr>
        <w:t xml:space="preserve"> 本案例已在高校酒店管理专业教学场景中试点应用：课程资源包面向开设相关专业的高校教师开放，用于支持课程设计、备课与课堂教学实施，完成了从产业方法到课堂教学的转化验证；全部资源已沉淀为九类结构化数字资源包（教材、判定表、知识图谱、案例库、题库、实训游戏、认证路径等），可在院校间直接复用。试点院校数量、开课学时与学生覆盖等量化成效数据，将在入选后随案例全文补充提交。</w:t>
      </w:r>
    </w:p>
    <w:p>
      <w:r>
        <w:rPr>
          <w:rFonts w:hint="eastAsia"/>
          <w:b w:val="1"/>
        </w:rPr>
        <w:t>（五）推广价值。</w:t>
      </w:r>
      <w:r>
        <w:rPr>
          <w:rFonts w:hint="eastAsia"/>
        </w:rPr>
        <w:t xml:space="preserve"> 「一套教材＋一张图谱＋一组实训」的结构可整体迁移至酒店管理其他课程（前厅、餐饮、数字化营销）；知识图谱与游戏化实训亦可作为数字文旅专业建设的公共教学基础设施，供多课程复用。</w:t>
      </w:r>
    </w:p>
    <w:p>
      <w:r>
        <w:rPr>
          <w:rFonts w:hint="eastAsia"/>
          <w:b w:val="1"/>
        </w:rPr>
        <w:t>关键词：</w:t>
      </w:r>
      <w:r>
        <w:rPr>
          <w:rFonts w:hint="eastAsia"/>
        </w:rPr>
        <w:t xml:space="preserve"> 收益管理；新形态教材；知识图谱；游戏化实训；产教融合；AI＋教育</w:t>
      </w:r>
    </w:p>
    <w:p>
      <w:pPr>
        <w:keepNext w:val="1"/>
        <w:keepLines w:val="1"/>
        <w:spacing w:before="100" w:beforeAutospacing="1" w:after="100" w:afterAutospacing="1"/>
        <w:outlineLvl w:val="1"/>
        <w:rPr>
          <w:sz w:val="32"/>
          <w:szCs w:val="32"/>
        </w:rPr>
      </w:pPr>
      <w:r>
        <w:rPr>
          <w:rFonts w:hint="eastAsia"/>
          <w:b w:val="1"/>
          <w:sz w:val="32"/>
        </w:rPr>
        <w:t>二、会务组资格确认邮件（发送用模板）</w:t>
      </w:r>
    </w:p>
    <w:p>
      <w:pPr>
        <w:ind w:left="240"/>
      </w:pPr>
      <w:r>
        <w:rPr>
          <w:rFonts w:hint="eastAsia"/>
        </w:rPr>
        <w:t>收件人：383956601@qq.com</w:t>
      </w:r>
    </w:p>
    <w:p>
      <w:pPr>
        <w:ind w:left="240"/>
      </w:pPr>
      <w:r>
        <w:rPr>
          <w:rFonts w:hint="eastAsia"/>
        </w:rPr>
        <w:t>主题：第二届大会案例/发言申请＋【个人工作室全称】＋【姓名】</w:t>
      </w:r>
    </w:p>
    <w:p>
      <w:r>
        <w:rPr>
          <w:rFonts w:hint="eastAsia"/>
        </w:rPr>
        <w:t>老师您好：</w:t>
      </w:r>
    </w:p>
    <w:p>
      <w:r>
        <w:rPr>
          <w:rFonts w:hint="eastAsia"/>
        </w:rPr>
        <w:t>我关注到第二届全国数字文旅与人工智能专业建设大会的案例征集通知。我是【个人工作室全称】的【行业专家/职务】，长期从事酒店收益管理的产业实践与高校师资培训工作，拟以《从产业工具到教学基础设施——AI 赋能酒店管理专业「收益管理」课程新形态建设案例》申报教学典型案例（详见附件摘要）。</w:t>
      </w:r>
    </w:p>
    <w:p>
      <w:r>
        <w:rPr>
          <w:rFonts w:hint="eastAsia"/>
        </w:rPr>
        <w:t>想请教一个问题：我以产业界（个人工作室）代表身份报名参会是否可行？盼复，谢谢！</w:t>
      </w:r>
    </w:p>
    <w:p>
      <w:r>
        <w:rPr>
          <w:rFonts w:hint="eastAsia"/>
        </w:rPr>
        <w:t>【姓名】　【电话】　【邮箱】</w:t>
      </w:r>
    </w:p>
    <w:p>
      <w:pPr>
        <w:keepNext w:val="1"/>
        <w:keepLines w:val="1"/>
        <w:spacing w:before="100" w:beforeAutospacing="1" w:after="100" w:afterAutospacing="1"/>
        <w:outlineLvl w:val="1"/>
        <w:rPr>
          <w:sz w:val="32"/>
          <w:szCs w:val="32"/>
        </w:rPr>
      </w:pPr>
      <w:r>
        <w:rPr>
          <w:rFonts w:hint="eastAsia"/>
          <w:b w:val="1"/>
          <w:sz w:val="32"/>
        </w:rPr>
        <w:t>三、附件材料截图</w:t>
      </w:r>
    </w:p>
    <w:p>
      <w:r>
        <w:rPr>
          <w:rFonts w:hint="eastAsia"/>
          <w:b w:val="1"/>
        </w:rPr>
        <w:t>图 1　课程知识图谱全貌</w:t>
      </w:r>
      <w:r>
        <w:rPr>
          <w:rFonts w:hint="eastAsia"/>
        </w:rPr>
        <w:t>（流程主轴分层：看数对标 → 预测计划 → 定价 → 库存渠道 → 客源团队 → 执行复盘，节点可点击关联至章节、判定表与案例）</w:t>
      </w:r>
    </w:p>
    <w:p>
      <w:r>
        <w:rPr>
          <w:rFonts w:hint="eastAsia"/>
          <w:b w:val="1"/>
        </w:rPr>
        <w:t>图 2　教材结构与目录</w:t>
      </w:r>
      <w:r>
        <w:rPr>
          <w:rFonts w:hint="eastAsia"/>
        </w:rPr>
        <w:t>（五篇三十二章，七件套组织）</w:t>
      </w:r>
    </w:p>
    <w:p>
      <w:r>
        <w:rPr>
          <w:rFonts w:hint="eastAsia"/>
          <w:b w:val="1"/>
        </w:rPr>
        <w:t>图 3　交互式实训游戏：收益例会模拟主持</w:t>
      </w:r>
      <w:r>
        <w:rPr>
          <w:rFonts w:hint="eastAsia"/>
        </w:rPr>
        <w:t>（5 个场景 × 4 回合，评分与进度记录）</w:t>
      </w:r>
    </w:p>
    <w:p>
      <w:r>
        <w:rPr>
          <w:rFonts w:hint="eastAsia"/>
          <w:b w:val="1"/>
        </w:rPr>
        <w:t>图 4　15 张决策判定表（节选前两张）</w:t>
      </w:r>
      <w:r>
        <w:rPr>
          <w:rFonts w:hint="eastAsia"/>
        </w:rPr>
        <w:t>（产业方法工具化、口袋化）</w:t>
      </w:r>
      <w:r>
        <w:drawing>
          <wp:inline distT="0" distB="0" distL="0" distR="0">
            <wp:extent cx="5715000" cy="11601450"/>
            <wp:effectExtent l="0" t="0" r="0" b="0"/>
            <wp:docPr id="2" name="picture"/>
            <a:graphic>
              <a:graphicData uri="http://schemas.openxmlformats.org/drawingml/2006/picture">
                <pic:pic>
                  <pic:nvPicPr>
                    <pic:cNvPr id="3" name="picture"/>
                    <pic:cNvPicPr/>
                  </pic:nvPicPr>
                  <pic:blipFill rotWithShape="1">
                    <a:blip r:embed="rId5"/>
                    <a:stretch>
                      <a:fillRect/>
                    </a:stretch>
                  </pic:blipFill>
                  <pic:spPr>
                    <a:xfrm>
                      <a:off x="0" y="0"/>
                      <a:ext cx="5715000" cy="11601450"/>
                    </a:xfrm>
                    <a:prstGeom prst="rect">
                      <a:avLst/>
                    </a:prstGeom>
                  </pic:spPr>
                </pic:pic>
              </a:graphicData>
            </a:graphic>
          </wp:inline>
        </w:drawing>
      </w:r>
      <w:r>
        <w:drawing>
          <wp:inline distT="0" distB="0" distL="0" distR="0">
            <wp:extent cx="5715000" cy="2571750"/>
            <wp:effectExtent l="0" t="0" r="0" b="0"/>
            <wp:docPr id="5" name="picture"/>
            <a:graphic>
              <a:graphicData uri="http://schemas.openxmlformats.org/drawingml/2006/picture">
                <pic:pic>
                  <pic:nvPicPr>
                    <pic:cNvPr id="6" name="picture"/>
                    <pic:cNvPicPr/>
                  </pic:nvPicPr>
                  <pic:blipFill rotWithShape="1">
                    <a:blip r:embed="rId6"/>
                    <a:stretch>
                      <a:fillRect/>
                    </a:stretch>
                  </pic:blipFill>
                  <pic:spPr>
                    <a:xfrm>
                      <a:off x="0" y="0"/>
                      <a:ext cx="5715000" cy="2571750"/>
                    </a:xfrm>
                    <a:prstGeom prst="rect">
                      <a:avLst/>
                    </a:prstGeom>
                  </pic:spPr>
                </pic:pic>
              </a:graphicData>
            </a:graphic>
          </wp:inline>
        </w:drawing>
      </w:r>
      <w:r>
        <w:drawing>
          <wp:inline distT="0" distB="0" distL="0" distR="0">
            <wp:extent cx="5715000" cy="2571750"/>
            <wp:effectExtent l="0" t="0" r="0" b="0"/>
            <wp:docPr id="8" name="picture"/>
            <a:graphic>
              <a:graphicData uri="http://schemas.openxmlformats.org/drawingml/2006/picture">
                <pic:pic>
                  <pic:nvPicPr>
                    <pic:cNvPr id="9" name="picture"/>
                    <pic:cNvPicPr/>
                  </pic:nvPicPr>
                  <pic:blipFill rotWithShape="1">
                    <a:blip r:embed="rId7"/>
                    <a:stretch>
                      <a:fillRect/>
                    </a:stretch>
                  </pic:blipFill>
                  <pic:spPr>
                    <a:xfrm>
                      <a:off x="0" y="0"/>
                      <a:ext cx="5715000" cy="2571750"/>
                    </a:xfrm>
                    <a:prstGeom prst="rect">
                      <a:avLst/>
                    </a:prstGeom>
                  </pic:spPr>
                </pic:pic>
              </a:graphicData>
            </a:graphic>
          </wp:inline>
        </w:drawing>
      </w:r>
      <w:r>
        <w:drawing>
          <wp:inline distT="0" distB="0" distL="0" distR="0">
            <wp:extent cx="5715000" cy="2914650"/>
            <wp:effectExtent l="0" t="0" r="0" b="0"/>
            <wp:docPr id="11" name="picture"/>
            <a:graphic>
              <a:graphicData uri="http://schemas.openxmlformats.org/drawingml/2006/picture">
                <pic:pic>
                  <pic:nvPicPr>
                    <pic:cNvPr id="12" name="picture"/>
                    <pic:cNvPicPr/>
                  </pic:nvPicPr>
                  <pic:blipFill rotWithShape="1">
                    <a:blip r:embed="rId8"/>
                    <a:stretch>
                      <a:fillRect/>
                    </a:stretch>
                  </pic:blipFill>
                  <pic:spPr>
                    <a:xfrm>
                      <a:off x="0" y="0"/>
                      <a:ext cx="5715000" cy="2914650"/>
                    </a:xfrm>
                    <a:prstGeom prst="rect">
                      <a:avLst/>
                    </a:prstGeom>
                  </pic:spPr>
                </pic:pic>
              </a:graphicData>
            </a:graphic>
          </wp:inline>
        </w:drawing>
      </w:r>
    </w:p>
    <w:p>
      <w:pPr>
        <w:keepNext w:val="1"/>
        <w:keepLines w:val="1"/>
        <w:spacing w:before="100" w:beforeAutospacing="1" w:after="100" w:afterAutospacing="1"/>
        <w:outlineLvl w:val="1"/>
        <w:rPr>
          <w:sz w:val="32"/>
          <w:szCs w:val="32"/>
        </w:rPr>
      </w:pPr>
      <w:r>
        <w:rPr>
          <w:rFonts w:hint="eastAsia"/>
          <w:b w:val="1"/>
          <w:sz w:val="32"/>
        </w:rPr>
        <w:t>四、发送前检查清单</w:t>
      </w:r>
    </w:p>
    <w:p>
      <w:pPr>
        <w:numPr>
          <w:ilvl w:val="0"/>
          <w:numId w:val="2"/>
        </w:numPr>
      </w:pPr>
      <w:r>
        <w:rPr>
          <w:rFonts w:hint="eastAsia"/>
        </w:rPr>
        <w:t>[ ] 四项待填已填：工作室全称、姓名/称谓、电话、邮箱</w:t>
      </w:r>
    </w:p>
    <w:p>
      <w:pPr>
        <w:numPr>
          <w:ilvl w:val="0"/>
          <w:numId w:val="2"/>
        </w:numPr>
      </w:pPr>
      <w:r>
        <w:rPr>
          <w:rFonts w:hint="eastAsia"/>
        </w:rPr>
        <w:t>[ ] 邮件主题格式为「第二届大会案例/发言申请＋单位＋姓名」</w:t>
      </w:r>
    </w:p>
    <w:p>
      <w:pPr>
        <w:numPr>
          <w:ilvl w:val="0"/>
          <w:numId w:val="2"/>
        </w:numPr>
      </w:pPr>
      <w:r>
        <w:rPr>
          <w:rFonts w:hint="eastAsia"/>
        </w:rPr>
        <w:t>[ ] 摘要中无未核实的数字（当前为定性表述）</w:t>
      </w:r>
    </w:p>
    <w:p>
      <w:pPr>
        <w:numPr>
          <w:ilvl w:val="0"/>
          <w:numId w:val="2"/>
        </w:numPr>
      </w:pPr>
      <w:r>
        <w:rPr>
          <w:rFonts w:hint="eastAsia"/>
        </w:rPr>
        <w:t>[ ] 四张截图已作为附件添加（另附完整版判定表长图）</w:t>
      </w:r>
    </w:p>
    <w:p>
      <w:pPr>
        <w:numPr>
          <w:ilvl w:val="0"/>
          <w:numId w:val="2"/>
        </w:numPr>
      </w:pPr>
      <w:r>
        <w:rPr>
          <w:rFonts w:hint="eastAsia"/>
        </w:rPr>
        <w:t>[ ] 已在 2026 年 10 月 30 日前发送</w:t>
      </w:r>
    </w:p>
    <w:p/>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0">
    <w:lvl w:ilvl="0">
      <w:start w:val="1"/>
      <w:numFmt w:val="decimal"/>
      <w:lvlText w:val="%1."/>
      <w:lvlJc w:val="left"/>
      <w:pPr>
        <w:ind w:left="420" w:hanging="420"/>
      </w:pPr>
    </w:lvl>
  </w:abstractNum>
  <w:abstractNum w:abstractNumId="1">
    <w:lvl w:ilvl="0">
      <w:start w:val="1"/>
      <w:numFmt w:val="bullet"/>
      <w:lvlText w:val=""/>
      <w:lvlJc w:val="left"/>
      <w:pPr>
        <w:ind w:left="420" w:hanging="420"/>
      </w:pPr>
      <w:rPr>
        <w:rFonts w:hint="default" w:ascii="Wingdings" w:hAnsi="Wingdings"/>
      </w:rPr>
    </w:lvl>
  </w:abstractNum>
  <w:num w:numId="2">
    <w:abstractNumId w:val="1"/>
  </w:num>
  <w:num w:numId="1">
    <w:abstractNumId w:val="0"/>
  </w:num>
</w:numbering>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7" Type="http://schemas.openxmlformats.org/officeDocument/2006/relationships/image" Target="media/image3.jpg" /><Relationship Id="rId5" Type="http://schemas.openxmlformats.org/officeDocument/2006/relationships/image" Target="media/image1.jpg" /><Relationship Id="rId4" Type="http://schemas.openxmlformats.org/officeDocument/2006/relationships/numbering" Target="numbering.xml" /><Relationship Id="rId8" Type="http://schemas.openxmlformats.org/officeDocument/2006/relationships/image" Target="media/image4.jpg" /><Relationship Id="rId1" Type="http://schemas.openxmlformats.org/officeDocument/2006/relationships/settings" Target="settings.xml" /><Relationship Id="rId3" Type="http://schemas.openxmlformats.org/officeDocument/2006/relationships/theme" Target="theme/theme1.xml" /><Relationship Id="rId6" Type="http://schemas.openxmlformats.org/officeDocument/2006/relationships/image" Target="media/image2.jpg" /><Relationship Id="rId2" Type="http://schemas.openxmlformats.org/officeDocument/2006/relationships/fontTable" Target="fontTable.xml" /><Relationship Id="rId0" Type="http://schemas.openxmlformats.org/officeDocument/2006/relationships/styles" Target="styles.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2026-10-19T18:56:04Z</dcterms:created>
  <dcterms:modified xsi:type="dcterms:W3CDTF">2026-10-19T18:56:04Z</dcterms:modified>
</cp:coreProperties>
</file>