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酒店管理专业「收益管理」课程建设 · 试点校合作方案</w:t>
      </w:r>
    </w:p>
    <w:p>
      <w:r>
        <w:rPr>
          <w:rFonts w:hint="eastAsia"/>
          <w:b w:val="1"/>
        </w:rPr>
        <w:t>2026–2027 学年 · 试点校限额 3 所</w:t>
      </w:r>
    </w:p>
    <w:p>
      <w:r>
        <w:rPr>
          <w:rFonts w:hint="eastAsia"/>
        </w:rPr>
        <w:t>出品：收益管理教研笔记（酒店管理专业教学支持项目） · 【个人工作室名称】</w:t>
      </w:r>
    </w:p>
    <w:p>
      <w:pPr>
        <w:ind w:left="240"/>
      </w:pPr>
      <w:r>
        <w:rPr>
          <w:rFonts w:hint="eastAsia"/>
          <w:b w:val="1"/>
        </w:rPr>
        <w:t>一句话：</w:t>
      </w:r>
      <w:r>
        <w:rPr>
          <w:rFonts w:hint="eastAsia"/>
        </w:rPr>
        <w:t xml:space="preserve"> 用一学年的试点，把一门课从零开出来——教材、知识图谱、案例库、实训场景、题库、AI 教学助手、教师培训，一个授权包配齐；试点不锁定，复盘满意再谈正式授权。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一、开这门课，贵校可能正面对三个难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难点</w:t>
            </w:r>
          </w:p>
        </w:tc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现状</w:t>
            </w:r>
          </w:p>
        </w:tc>
      </w:tr>
      <w:tr>
        <w:trPr/>
        <w:tc>
          <w:tcPr>
            <w:tcW w:w="2768" w:type="dxa"/>
          </w:tcPr>
          <w:p>
            <w:r>
              <w:t>01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缺教材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国外教材案例多、数据旧，缺少中国酒店市场的一手场景与本土定价语境</w:t>
            </w:r>
          </w:p>
        </w:tc>
      </w:tr>
      <w:tr>
        <w:trPr/>
        <w:tc>
          <w:tcPr>
            <w:tcW w:w="2768" w:type="dxa"/>
          </w:tcPr>
          <w:p>
            <w:r>
              <w:t>02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缺实训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没有经营数据与操作系统，学生只能听结论，不能动手做决策</w:t>
            </w:r>
          </w:p>
        </w:tc>
      </w:tr>
      <w:tr>
        <w:trPr/>
        <w:tc>
          <w:tcPr>
            <w:tcW w:w="2768" w:type="dxa"/>
          </w:tcPr>
          <w:p>
            <w:r>
              <w:t>03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缺师资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没人教过这门课；外出培训周期长、成本高，结业后教师仍要独自备课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二、授权包含什么（开课所需，一次配齐）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#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项目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</w:tr>
      <w:tr>
        <w:trPr/>
        <w:tc>
          <w:tcPr>
            <w:tcW w:w="2768" w:type="dxa"/>
          </w:tcPr>
          <w:p>
            <w:r>
              <w:t>1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新形态教材 1 部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41 章，每章配学习目标、思维导图、案例导入、实验数据、口诀、小结与思政设计</w:t>
            </w:r>
          </w:p>
        </w:tc>
      </w:tr>
      <w:tr>
        <w:trPr/>
        <w:tc>
          <w:tcPr>
            <w:tcW w:w="2768" w:type="dxa"/>
          </w:tcPr>
          <w:p>
            <w:r>
              <w:t>2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知识图谱 1 套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93 个节点覆盖收益管理完整知识域，与 HSMAI 能力域对照</w:t>
            </w:r>
          </w:p>
        </w:tc>
      </w:tr>
      <w:tr>
        <w:trPr/>
        <w:tc>
          <w:tcPr>
            <w:tcW w:w="2768" w:type="dxa"/>
          </w:tcPr>
          <w:p>
            <w:r>
              <w:t>3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教学案例库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302 个案例＋15 张决策判定表，可直接用于课堂推演与考核</w:t>
            </w:r>
          </w:p>
        </w:tc>
      </w:tr>
      <w:tr>
        <w:trPr/>
        <w:tc>
          <w:tcPr>
            <w:tcW w:w="2768" w:type="dxa"/>
          </w:tcPr>
          <w:p>
            <w:r>
              <w:t>4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实训场景 12 个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模拟经营与收益例会演练，学生动手做定价、限售与超售决策</w:t>
            </w:r>
          </w:p>
        </w:tc>
      </w:tr>
      <w:tr>
        <w:trPr/>
        <w:tc>
          <w:tcPr>
            <w:tcW w:w="2768" w:type="dxa"/>
          </w:tcPr>
          <w:p>
            <w:r>
              <w:t>5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练习与题库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363 题，支持过程性评价、阶段测验与期末考核</w:t>
            </w:r>
          </w:p>
        </w:tc>
      </w:tr>
      <w:tr>
        <w:trPr/>
        <w:tc>
          <w:tcPr>
            <w:tcW w:w="2768" w:type="dxa"/>
          </w:tcPr>
          <w:p>
            <w:r>
              <w:t>6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AI 教学助手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回答必带教材出处，协助备课与答疑（10 个教师席位）</w:t>
            </w:r>
          </w:p>
        </w:tc>
      </w:tr>
      <w:tr>
        <w:trPr/>
        <w:tc>
          <w:tcPr>
            <w:tcW w:w="2768" w:type="dxa"/>
          </w:tcPr>
          <w:p>
            <w:r>
              <w:t>7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教师培训 1–2 席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6 周线上训练营，从教材使用到课堂组织完整带一遍，结业后具备独立开课能力；试点校另享微专业申报支持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三、贵校教师的工作量（系主任与任课教师最关心的一项）</w:t>
      </w:r>
    </w:p>
    <w:p>
      <w:r>
        <w:rPr>
          <w:rFonts w:hint="eastAsia"/>
          <w:b w:val="1"/>
        </w:rPr>
        <w:t>不需要从零备课。</w:t>
      </w:r>
      <w:r>
        <w:rPr>
          <w:rFonts w:hint="eastAsia"/>
        </w:rPr>
        <w:t xml:space="preserve"> 材料现成、培训结业、助手答疑——任课教师按培养方案正常排课即可，一学期一门课；试点期间我们提供两次集中反馈与在线答疑，帮助教师把第一轮课开稳。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四、试点条件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项目</w:t>
            </w:r>
          </w:p>
        </w:tc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试点费用</w:t>
            </w:r>
          </w:p>
        </w:tc>
        <w:tc>
          <w:tcPr>
            <w:tcW w:w="4153" w:type="dxa"/>
          </w:tcPr>
          <w:p>
            <w:r>
              <w:rPr>
                <w:rFonts w:hint="eastAsia"/>
                <w:b w:val="1"/>
              </w:rPr>
              <w:t>1.98 万元/学年</w:t>
            </w:r>
            <w:r>
              <w:rPr>
                <w:rFonts w:hint="eastAsia"/>
              </w:rPr>
              <w:t>（正式授权为 4.8 万元/学年，试点校享首年试点价；含上述全部授权内容）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学校义务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登记开课数据 · 提供教学案例授权 · 参加 2 次反馈会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试点权益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优先转为正式授权 · 参与案例与教学成果署名 · 微专业（微课程集群）申报支持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不锁定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学年复盘不满意，试点即结束，不产生后续义务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五、时间安排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2026 年 12 月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2027 年春季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2027 年 10 月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复盘之后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确定合作意向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贵校开课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学年复盘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决定是否转正式授权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联系</w:t>
      </w:r>
    </w:p>
    <w:p>
      <w:r>
        <w:rPr>
          <w:rFonts w:hint="eastAsia"/>
          <w:b w:val="1"/>
        </w:rPr>
        <w:t>收益管理教研笔记</w:t>
      </w:r>
      <w:r>
        <w:rPr>
          <w:rFonts w:hint="eastAsia"/>
        </w:rPr>
        <w:t>（酒店管理专业教学支持项目 · 【个人工作室名称】）</w:t>
      </w:r>
    </w:p>
    <w:p>
      <w:r>
        <w:rPr>
          <w:rFonts w:hint="eastAsia"/>
        </w:rPr>
        <w:t>联系人：【姓名】　电话 / 微信：【电话/微信】　邮箱：【邮箱】</w:t>
      </w:r>
    </w:p>
    <w:p>
      <w:r>
        <w:rPr>
          <w:rFonts w:hint="eastAsia"/>
          <w:i w:val="1"/>
        </w:rPr>
        <w:t>本页为试点校合作摘要；详细授权内容、合同要点与常见问题另备资料，可向联系人索取。页内数据（41 章 / 93 节点 / 302 案例 / 15 张判定表 / 12 个实训场景 / 363 题）为项目现有存量，可溯源查验。</w:t>
      </w:r>
    </w:p>
    <w:p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dc="http://purl.org/dc/elements/1.1/" xmlns:cp="http://schemas.openxmlformats.org/package/2006/metadata/core-properties">
  <dcterms:created xsi:type="dcterms:W3CDTF">2026-10-19T22:06:56Z</dcterms:created>
  <dcterms:modified xsi:type="dcterms:W3CDTF">2026-10-19T22:06:56Z</dcterms:modified>
</cp:coreProperties>
</file>