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 w:val="0"/>
          <w:i w:val="0"/>
          <w:color w:val="595959"/>
          <w:sz w:val="22"/>
        </w:rPr>
        <w:t>Armani Middle East Trading</w:t>
      </w:r>
    </w:p>
    <w:p>
      <w:pPr>
        <w:spacing w:after="40"/>
      </w:pPr>
      <w:r>
        <w:rPr>
          <w:b/>
          <w:i w:val="0"/>
          <w:color w:val="1F4E79"/>
          <w:sz w:val="40"/>
        </w:rPr>
        <w:t>Dynamic Pricing Framework – Rules and Algorithmic Logic</w:t>
      </w:r>
    </w:p>
    <w:p>
      <w:pPr>
        <w:spacing w:after="200"/>
      </w:pPr>
      <w:r>
        <w:rPr>
          <w:b w:val="0"/>
          <w:i/>
          <w:sz w:val="20"/>
        </w:rPr>
        <w:t>Technical Assessment · Part 4</w:t>
      </w:r>
    </w:p>
    <w:p>
      <w:pPr>
        <w:pStyle w:val="Heading1"/>
      </w:pPr>
      <w:r>
        <w:t>1. Summary</w:t>
      </w:r>
    </w:p>
    <w:p>
      <w:r>
        <w:rPr>
          <w:b w:val="0"/>
          <w:i w:val="0"/>
        </w:rPr>
        <w:t>The price follows scarcity and season. We charge a little more when we expect to be unable to serve all the demand, we hold the price when stock covers demand, and we consider a discount only when stock is far above demand and the discount pays for itself. Every price is then checked against hard limits: a cost floor, a competitive band, a maximum weekly change and credit-risk rules.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041"/>
            <w:shd w:val="clear" w:color="auto"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State of a product-week</w:t>
            </w:r>
          </w:p>
        </w:tc>
        <w:tc>
          <w:tcPr>
            <w:tcW w:type="dxa" w:w="3175"/>
            <w:shd w:val="clear" w:color="auto"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Meaning</w:t>
            </w:r>
          </w:p>
        </w:tc>
        <w:tc>
          <w:tcPr>
            <w:tcW w:type="dxa" w:w="4195"/>
            <w:shd w:val="clear" w:color="auto"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What the engine does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9"/>
              </w:rPr>
              <w:t>Scarce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9"/>
              </w:rPr>
              <w:t>part of the expected demand cannot be served (stock runs out)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sz w:val="19"/>
              </w:rPr>
              <w:t>raise the price, more when scarcity is larger and in peak season, but only as far as the same units would still sell</w:t>
            </w:r>
          </w:p>
        </w:tc>
      </w:tr>
      <w:tr>
        <w:tc>
          <w:tcPr>
            <w:tcW w:type="dxa" w:w="2041"/>
            <w:shd w:val="clear" w:color="auto" w:fill="F2F6FA"/>
          </w:tcPr>
          <w:p>
            <w:pPr>
              <w:spacing w:after="20"/>
            </w:pPr>
            <w:r/>
            <w:r>
              <w:rPr>
                <w:sz w:val="19"/>
              </w:rPr>
              <w:t>Balanced</w:t>
            </w:r>
          </w:p>
        </w:tc>
        <w:tc>
          <w:tcPr>
            <w:tcW w:type="dxa" w:w="3175"/>
            <w:shd w:val="clear" w:color="auto" w:fill="F2F6FA"/>
          </w:tcPr>
          <w:p>
            <w:pPr>
              <w:spacing w:after="20"/>
            </w:pPr>
            <w:r/>
            <w:r>
              <w:rPr>
                <w:sz w:val="19"/>
              </w:rPr>
              <w:t>stock covers demand, no excess</w:t>
            </w:r>
          </w:p>
        </w:tc>
        <w:tc>
          <w:tcPr>
            <w:tcW w:type="dxa" w:w="4195"/>
            <w:shd w:val="clear" w:color="auto" w:fill="F2F6FA"/>
          </w:tcPr>
          <w:p>
            <w:pPr>
              <w:spacing w:after="20"/>
            </w:pPr>
            <w:r/>
            <w:r>
              <w:rPr>
                <w:sz w:val="19"/>
              </w:rPr>
              <w:t>hold the reference price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9"/>
              </w:rPr>
              <w:t>Surplus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9"/>
              </w:rPr>
              <w:t>more than 26 weeks of stock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sz w:val="19"/>
              </w:rPr>
              <w:t>markdown only if it pays for itself; otherwise hold and fix purchasing</w:t>
            </w:r>
          </w:p>
        </w:tc>
      </w:tr>
    </w:tbl>
    <w:p>
      <w:pPr>
        <w:spacing w:after="40"/>
      </w:pPr>
    </w:p>
    <w:p>
      <w:r>
        <w:rPr>
          <w:b/>
        </w:rPr>
        <w:t xml:space="preserve">Result for the next 26 weeks (30 products × 26 weeks = 780 prices): </w:t>
      </w:r>
      <w:r>
        <w:rPr>
          <w:b w:val="0"/>
        </w:rPr>
        <w:t>78% of product-weeks are scarce (average price change +4.9%), 5% balanced and 17% surplus. Expected profit after credit losses rises by $1.3M (+17.0%) in the planning case, and by between $1.2M and $1.3M across all customer reactions tested.</w:t>
      </w:r>
    </w:p>
    <w:p>
      <w:pPr>
        <w:pStyle w:val="Heading1"/>
      </w:pPr>
      <w:r>
        <w:t>2. Inputs and definitions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871"/>
            <w:shd w:val="clear" w:color="auto"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Symbol</w:t>
            </w:r>
          </w:p>
        </w:tc>
        <w:tc>
          <w:tcPr>
            <w:tcW w:type="dxa" w:w="5443"/>
            <w:shd w:val="clear" w:color="auto"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Meaning</w:t>
            </w:r>
          </w:p>
        </w:tc>
        <w:tc>
          <w:tcPr>
            <w:tcW w:type="dxa" w:w="2098"/>
            <w:shd w:val="clear" w:color="auto"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Source</w:t>
            </w:r>
          </w:p>
        </w:tc>
      </w:tr>
      <w:tr>
        <w:tc>
          <w:tcPr>
            <w:tcW w:type="dxa" w:w="1871"/>
          </w:tcPr>
          <w:p>
            <w:pPr>
              <w:spacing w:after="20"/>
            </w:pPr>
            <w:r/>
            <w:r>
              <w:rPr>
                <w:sz w:val="19"/>
              </w:rPr>
              <w:t>P0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sz w:val="19"/>
              </w:rPr>
              <w:t>Reference price: average selling price of the last 13 weeks</w:t>
            </w:r>
          </w:p>
        </w:tc>
        <w:tc>
          <w:tcPr>
            <w:tcW w:type="dxa" w:w="2098"/>
          </w:tcPr>
          <w:p>
            <w:pPr>
              <w:spacing w:after="20"/>
            </w:pPr>
            <w:r/>
            <w:r>
              <w:rPr>
                <w:sz w:val="19"/>
              </w:rPr>
              <w:t>Part 2</w:t>
            </w:r>
          </w:p>
        </w:tc>
      </w:tr>
      <w:tr>
        <w:tc>
          <w:tcPr>
            <w:tcW w:type="dxa" w:w="1871"/>
            <w:shd w:val="clear" w:color="auto" w:fill="F2F6FA"/>
          </w:tcPr>
          <w:p>
            <w:pPr>
              <w:spacing w:after="20"/>
            </w:pPr>
            <w:r/>
            <w:r>
              <w:rPr>
                <w:sz w:val="19"/>
              </w:rPr>
              <w:t>D (P10 / P90)</w:t>
            </w:r>
          </w:p>
        </w:tc>
        <w:tc>
          <w:tcPr>
            <w:tcW w:type="dxa" w:w="5443"/>
            <w:shd w:val="clear" w:color="auto" w:fill="F2F6FA"/>
          </w:tcPr>
          <w:p>
            <w:pPr>
              <w:spacing w:after="20"/>
            </w:pPr>
            <w:r/>
            <w:r>
              <w:rPr>
                <w:sz w:val="19"/>
              </w:rPr>
              <w:t>Expected weekly demand with a low and a high case</w:t>
            </w:r>
          </w:p>
        </w:tc>
        <w:tc>
          <w:tcPr>
            <w:tcW w:type="dxa" w:w="2098"/>
            <w:shd w:val="clear" w:color="auto" w:fill="F2F6FA"/>
          </w:tcPr>
          <w:p>
            <w:pPr>
              <w:spacing w:after="20"/>
            </w:pPr>
            <w:r/>
            <w:r>
              <w:rPr>
                <w:sz w:val="19"/>
              </w:rPr>
              <w:t>Part 2 forecast</w:t>
            </w:r>
          </w:p>
        </w:tc>
      </w:tr>
      <w:tr>
        <w:tc>
          <w:tcPr>
            <w:tcW w:type="dxa" w:w="1871"/>
          </w:tcPr>
          <w:p>
            <w:pPr>
              <w:spacing w:after="20"/>
            </w:pPr>
            <w:r/>
            <w:r>
              <w:rPr>
                <w:sz w:val="19"/>
              </w:rPr>
              <w:t>S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sz w:val="19"/>
              </w:rPr>
              <w:t>Stock available to sell; future stock is unknown, so the product's own last 104 weeks of stock levels are used</w:t>
            </w:r>
          </w:p>
        </w:tc>
        <w:tc>
          <w:tcPr>
            <w:tcW w:type="dxa" w:w="2098"/>
          </w:tcPr>
          <w:p>
            <w:pPr>
              <w:spacing w:after="20"/>
            </w:pPr>
            <w:r/>
            <w:r>
              <w:rPr>
                <w:sz w:val="19"/>
              </w:rPr>
              <w:t>Parts 1–2</w:t>
            </w:r>
          </w:p>
        </w:tc>
      </w:tr>
      <w:tr>
        <w:tc>
          <w:tcPr>
            <w:tcW w:type="dxa" w:w="1871"/>
            <w:shd w:val="clear" w:color="auto" w:fill="F2F6FA"/>
          </w:tcPr>
          <w:p>
            <w:pPr>
              <w:spacing w:after="20"/>
            </w:pPr>
            <w:r/>
            <w:r>
              <w:rPr>
                <w:sz w:val="19"/>
              </w:rPr>
              <w:t>g (service gap)</w:t>
            </w:r>
          </w:p>
        </w:tc>
        <w:tc>
          <w:tcPr>
            <w:tcW w:type="dxa" w:w="5443"/>
            <w:shd w:val="clear" w:color="auto" w:fill="F2F6FA"/>
          </w:tcPr>
          <w:p>
            <w:pPr>
              <w:spacing w:after="20"/>
            </w:pPr>
            <w:r/>
            <w:r>
              <w:rPr>
                <w:sz w:val="19"/>
              </w:rPr>
              <w:t>Share of expected demand we cannot serve:  g = 1 − E[min(D, S)] / E[D]</w:t>
            </w:r>
          </w:p>
        </w:tc>
        <w:tc>
          <w:tcPr>
            <w:tcW w:type="dxa" w:w="2098"/>
            <w:shd w:val="clear" w:color="auto" w:fill="F2F6FA"/>
          </w:tcPr>
          <w:p>
            <w:pPr>
              <w:spacing w:after="20"/>
            </w:pPr>
            <w:r/>
            <w:r>
              <w:rPr>
                <w:sz w:val="19"/>
              </w:rPr>
              <w:t>computed by simulation (1,000 draws)</w:t>
            </w:r>
          </w:p>
        </w:tc>
      </w:tr>
      <w:tr>
        <w:tc>
          <w:tcPr>
            <w:tcW w:type="dxa" w:w="1871"/>
          </w:tcPr>
          <w:p>
            <w:pPr>
              <w:spacing w:after="20"/>
            </w:pPr>
            <w:r/>
            <w:r>
              <w:rPr>
                <w:sz w:val="19"/>
              </w:rPr>
              <w:t>Season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sz w:val="19"/>
              </w:rPr>
              <w:t>peak if the seasonal index ≥ 1.10, off-peak if ≤ 0.90, otherwise normal</w:t>
            </w:r>
          </w:p>
        </w:tc>
        <w:tc>
          <w:tcPr>
            <w:tcW w:type="dxa" w:w="2098"/>
          </w:tcPr>
          <w:p>
            <w:pPr>
              <w:spacing w:after="20"/>
            </w:pPr>
            <w:r/>
            <w:r>
              <w:rPr>
                <w:sz w:val="19"/>
              </w:rPr>
              <w:t>Part 2 seasonal curve</w:t>
            </w:r>
          </w:p>
        </w:tc>
      </w:tr>
      <w:tr>
        <w:tc>
          <w:tcPr>
            <w:tcW w:type="dxa" w:w="1871"/>
            <w:shd w:val="clear" w:color="auto" w:fill="F2F6FA"/>
          </w:tcPr>
          <w:p>
            <w:pPr>
              <w:spacing w:after="20"/>
            </w:pPr>
            <w:r/>
            <w:r>
              <w:rPr>
                <w:sz w:val="19"/>
              </w:rPr>
              <w:t>Cover</w:t>
            </w:r>
          </w:p>
        </w:tc>
        <w:tc>
          <w:tcPr>
            <w:tcW w:type="dxa" w:w="5443"/>
            <w:shd w:val="clear" w:color="auto" w:fill="F2F6FA"/>
          </w:tcPr>
          <w:p>
            <w:pPr>
              <w:spacing w:after="20"/>
            </w:pPr>
            <w:r/>
            <w:r>
              <w:rPr>
                <w:sz w:val="19"/>
              </w:rPr>
              <w:t>weeks of stock = typical stock ÷ weekly demand</w:t>
            </w:r>
          </w:p>
        </w:tc>
        <w:tc>
          <w:tcPr>
            <w:tcW w:type="dxa" w:w="2098"/>
            <w:shd w:val="clear" w:color="auto" w:fill="F2F6FA"/>
          </w:tcPr>
          <w:p>
            <w:pPr>
              <w:spacing w:after="20"/>
            </w:pPr>
            <w:r/>
            <w:r>
              <w:rPr>
                <w:sz w:val="19"/>
              </w:rPr>
              <w:t>computed</w:t>
            </w:r>
          </w:p>
        </w:tc>
      </w:tr>
      <w:tr>
        <w:tc>
          <w:tcPr>
            <w:tcW w:type="dxa" w:w="1871"/>
          </w:tcPr>
          <w:p>
            <w:pPr>
              <w:spacing w:after="20"/>
            </w:pPr>
            <w:r/>
            <w:r>
              <w:rPr>
                <w:sz w:val="19"/>
              </w:rPr>
              <w:t>ε (price sensitivity)</w:t>
            </w:r>
          </w:p>
        </w:tc>
        <w:tc>
          <w:tcPr>
            <w:tcW w:type="dxa" w:w="5443"/>
          </w:tcPr>
          <w:p>
            <w:pPr>
              <w:spacing w:after="20"/>
            </w:pPr>
            <w:r/>
            <w:r>
              <w:rPr>
                <w:sz w:val="19"/>
              </w:rPr>
              <w:t>% change in demand for a +1% price change; unknown – planning case −1, stress case −2</w:t>
            </w:r>
          </w:p>
        </w:tc>
        <w:tc>
          <w:tcPr>
            <w:tcW w:type="dxa" w:w="2098"/>
          </w:tcPr>
          <w:p>
            <w:pPr>
              <w:spacing w:after="20"/>
            </w:pPr>
            <w:r/>
            <w:r>
              <w:rPr>
                <w:sz w:val="19"/>
              </w:rPr>
              <w:t>assumption</w:t>
            </w:r>
          </w:p>
        </w:tc>
      </w:tr>
      <w:tr>
        <w:tc>
          <w:tcPr>
            <w:tcW w:type="dxa" w:w="1871"/>
            <w:shd w:val="clear" w:color="auto" w:fill="F2F6FA"/>
          </w:tcPr>
          <w:p>
            <w:pPr>
              <w:spacing w:after="20"/>
            </w:pPr>
            <w:r/>
            <w:r>
              <w:rPr>
                <w:sz w:val="19"/>
              </w:rPr>
              <w:t>Rating A–E</w:t>
            </w:r>
          </w:p>
        </w:tc>
        <w:tc>
          <w:tcPr>
            <w:tcW w:type="dxa" w:w="5443"/>
            <w:shd w:val="clear" w:color="auto" w:fill="F2F6FA"/>
          </w:tcPr>
          <w:p>
            <w:pPr>
              <w:spacing w:after="20"/>
            </w:pPr>
            <w:r/>
            <w:r>
              <w:rPr>
                <w:sz w:val="19"/>
              </w:rPr>
              <w:t>credit-risk class of the product category</w:t>
            </w:r>
          </w:p>
        </w:tc>
        <w:tc>
          <w:tcPr>
            <w:tcW w:type="dxa" w:w="2098"/>
            <w:shd w:val="clear" w:color="auto" w:fill="F2F6FA"/>
          </w:tcPr>
          <w:p>
            <w:pPr>
              <w:spacing w:after="20"/>
            </w:pPr>
            <w:r/>
            <w:r>
              <w:rPr>
                <w:sz w:val="19"/>
              </w:rPr>
              <w:t>Part 3 assumptions</w:t>
            </w:r>
          </w:p>
        </w:tc>
      </w:tr>
    </w:tbl>
    <w:p>
      <w:pPr>
        <w:spacing w:after="40"/>
      </w:pPr>
    </w:p>
    <w:p>
      <w:pPr>
        <w:pStyle w:val="Heading1"/>
      </w:pPr>
      <w:r>
        <w:t>3. The rules</w:t>
      </w:r>
    </w:p>
    <w:p>
      <w:pPr>
        <w:pStyle w:val="Heading2"/>
      </w:pPr>
      <w:r>
        <w:t>Rule 1 – Scarcity premium (demand-based adjustment)</w:t>
      </w:r>
    </w:p>
    <w:p>
      <w:r>
        <w:rPr>
          <w:b w:val="0"/>
          <w:i w:val="0"/>
        </w:rPr>
        <w:t>The larger the share of demand we cannot serve, the larger the price rise, because customers who are turned away are not lost by a price rise. In peak season the full premium is used, in normal season 75% and in off-peak season 50%.</w:t>
      </w:r>
    </w:p>
    <w:p>
      <w:pPr>
        <w:spacing w:after="80"/>
        <w:ind w:left="454"/>
      </w:pPr>
      <w:r>
        <w:rPr>
          <w:rFonts w:ascii="Cambria Math" w:hAnsi="Cambria Math"/>
          <w:i/>
          <w:sz w:val="21"/>
        </w:rPr>
        <w:t>w = min(1, g / 0.30)  if g &gt; 5%,  else 0</w:t>
      </w:r>
    </w:p>
    <w:p>
      <w:pPr>
        <w:spacing w:after="80"/>
        <w:ind w:left="454"/>
      </w:pPr>
      <w:r>
        <w:rPr>
          <w:rFonts w:ascii="Cambria Math" w:hAnsi="Cambria Math"/>
          <w:i/>
          <w:sz w:val="21"/>
        </w:rPr>
        <w:t>u = 8% × w × m(season),    m = 1.00 (peak), 0.75 (normal), 0.50 (off-peak)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22764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scarcity_ru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276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Figure 1 – Price rise recommended as a function of the share of demand that cannot be served.</w:t>
      </w:r>
    </w:p>
    <w:p>
      <w:pPr>
        <w:pStyle w:val="Heading2"/>
      </w:pPr>
      <w:r>
        <w:t>Rule 2 – Sell-out protection</w:t>
      </w:r>
    </w:p>
    <w:p>
      <w:r>
        <w:rPr>
          <w:b w:val="0"/>
          <w:i w:val="0"/>
        </w:rPr>
        <w:t>A rise is allowed only as far as we would still sell (almost) the same units, even if customers were twice as price-sensitive as assumed. This makes the scarcity premium independent of the price sensitivity, which cannot be measured from the data.</w:t>
      </w:r>
    </w:p>
    <w:p>
      <w:pPr>
        <w:spacing w:after="80"/>
        <w:ind w:left="454"/>
      </w:pPr>
      <w:r>
        <w:rPr>
          <w:rFonts w:ascii="Cambria Math" w:hAnsi="Cambria Math"/>
          <w:i/>
          <w:sz w:val="21"/>
        </w:rPr>
        <w:t>choose the largest M ≤ 1 + u such that  E[min(D · M^(−2), S)]  ≥  99% × E[min(D, S)]</w:t>
      </w:r>
    </w:p>
    <w:p>
      <w:pPr>
        <w:pStyle w:val="Heading2"/>
      </w:pPr>
      <w:r>
        <w:t>Rule 3 – Surplus and clearance (inventory sensitivity)</w:t>
      </w:r>
    </w:p>
    <w:p>
      <w:r>
        <w:rPr>
          <w:b w:val="0"/>
          <w:i w:val="0"/>
        </w:rPr>
        <w:t>A markdown is considered only for products with more than 26 weeks of stock and no scarcity. It is deeper with more excess stock (up to −10% at 104 weeks or more) and only in quiet weeks. It is applied only if it pays for itself, including the holding cost saved on the extra units sold.</w:t>
      </w:r>
    </w:p>
    <w:p>
      <w:pPr>
        <w:spacing w:after="80"/>
        <w:ind w:left="454"/>
      </w:pPr>
      <w:r>
        <w:rPr>
          <w:rFonts w:ascii="Cambria Math" w:hAnsi="Cambria Math"/>
          <w:i/>
          <w:sz w:val="21"/>
        </w:rPr>
        <w:t>d = 10% × min(1, ln(cover / 26) / ln(104 / 26)) × lull(season),    lull = 1 (off-peak), 0.5 (normal), 0 (peak)</w:t>
      </w:r>
    </w:p>
    <w:p>
      <w:pPr>
        <w:spacing w:after="80"/>
        <w:ind w:left="454"/>
      </w:pPr>
      <w:r>
        <w:rPr>
          <w:rFonts w:ascii="Cambria Math" w:hAnsi="Cambria Math"/>
          <w:i/>
          <w:sz w:val="21"/>
        </w:rPr>
        <w:t>apply the markdown only if  Profit(P0 · (1 − d); ε = −1)  &gt;  Profit(P0; ε = −1)</w:t>
      </w:r>
    </w:p>
    <w:p>
      <w:pPr>
        <w:pStyle w:val="Heading2"/>
      </w:pPr>
      <w:r>
        <w:t>Rule 4 – Credit-risk rule</w:t>
      </w:r>
    </w:p>
    <w:p>
      <w:r>
        <w:rPr>
          <w:b w:val="0"/>
          <w:i w:val="0"/>
        </w:rPr>
        <w:t>Ratings A and B: no change. Rating C: markdown capped at 5%. Ratings D and E: no markdowns, a risk premium on the price and a recommended shortening of payment terms by 15 days.</w:t>
      </w:r>
    </w:p>
    <w:p>
      <w:pPr>
        <w:spacing w:after="80"/>
        <w:ind w:left="454"/>
      </w:pPr>
      <w:r>
        <w:rPr>
          <w:rFonts w:ascii="Cambria Math" w:hAnsi="Cambria Math"/>
          <w:i/>
          <w:sz w:val="21"/>
        </w:rPr>
        <w:t>premium = share on credit × default rate + (DSO / 365) × 8% funding cost;      target price × (1 + premium)</w:t>
      </w:r>
    </w:p>
    <w:p>
      <w:pPr>
        <w:pStyle w:val="Heading2"/>
      </w:pPr>
      <w:r>
        <w:t>Rule 5 – Guardrails (competitive and profitability limits)</w:t>
      </w:r>
    </w:p>
    <w:p>
      <w:pPr>
        <w:pStyle w:val="ListBullet"/>
        <w:spacing w:after="40"/>
      </w:pPr>
      <w:r>
        <w:rPr>
          <w:b/>
        </w:rPr>
        <w:t>Cost floor:</w:t>
      </w:r>
      <w:r>
        <w:t xml:space="preserve"> price ≥ COGS × (1 + 5% minimum markup + 12% × 4/52 carrying cost) ÷ (1 − expected credit loss rate).</w:t>
      </w:r>
    </w:p>
    <w:p>
      <w:pPr>
        <w:pStyle w:val="ListBullet"/>
        <w:spacing w:after="40"/>
      </w:pPr>
      <w:r>
        <w:rPr>
          <w:b/>
        </w:rPr>
        <w:t>Competitive band:</w:t>
      </w:r>
      <w:r>
        <w:t xml:space="preserve"> 0.92 × P0 ≤ price ≤ 1.10 × P0. No competitor prices are available, so the 13-week average price stands in for the market.</w:t>
      </w:r>
    </w:p>
    <w:p>
      <w:pPr>
        <w:pStyle w:val="ListBullet"/>
        <w:spacing w:after="40"/>
      </w:pPr>
      <w:r>
        <w:rPr>
          <w:b/>
        </w:rPr>
        <w:t>Stability:</w:t>
      </w:r>
      <w:r>
        <w:t xml:space="preserve"> the price changes by at most ±3% from one week to the next.</w:t>
      </w:r>
    </w:p>
    <w:p>
      <w:pPr>
        <w:pStyle w:val="Heading2"/>
      </w:pPr>
      <w:r>
        <w:t>Rule 6 – Final price</w:t>
      </w:r>
    </w:p>
    <w:p>
      <w:pPr>
        <w:spacing w:after="80"/>
        <w:ind w:left="454"/>
      </w:pPr>
      <w:r>
        <w:rPr>
          <w:rFonts w:ascii="Cambria Math" w:hAnsi="Cambria Math"/>
          <w:i/>
          <w:sz w:val="21"/>
        </w:rPr>
        <w:t>target = P0 × (1 + u_protected) × (1 + premium) × (1 − d)   →   raise to cost floor   →   keep inside band   →   limit weekly step</w:t>
      </w:r>
    </w:p>
    <w:p>
      <w:pPr>
        <w:pStyle w:val="Heading1"/>
      </w:pPr>
      <w:r>
        <w:t>4. Behaviour by product type and season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608"/>
            <w:shd w:val="clear" w:color="auto"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2268"/>
            <w:shd w:val="clear" w:color="auto"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Peak season</w:t>
            </w:r>
          </w:p>
        </w:tc>
        <w:tc>
          <w:tcPr>
            <w:tcW w:type="dxa" w:w="2268"/>
            <w:shd w:val="clear" w:color="auto"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Normal season</w:t>
            </w:r>
          </w:p>
        </w:tc>
        <w:tc>
          <w:tcPr>
            <w:tcW w:type="dxa" w:w="2268"/>
            <w:shd w:val="clear" w:color="auto"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Off-peak season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9"/>
              </w:rPr>
              <w:t>Low-stock product (sells out)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9"/>
              </w:rPr>
              <w:t>full premium, up to +8%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9"/>
              </w:rPr>
              <w:t>75% of the premium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9"/>
              </w:rPr>
              <w:t>50% of the premium</w:t>
            </w:r>
          </w:p>
        </w:tc>
      </w:tr>
      <w:tr>
        <w:tc>
          <w:tcPr>
            <w:tcW w:type="dxa" w:w="2608"/>
            <w:shd w:val="clear" w:color="auto" w:fill="F2F6FA"/>
          </w:tcPr>
          <w:p>
            <w:pPr>
              <w:spacing w:after="20"/>
            </w:pPr>
            <w:r/>
            <w:r>
              <w:rPr>
                <w:sz w:val="19"/>
              </w:rPr>
              <w:t>Balanced</w:t>
            </w:r>
          </w:p>
        </w:tc>
        <w:tc>
          <w:tcPr>
            <w:tcW w:type="dxa" w:w="2268"/>
            <w:shd w:val="clear" w:color="auto" w:fill="F2F6FA"/>
          </w:tcPr>
          <w:p>
            <w:pPr>
              <w:spacing w:after="20"/>
            </w:pPr>
            <w:r/>
            <w:r>
              <w:rPr>
                <w:sz w:val="19"/>
              </w:rPr>
              <w:t>hold P0</w:t>
            </w:r>
          </w:p>
        </w:tc>
        <w:tc>
          <w:tcPr>
            <w:tcW w:type="dxa" w:w="2268"/>
            <w:shd w:val="clear" w:color="auto" w:fill="F2F6FA"/>
          </w:tcPr>
          <w:p>
            <w:pPr>
              <w:spacing w:after="20"/>
            </w:pPr>
            <w:r/>
            <w:r>
              <w:rPr>
                <w:sz w:val="19"/>
              </w:rPr>
              <w:t>hold P0</w:t>
            </w:r>
          </w:p>
        </w:tc>
        <w:tc>
          <w:tcPr>
            <w:tcW w:type="dxa" w:w="2268"/>
            <w:shd w:val="clear" w:color="auto" w:fill="F2F6FA"/>
          </w:tcPr>
          <w:p>
            <w:pPr>
              <w:spacing w:after="20"/>
            </w:pPr>
            <w:r/>
            <w:r>
              <w:rPr>
                <w:sz w:val="19"/>
              </w:rPr>
              <w:t>hold P0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9"/>
              </w:rPr>
              <w:t>High-stock product (&gt; 26 weeks)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9"/>
              </w:rPr>
              <w:t>hold P0 (no markdown in peaks)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9"/>
              </w:rPr>
              <w:t>markdown only if it pays (half strength)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9"/>
              </w:rPr>
              <w:t>markdown candidate, up to −10%, only if it pays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 w:val="0"/>
          <w:i w:val="0"/>
        </w:rPr>
        <w:t>What the rules actually did when replayed on the last 52 weeks (average price change vs reference price):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3175"/>
            <w:shd w:val="clear" w:color="auto"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Product type</w:t>
            </w:r>
          </w:p>
        </w:tc>
        <w:tc>
          <w:tcPr>
            <w:tcW w:type="dxa" w:w="2041"/>
            <w:shd w:val="clear" w:color="auto"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Peak</w:t>
            </w:r>
          </w:p>
        </w:tc>
        <w:tc>
          <w:tcPr>
            <w:tcW w:type="dxa" w:w="2041"/>
            <w:shd w:val="clear" w:color="auto"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Normal</w:t>
            </w:r>
          </w:p>
        </w:tc>
        <w:tc>
          <w:tcPr>
            <w:tcW w:type="dxa" w:w="2041"/>
            <w:shd w:val="clear" w:color="auto"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Off-peak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9"/>
              </w:rPr>
              <w:t>Normal-stock products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9"/>
              </w:rPr>
              <w:t>+5.0%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9"/>
              </w:rPr>
              <w:t>+2.8%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9"/>
              </w:rPr>
              <w:t>+1.4%</w:t>
            </w:r>
          </w:p>
        </w:tc>
      </w:tr>
      <w:tr>
        <w:tc>
          <w:tcPr>
            <w:tcW w:type="dxa" w:w="3175"/>
            <w:shd w:val="clear" w:color="auto" w:fill="F2F6FA"/>
          </w:tcPr>
          <w:p>
            <w:pPr>
              <w:spacing w:after="20"/>
            </w:pPr>
            <w:r/>
            <w:r>
              <w:rPr>
                <w:sz w:val="19"/>
              </w:rPr>
              <w:t>High-stock products</w:t>
            </w:r>
          </w:p>
        </w:tc>
        <w:tc>
          <w:tcPr>
            <w:tcW w:type="dxa" w:w="2041"/>
            <w:shd w:val="clear" w:color="auto" w:fill="F2F6FA"/>
          </w:tcPr>
          <w:p>
            <w:pPr>
              <w:spacing w:after="20"/>
            </w:pPr>
            <w:r/>
            <w:r>
              <w:rPr>
                <w:sz w:val="19"/>
              </w:rPr>
              <w:t>+0.0%</w:t>
            </w:r>
          </w:p>
        </w:tc>
        <w:tc>
          <w:tcPr>
            <w:tcW w:type="dxa" w:w="2041"/>
            <w:shd w:val="clear" w:color="auto" w:fill="F2F6FA"/>
          </w:tcPr>
          <w:p>
            <w:pPr>
              <w:spacing w:after="20"/>
            </w:pPr>
            <w:r/>
            <w:r>
              <w:rPr>
                <w:sz w:val="19"/>
              </w:rPr>
              <w:t>+0.0%</w:t>
            </w:r>
          </w:p>
        </w:tc>
        <w:tc>
          <w:tcPr>
            <w:tcW w:type="dxa" w:w="2041"/>
            <w:shd w:val="clear" w:color="auto" w:fill="F2F6FA"/>
          </w:tcPr>
          <w:p>
            <w:pPr>
              <w:spacing w:after="20"/>
            </w:pPr>
            <w:r/>
            <w:r>
              <w:rPr>
                <w:sz w:val="19"/>
              </w:rPr>
              <w:t>+0.0%</w:t>
            </w:r>
          </w:p>
        </w:tc>
      </w:tr>
    </w:tbl>
    <w:p>
      <w:pPr>
        <w:spacing w:after="40"/>
      </w:pPr>
    </w:p>
    <w:p>
      <w:pPr>
        <w:pStyle w:val="Heading1"/>
      </w:pPr>
      <w:r>
        <w:t>5. Worked example</w:t>
      </w:r>
    </w:p>
    <w:p>
      <w:pPr>
        <w:spacing w:after="60"/>
      </w:pPr>
      <w:r>
        <w:rPr>
          <w:b/>
          <w:i w:val="0"/>
        </w:rPr>
        <w:t>Barley, week of 2024-12-30 (normal season, credit rating C).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794"/>
            <w:shd w:val="clear" w:color="auto"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type="dxa" w:w="3742"/>
            <w:shd w:val="clear" w:color="auto"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What happens</w:t>
            </w:r>
          </w:p>
        </w:tc>
        <w:tc>
          <w:tcPr>
            <w:tcW w:type="dxa" w:w="4876"/>
            <w:shd w:val="clear" w:color="auto"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Numbers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9"/>
              </w:rPr>
              <w:t>1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sz w:val="19"/>
              </w:rPr>
              <w:t>Reference price and unit cost</w:t>
            </w:r>
          </w:p>
        </w:tc>
        <w:tc>
          <w:tcPr>
            <w:tcW w:type="dxa" w:w="4876"/>
          </w:tcPr>
          <w:p>
            <w:pPr>
              <w:spacing w:after="20"/>
            </w:pPr>
            <w:r/>
            <w:r>
              <w:rPr>
                <w:sz w:val="19"/>
              </w:rPr>
              <w:t>$7.447 and $5.877</w:t>
            </w:r>
          </w:p>
        </w:tc>
      </w:tr>
      <w:tr>
        <w:tc>
          <w:tcPr>
            <w:tcW w:type="dxa" w:w="794"/>
            <w:shd w:val="clear" w:color="auto" w:fill="F2F6FA"/>
          </w:tcPr>
          <w:p>
            <w:pPr>
              <w:spacing w:after="20"/>
            </w:pPr>
            <w:r/>
            <w:r>
              <w:rPr>
                <w:sz w:val="19"/>
              </w:rPr>
              <w:t>2</w:t>
            </w:r>
          </w:p>
        </w:tc>
        <w:tc>
          <w:tcPr>
            <w:tcW w:type="dxa" w:w="3742"/>
            <w:shd w:val="clear" w:color="auto" w:fill="F2F6FA"/>
          </w:tcPr>
          <w:p>
            <w:pPr>
              <w:spacing w:after="20"/>
            </w:pPr>
            <w:r/>
            <w:r>
              <w:rPr>
                <w:sz w:val="19"/>
              </w:rPr>
              <w:t>Expected demand (low – high case)</w:t>
            </w:r>
          </w:p>
        </w:tc>
        <w:tc>
          <w:tcPr>
            <w:tcW w:type="dxa" w:w="4876"/>
            <w:shd w:val="clear" w:color="auto" w:fill="F2F6FA"/>
          </w:tcPr>
          <w:p>
            <w:pPr>
              <w:spacing w:after="20"/>
            </w:pPr>
            <w:r/>
            <w:r>
              <w:rPr>
                <w:sz w:val="19"/>
              </w:rPr>
              <w:t>2,899 units (2,675 – 3,119)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9"/>
              </w:rPr>
              <w:t>3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sz w:val="19"/>
              </w:rPr>
              <w:t>Units we expect to sell given the product's stock history</w:t>
            </w:r>
          </w:p>
        </w:tc>
        <w:tc>
          <w:tcPr>
            <w:tcW w:type="dxa" w:w="4876"/>
          </w:tcPr>
          <w:p>
            <w:pPr>
              <w:spacing w:after="20"/>
            </w:pPr>
            <w:r/>
            <w:r>
              <w:rPr>
                <w:sz w:val="19"/>
              </w:rPr>
              <w:t>1,391</w:t>
            </w:r>
          </w:p>
        </w:tc>
      </w:tr>
      <w:tr>
        <w:tc>
          <w:tcPr>
            <w:tcW w:type="dxa" w:w="794"/>
            <w:shd w:val="clear" w:color="auto" w:fill="F2F6FA"/>
          </w:tcPr>
          <w:p>
            <w:pPr>
              <w:spacing w:after="20"/>
            </w:pPr>
            <w:r/>
            <w:r>
              <w:rPr>
                <w:sz w:val="19"/>
              </w:rPr>
              <w:t>4</w:t>
            </w:r>
          </w:p>
        </w:tc>
        <w:tc>
          <w:tcPr>
            <w:tcW w:type="dxa" w:w="3742"/>
            <w:shd w:val="clear" w:color="auto" w:fill="F2F6FA"/>
          </w:tcPr>
          <w:p>
            <w:pPr>
              <w:spacing w:after="20"/>
            </w:pPr>
            <w:r/>
            <w:r>
              <w:rPr>
                <w:sz w:val="19"/>
              </w:rPr>
              <w:t>Service gap</w:t>
            </w:r>
          </w:p>
        </w:tc>
        <w:tc>
          <w:tcPr>
            <w:tcW w:type="dxa" w:w="4876"/>
            <w:shd w:val="clear" w:color="auto" w:fill="F2F6FA"/>
          </w:tcPr>
          <w:p>
            <w:pPr>
              <w:spacing w:after="20"/>
            </w:pPr>
            <w:r/>
            <w:r>
              <w:rPr>
                <w:sz w:val="19"/>
              </w:rPr>
              <w:t>1 − 1,391 / 2,900 = 52%  →  Scarce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9"/>
              </w:rPr>
              <w:t>5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sz w:val="19"/>
              </w:rPr>
              <w:t>Rule 1 premium</w:t>
            </w:r>
          </w:p>
        </w:tc>
        <w:tc>
          <w:tcPr>
            <w:tcW w:type="dxa" w:w="4876"/>
          </w:tcPr>
          <w:p>
            <w:pPr>
              <w:spacing w:after="20"/>
            </w:pPr>
            <w:r/>
            <w:r>
              <w:rPr>
                <w:sz w:val="19"/>
              </w:rPr>
              <w:t>8% × 1.00 × 0.75 = 6.0%</w:t>
            </w:r>
          </w:p>
        </w:tc>
      </w:tr>
      <w:tr>
        <w:tc>
          <w:tcPr>
            <w:tcW w:type="dxa" w:w="794"/>
            <w:shd w:val="clear" w:color="auto" w:fill="F2F6FA"/>
          </w:tcPr>
          <w:p>
            <w:pPr>
              <w:spacing w:after="20"/>
            </w:pPr>
            <w:r/>
            <w:r>
              <w:rPr>
                <w:sz w:val="19"/>
              </w:rPr>
              <w:t>6</w:t>
            </w:r>
          </w:p>
        </w:tc>
        <w:tc>
          <w:tcPr>
            <w:tcW w:type="dxa" w:w="3742"/>
            <w:shd w:val="clear" w:color="auto" w:fill="F2F6FA"/>
          </w:tcPr>
          <w:p>
            <w:pPr>
              <w:spacing w:after="20"/>
            </w:pPr>
            <w:r/>
            <w:r>
              <w:rPr>
                <w:sz w:val="19"/>
              </w:rPr>
              <w:t>Rule 2 sell-out protection</w:t>
            </w:r>
          </w:p>
        </w:tc>
        <w:tc>
          <w:tcPr>
            <w:tcW w:type="dxa" w:w="4876"/>
            <w:shd w:val="clear" w:color="auto" w:fill="F2F6FA"/>
          </w:tcPr>
          <w:p>
            <w:pPr>
              <w:spacing w:after="20"/>
            </w:pPr>
            <w:r/>
            <w:r>
              <w:rPr>
                <w:sz w:val="19"/>
              </w:rPr>
              <w:t>allowed premium 4.5% (units stay at 99.0% even at ε = −2)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9"/>
              </w:rPr>
              <w:t>7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sz w:val="19"/>
              </w:rPr>
              <w:t>Rule 4 credit premium</w:t>
            </w:r>
          </w:p>
        </w:tc>
        <w:tc>
          <w:tcPr>
            <w:tcW w:type="dxa" w:w="4876"/>
          </w:tcPr>
          <w:p>
            <w:pPr>
              <w:spacing w:after="20"/>
            </w:pPr>
            <w:r/>
            <w:r>
              <w:rPr>
                <w:sz w:val="19"/>
              </w:rPr>
              <w:t>rating C: 0.0%</w:t>
            </w:r>
          </w:p>
        </w:tc>
      </w:tr>
      <w:tr>
        <w:tc>
          <w:tcPr>
            <w:tcW w:type="dxa" w:w="794"/>
            <w:shd w:val="clear" w:color="auto" w:fill="F2F6FA"/>
          </w:tcPr>
          <w:p>
            <w:pPr>
              <w:spacing w:after="20"/>
            </w:pPr>
            <w:r/>
            <w:r>
              <w:rPr>
                <w:sz w:val="19"/>
              </w:rPr>
              <w:t>8</w:t>
            </w:r>
          </w:p>
        </w:tc>
        <w:tc>
          <w:tcPr>
            <w:tcW w:type="dxa" w:w="3742"/>
            <w:shd w:val="clear" w:color="auto" w:fill="F2F6FA"/>
          </w:tcPr>
          <w:p>
            <w:pPr>
              <w:spacing w:after="20"/>
            </w:pPr>
            <w:r/>
            <w:r>
              <w:rPr>
                <w:sz w:val="19"/>
              </w:rPr>
              <w:t>Rule 5 guardrails</w:t>
            </w:r>
          </w:p>
        </w:tc>
        <w:tc>
          <w:tcPr>
            <w:tcW w:type="dxa" w:w="4876"/>
            <w:shd w:val="clear" w:color="auto" w:fill="F2F6FA"/>
          </w:tcPr>
          <w:p>
            <w:pPr>
              <w:spacing w:after="20"/>
            </w:pPr>
            <w:r/>
            <w:r>
              <w:rPr>
                <w:sz w:val="19"/>
              </w:rPr>
              <w:t>floor $6.27; band $6.85 – $8.19; step limit ±3% of the previous price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9"/>
              </w:rPr>
              <w:t>9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sz w:val="19"/>
              </w:rPr>
              <w:t>Recommended price</w:t>
            </w:r>
          </w:p>
        </w:tc>
        <w:tc>
          <w:tcPr>
            <w:tcW w:type="dxa" w:w="4876"/>
          </w:tcPr>
          <w:p>
            <w:pPr>
              <w:spacing w:after="20"/>
            </w:pPr>
            <w:r/>
            <w:r>
              <w:rPr>
                <w:sz w:val="19"/>
              </w:rPr>
              <w:t>$7.670 (+3.0%) in week 1, reaching the target in the following weeks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459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price_path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45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Figure 2 – Price paths of three products against the competitive band and the cost floor.</w:t>
      </w:r>
    </w:p>
    <w:p>
      <w:pPr>
        <w:pStyle w:val="Heading1"/>
      </w:pPr>
      <w:r>
        <w:t>6. Parameters</w:t>
      </w:r>
    </w:p>
    <w:p>
      <w:pPr>
        <w:spacing w:after="60"/>
      </w:pPr>
      <w:r>
        <w:rPr>
          <w:b w:val="0"/>
          <w:i w:val="0"/>
        </w:rPr>
        <w:t>All tunable values are defined in one place in the notebook. Type: policy = management choice, assumption = not measurable from the data, data-derived = read from the data.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041"/>
            <w:shd w:val="clear" w:color="auto"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Parameter</w:t>
            </w:r>
          </w:p>
        </w:tc>
        <w:tc>
          <w:tcPr>
            <w:tcW w:type="dxa" w:w="1474"/>
            <w:shd w:val="clear" w:color="auto"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4649"/>
            <w:shd w:val="clear" w:color="auto"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Meaning</w:t>
            </w:r>
          </w:p>
        </w:tc>
        <w:tc>
          <w:tcPr>
            <w:tcW w:type="dxa" w:w="1247"/>
            <w:shd w:val="clear" w:color="auto"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Type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7"/>
              </w:rPr>
              <w:t>U_MAX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7"/>
              </w:rPr>
              <w:t>0.08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sz w:val="17"/>
              </w:rPr>
              <w:t>Largest scarcity premium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7"/>
              </w:rPr>
              <w:t>policy</w:t>
            </w:r>
          </w:p>
        </w:tc>
      </w:tr>
      <w:tr>
        <w:tc>
          <w:tcPr>
            <w:tcW w:type="dxa" w:w="2041"/>
            <w:shd w:val="clear" w:color="auto" w:fill="F2F6FA"/>
          </w:tcPr>
          <w:p>
            <w:pPr>
              <w:spacing w:after="20"/>
            </w:pPr>
            <w:r/>
            <w:r>
              <w:rPr>
                <w:sz w:val="17"/>
              </w:rPr>
              <w:t>GAP_MIN</w:t>
            </w:r>
          </w:p>
        </w:tc>
        <w:tc>
          <w:tcPr>
            <w:tcW w:type="dxa" w:w="1474"/>
            <w:shd w:val="clear" w:color="auto" w:fill="F2F6FA"/>
          </w:tcPr>
          <w:p>
            <w:pPr>
              <w:spacing w:after="20"/>
            </w:pPr>
            <w:r/>
            <w:r>
              <w:rPr>
                <w:sz w:val="17"/>
              </w:rPr>
              <w:t>0.05</w:t>
            </w:r>
          </w:p>
        </w:tc>
        <w:tc>
          <w:tcPr>
            <w:tcW w:type="dxa" w:w="4649"/>
            <w:shd w:val="clear" w:color="auto" w:fill="F2F6FA"/>
          </w:tcPr>
          <w:p>
            <w:pPr>
              <w:spacing w:after="20"/>
            </w:pPr>
            <w:r/>
            <w:r>
              <w:rPr>
                <w:sz w:val="17"/>
              </w:rPr>
              <w:t>Unserved-demand share below which stock is not a constraint</w:t>
            </w:r>
          </w:p>
        </w:tc>
        <w:tc>
          <w:tcPr>
            <w:tcW w:type="dxa" w:w="1247"/>
            <w:shd w:val="clear" w:color="auto" w:fill="F2F6FA"/>
          </w:tcPr>
          <w:p>
            <w:pPr>
              <w:spacing w:after="20"/>
            </w:pPr>
            <w:r/>
            <w:r>
              <w:rPr>
                <w:sz w:val="17"/>
              </w:rPr>
              <w:t>policy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7"/>
              </w:rPr>
              <w:t>G_FULL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7"/>
              </w:rPr>
              <w:t>0.3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sz w:val="17"/>
              </w:rPr>
              <w:t>Unserved-demand share at which the premium is maximal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7"/>
              </w:rPr>
              <w:t>policy</w:t>
            </w:r>
          </w:p>
        </w:tc>
      </w:tr>
      <w:tr>
        <w:tc>
          <w:tcPr>
            <w:tcW w:type="dxa" w:w="2041"/>
            <w:shd w:val="clear" w:color="auto" w:fill="F2F6FA"/>
          </w:tcPr>
          <w:p>
            <w:pPr>
              <w:spacing w:after="20"/>
            </w:pPr>
            <w:r/>
            <w:r>
              <w:rPr>
                <w:sz w:val="17"/>
              </w:rPr>
              <w:t>SEASON_MULT</w:t>
            </w:r>
          </w:p>
        </w:tc>
        <w:tc>
          <w:tcPr>
            <w:tcW w:type="dxa" w:w="1474"/>
            <w:shd w:val="clear" w:color="auto" w:fill="F2F6FA"/>
          </w:tcPr>
          <w:p>
            <w:pPr>
              <w:spacing w:after="20"/>
            </w:pPr>
            <w:r/>
            <w:r>
              <w:rPr>
                <w:sz w:val="17"/>
              </w:rPr>
              <w:t>peak 1.00 / normal 0.75 / off-peak 0.50</w:t>
            </w:r>
          </w:p>
        </w:tc>
        <w:tc>
          <w:tcPr>
            <w:tcW w:type="dxa" w:w="4649"/>
            <w:shd w:val="clear" w:color="auto" w:fill="F2F6FA"/>
          </w:tcPr>
          <w:p>
            <w:pPr>
              <w:spacing w:after="20"/>
            </w:pPr>
            <w:r/>
            <w:r>
              <w:rPr>
                <w:sz w:val="17"/>
              </w:rPr>
              <w:t>Share of the premium used in peak / normal / off-peak weeks</w:t>
            </w:r>
          </w:p>
        </w:tc>
        <w:tc>
          <w:tcPr>
            <w:tcW w:type="dxa" w:w="1247"/>
            <w:shd w:val="clear" w:color="auto" w:fill="F2F6FA"/>
          </w:tcPr>
          <w:p>
            <w:pPr>
              <w:spacing w:after="20"/>
            </w:pPr>
            <w:r/>
            <w:r>
              <w:rPr>
                <w:sz w:val="17"/>
              </w:rPr>
              <w:t>policy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7"/>
              </w:rPr>
              <w:t>PEAK_IDX / OFFPEAK_IDX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7"/>
              </w:rPr>
              <w:t>1.1 / 0.9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sz w:val="17"/>
              </w:rPr>
              <w:t>Seasonal-curve levels that define peak and off-peak weeks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7"/>
              </w:rPr>
              <w:t>data-derived</w:t>
            </w:r>
          </w:p>
        </w:tc>
      </w:tr>
      <w:tr>
        <w:tc>
          <w:tcPr>
            <w:tcW w:type="dxa" w:w="2041"/>
            <w:shd w:val="clear" w:color="auto" w:fill="F2F6FA"/>
          </w:tcPr>
          <w:p>
            <w:pPr>
              <w:spacing w:after="20"/>
            </w:pPr>
            <w:r/>
            <w:r>
              <w:rPr>
                <w:sz w:val="17"/>
              </w:rPr>
              <w:t>EPS_PLAN</w:t>
            </w:r>
          </w:p>
        </w:tc>
        <w:tc>
          <w:tcPr>
            <w:tcW w:type="dxa" w:w="1474"/>
            <w:shd w:val="clear" w:color="auto" w:fill="F2F6FA"/>
          </w:tcPr>
          <w:p>
            <w:pPr>
              <w:spacing w:after="20"/>
            </w:pPr>
            <w:r/>
            <w:r>
              <w:rPr>
                <w:sz w:val="17"/>
              </w:rPr>
              <w:t>-1.0</w:t>
            </w:r>
          </w:p>
        </w:tc>
        <w:tc>
          <w:tcPr>
            <w:tcW w:type="dxa" w:w="4649"/>
            <w:shd w:val="clear" w:color="auto" w:fill="F2F6FA"/>
          </w:tcPr>
          <w:p>
            <w:pPr>
              <w:spacing w:after="20"/>
            </w:pPr>
            <w:r/>
            <w:r>
              <w:rPr>
                <w:sz w:val="17"/>
              </w:rPr>
              <w:t>Planning price sensitivity (-1 = demand falls 1% when price rises 1%)</w:t>
            </w:r>
          </w:p>
        </w:tc>
        <w:tc>
          <w:tcPr>
            <w:tcW w:type="dxa" w:w="1247"/>
            <w:shd w:val="clear" w:color="auto" w:fill="F2F6FA"/>
          </w:tcPr>
          <w:p>
            <w:pPr>
              <w:spacing w:after="20"/>
            </w:pPr>
            <w:r/>
            <w:r>
              <w:rPr>
                <w:sz w:val="17"/>
              </w:rPr>
              <w:t>assumption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7"/>
              </w:rPr>
              <w:t>EPS_STRESS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7"/>
              </w:rPr>
              <w:t>-2.0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sz w:val="17"/>
              </w:rPr>
              <w:t>Stress price sensitivity used by the sell-out protection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7"/>
              </w:rPr>
              <w:t>assumption</w:t>
            </w:r>
          </w:p>
        </w:tc>
      </w:tr>
      <w:tr>
        <w:tc>
          <w:tcPr>
            <w:tcW w:type="dxa" w:w="2041"/>
            <w:shd w:val="clear" w:color="auto" w:fill="F2F6FA"/>
          </w:tcPr>
          <w:p>
            <w:pPr>
              <w:spacing w:after="20"/>
            </w:pPr>
            <w:r/>
            <w:r>
              <w:rPr>
                <w:sz w:val="17"/>
              </w:rPr>
              <w:t>VOL_TOL</w:t>
            </w:r>
          </w:p>
        </w:tc>
        <w:tc>
          <w:tcPr>
            <w:tcW w:type="dxa" w:w="1474"/>
            <w:shd w:val="clear" w:color="auto" w:fill="F2F6FA"/>
          </w:tcPr>
          <w:p>
            <w:pPr>
              <w:spacing w:after="20"/>
            </w:pPr>
            <w:r/>
            <w:r>
              <w:rPr>
                <w:sz w:val="17"/>
              </w:rPr>
              <w:t>0.01</w:t>
            </w:r>
          </w:p>
        </w:tc>
        <w:tc>
          <w:tcPr>
            <w:tcW w:type="dxa" w:w="4649"/>
            <w:shd w:val="clear" w:color="auto" w:fill="F2F6FA"/>
          </w:tcPr>
          <w:p>
            <w:pPr>
              <w:spacing w:after="20"/>
            </w:pPr>
            <w:r/>
            <w:r>
              <w:rPr>
                <w:sz w:val="17"/>
              </w:rPr>
              <w:t>Units we accept to lose because of a scarcity premium</w:t>
            </w:r>
          </w:p>
        </w:tc>
        <w:tc>
          <w:tcPr>
            <w:tcW w:type="dxa" w:w="1247"/>
            <w:shd w:val="clear" w:color="auto" w:fill="F2F6FA"/>
          </w:tcPr>
          <w:p>
            <w:pPr>
              <w:spacing w:after="20"/>
            </w:pPr>
            <w:r/>
            <w:r>
              <w:rPr>
                <w:sz w:val="17"/>
              </w:rPr>
              <w:t>policy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7"/>
              </w:rPr>
              <w:t>D_MAX / COVER_MAX / COVER_FULL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7"/>
              </w:rPr>
              <w:t>0.1 / 26 / 104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sz w:val="17"/>
              </w:rPr>
              <w:t>Largest markdown; weeks of cover where markdowns start / are deepest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7"/>
              </w:rPr>
              <w:t>policy</w:t>
            </w:r>
          </w:p>
        </w:tc>
      </w:tr>
      <w:tr>
        <w:tc>
          <w:tcPr>
            <w:tcW w:type="dxa" w:w="2041"/>
            <w:shd w:val="clear" w:color="auto" w:fill="F2F6FA"/>
          </w:tcPr>
          <w:p>
            <w:pPr>
              <w:spacing w:after="20"/>
            </w:pPr>
            <w:r/>
            <w:r>
              <w:rPr>
                <w:sz w:val="17"/>
              </w:rPr>
              <w:t>LULL</w:t>
            </w:r>
          </w:p>
        </w:tc>
        <w:tc>
          <w:tcPr>
            <w:tcW w:type="dxa" w:w="1474"/>
            <w:shd w:val="clear" w:color="auto" w:fill="F2F6FA"/>
          </w:tcPr>
          <w:p>
            <w:pPr>
              <w:spacing w:after="20"/>
            </w:pPr>
            <w:r/>
            <w:r>
              <w:rPr>
                <w:sz w:val="17"/>
              </w:rPr>
              <w:t>off-peak 1.0 / normal 0.5 / peak 0</w:t>
            </w:r>
          </w:p>
        </w:tc>
        <w:tc>
          <w:tcPr>
            <w:tcW w:type="dxa" w:w="4649"/>
            <w:shd w:val="clear" w:color="auto" w:fill="F2F6FA"/>
          </w:tcPr>
          <w:p>
            <w:pPr>
              <w:spacing w:after="20"/>
            </w:pPr>
            <w:r/>
            <w:r>
              <w:rPr>
                <w:sz w:val="17"/>
              </w:rPr>
              <w:t>Share of the markdown used in off-peak / normal / peak weeks</w:t>
            </w:r>
          </w:p>
        </w:tc>
        <w:tc>
          <w:tcPr>
            <w:tcW w:type="dxa" w:w="1247"/>
            <w:shd w:val="clear" w:color="auto" w:fill="F2F6FA"/>
          </w:tcPr>
          <w:p>
            <w:pPr>
              <w:spacing w:after="20"/>
            </w:pPr>
            <w:r/>
            <w:r>
              <w:rPr>
                <w:sz w:val="17"/>
              </w:rPr>
              <w:t>policy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7"/>
              </w:rPr>
              <w:t>MD_CAP_C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7"/>
              </w:rPr>
              <w:t>0.05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sz w:val="17"/>
              </w:rPr>
              <w:t>Markdown cap for rating C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7"/>
              </w:rPr>
              <w:t>policy</w:t>
            </w:r>
          </w:p>
        </w:tc>
      </w:tr>
      <w:tr>
        <w:tc>
          <w:tcPr>
            <w:tcW w:type="dxa" w:w="2041"/>
            <w:shd w:val="clear" w:color="auto" w:fill="F2F6FA"/>
          </w:tcPr>
          <w:p>
            <w:pPr>
              <w:spacing w:after="20"/>
            </w:pPr>
            <w:r/>
            <w:r>
              <w:rPr>
                <w:sz w:val="17"/>
              </w:rPr>
              <w:t>TERMS_CUT_DAYS</w:t>
            </w:r>
          </w:p>
        </w:tc>
        <w:tc>
          <w:tcPr>
            <w:tcW w:type="dxa" w:w="1474"/>
            <w:shd w:val="clear" w:color="auto" w:fill="F2F6FA"/>
          </w:tcPr>
          <w:p>
            <w:pPr>
              <w:spacing w:after="20"/>
            </w:pPr>
            <w:r/>
            <w:r>
              <w:rPr>
                <w:sz w:val="17"/>
              </w:rPr>
              <w:t>15</w:t>
            </w:r>
          </w:p>
        </w:tc>
        <w:tc>
          <w:tcPr>
            <w:tcW w:type="dxa" w:w="4649"/>
            <w:shd w:val="clear" w:color="auto" w:fill="F2F6FA"/>
          </w:tcPr>
          <w:p>
            <w:pPr>
              <w:spacing w:after="20"/>
            </w:pPr>
            <w:r/>
            <w:r>
              <w:rPr>
                <w:sz w:val="17"/>
              </w:rPr>
              <w:t>Recommended payment-terms cut for rating D/E</w:t>
            </w:r>
          </w:p>
        </w:tc>
        <w:tc>
          <w:tcPr>
            <w:tcW w:type="dxa" w:w="1247"/>
            <w:shd w:val="clear" w:color="auto" w:fill="F2F6FA"/>
          </w:tcPr>
          <w:p>
            <w:pPr>
              <w:spacing w:after="20"/>
            </w:pPr>
            <w:r/>
            <w:r>
              <w:rPr>
                <w:sz w:val="17"/>
              </w:rPr>
              <w:t>policy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7"/>
              </w:rPr>
              <w:t>FUND_RATE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7"/>
              </w:rPr>
              <w:t>0.08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sz w:val="17"/>
              </w:rPr>
              <w:t>Annual cost of money tied up in unpaid invoices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7"/>
              </w:rPr>
              <w:t>assumption</w:t>
            </w:r>
          </w:p>
        </w:tc>
      </w:tr>
      <w:tr>
        <w:tc>
          <w:tcPr>
            <w:tcW w:type="dxa" w:w="2041"/>
            <w:shd w:val="clear" w:color="auto" w:fill="F2F6FA"/>
          </w:tcPr>
          <w:p>
            <w:pPr>
              <w:spacing w:after="20"/>
            </w:pPr>
            <w:r/>
            <w:r>
              <w:rPr>
                <w:sz w:val="17"/>
              </w:rPr>
              <w:t>MIN_MARKUP</w:t>
            </w:r>
          </w:p>
        </w:tc>
        <w:tc>
          <w:tcPr>
            <w:tcW w:type="dxa" w:w="1474"/>
            <w:shd w:val="clear" w:color="auto" w:fill="F2F6FA"/>
          </w:tcPr>
          <w:p>
            <w:pPr>
              <w:spacing w:after="20"/>
            </w:pPr>
            <w:r/>
            <w:r>
              <w:rPr>
                <w:sz w:val="17"/>
              </w:rPr>
              <w:t>0.05</w:t>
            </w:r>
          </w:p>
        </w:tc>
        <w:tc>
          <w:tcPr>
            <w:tcW w:type="dxa" w:w="4649"/>
            <w:shd w:val="clear" w:color="auto" w:fill="F2F6FA"/>
          </w:tcPr>
          <w:p>
            <w:pPr>
              <w:spacing w:after="20"/>
            </w:pPr>
            <w:r/>
            <w:r>
              <w:rPr>
                <w:sz w:val="17"/>
              </w:rPr>
              <w:t>Minimum markup on cost in the price floor</w:t>
            </w:r>
          </w:p>
        </w:tc>
        <w:tc>
          <w:tcPr>
            <w:tcW w:type="dxa" w:w="1247"/>
            <w:shd w:val="clear" w:color="auto" w:fill="F2F6FA"/>
          </w:tcPr>
          <w:p>
            <w:pPr>
              <w:spacing w:after="20"/>
            </w:pPr>
            <w:r/>
            <w:r>
              <w:rPr>
                <w:sz w:val="17"/>
              </w:rPr>
              <w:t>policy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7"/>
              </w:rPr>
              <w:t>CARRY_ANNUAL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7"/>
              </w:rPr>
              <w:t>0.12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sz w:val="17"/>
              </w:rPr>
              <w:t>Annual cost of holding stock, as share of cost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7"/>
              </w:rPr>
              <w:t>assumption</w:t>
            </w:r>
          </w:p>
        </w:tc>
      </w:tr>
      <w:tr>
        <w:tc>
          <w:tcPr>
            <w:tcW w:type="dxa" w:w="2041"/>
            <w:shd w:val="clear" w:color="auto" w:fill="F2F6FA"/>
          </w:tcPr>
          <w:p>
            <w:pPr>
              <w:spacing w:after="20"/>
            </w:pPr>
            <w:r/>
            <w:r>
              <w:rPr>
                <w:sz w:val="17"/>
              </w:rPr>
              <w:t>CARRY_FLOOR_WEEKS</w:t>
            </w:r>
          </w:p>
        </w:tc>
        <w:tc>
          <w:tcPr>
            <w:tcW w:type="dxa" w:w="1474"/>
            <w:shd w:val="clear" w:color="auto" w:fill="F2F6FA"/>
          </w:tcPr>
          <w:p>
            <w:pPr>
              <w:spacing w:after="2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4649"/>
            <w:shd w:val="clear" w:color="auto" w:fill="F2F6FA"/>
          </w:tcPr>
          <w:p>
            <w:pPr>
              <w:spacing w:after="20"/>
            </w:pPr>
            <w:r/>
            <w:r>
              <w:rPr>
                <w:sz w:val="17"/>
              </w:rPr>
              <w:t>Weeks of carrying cost included in the floor</w:t>
            </w:r>
          </w:p>
        </w:tc>
        <w:tc>
          <w:tcPr>
            <w:tcW w:type="dxa" w:w="1247"/>
            <w:shd w:val="clear" w:color="auto" w:fill="F2F6FA"/>
          </w:tcPr>
          <w:p>
            <w:pPr>
              <w:spacing w:after="20"/>
            </w:pPr>
            <w:r/>
            <w:r>
              <w:rPr>
                <w:sz w:val="17"/>
              </w:rPr>
              <w:t>policy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7"/>
              </w:rPr>
              <w:t>BAND_UP / BAND_DOWN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7"/>
              </w:rPr>
              <w:t>+0.1 / -0.08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sz w:val="17"/>
              </w:rPr>
              <w:t>Competitive band around the reference price (no competitor data: proxy)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7"/>
              </w:rPr>
              <w:t>assumption</w:t>
            </w:r>
          </w:p>
        </w:tc>
      </w:tr>
      <w:tr>
        <w:tc>
          <w:tcPr>
            <w:tcW w:type="dxa" w:w="2041"/>
            <w:shd w:val="clear" w:color="auto" w:fill="F2F6FA"/>
          </w:tcPr>
          <w:p>
            <w:pPr>
              <w:spacing w:after="20"/>
            </w:pPr>
            <w:r/>
            <w:r>
              <w:rPr>
                <w:sz w:val="17"/>
              </w:rPr>
              <w:t>STEP_MAX</w:t>
            </w:r>
          </w:p>
        </w:tc>
        <w:tc>
          <w:tcPr>
            <w:tcW w:type="dxa" w:w="1474"/>
            <w:shd w:val="clear" w:color="auto" w:fill="F2F6FA"/>
          </w:tcPr>
          <w:p>
            <w:pPr>
              <w:spacing w:after="20"/>
            </w:pPr>
            <w:r/>
            <w:r>
              <w:rPr>
                <w:sz w:val="17"/>
              </w:rPr>
              <w:t>0.03</w:t>
            </w:r>
          </w:p>
        </w:tc>
        <w:tc>
          <w:tcPr>
            <w:tcW w:type="dxa" w:w="4649"/>
            <w:shd w:val="clear" w:color="auto" w:fill="F2F6FA"/>
          </w:tcPr>
          <w:p>
            <w:pPr>
              <w:spacing w:after="20"/>
            </w:pPr>
            <w:r/>
            <w:r>
              <w:rPr>
                <w:sz w:val="17"/>
              </w:rPr>
              <w:t>Largest price change from one week to the next</w:t>
            </w:r>
          </w:p>
        </w:tc>
        <w:tc>
          <w:tcPr>
            <w:tcW w:type="dxa" w:w="1247"/>
            <w:shd w:val="clear" w:color="auto" w:fill="F2F6FA"/>
          </w:tcPr>
          <w:p>
            <w:pPr>
              <w:spacing w:after="20"/>
            </w:pPr>
            <w:r/>
            <w:r>
              <w:rPr>
                <w:sz w:val="17"/>
              </w:rPr>
              <w:t>policy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7"/>
              </w:rPr>
              <w:t>SIM_N / SEED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7"/>
              </w:rPr>
              <w:t>1000 / 42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sz w:val="17"/>
              </w:rPr>
              <w:t>Simulation draws per product-week; random seed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7"/>
              </w:rPr>
              <w:t>technical</w:t>
            </w:r>
          </w:p>
        </w:tc>
      </w:tr>
    </w:tbl>
    <w:p>
      <w:pPr>
        <w:spacing w:after="40"/>
      </w:pPr>
    </w:p>
    <w:p>
      <w:pPr>
        <w:pStyle w:val="Heading1"/>
      </w:pPr>
      <w:r>
        <w:t>7. Evidence and expected impact</w:t>
      </w:r>
    </w:p>
    <w:p>
      <w:pPr>
        <w:pStyle w:val="Heading2"/>
      </w:pPr>
      <w:r>
        <w:t>Price sensitivity cannot be estimated from the data</w:t>
      </w:r>
    </w:p>
    <w:p>
      <w:r>
        <w:rPr>
          <w:b w:val="0"/>
          <w:i w:val="0"/>
        </w:rPr>
        <w:t>Within a product the price varies by only 4.0%. The estimated price effect is -0.017 with a 95% range of -0.056 to +0.021, which includes zero and cannot distinguish a low from a high sensitivity. The engine is therefore built not to depend on it (Rule 2), and the money impact is shown for several customer reactions.</w:t>
      </w:r>
    </w:p>
    <w:p>
      <w:pPr>
        <w:pStyle w:val="Heading2"/>
      </w:pPr>
      <w:r>
        <w:t>Expected money impact (profit after expected credit losses, versus holding today's price)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3175"/>
            <w:shd w:val="clear" w:color="auto"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Customer reaction (ε)</w:t>
            </w:r>
          </w:p>
        </w:tc>
        <w:tc>
          <w:tcPr>
            <w:tcW w:type="dxa" w:w="1361"/>
            <w:shd w:val="clear" w:color="auto"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Units</w:t>
            </w:r>
          </w:p>
        </w:tc>
        <w:tc>
          <w:tcPr>
            <w:tcW w:type="dxa" w:w="1814"/>
            <w:shd w:val="clear" w:color="auto"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Revenue</w:t>
            </w:r>
          </w:p>
        </w:tc>
        <w:tc>
          <w:tcPr>
            <w:tcW w:type="dxa" w:w="3061"/>
            <w:shd w:val="clear" w:color="auto"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Profit gain, 26 weeks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9"/>
              </w:rPr>
              <w:t>0  (customers ignore price)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9"/>
              </w:rPr>
              <w:t>+0.00%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sz w:val="19"/>
              </w:rPr>
              <w:t>$1.3M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9"/>
              </w:rPr>
              <w:t>$1.3M  (+17.5%)</w:t>
            </w:r>
          </w:p>
        </w:tc>
      </w:tr>
      <w:tr>
        <w:tc>
          <w:tcPr>
            <w:tcW w:type="dxa" w:w="3175"/>
            <w:shd w:val="clear" w:color="auto" w:fill="F2F6FA"/>
          </w:tcPr>
          <w:p>
            <w:pPr>
              <w:spacing w:after="20"/>
            </w:pPr>
            <w:r/>
            <w:r>
              <w:rPr>
                <w:sz w:val="19"/>
              </w:rPr>
              <w:t>-0.5  (low sensitivity)</w:t>
            </w:r>
          </w:p>
        </w:tc>
        <w:tc>
          <w:tcPr>
            <w:tcW w:type="dxa" w:w="1361"/>
            <w:shd w:val="clear" w:color="auto" w:fill="F2F6FA"/>
          </w:tcPr>
          <w:p>
            <w:pPr>
              <w:spacing w:after="20"/>
            </w:pPr>
            <w:r/>
            <w:r>
              <w:rPr>
                <w:sz w:val="19"/>
              </w:rPr>
              <w:t>-0.21%</w:t>
            </w:r>
          </w:p>
        </w:tc>
        <w:tc>
          <w:tcPr>
            <w:tcW w:type="dxa" w:w="1814"/>
            <w:shd w:val="clear" w:color="auto" w:fill="F2F6FA"/>
          </w:tcPr>
          <w:p>
            <w:pPr>
              <w:spacing w:after="20"/>
            </w:pPr>
            <w:r/>
            <w:r>
              <w:rPr>
                <w:sz w:val="19"/>
              </w:rPr>
              <w:t>$1.2M</w:t>
            </w:r>
          </w:p>
        </w:tc>
        <w:tc>
          <w:tcPr>
            <w:tcW w:type="dxa" w:w="3061"/>
            <w:shd w:val="clear" w:color="auto" w:fill="F2F6FA"/>
          </w:tcPr>
          <w:p>
            <w:pPr>
              <w:spacing w:after="20"/>
            </w:pPr>
            <w:r/>
            <w:r>
              <w:rPr>
                <w:sz w:val="19"/>
              </w:rPr>
              <w:t>$1.3M  (+17.2%)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9"/>
              </w:rPr>
              <w:t>-1  (planning case)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9"/>
              </w:rPr>
              <w:t>-0.44%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sz w:val="19"/>
              </w:rPr>
              <w:t>$1.1M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9"/>
              </w:rPr>
              <w:t>$1.3M  (+17.0%)</w:t>
            </w:r>
          </w:p>
        </w:tc>
      </w:tr>
      <w:tr>
        <w:tc>
          <w:tcPr>
            <w:tcW w:type="dxa" w:w="3175"/>
            <w:shd w:val="clear" w:color="auto" w:fill="F2F6FA"/>
          </w:tcPr>
          <w:p>
            <w:pPr>
              <w:spacing w:after="20"/>
            </w:pPr>
            <w:r/>
            <w:r>
              <w:rPr>
                <w:sz w:val="19"/>
              </w:rPr>
              <w:t>-2  (high sensitivity)</w:t>
            </w:r>
          </w:p>
        </w:tc>
        <w:tc>
          <w:tcPr>
            <w:tcW w:type="dxa" w:w="1361"/>
            <w:shd w:val="clear" w:color="auto" w:fill="F2F6FA"/>
          </w:tcPr>
          <w:p>
            <w:pPr>
              <w:spacing w:after="20"/>
            </w:pPr>
            <w:r/>
            <w:r>
              <w:rPr>
                <w:sz w:val="19"/>
              </w:rPr>
              <w:t>-0.95%</w:t>
            </w:r>
          </w:p>
        </w:tc>
        <w:tc>
          <w:tcPr>
            <w:tcW w:type="dxa" w:w="1814"/>
            <w:shd w:val="clear" w:color="auto" w:fill="F2F6FA"/>
          </w:tcPr>
          <w:p>
            <w:pPr>
              <w:spacing w:after="20"/>
            </w:pPr>
            <w:r/>
            <w:r>
              <w:rPr>
                <w:sz w:val="19"/>
              </w:rPr>
              <w:t>$936K</w:t>
            </w:r>
          </w:p>
        </w:tc>
        <w:tc>
          <w:tcPr>
            <w:tcW w:type="dxa" w:w="3061"/>
            <w:shd w:val="clear" w:color="auto" w:fill="F2F6FA"/>
          </w:tcPr>
          <w:p>
            <w:pPr>
              <w:spacing w:after="20"/>
            </w:pPr>
            <w:r/>
            <w:r>
              <w:rPr>
                <w:sz w:val="19"/>
              </w:rPr>
              <w:t>$1.2M  (+16.3%)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9"/>
              </w:rPr>
              <w:t>-3  (very high sensitivity)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9"/>
              </w:rPr>
              <w:t>-1.60%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sz w:val="19"/>
              </w:rPr>
              <w:t>$676K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9"/>
              </w:rPr>
              <w:t>$1.2M  (+15.5%)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Replay of the last 52 weeks with only the information available at the time: $1.4M in the planning case (+10.6%). If the true demand were only 60% of the estimate, the planning-case gain would still be $939K; at 50% it would be $818K.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06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money_impac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Figure 3 – Change in profit for the next 26 weeks and for the replay of the last 52 weeks.</w:t>
      </w:r>
    </w:p>
    <w:p>
      <w:pPr>
        <w:pStyle w:val="Heading2"/>
      </w:pPr>
      <w:r>
        <w:t>Where price is not the lever</w:t>
      </w:r>
    </w:p>
    <w:p>
      <w:pPr>
        <w:pStyle w:val="ListBullet"/>
        <w:spacing w:after="40"/>
      </w:pPr>
      <w:r>
        <w:rPr>
          <w:b/>
        </w:rPr>
        <w:t>Over-stock:</w:t>
      </w:r>
      <w:r>
        <w:t xml:space="preserve"> 5 products hold more than 26 weeks of stock ($10.8M tied up, about $1.3M a year to carry). Selling the excess within a year by price alone would need cuts of 17–49% even for very price-sensitive customers, so purchasing must stop instead.</w:t>
      </w:r>
    </w:p>
    <w:p>
      <w:pPr>
        <w:pStyle w:val="ListBullet"/>
        <w:spacing w:after="40"/>
      </w:pPr>
      <w:r>
        <w:rPr>
          <w:b/>
        </w:rPr>
        <w:t>Credit:</w:t>
      </w:r>
      <w:r>
        <w:t xml:space="preserve"> Beverages &amp; Cocoa (rating D/E, assumption-based): no discounts, 2.5% risk premium, and shorter terms would free about $361K of cash.</w:t>
      </w:r>
    </w:p>
    <w:p>
      <w:pPr>
        <w:pStyle w:val="ListBullet"/>
        <w:spacing w:after="40"/>
      </w:pPr>
      <w:r>
        <w:rPr>
          <w:b/>
        </w:rPr>
        <w:t>Markdowns:</w:t>
      </w:r>
      <w:r>
        <w:t xml:space="preserve"> 200 candidate markdowns were rejected because they would not pay for themselves; they would pay only if customers were about 3.8 times price-sensitive.</w:t>
      </w:r>
    </w:p>
    <w:p>
      <w:pPr>
        <w:pStyle w:val="Heading1"/>
      </w:pPr>
      <w:r>
        <w:t>8. Verification</w:t>
      </w:r>
    </w:p>
    <w:p>
      <w:r>
        <w:rPr>
          <w:b w:val="0"/>
          <w:i w:val="0"/>
        </w:rPr>
        <w:t>19 of 19 automatic checks pass on both the 26-week plan and the 52-week replay: competitive band, cost floor, weekly step, credit rules, no markdown in peak weeks, hand-calculated rule arithmetic, monotonic premium, deterministic results, no look-ahead in the replay, and reconciliation with the Part 2 forecast.</w:t>
      </w:r>
    </w:p>
    <w:p>
      <w:pPr>
        <w:pStyle w:val="Heading1"/>
      </w:pPr>
      <w:r>
        <w:t>9. Assumptions and limits</w:t>
      </w:r>
    </w:p>
    <w:p>
      <w:pPr>
        <w:pStyle w:val="ListBullet"/>
        <w:spacing w:after="40"/>
      </w:pPr>
      <w:r>
        <w:rPr>
          <w:b/>
        </w:rPr>
        <w:t xml:space="preserve">Price sensitivity: </w:t>
      </w:r>
      <w:r>
        <w:t>unknown; planning case −1, stress case −2, results shown from 0 to −3.</w:t>
      </w:r>
    </w:p>
    <w:p>
      <w:pPr>
        <w:pStyle w:val="ListBullet"/>
        <w:spacing w:after="40"/>
      </w:pPr>
      <w:r>
        <w:rPr>
          <w:b/>
        </w:rPr>
        <w:t xml:space="preserve">Competitors: </w:t>
      </w:r>
      <w:r>
        <w:t>no competitor prices; the 13-week average price and the band are a proxy.</w:t>
      </w:r>
    </w:p>
    <w:p>
      <w:pPr>
        <w:pStyle w:val="ListBullet"/>
        <w:spacing w:after="40"/>
      </w:pPr>
      <w:r>
        <w:rPr>
          <w:b/>
        </w:rPr>
        <w:t xml:space="preserve">Credit: </w:t>
      </w:r>
      <w:r>
        <w:t>ratings, DSO and default rates come from assumptions (no customer data).</w:t>
      </w:r>
    </w:p>
    <w:p>
      <w:pPr>
        <w:pStyle w:val="ListBullet"/>
        <w:spacing w:after="40"/>
      </w:pPr>
      <w:r>
        <w:rPr>
          <w:b/>
        </w:rPr>
        <w:t xml:space="preserve">Future stock: </w:t>
      </w:r>
      <w:r>
        <w:t>simulated from each product's own last 104 weeks of stock.</w:t>
      </w:r>
    </w:p>
    <w:p>
      <w:pPr>
        <w:pStyle w:val="ListBullet"/>
        <w:spacing w:after="40"/>
      </w:pPr>
      <w:r>
        <w:rPr>
          <w:b/>
        </w:rPr>
        <w:t xml:space="preserve">Demand: </w:t>
      </w:r>
      <w:r>
        <w:t>reconstructed in stock-limited weeks, so the replay is an estimate.</w:t>
      </w:r>
    </w:p>
    <w:p>
      <w:pPr>
        <w:pStyle w:val="ListBullet"/>
        <w:spacing w:after="40"/>
      </w:pPr>
      <w:r>
        <w:rPr>
          <w:b/>
        </w:rPr>
        <w:t xml:space="preserve">Costs: </w:t>
      </w:r>
      <w:r>
        <w:t>unit cost held at its last-13-week average; holding cost 12% and funding cost 8% a year.</w:t>
      </w:r>
    </w:p>
    <w:p>
      <w:pPr>
        <w:pStyle w:val="ListBullet"/>
        <w:spacing w:after="40"/>
      </w:pPr>
      <w:r>
        <w:rPr>
          <w:b/>
        </w:rPr>
        <w:t xml:space="preserve">Scope: </w:t>
      </w:r>
      <w:r>
        <w:t>prices per product-week; customer- or channel-specific pricing needs customer data.</w:t>
      </w:r>
    </w:p>
    <w:p>
      <w:pPr>
        <w:pStyle w:val="Heading1"/>
      </w:pPr>
      <w:r>
        <w:t>10. Recommended next step</w:t>
      </w:r>
    </w:p>
    <w:p>
      <w:r>
        <w:rPr>
          <w:b w:val="0"/>
          <w:i w:val="0"/>
        </w:rPr>
        <w:t>Run a pilot before a full roll-out. Pilot A (scarce products, +3% / +5% against matched controls) checks that stock still sells out. Pilot B (high-stock products, price ±3% in random weeks) measures real price sensitivity. Then update the planning and stress sensitivity (ε) and re-run the notebook.</w:t>
      </w:r>
    </w:p>
    <w:sectPr w:rsidR="00FC693F" w:rsidRPr="0006063C" w:rsidSect="00034616">
      <w:footerReference w:type="default" r:id="rId12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Dynamic pricing framework · page </w:t>
    </w:r>
    <w:r>
      <w:rPr>
        <w:sz w:val="17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