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eastAsia="Calibri" w:cs="Calibri"/>
          <w:b/>
          <w:i w:val="0"/>
          <w:color w:val="12263F"/>
          <w:sz w:val="60"/>
          <w:lang w:val="en-US" w:bidi="fa-IR"/>
        </w:rPr>
        <w:t>Armani Middle East Trading</w:t>
      </w:r>
    </w:p>
    <w:p>
      <w:r>
        <w:rPr>
          <w:rFonts w:ascii="Calibri" w:hAnsi="Calibri" w:eastAsia="Calibri" w:cs="Calibri"/>
          <w:b/>
          <w:i w:val="0"/>
          <w:color w:val="2A78D6"/>
          <w:sz w:val="40"/>
          <w:lang w:val="en-US" w:bidi="fa-IR"/>
        </w:rPr>
        <w:t>Data Science Technical Assessment</w:t>
      </w:r>
    </w:p>
    <w:p>
      <w:r>
        <w:rPr>
          <w:rFonts w:ascii="Calibri" w:hAnsi="Calibri" w:eastAsia="Calibri" w:cs="Calibri"/>
          <w:b w:val="0"/>
          <w:i w:val="0"/>
          <w:color w:val="5B6B80"/>
          <w:sz w:val="28"/>
          <w:lang w:val="en-US" w:bidi="fa-IR"/>
        </w:rPr>
        <w:t>Complete project description, step by step</w:t>
      </w:r>
    </w:p>
    <w:p>
      <w:pPr>
        <w:spacing w:before="800"/>
      </w:pPr>
      <w:r>
        <w:rPr>
          <w:rFonts w:ascii="Calibri" w:hAnsi="Calibri" w:eastAsia="Calibri" w:cs="Calibri"/>
          <w:b w:val="0"/>
          <w:i w:val="0"/>
          <w:color w:val="12263F"/>
          <w:sz w:val="24"/>
          <w:lang w:val="en-US" w:bidi="fa-IR"/>
        </w:rPr>
        <w:t>Prepared by Hamidreza Nademi</w:t>
      </w:r>
    </w:p>
    <w:p>
      <w:r>
        <w:rPr>
          <w:rFonts w:ascii="Calibri" w:hAnsi="Calibri" w:eastAsia="Calibri" w:cs="Calibri"/>
          <w:b w:val="0"/>
          <w:i w:val="0"/>
          <w:color w:val="5B6B80"/>
          <w:sz w:val="20"/>
          <w:lang w:val="en-US" w:bidi="fa-IR"/>
        </w:rPr>
        <w:t>Technical Assessment: Data Science  |  Armani Middle East Trading</w:t>
      </w:r>
    </w:p>
    <w:p>
      <w:r>
        <w:br w:type="page"/>
      </w:r>
    </w:p>
    <w:p>
      <w:r>
        <w:rPr>
          <w:rFonts w:ascii="Calibri" w:hAnsi="Calibri" w:eastAsia="Calibri" w:cs="Calibri"/>
          <w:b/>
          <w:i w:val="0"/>
          <w:color w:val="12263F"/>
          <w:sz w:val="36"/>
          <w:lang w:val="en-US" w:bidi="fa-IR"/>
        </w:rPr>
        <w:t>Contents</w:t>
      </w:r>
    </w:p>
    <w:p>
      <w:pPr>
        <w:spacing w:after="60"/>
      </w:pPr>
      <w:r>
        <w:rPr>
          <w:rFonts w:ascii="Calibri" w:hAnsi="Calibri" w:eastAsia="Calibri" w:cs="Calibri"/>
          <w:b w:val="0"/>
          <w:i w:val="0"/>
          <w:color w:val="12263F"/>
          <w:sz w:val="23"/>
          <w:lang w:val="en-US" w:bidi="fa-IR"/>
        </w:rPr>
        <w:t>1. About this document</w:t>
      </w:r>
    </w:p>
    <w:p>
      <w:pPr>
        <w:spacing w:after="60"/>
      </w:pPr>
      <w:r>
        <w:rPr>
          <w:rFonts w:ascii="Calibri" w:hAnsi="Calibri" w:eastAsia="Calibri" w:cs="Calibri"/>
          <w:b w:val="0"/>
          <w:i w:val="0"/>
          <w:color w:val="12263F"/>
          <w:sz w:val="23"/>
          <w:lang w:val="en-US" w:bidi="fa-IR"/>
        </w:rPr>
        <w:t>2. Business context and the assignment</w:t>
      </w:r>
    </w:p>
    <w:p>
      <w:pPr>
        <w:spacing w:after="60"/>
      </w:pPr>
      <w:r>
        <w:rPr>
          <w:rFonts w:ascii="Calibri" w:hAnsi="Calibri" w:eastAsia="Calibri" w:cs="Calibri"/>
          <w:b w:val="0"/>
          <w:i w:val="0"/>
          <w:color w:val="12263F"/>
          <w:sz w:val="23"/>
          <w:lang w:val="en-US" w:bidi="fa-IR"/>
        </w:rPr>
        <w:t>3. The solution at a glance</w:t>
      </w:r>
    </w:p>
    <w:p>
      <w:pPr>
        <w:spacing w:after="60"/>
      </w:pPr>
      <w:r>
        <w:rPr>
          <w:rFonts w:ascii="Calibri" w:hAnsi="Calibri" w:eastAsia="Calibri" w:cs="Calibri"/>
          <w:b w:val="0"/>
          <w:i w:val="0"/>
          <w:color w:val="12263F"/>
          <w:sz w:val="23"/>
          <w:lang w:val="en-US" w:bidi="fa-IR"/>
        </w:rPr>
        <w:t>4. Part 1: Data engineering</w:t>
      </w:r>
    </w:p>
    <w:p>
      <w:pPr>
        <w:spacing w:after="60"/>
      </w:pPr>
      <w:r>
        <w:rPr>
          <w:rFonts w:ascii="Calibri" w:hAnsi="Calibri" w:eastAsia="Calibri" w:cs="Calibri"/>
          <w:b w:val="0"/>
          <w:i w:val="0"/>
          <w:color w:val="12263F"/>
          <w:sz w:val="23"/>
          <w:lang w:val="en-US" w:bidi="fa-IR"/>
        </w:rPr>
        <w:t>5. Part 2: Demand forecasting</w:t>
      </w:r>
    </w:p>
    <w:p>
      <w:pPr>
        <w:spacing w:after="60"/>
      </w:pPr>
      <w:r>
        <w:rPr>
          <w:rFonts w:ascii="Calibri" w:hAnsi="Calibri" w:eastAsia="Calibri" w:cs="Calibri"/>
          <w:b w:val="0"/>
          <w:i w:val="0"/>
          <w:color w:val="12263F"/>
          <w:sz w:val="23"/>
          <w:lang w:val="en-US" w:bidi="fa-IR"/>
        </w:rPr>
        <w:t>6. Part 3: KPI dashboard</w:t>
      </w:r>
    </w:p>
    <w:p>
      <w:pPr>
        <w:spacing w:after="60"/>
      </w:pPr>
      <w:r>
        <w:rPr>
          <w:rFonts w:ascii="Calibri" w:hAnsi="Calibri" w:eastAsia="Calibri" w:cs="Calibri"/>
          <w:b w:val="0"/>
          <w:i w:val="0"/>
          <w:color w:val="12263F"/>
          <w:sz w:val="23"/>
          <w:lang w:val="en-US" w:bidi="fa-IR"/>
        </w:rPr>
        <w:t>7. Part 4: Dynamic pricing and risk strategy</w:t>
      </w:r>
    </w:p>
    <w:p>
      <w:pPr>
        <w:spacing w:after="60"/>
      </w:pPr>
      <w:r>
        <w:rPr>
          <w:rFonts w:ascii="Calibri" w:hAnsi="Calibri" w:eastAsia="Calibri" w:cs="Calibri"/>
          <w:b w:val="0"/>
          <w:i w:val="0"/>
          <w:color w:val="12263F"/>
          <w:sz w:val="23"/>
          <w:lang w:val="en-US" w:bidi="fa-IR"/>
        </w:rPr>
        <w:t>8. Assumptions register, limits and reproducibility</w:t>
      </w:r>
    </w:p>
    <w:p>
      <w:r>
        <w:br w:type="page"/>
      </w:r>
    </w:p>
    <w:p>
      <w:pPr>
        <w:pStyle w:val="Heading1"/>
      </w:pPr>
      <w:r>
        <w:rPr>
          <w:rFonts w:ascii="Calibri" w:hAnsi="Calibri" w:eastAsia="Calibri" w:cs="Calibri"/>
          <w:b/>
          <w:i w:val="0"/>
          <w:color w:val="12263F"/>
          <w:sz w:val="36"/>
          <w:lang w:val="en-US" w:bidi="fa-IR"/>
        </w:rPr>
        <w:t>1. About this document</w:t>
      </w:r>
    </w:p>
    <w:p>
      <w:r>
        <w:rPr>
          <w:rFonts w:ascii="Calibri" w:hAnsi="Calibri" w:eastAsia="Calibri" w:cs="Calibri"/>
          <w:b w:val="0"/>
          <w:i w:val="0"/>
          <w:lang w:val="en-US" w:bidi="fa-IR"/>
        </w:rPr>
        <w:t>This document describes the whole Data Science technical assessment for Armani Middle East Trading, step by step. It is written for a reader who knows nothing about the project: every term is explained when it first appears, every decision is justified, and the main numbers are given so that the result can be checked. A glossary at the end collects the technical terms.</w:t>
      </w:r>
    </w:p>
    <w:p>
      <w:r>
        <w:rPr>
          <w:rFonts w:ascii="Calibri" w:hAnsi="Calibri" w:eastAsia="Calibri" w:cs="Calibri"/>
          <w:b w:val="0"/>
          <w:i w:val="0"/>
          <w:lang w:val="en-US" w:bidi="fa-IR"/>
        </w:rPr>
        <w:t>The work has four parts: (1) data engineering: understanding, cleaning and storing the data; (2) demand forecasting for the next 26 weeks; (3) a KPI dashboard; (4) a dynamic pricing and risk strategy. The parts form one chain: each one uses the output of the previous one, and a finding made early in the chain (stock limits sales) shapes everything that follows.</w:t>
      </w:r>
    </w:p>
    <w:tbl>
      <w:tblPr>
        <w:tblW w:type="auto" w:w="0"/>
        <w:jc w:val="center"/>
        <w:tblLook w:firstColumn="1" w:firstRow="1" w:lastColumn="0" w:lastRow="0" w:noHBand="0" w:noVBand="1" w:val="04A0"/>
        <w:tblBorders>
          <w:top w:val="single" w:sz="6" w:space="0" w:color="2A78D6"/>
          <w:left w:val="single" w:sz="6" w:space="0" w:color="2A78D6"/>
          <w:bottom w:val="single" w:sz="6" w:space="0" w:color="2A78D6"/>
          <w:right w:val="single" w:sz="6" w:space="0" w:color="2A78D6"/>
          <w:insideH w:val="single" w:sz="6" w:space="0" w:color="2A78D6"/>
          <w:insideV w:val="single" w:sz="6" w:space="0" w:color="2A78D6"/>
        </w:tblBorders>
        <w:tblCellMar>
          <w:top w:w="100" w:type="dxa"/>
          <w:left w:w="160" w:type="dxa"/>
          <w:bottom w:w="100" w:type="dxa"/>
          <w:right w:w="160" w:type="dxa"/>
        </w:tblCellMar>
      </w:tblPr>
      <w:tblGrid>
        <w:gridCol w:w="9638"/>
      </w:tblGrid>
      <w:tr>
        <w:tc>
          <w:tcPr>
            <w:tcW w:type="dxa" w:w="9638"/>
            <w:shd w:val="clear" w:color="auto" w:fill="F2F6FB"/>
          </w:tcPr>
          <w:p>
            <w:pPr>
              <w:spacing w:after="40"/>
            </w:pPr>
            <w:r>
              <w:rPr>
                <w:rFonts w:ascii="Calibri" w:hAnsi="Calibri" w:eastAsia="Calibri" w:cs="Calibri"/>
                <w:b/>
                <w:i w:val="0"/>
                <w:color w:val="2A78D6"/>
                <w:lang w:val="en-US" w:bidi="fa-IR"/>
              </w:rPr>
              <w:t>How to read it</w:t>
            </w:r>
          </w:p>
          <w:p>
            <w:pPr>
              <w:spacing w:after="0"/>
            </w:pPr>
            <w:r>
              <w:rPr>
                <w:rFonts w:ascii="Calibri" w:hAnsi="Calibri" w:eastAsia="Calibri" w:cs="Calibri"/>
                <w:b w:val="0"/>
                <w:i w:val="0"/>
                <w:lang w:val="en-US" w:bidi="fa-IR"/>
              </w:rPr>
              <w:t>If you only have ten minutes, read Section 3 (the solution at a glance). If you want to understand a part deeply, read its section from the beginning: every part starts with the question it answers and ends with its assumptions and limits.</w:t>
            </w:r>
          </w:p>
        </w:tc>
      </w:tr>
    </w:tbl>
    <w:p>
      <w:pPr>
        <w:spacing w:after="40"/>
      </w:pPr>
    </w:p>
    <w:p>
      <w:pPr>
        <w:pStyle w:val="Heading1"/>
      </w:pPr>
      <w:r>
        <w:rPr>
          <w:rFonts w:ascii="Calibri" w:hAnsi="Calibri" w:eastAsia="Calibri" w:cs="Calibri"/>
          <w:b/>
          <w:i w:val="0"/>
          <w:color w:val="12263F"/>
          <w:sz w:val="36"/>
          <w:lang w:val="en-US" w:bidi="fa-IR"/>
        </w:rPr>
        <w:t>2. Business context and the assignment</w:t>
      </w:r>
    </w:p>
    <w:p>
      <w:pPr>
        <w:pStyle w:val="Heading2"/>
      </w:pPr>
      <w:r>
        <w:rPr>
          <w:rFonts w:ascii="Calibri" w:hAnsi="Calibri" w:eastAsia="Calibri" w:cs="Calibri"/>
          <w:b/>
          <w:i w:val="0"/>
          <w:color w:val="2A78D6"/>
          <w:sz w:val="28"/>
          <w:lang w:val="en-US" w:bidi="fa-IR"/>
        </w:rPr>
        <w:t>2.1 The company and the data</w:t>
      </w:r>
    </w:p>
    <w:p>
      <w:r>
        <w:rPr>
          <w:rFonts w:ascii="Calibri" w:hAnsi="Calibri" w:eastAsia="Calibri" w:cs="Calibri"/>
          <w:b w:val="0"/>
          <w:i w:val="0"/>
          <w:lang w:val="en-US" w:bidi="fa-IR"/>
        </w:rPr>
        <w:t>Armani Middle East Trading is a trading company that buys and sells 30 food commodities, for example rice, wheat, sugar, vegetable oils, milk powder, spices, tea and coffee. The assignment provides one Excel file, Sample_Data.xlsx, with weekly data: one row per product per week, for 30 products and 260 weeks (five years). The file has 7,839 rows: 7,800 expected rows (30 x 260) plus 39 duplicated rows.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965"/>
        <w:gridCol w:w="6672"/>
      </w:tblGrid>
      <w:tr>
        <w:trPr>
          <w:tblHeader/>
        </w:trPr>
        <w:tc>
          <w:tcPr>
            <w:tcW w:type="dxa" w:w="2965"/>
            <w:shd w:val="clear" w:color="auto" w:fill="12263F"/>
          </w:tcPr>
          <w:p>
            <w:pPr>
              <w:spacing w:after="0"/>
            </w:pPr>
            <w:r>
              <w:rPr>
                <w:rFonts w:ascii="Calibri" w:hAnsi="Calibri" w:eastAsia="Calibri" w:cs="Calibri"/>
                <w:b/>
                <w:i w:val="0"/>
                <w:color w:val="FFFFFF"/>
                <w:sz w:val="19"/>
                <w:lang w:val="en-US" w:bidi="fa-IR"/>
              </w:rPr>
              <w:t>Column</w:t>
            </w:r>
          </w:p>
        </w:tc>
        <w:tc>
          <w:tcPr>
            <w:tcW w:type="dxa" w:w="6672"/>
            <w:shd w:val="clear" w:color="auto" w:fill="12263F"/>
          </w:tcPr>
          <w:p>
            <w:pPr>
              <w:spacing w:after="0"/>
            </w:pPr>
            <w:r>
              <w:rPr>
                <w:rFonts w:ascii="Calibri" w:hAnsi="Calibri" w:eastAsia="Calibri" w:cs="Calibri"/>
                <w:b/>
                <w:i w:val="0"/>
                <w:color w:val="FFFFFF"/>
                <w:sz w:val="19"/>
                <w:lang w:val="en-US" w:bidi="fa-IR"/>
              </w:rPr>
              <w:t>Meaning</w:t>
            </w:r>
          </w:p>
        </w:tc>
      </w:tr>
      <w:tr>
        <w:trPr>
          <w:cantSplit/>
        </w:trPr>
        <w:tc>
          <w:tcPr>
            <w:tcW w:type="dxa" w:w="2965"/>
          </w:tcPr>
          <w:p>
            <w:pPr>
              <w:spacing w:after="0"/>
            </w:pPr>
            <w:r>
              <w:rPr>
                <w:rFonts w:ascii="Calibri" w:hAnsi="Calibri" w:eastAsia="Calibri" w:cs="Calibri"/>
                <w:b/>
                <w:i w:val="0"/>
                <w:sz w:val="19"/>
                <w:lang w:val="en-US" w:bidi="fa-IR"/>
              </w:rPr>
              <w:t>Week</w:t>
            </w:r>
          </w:p>
        </w:tc>
        <w:tc>
          <w:tcPr>
            <w:tcW w:type="dxa" w:w="6672"/>
          </w:tcPr>
          <w:p>
            <w:pPr>
              <w:spacing w:after="0"/>
            </w:pPr>
            <w:r>
              <w:rPr>
                <w:rFonts w:ascii="Calibri" w:hAnsi="Calibri" w:eastAsia="Calibri" w:cs="Calibri"/>
                <w:b w:val="0"/>
                <w:i w:val="0"/>
                <w:sz w:val="19"/>
                <w:lang w:val="en-US" w:bidi="fa-IR"/>
              </w:rPr>
              <w:t>Week number, 1 to 260. The file has no calendar dates.</w:t>
            </w:r>
          </w:p>
        </w:tc>
      </w:tr>
      <w:tr>
        <w:trPr>
          <w:cantSplit/>
        </w:trPr>
        <w:tc>
          <w:tcPr>
            <w:tcW w:type="dxa" w:w="2965"/>
            <w:shd w:val="clear" w:color="auto" w:fill="F7F9FC"/>
          </w:tcPr>
          <w:p>
            <w:pPr>
              <w:spacing w:after="0"/>
            </w:pPr>
            <w:r>
              <w:rPr>
                <w:rFonts w:ascii="Calibri" w:hAnsi="Calibri" w:eastAsia="Calibri" w:cs="Calibri"/>
                <w:b/>
                <w:i w:val="0"/>
                <w:sz w:val="19"/>
                <w:lang w:val="en-US" w:bidi="fa-IR"/>
              </w:rPr>
              <w:t>Product</w:t>
            </w:r>
          </w:p>
        </w:tc>
        <w:tc>
          <w:tcPr>
            <w:tcW w:type="dxa" w:w="6672"/>
            <w:shd w:val="clear" w:color="auto" w:fill="F7F9FC"/>
          </w:tcPr>
          <w:p>
            <w:pPr>
              <w:spacing w:after="0"/>
            </w:pPr>
            <w:r>
              <w:rPr>
                <w:rFonts w:ascii="Calibri" w:hAnsi="Calibri" w:eastAsia="Calibri" w:cs="Calibri"/>
                <w:b w:val="0"/>
                <w:i w:val="0"/>
                <w:sz w:val="19"/>
                <w:lang w:val="en-US" w:bidi="fa-IR"/>
              </w:rPr>
              <w:t>Commodity name, for example 'Rice - Basmati'.</w:t>
            </w:r>
          </w:p>
        </w:tc>
      </w:tr>
      <w:tr>
        <w:trPr>
          <w:cantSplit/>
        </w:trPr>
        <w:tc>
          <w:tcPr>
            <w:tcW w:type="dxa" w:w="2965"/>
          </w:tcPr>
          <w:p>
            <w:pPr>
              <w:spacing w:after="0"/>
            </w:pPr>
            <w:r>
              <w:rPr>
                <w:rFonts w:ascii="Calibri" w:hAnsi="Calibri" w:eastAsia="Calibri" w:cs="Calibri"/>
                <w:b/>
                <w:i w:val="0"/>
                <w:sz w:val="19"/>
                <w:lang w:val="en-US" w:bidi="fa-IR"/>
              </w:rPr>
              <w:t>Sales_Units</w:t>
            </w:r>
          </w:p>
        </w:tc>
        <w:tc>
          <w:tcPr>
            <w:tcW w:type="dxa" w:w="6672"/>
          </w:tcPr>
          <w:p>
            <w:pPr>
              <w:spacing w:after="0"/>
            </w:pPr>
            <w:r>
              <w:rPr>
                <w:rFonts w:ascii="Calibri" w:hAnsi="Calibri" w:eastAsia="Calibri" w:cs="Calibri"/>
                <w:b w:val="0"/>
                <w:i w:val="0"/>
                <w:sz w:val="19"/>
                <w:lang w:val="en-US" w:bidi="fa-IR"/>
              </w:rPr>
              <w:t>Units sold in the week.</w:t>
            </w:r>
          </w:p>
        </w:tc>
      </w:tr>
      <w:tr>
        <w:trPr>
          <w:cantSplit/>
        </w:trPr>
        <w:tc>
          <w:tcPr>
            <w:tcW w:type="dxa" w:w="2965"/>
            <w:shd w:val="clear" w:color="auto" w:fill="F7F9FC"/>
          </w:tcPr>
          <w:p>
            <w:pPr>
              <w:spacing w:after="0"/>
            </w:pPr>
            <w:r>
              <w:rPr>
                <w:rFonts w:ascii="Calibri" w:hAnsi="Calibri" w:eastAsia="Calibri" w:cs="Calibri"/>
                <w:b/>
                <w:i w:val="0"/>
                <w:sz w:val="19"/>
                <w:lang w:val="en-US" w:bidi="fa-IR"/>
              </w:rPr>
              <w:t>Price_Per_Unit</w:t>
            </w:r>
          </w:p>
        </w:tc>
        <w:tc>
          <w:tcPr>
            <w:tcW w:type="dxa" w:w="6672"/>
            <w:shd w:val="clear" w:color="auto" w:fill="F7F9FC"/>
          </w:tcPr>
          <w:p>
            <w:pPr>
              <w:spacing w:after="0"/>
            </w:pPr>
            <w:r>
              <w:rPr>
                <w:rFonts w:ascii="Calibri" w:hAnsi="Calibri" w:eastAsia="Calibri" w:cs="Calibri"/>
                <w:b w:val="0"/>
                <w:i w:val="0"/>
                <w:sz w:val="19"/>
                <w:lang w:val="en-US" w:bidi="fa-IR"/>
              </w:rPr>
              <w:t>Selling price per unit.</w:t>
            </w:r>
          </w:p>
        </w:tc>
      </w:tr>
      <w:tr>
        <w:trPr>
          <w:cantSplit/>
        </w:trPr>
        <w:tc>
          <w:tcPr>
            <w:tcW w:type="dxa" w:w="2965"/>
          </w:tcPr>
          <w:p>
            <w:pPr>
              <w:spacing w:after="0"/>
            </w:pPr>
            <w:r>
              <w:rPr>
                <w:rFonts w:ascii="Calibri" w:hAnsi="Calibri" w:eastAsia="Calibri" w:cs="Calibri"/>
                <w:b/>
                <w:i w:val="0"/>
                <w:sz w:val="19"/>
                <w:lang w:val="en-US" w:bidi="fa-IR"/>
              </w:rPr>
              <w:t>Cost_of_Goods_Sold_COGS</w:t>
            </w:r>
          </w:p>
        </w:tc>
        <w:tc>
          <w:tcPr>
            <w:tcW w:type="dxa" w:w="6672"/>
          </w:tcPr>
          <w:p>
            <w:pPr>
              <w:spacing w:after="0"/>
            </w:pPr>
            <w:r>
              <w:rPr>
                <w:rFonts w:ascii="Calibri" w:hAnsi="Calibri" w:eastAsia="Calibri" w:cs="Calibri"/>
                <w:b w:val="0"/>
                <w:i w:val="0"/>
                <w:sz w:val="19"/>
                <w:lang w:val="en-US" w:bidi="fa-IR"/>
              </w:rPr>
              <w:t>Acquisition cost per unit.</w:t>
            </w:r>
          </w:p>
        </w:tc>
      </w:tr>
      <w:tr>
        <w:trPr>
          <w:cantSplit/>
        </w:trPr>
        <w:tc>
          <w:tcPr>
            <w:tcW w:type="dxa" w:w="2965"/>
            <w:shd w:val="clear" w:color="auto" w:fill="F7F9FC"/>
          </w:tcPr>
          <w:p>
            <w:pPr>
              <w:spacing w:after="0"/>
            </w:pPr>
            <w:r>
              <w:rPr>
                <w:rFonts w:ascii="Calibri" w:hAnsi="Calibri" w:eastAsia="Calibri" w:cs="Calibri"/>
                <w:b/>
                <w:i w:val="0"/>
                <w:sz w:val="19"/>
                <w:lang w:val="en-US" w:bidi="fa-IR"/>
              </w:rPr>
              <w:t>Revenue</w:t>
            </w:r>
          </w:p>
        </w:tc>
        <w:tc>
          <w:tcPr>
            <w:tcW w:type="dxa" w:w="6672"/>
            <w:shd w:val="clear" w:color="auto" w:fill="F7F9FC"/>
          </w:tcPr>
          <w:p>
            <w:pPr>
              <w:spacing w:after="0"/>
            </w:pPr>
            <w:r>
              <w:rPr>
                <w:rFonts w:ascii="Calibri" w:hAnsi="Calibri" w:eastAsia="Calibri" w:cs="Calibri"/>
                <w:b w:val="0"/>
                <w:i w:val="0"/>
                <w:sz w:val="19"/>
                <w:lang w:val="en-US" w:bidi="fa-IR"/>
              </w:rPr>
              <w:t>Sales_Units x Price_Per_Unit.</w:t>
            </w:r>
          </w:p>
        </w:tc>
      </w:tr>
      <w:tr>
        <w:trPr>
          <w:cantSplit/>
        </w:trPr>
        <w:tc>
          <w:tcPr>
            <w:tcW w:type="dxa" w:w="2965"/>
          </w:tcPr>
          <w:p>
            <w:pPr>
              <w:spacing w:after="0"/>
            </w:pPr>
            <w:r>
              <w:rPr>
                <w:rFonts w:ascii="Calibri" w:hAnsi="Calibri" w:eastAsia="Calibri" w:cs="Calibri"/>
                <w:b/>
                <w:i w:val="0"/>
                <w:sz w:val="19"/>
                <w:lang w:val="en-US" w:bidi="fa-IR"/>
              </w:rPr>
              <w:t>Gross_Profit</w:t>
            </w:r>
          </w:p>
        </w:tc>
        <w:tc>
          <w:tcPr>
            <w:tcW w:type="dxa" w:w="6672"/>
          </w:tcPr>
          <w:p>
            <w:pPr>
              <w:spacing w:after="0"/>
            </w:pPr>
            <w:r>
              <w:rPr>
                <w:rFonts w:ascii="Calibri" w:hAnsi="Calibri" w:eastAsia="Calibri" w:cs="Calibri"/>
                <w:b w:val="0"/>
                <w:i w:val="0"/>
                <w:sz w:val="19"/>
                <w:lang w:val="en-US" w:bidi="fa-IR"/>
              </w:rPr>
              <w:t>Revenue minus units sold x unit cost.</w:t>
            </w:r>
          </w:p>
        </w:tc>
      </w:tr>
      <w:tr>
        <w:trPr>
          <w:cantSplit/>
        </w:trPr>
        <w:tc>
          <w:tcPr>
            <w:tcW w:type="dxa" w:w="2965"/>
            <w:shd w:val="clear" w:color="auto" w:fill="F7F9FC"/>
          </w:tcPr>
          <w:p>
            <w:pPr>
              <w:spacing w:after="0"/>
            </w:pPr>
            <w:r>
              <w:rPr>
                <w:rFonts w:ascii="Calibri" w:hAnsi="Calibri" w:eastAsia="Calibri" w:cs="Calibri"/>
                <w:b/>
                <w:i w:val="0"/>
                <w:sz w:val="19"/>
                <w:lang w:val="en-US" w:bidi="fa-IR"/>
              </w:rPr>
              <w:t>Gross_Profit_Margin</w:t>
            </w:r>
          </w:p>
        </w:tc>
        <w:tc>
          <w:tcPr>
            <w:tcW w:type="dxa" w:w="6672"/>
            <w:shd w:val="clear" w:color="auto" w:fill="F7F9FC"/>
          </w:tcPr>
          <w:p>
            <w:pPr>
              <w:spacing w:after="0"/>
            </w:pPr>
            <w:r>
              <w:rPr>
                <w:rFonts w:ascii="Calibri" w:hAnsi="Calibri" w:eastAsia="Calibri" w:cs="Calibri"/>
                <w:b w:val="0"/>
                <w:i w:val="0"/>
                <w:sz w:val="19"/>
                <w:lang w:val="en-US" w:bidi="fa-IR"/>
              </w:rPr>
              <w:t>Gross_Profit / Revenue.</w:t>
            </w:r>
          </w:p>
        </w:tc>
      </w:tr>
      <w:tr>
        <w:trPr>
          <w:cantSplit/>
        </w:trPr>
        <w:tc>
          <w:tcPr>
            <w:tcW w:type="dxa" w:w="2965"/>
          </w:tcPr>
          <w:p>
            <w:pPr>
              <w:spacing w:after="0"/>
            </w:pPr>
            <w:r>
              <w:rPr>
                <w:rFonts w:ascii="Calibri" w:hAnsi="Calibri" w:eastAsia="Calibri" w:cs="Calibri"/>
                <w:b/>
                <w:i w:val="0"/>
                <w:sz w:val="19"/>
                <w:lang w:val="en-US" w:bidi="fa-IR"/>
              </w:rPr>
              <w:t>Operating_Profit</w:t>
            </w:r>
          </w:p>
        </w:tc>
        <w:tc>
          <w:tcPr>
            <w:tcW w:type="dxa" w:w="6672"/>
          </w:tcPr>
          <w:p>
            <w:pPr>
              <w:spacing w:after="0"/>
            </w:pPr>
            <w:r>
              <w:rPr>
                <w:rFonts w:ascii="Calibri" w:hAnsi="Calibri" w:eastAsia="Calibri" w:cs="Calibri"/>
                <w:b w:val="0"/>
                <w:i w:val="0"/>
                <w:sz w:val="19"/>
                <w:lang w:val="en-US" w:bidi="fa-IR"/>
              </w:rPr>
              <w:t>Profit after operating expenses (the expenses themselves are not given).</w:t>
            </w:r>
          </w:p>
        </w:tc>
      </w:tr>
      <w:tr>
        <w:trPr>
          <w:cantSplit/>
        </w:trPr>
        <w:tc>
          <w:tcPr>
            <w:tcW w:type="dxa" w:w="2965"/>
            <w:shd w:val="clear" w:color="auto" w:fill="F7F9FC"/>
          </w:tcPr>
          <w:p>
            <w:pPr>
              <w:spacing w:after="0"/>
            </w:pPr>
            <w:r>
              <w:rPr>
                <w:rFonts w:ascii="Calibri" w:hAnsi="Calibri" w:eastAsia="Calibri" w:cs="Calibri"/>
                <w:b/>
                <w:i w:val="0"/>
                <w:sz w:val="19"/>
                <w:lang w:val="en-US" w:bidi="fa-IR"/>
              </w:rPr>
              <w:t>Inventory_Level</w:t>
            </w:r>
          </w:p>
        </w:tc>
        <w:tc>
          <w:tcPr>
            <w:tcW w:type="dxa" w:w="6672"/>
            <w:shd w:val="clear" w:color="auto" w:fill="F7F9FC"/>
          </w:tcPr>
          <w:p>
            <w:pPr>
              <w:spacing w:after="0"/>
            </w:pPr>
            <w:r>
              <w:rPr>
                <w:rFonts w:ascii="Calibri" w:hAnsi="Calibri" w:eastAsia="Calibri" w:cs="Calibri"/>
                <w:b w:val="0"/>
                <w:i w:val="0"/>
                <w:sz w:val="19"/>
                <w:lang w:val="en-US" w:bidi="fa-IR"/>
              </w:rPr>
              <w:t>Stock in units.</w:t>
            </w:r>
          </w:p>
        </w:tc>
      </w:tr>
      <w:tr>
        <w:trPr>
          <w:cantSplit/>
        </w:trPr>
        <w:tc>
          <w:tcPr>
            <w:tcW w:type="dxa" w:w="2965"/>
          </w:tcPr>
          <w:p>
            <w:pPr>
              <w:spacing w:after="0"/>
            </w:pPr>
            <w:r>
              <w:rPr>
                <w:rFonts w:ascii="Calibri" w:hAnsi="Calibri" w:eastAsia="Calibri" w:cs="Calibri"/>
                <w:b/>
                <w:i w:val="0"/>
                <w:sz w:val="19"/>
                <w:lang w:val="en-US" w:bidi="fa-IR"/>
              </w:rPr>
              <w:t>Inventory_Turnover_Ratio</w:t>
            </w:r>
          </w:p>
        </w:tc>
        <w:tc>
          <w:tcPr>
            <w:tcW w:type="dxa" w:w="6672"/>
          </w:tcPr>
          <w:p>
            <w:pPr>
              <w:spacing w:after="0"/>
            </w:pPr>
            <w:r>
              <w:rPr>
                <w:rFonts w:ascii="Calibri" w:hAnsi="Calibri" w:eastAsia="Calibri" w:cs="Calibri"/>
                <w:b w:val="0"/>
                <w:i w:val="0"/>
                <w:sz w:val="19"/>
                <w:lang w:val="en-US" w:bidi="fa-IR"/>
              </w:rPr>
              <w:t>A turnover ratio whose exact definition is not documented.</w:t>
            </w:r>
          </w:p>
        </w:tc>
      </w:tr>
      <w:tr>
        <w:trPr>
          <w:cantSplit/>
        </w:trPr>
        <w:tc>
          <w:tcPr>
            <w:tcW w:type="dxa" w:w="2965"/>
            <w:shd w:val="clear" w:color="auto" w:fill="F7F9FC"/>
          </w:tcPr>
          <w:p>
            <w:pPr>
              <w:spacing w:after="0"/>
            </w:pPr>
            <w:r>
              <w:rPr>
                <w:rFonts w:ascii="Calibri" w:hAnsi="Calibri" w:eastAsia="Calibri" w:cs="Calibri"/>
                <w:b/>
                <w:i w:val="0"/>
                <w:sz w:val="19"/>
                <w:lang w:val="en-US" w:bidi="fa-IR"/>
              </w:rPr>
              <w:t>Revenue_Growth</w:t>
            </w:r>
          </w:p>
        </w:tc>
        <w:tc>
          <w:tcPr>
            <w:tcW w:type="dxa" w:w="6672"/>
            <w:shd w:val="clear" w:color="auto" w:fill="F7F9FC"/>
          </w:tcPr>
          <w:p>
            <w:pPr>
              <w:spacing w:after="0"/>
            </w:pPr>
            <w:r>
              <w:rPr>
                <w:rFonts w:ascii="Calibri" w:hAnsi="Calibri" w:eastAsia="Calibri" w:cs="Calibri"/>
                <w:b w:val="0"/>
                <w:i w:val="0"/>
                <w:sz w:val="19"/>
                <w:lang w:val="en-US" w:bidi="fa-IR"/>
              </w:rPr>
              <w:t>Week-over-week revenue growth.</w:t>
            </w:r>
          </w:p>
        </w:tc>
      </w:tr>
      <w:tr>
        <w:trPr>
          <w:cantSplit/>
        </w:trPr>
        <w:tc>
          <w:tcPr>
            <w:tcW w:type="dxa" w:w="2965"/>
          </w:tcPr>
          <w:p>
            <w:pPr>
              <w:spacing w:after="0"/>
            </w:pPr>
            <w:r>
              <w:rPr>
                <w:rFonts w:ascii="Calibri" w:hAnsi="Calibri" w:eastAsia="Calibri" w:cs="Calibri"/>
                <w:b/>
                <w:i w:val="0"/>
                <w:sz w:val="19"/>
                <w:lang w:val="en-US" w:bidi="fa-IR"/>
              </w:rPr>
              <w:t>Demand_Forecast</w:t>
            </w:r>
          </w:p>
        </w:tc>
        <w:tc>
          <w:tcPr>
            <w:tcW w:type="dxa" w:w="6672"/>
          </w:tcPr>
          <w:p>
            <w:pPr>
              <w:spacing w:after="0"/>
            </w:pPr>
            <w:r>
              <w:rPr>
                <w:rFonts w:ascii="Calibri" w:hAnsi="Calibri" w:eastAsia="Calibri" w:cs="Calibri"/>
                <w:b w:val="0"/>
                <w:i w:val="0"/>
                <w:sz w:val="19"/>
                <w:lang w:val="en-US" w:bidi="fa-IR"/>
              </w:rPr>
              <w:t>The company's existing (legacy) forecast of demand.</w:t>
            </w:r>
          </w:p>
        </w:tc>
      </w:tr>
    </w:tbl>
    <w:p>
      <w:pPr>
        <w:spacing w:after="40"/>
      </w:pPr>
    </w:p>
    <w:p>
      <w:pPr>
        <w:pStyle w:val="Heading2"/>
      </w:pPr>
      <w:r>
        <w:rPr>
          <w:rFonts w:ascii="Calibri" w:hAnsi="Calibri" w:eastAsia="Calibri" w:cs="Calibri"/>
          <w:b/>
          <w:i w:val="0"/>
          <w:color w:val="2A78D6"/>
          <w:sz w:val="28"/>
          <w:lang w:val="en-US" w:bidi="fa-IR"/>
        </w:rPr>
        <w:t>2.2 The three business problems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Demand volatility: seasonality and supply swings make commodity demand hard to predict, so stock is wrong in both directions.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Static prices: fixed prices miss revenue in busy weeks and leave stock unsold in quiet ones.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Credit and liquidity risk: sales terms must balance growth against the risk of non-payment and the cost of money tied up in stock and unpaid invoices.</w:t>
      </w:r>
    </w:p>
    <w:p>
      <w:pPr>
        <w:pStyle w:val="Heading2"/>
      </w:pPr>
      <w:r>
        <w:rPr>
          <w:rFonts w:ascii="Calibri" w:hAnsi="Calibri" w:eastAsia="Calibri" w:cs="Calibri"/>
          <w:b/>
          <w:i w:val="0"/>
          <w:color w:val="2A78D6"/>
          <w:sz w:val="28"/>
          <w:lang w:val="en-US" w:bidi="fa-IR"/>
        </w:rPr>
        <w:t>2.3 The four parts and what each delivers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157"/>
        <w:gridCol w:w="3740"/>
        <w:gridCol w:w="3740"/>
      </w:tblGrid>
      <w:tr>
        <w:trPr>
          <w:tblHeader/>
        </w:trPr>
        <w:tc>
          <w:tcPr>
            <w:tcW w:type="dxa" w:w="2158"/>
            <w:shd w:val="clear" w:color="auto" w:fill="12263F"/>
          </w:tcPr>
          <w:p>
            <w:pPr>
              <w:spacing w:after="0"/>
            </w:pPr>
            <w:r>
              <w:rPr>
                <w:rFonts w:ascii="Calibri" w:hAnsi="Calibri" w:eastAsia="Calibri" w:cs="Calibri"/>
                <w:b/>
                <w:i w:val="0"/>
                <w:color w:val="FFFFFF"/>
                <w:sz w:val="19"/>
                <w:lang w:val="en-US" w:bidi="fa-IR"/>
              </w:rPr>
              <w:t>Part</w:t>
            </w:r>
          </w:p>
        </w:tc>
        <w:tc>
          <w:tcPr>
            <w:tcW w:type="dxa" w:w="3740"/>
            <w:shd w:val="clear" w:color="auto" w:fill="12263F"/>
          </w:tcPr>
          <w:p>
            <w:pPr>
              <w:spacing w:after="0"/>
            </w:pPr>
            <w:r>
              <w:rPr>
                <w:rFonts w:ascii="Calibri" w:hAnsi="Calibri" w:eastAsia="Calibri" w:cs="Calibri"/>
                <w:b/>
                <w:i w:val="0"/>
                <w:color w:val="FFFFFF"/>
                <w:sz w:val="19"/>
                <w:lang w:val="en-US" w:bidi="fa-IR"/>
              </w:rPr>
              <w:t>Question</w:t>
            </w:r>
          </w:p>
        </w:tc>
        <w:tc>
          <w:tcPr>
            <w:tcW w:type="dxa" w:w="3740"/>
            <w:shd w:val="clear" w:color="auto" w:fill="12263F"/>
          </w:tcPr>
          <w:p>
            <w:pPr>
              <w:spacing w:after="0"/>
            </w:pPr>
            <w:r>
              <w:rPr>
                <w:rFonts w:ascii="Calibri" w:hAnsi="Calibri" w:eastAsia="Calibri" w:cs="Calibri"/>
                <w:b/>
                <w:i w:val="0"/>
                <w:color w:val="FFFFFF"/>
                <w:sz w:val="19"/>
                <w:lang w:val="en-US" w:bidi="fa-IR"/>
              </w:rPr>
              <w:t>Deliverable</w:t>
            </w:r>
          </w:p>
        </w:tc>
      </w:tr>
      <w:tr>
        <w:trPr>
          <w:cantSplit/>
        </w:trPr>
        <w:tc>
          <w:tcPr>
            <w:tcW w:type="dxa" w:w="2158"/>
          </w:tcPr>
          <w:p>
            <w:pPr>
              <w:spacing w:after="0"/>
            </w:pPr>
            <w:r>
              <w:rPr>
                <w:rFonts w:ascii="Calibri" w:hAnsi="Calibri" w:eastAsia="Calibri" w:cs="Calibri"/>
                <w:b/>
                <w:i w:val="0"/>
                <w:sz w:val="19"/>
                <w:lang w:val="en-US" w:bidi="fa-IR"/>
              </w:rPr>
              <w:t>1. Data engineering</w:t>
            </w:r>
          </w:p>
        </w:tc>
        <w:tc>
          <w:tcPr>
            <w:tcW w:type="dxa" w:w="3740"/>
          </w:tcPr>
          <w:p>
            <w:pPr>
              <w:spacing w:after="0"/>
            </w:pPr>
            <w:r>
              <w:rPr>
                <w:rFonts w:ascii="Calibri" w:hAnsi="Calibri" w:eastAsia="Calibri" w:cs="Calibri"/>
                <w:b w:val="0"/>
                <w:i w:val="0"/>
                <w:sz w:val="19"/>
                <w:lang w:val="en-US" w:bidi="fa-IR"/>
              </w:rPr>
              <w:t>Can the data be trusted, and what does each column really measure?</w:t>
            </w:r>
          </w:p>
        </w:tc>
        <w:tc>
          <w:tcPr>
            <w:tcW w:type="dxa" w:w="3740"/>
          </w:tcPr>
          <w:p>
            <w:pPr>
              <w:spacing w:after="0"/>
            </w:pPr>
            <w:r>
              <w:rPr>
                <w:rFonts w:ascii="Calibri" w:hAnsi="Calibri" w:eastAsia="Calibri" w:cs="Calibri"/>
                <w:b w:val="0"/>
                <w:i w:val="0"/>
                <w:sz w:val="19"/>
                <w:lang w:val="en-US" w:bidi="fa-IR"/>
              </w:rPr>
              <w:t>Exploratory analysis, an ETL pipeline and a SQLite star-schema database</w:t>
            </w:r>
          </w:p>
        </w:tc>
      </w:tr>
      <w:tr>
        <w:trPr>
          <w:cantSplit/>
        </w:trPr>
        <w:tc>
          <w:tcPr>
            <w:tcW w:type="dxa" w:w="2158"/>
            <w:shd w:val="clear" w:color="auto" w:fill="F7F9FC"/>
          </w:tcPr>
          <w:p>
            <w:pPr>
              <w:spacing w:after="0"/>
            </w:pPr>
            <w:r>
              <w:rPr>
                <w:rFonts w:ascii="Calibri" w:hAnsi="Calibri" w:eastAsia="Calibri" w:cs="Calibri"/>
                <w:b/>
                <w:i w:val="0"/>
                <w:sz w:val="19"/>
                <w:lang w:val="en-US" w:bidi="fa-IR"/>
              </w:rPr>
              <w:t>2. Forecasting</w:t>
            </w:r>
          </w:p>
        </w:tc>
        <w:tc>
          <w:tcPr>
            <w:tcW w:type="dxa" w:w="3740"/>
            <w:shd w:val="clear" w:color="auto" w:fill="F7F9FC"/>
          </w:tcPr>
          <w:p>
            <w:pPr>
              <w:spacing w:after="0"/>
            </w:pPr>
            <w:r>
              <w:rPr>
                <w:rFonts w:ascii="Calibri" w:hAnsi="Calibri" w:eastAsia="Calibri" w:cs="Calibri"/>
                <w:b w:val="0"/>
                <w:i w:val="0"/>
                <w:sz w:val="19"/>
                <w:lang w:val="en-US" w:bidi="fa-IR"/>
              </w:rPr>
              <w:t>How much will customers want in each of the next 26 weeks?</w:t>
            </w:r>
          </w:p>
        </w:tc>
        <w:tc>
          <w:tcPr>
            <w:tcW w:type="dxa" w:w="3740"/>
            <w:shd w:val="clear" w:color="auto" w:fill="F7F9FC"/>
          </w:tcPr>
          <w:p>
            <w:pPr>
              <w:spacing w:after="0"/>
            </w:pPr>
            <w:r>
              <w:rPr>
                <w:rFonts w:ascii="Calibri" w:hAnsi="Calibri" w:eastAsia="Calibri" w:cs="Calibri"/>
                <w:b w:val="0"/>
                <w:i w:val="0"/>
                <w:sz w:val="19"/>
                <w:lang w:val="en-US" w:bidi="fa-IR"/>
              </w:rPr>
              <w:t>Pre-processing, 13 compared models, a 26-week forecast with uncertainty ranges</w:t>
            </w:r>
          </w:p>
        </w:tc>
      </w:tr>
      <w:tr>
        <w:trPr>
          <w:cantSplit/>
        </w:trPr>
        <w:tc>
          <w:tcPr>
            <w:tcW w:type="dxa" w:w="2158"/>
          </w:tcPr>
          <w:p>
            <w:pPr>
              <w:spacing w:after="0"/>
            </w:pPr>
            <w:r>
              <w:rPr>
                <w:rFonts w:ascii="Calibri" w:hAnsi="Calibri" w:eastAsia="Calibri" w:cs="Calibri"/>
                <w:b/>
                <w:i w:val="0"/>
                <w:sz w:val="19"/>
                <w:lang w:val="en-US" w:bidi="fa-IR"/>
              </w:rPr>
              <w:t>3. Dashboard</w:t>
            </w:r>
          </w:p>
        </w:tc>
        <w:tc>
          <w:tcPr>
            <w:tcW w:type="dxa" w:w="3740"/>
          </w:tcPr>
          <w:p>
            <w:pPr>
              <w:spacing w:after="0"/>
            </w:pPr>
            <w:r>
              <w:rPr>
                <w:rFonts w:ascii="Calibri" w:hAnsi="Calibri" w:eastAsia="Calibri" w:cs="Calibri"/>
                <w:b w:val="0"/>
                <w:i w:val="0"/>
                <w:sz w:val="19"/>
                <w:lang w:val="en-US" w:bidi="fa-IR"/>
              </w:rPr>
              <w:t>Which KPIs and alerts help a manager decide?</w:t>
            </w:r>
          </w:p>
        </w:tc>
        <w:tc>
          <w:tcPr>
            <w:tcW w:type="dxa" w:w="3740"/>
          </w:tcPr>
          <w:p>
            <w:pPr>
              <w:spacing w:after="0"/>
            </w:pPr>
            <w:r>
              <w:rPr>
                <w:rFonts w:ascii="Calibri" w:hAnsi="Calibri" w:eastAsia="Calibri" w:cs="Calibri"/>
                <w:b w:val="0"/>
                <w:i w:val="0"/>
                <w:sz w:val="19"/>
                <w:lang w:val="en-US" w:bidi="fa-IR"/>
              </w:rPr>
              <w:t>An interactive dashboard (Streamlit) with financial, operational and credit KPIs</w:t>
            </w:r>
          </w:p>
        </w:tc>
      </w:tr>
      <w:tr>
        <w:trPr>
          <w:cantSplit/>
        </w:trPr>
        <w:tc>
          <w:tcPr>
            <w:tcW w:type="dxa" w:w="2158"/>
            <w:shd w:val="clear" w:color="auto" w:fill="F7F9FC"/>
          </w:tcPr>
          <w:p>
            <w:pPr>
              <w:spacing w:after="0"/>
            </w:pPr>
            <w:r>
              <w:rPr>
                <w:rFonts w:ascii="Calibri" w:hAnsi="Calibri" w:eastAsia="Calibri" w:cs="Calibri"/>
                <w:b/>
                <w:i w:val="0"/>
                <w:sz w:val="19"/>
                <w:lang w:val="en-US" w:bidi="fa-IR"/>
              </w:rPr>
              <w:t>4. Pricing and risk</w:t>
            </w:r>
          </w:p>
        </w:tc>
        <w:tc>
          <w:tcPr>
            <w:tcW w:type="dxa" w:w="3740"/>
            <w:shd w:val="clear" w:color="auto" w:fill="F7F9FC"/>
          </w:tcPr>
          <w:p>
            <w:pPr>
              <w:spacing w:after="0"/>
            </w:pPr>
            <w:r>
              <w:rPr>
                <w:rFonts w:ascii="Calibri" w:hAnsi="Calibri" w:eastAsia="Calibri" w:cs="Calibri"/>
                <w:b w:val="0"/>
                <w:i w:val="0"/>
                <w:sz w:val="19"/>
                <w:lang w:val="en-US" w:bidi="fa-IR"/>
              </w:rPr>
              <w:t>Where can price earn money, and what could go wrong?</w:t>
            </w:r>
          </w:p>
        </w:tc>
        <w:tc>
          <w:tcPr>
            <w:tcW w:type="dxa" w:w="3740"/>
            <w:shd w:val="clear" w:color="auto" w:fill="F7F9FC"/>
          </w:tcPr>
          <w:p>
            <w:pPr>
              <w:spacing w:after="0"/>
            </w:pPr>
            <w:r>
              <w:rPr>
                <w:rFonts w:ascii="Calibri" w:hAnsi="Calibri" w:eastAsia="Calibri" w:cs="Calibri"/>
                <w:b w:val="0"/>
                <w:i w:val="0"/>
                <w:sz w:val="19"/>
                <w:lang w:val="en-US" w:bidi="fa-IR"/>
              </w:rPr>
              <w:t>A rule-based pricing engine, guardrails, impact analysis and a pilot plan</w:t>
            </w:r>
          </w:p>
        </w:tc>
      </w:tr>
    </w:tbl>
    <w:p>
      <w:pPr>
        <w:spacing w:after="40"/>
      </w:pPr>
    </w:p>
    <w:p>
      <w:pPr>
        <w:pStyle w:val="Heading1"/>
      </w:pPr>
      <w:r>
        <w:rPr>
          <w:rFonts w:ascii="Calibri" w:hAnsi="Calibri" w:eastAsia="Calibri" w:cs="Calibri"/>
          <w:b/>
          <w:i w:val="0"/>
          <w:color w:val="12263F"/>
          <w:sz w:val="36"/>
          <w:lang w:val="en-US" w:bidi="fa-IR"/>
        </w:rPr>
        <w:t>3. The solution at a glance</w:t>
      </w:r>
    </w:p>
    <w:p>
      <w:pPr>
        <w:pStyle w:val="Heading2"/>
      </w:pPr>
      <w:r>
        <w:rPr>
          <w:rFonts w:ascii="Calibri" w:hAnsi="Calibri" w:eastAsia="Calibri" w:cs="Calibri"/>
          <w:b/>
          <w:i w:val="0"/>
          <w:color w:val="2A78D6"/>
          <w:sz w:val="28"/>
          <w:lang w:val="en-US" w:bidi="fa-IR"/>
        </w:rPr>
        <w:t>3.1 The story in one page</w:t>
      </w:r>
    </w:p>
    <w:p>
      <w:pPr>
        <w:spacing w:after="60"/>
        <w:ind w:left="510" w:hanging="340"/>
      </w:pPr>
      <w:r>
        <w:rPr>
          <w:rFonts w:ascii="Calibri" w:hAnsi="Calibri" w:eastAsia="Calibri" w:cs="Calibri"/>
          <w:b/>
          <w:i w:val="0"/>
          <w:color w:val="2A78D6"/>
          <w:lang w:val="en-US" w:bidi="fa-IR"/>
        </w:rPr>
        <w:t xml:space="preserve">1.  </w:t>
      </w:r>
      <w:r>
        <w:rPr>
          <w:rFonts w:ascii="Calibri" w:hAnsi="Calibri" w:eastAsia="Calibri" w:cs="Calibri"/>
          <w:b w:val="0"/>
          <w:i w:val="0"/>
          <w:lang w:val="en-US" w:bidi="fa-IR"/>
        </w:rPr>
        <w:t>The data looked messy: duplicates, missing values, odd pile-ups of values at exactly 1,500 and 2,500, weeks with zero sales. Instead of simply deleting the oddities, they were flagged and investigated.</w:t>
      </w:r>
    </w:p>
    <w:p>
      <w:pPr>
        <w:spacing w:after="60"/>
        <w:ind w:left="510" w:hanging="340"/>
      </w:pPr>
      <w:r>
        <w:rPr>
          <w:rFonts w:ascii="Calibri" w:hAnsi="Calibri" w:eastAsia="Calibri" w:cs="Calibri"/>
          <w:b/>
          <w:i w:val="0"/>
          <w:color w:val="2A78D6"/>
          <w:lang w:val="en-US" w:bidi="fa-IR"/>
        </w:rPr>
        <w:t xml:space="preserve">2.  </w:t>
      </w:r>
      <w:r>
        <w:rPr>
          <w:rFonts w:ascii="Calibri" w:hAnsi="Calibri" w:eastAsia="Calibri" w:cs="Calibri"/>
          <w:b w:val="0"/>
          <w:i w:val="0"/>
          <w:lang w:val="en-US" w:bidi="fa-IR"/>
        </w:rPr>
        <w:t>The investigation revealed the key finding: sales in a week are limited by the stock available at the start of that week (the previous row's inventory). In other words, sales = min(demand, stock). In 53 percent of product-weeks stock limited sales, so observed sales understate what customers wanted.</w:t>
      </w:r>
    </w:p>
    <w:p>
      <w:pPr>
        <w:spacing w:after="60"/>
        <w:ind w:left="510" w:hanging="340"/>
      </w:pPr>
      <w:r>
        <w:rPr>
          <w:rFonts w:ascii="Calibri" w:hAnsi="Calibri" w:eastAsia="Calibri" w:cs="Calibri"/>
          <w:b/>
          <w:i w:val="0"/>
          <w:color w:val="2A78D6"/>
          <w:lang w:val="en-US" w:bidi="fa-IR"/>
        </w:rPr>
        <w:t xml:space="preserve">3.  </w:t>
      </w:r>
      <w:r>
        <w:rPr>
          <w:rFonts w:ascii="Calibri" w:hAnsi="Calibri" w:eastAsia="Calibri" w:cs="Calibri"/>
          <w:b w:val="0"/>
          <w:i w:val="0"/>
          <w:lang w:val="en-US" w:bidi="fa-IR"/>
        </w:rPr>
        <w:t>Therefore the forecast target is demand, not sales. Demand was reconstructed for the weeks where stock hid it (column demand_est).</w:t>
      </w:r>
    </w:p>
    <w:p>
      <w:pPr>
        <w:spacing w:after="60"/>
        <w:ind w:left="510" w:hanging="340"/>
      </w:pPr>
      <w:r>
        <w:rPr>
          <w:rFonts w:ascii="Calibri" w:hAnsi="Calibri" w:eastAsia="Calibri" w:cs="Calibri"/>
          <w:b/>
          <w:i w:val="0"/>
          <w:color w:val="2A78D6"/>
          <w:lang w:val="en-US" w:bidi="fa-IR"/>
        </w:rPr>
        <w:t xml:space="preserve">4.  </w:t>
      </w:r>
      <w:r>
        <w:rPr>
          <w:rFonts w:ascii="Calibri" w:hAnsi="Calibri" w:eastAsia="Calibri" w:cs="Calibri"/>
          <w:b w:val="0"/>
          <w:i w:val="0"/>
          <w:lang w:val="en-US" w:bidi="fa-IR"/>
        </w:rPr>
        <w:t>A simple structural model (product level x growth x seasonal factor) forecast the next 26 weeks better than machine learning and classic statistics in four rolling backtests: average miss 4.57 percent (6.64 percent on weeks where demand was observed directly).</w:t>
      </w:r>
    </w:p>
    <w:p>
      <w:pPr>
        <w:spacing w:after="60"/>
        <w:ind w:left="510" w:hanging="340"/>
      </w:pPr>
      <w:r>
        <w:rPr>
          <w:rFonts w:ascii="Calibri" w:hAnsi="Calibri" w:eastAsia="Calibri" w:cs="Calibri"/>
          <w:b/>
          <w:i w:val="0"/>
          <w:color w:val="2A78D6"/>
          <w:lang w:val="en-US" w:bidi="fa-IR"/>
        </w:rPr>
        <w:t xml:space="preserve">5.  </w:t>
      </w:r>
      <w:r>
        <w:rPr>
          <w:rFonts w:ascii="Calibri" w:hAnsi="Calibri" w:eastAsia="Calibri" w:cs="Calibri"/>
          <w:b w:val="0"/>
          <w:i w:val="0"/>
          <w:lang w:val="en-US" w:bidi="fa-IR"/>
        </w:rPr>
        <w:t>The dashboard turns the data and forecast into KPIs and alerts: service level is only 60 percent, 43.2 million dollars of sales were lost in the last 52 weeks, and five products hold 10.8 million dollars of excess stock.</w:t>
      </w:r>
    </w:p>
    <w:p>
      <w:pPr>
        <w:spacing w:after="60"/>
        <w:ind w:left="510" w:hanging="340"/>
      </w:pPr>
      <w:r>
        <w:rPr>
          <w:rFonts w:ascii="Calibri" w:hAnsi="Calibri" w:eastAsia="Calibri" w:cs="Calibri"/>
          <w:b/>
          <w:i w:val="0"/>
          <w:color w:val="2A78D6"/>
          <w:lang w:val="en-US" w:bidi="fa-IR"/>
        </w:rPr>
        <w:t xml:space="preserve">6.  </w:t>
      </w:r>
      <w:r>
        <w:rPr>
          <w:rFonts w:ascii="Calibri" w:hAnsi="Calibri" w:eastAsia="Calibri" w:cs="Calibri"/>
          <w:b w:val="0"/>
          <w:i w:val="0"/>
          <w:lang w:val="en-US" w:bidi="fa-IR"/>
        </w:rPr>
        <w:t>The pricing engine raises prices only where stock sells out anyway, protects itself against the unknown price sensitivity, and obeys strict guardrails: about +1.3 million dollars of profit in 26 weeks, positive in every scenario tested.</w:t>
      </w:r>
    </w:p>
    <w:p>
      <w:pPr>
        <w:pStyle w:val="Heading2"/>
      </w:pPr>
      <w:r>
        <w:rPr>
          <w:rFonts w:ascii="Calibri" w:hAnsi="Calibri" w:eastAsia="Calibri" w:cs="Calibri"/>
          <w:b/>
          <w:i w:val="0"/>
          <w:color w:val="2A78D6"/>
          <w:sz w:val="28"/>
          <w:lang w:val="en-US" w:bidi="fa-IR"/>
        </w:rPr>
        <w:t>3.2 Headline results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301"/>
        <w:gridCol w:w="7336"/>
      </w:tblGrid>
      <w:tr>
        <w:trPr>
          <w:tblHeader/>
        </w:trPr>
        <w:tc>
          <w:tcPr>
            <w:tcW w:type="dxa" w:w="2302"/>
            <w:shd w:val="clear" w:color="auto" w:fill="12263F"/>
          </w:tcPr>
          <w:p>
            <w:pPr>
              <w:spacing w:after="0"/>
            </w:pPr>
            <w:r>
              <w:rPr>
                <w:rFonts w:ascii="Calibri" w:hAnsi="Calibri" w:eastAsia="Calibri" w:cs="Calibri"/>
                <w:b/>
                <w:i w:val="0"/>
                <w:color w:val="FFFFFF"/>
                <w:sz w:val="19"/>
                <w:lang w:val="en-US" w:bidi="fa-IR"/>
              </w:rPr>
              <w:t>Area</w:t>
            </w:r>
          </w:p>
        </w:tc>
        <w:tc>
          <w:tcPr>
            <w:tcW w:type="dxa" w:w="7336"/>
            <w:shd w:val="clear" w:color="auto" w:fill="12263F"/>
          </w:tcPr>
          <w:p>
            <w:pPr>
              <w:spacing w:after="0"/>
            </w:pPr>
            <w:r>
              <w:rPr>
                <w:rFonts w:ascii="Calibri" w:hAnsi="Calibri" w:eastAsia="Calibri" w:cs="Calibri"/>
                <w:b/>
                <w:i w:val="0"/>
                <w:color w:val="FFFFFF"/>
                <w:sz w:val="19"/>
                <w:lang w:val="en-US" w:bidi="fa-IR"/>
              </w:rPr>
              <w:t>Result</w:t>
            </w:r>
          </w:p>
        </w:tc>
      </w:tr>
      <w:tr>
        <w:trPr>
          <w:cantSplit/>
        </w:trPr>
        <w:tc>
          <w:tcPr>
            <w:tcW w:type="dxa" w:w="2302"/>
          </w:tcPr>
          <w:p>
            <w:pPr>
              <w:spacing w:after="0"/>
            </w:pPr>
            <w:r>
              <w:rPr>
                <w:rFonts w:ascii="Calibri" w:hAnsi="Calibri" w:eastAsia="Calibri" w:cs="Calibri"/>
                <w:b/>
                <w:i w:val="0"/>
                <w:sz w:val="19"/>
                <w:lang w:val="en-US" w:bidi="fa-IR"/>
              </w:rPr>
              <w:t>Data</w:t>
            </w:r>
          </w:p>
        </w:tc>
        <w:tc>
          <w:tcPr>
            <w:tcW w:type="dxa" w:w="7336"/>
          </w:tcPr>
          <w:p>
            <w:pPr>
              <w:spacing w:after="0"/>
            </w:pPr>
            <w:r>
              <w:rPr>
                <w:rFonts w:ascii="Calibri" w:hAnsi="Calibri" w:eastAsia="Calibri" w:cs="Calibri"/>
                <w:b w:val="0"/>
                <w:i w:val="0"/>
                <w:sz w:val="19"/>
                <w:lang w:val="en-US" w:bidi="fa-IR"/>
              </w:rPr>
              <w:t>7,839 raw rows became 7,800 clean product-weeks; 39 duplicates dropped; 16 missing sales recovered; data-quality index 79.7 to 99.7</w:t>
            </w:r>
          </w:p>
        </w:tc>
      </w:tr>
      <w:tr>
        <w:trPr>
          <w:cantSplit/>
        </w:trPr>
        <w:tc>
          <w:tcPr>
            <w:tcW w:type="dxa" w:w="2302"/>
            <w:shd w:val="clear" w:color="auto" w:fill="F7F9FC"/>
          </w:tcPr>
          <w:p>
            <w:pPr>
              <w:spacing w:after="0"/>
            </w:pPr>
            <w:r>
              <w:rPr>
                <w:rFonts w:ascii="Calibri" w:hAnsi="Calibri" w:eastAsia="Calibri" w:cs="Calibri"/>
                <w:b/>
                <w:i w:val="0"/>
                <w:sz w:val="19"/>
                <w:lang w:val="en-US" w:bidi="fa-IR"/>
              </w:rPr>
              <w:t>Stock effect</w:t>
            </w:r>
          </w:p>
        </w:tc>
        <w:tc>
          <w:tcPr>
            <w:tcW w:type="dxa" w:w="7336"/>
            <w:shd w:val="clear" w:color="auto" w:fill="F7F9FC"/>
          </w:tcPr>
          <w:p>
            <w:pPr>
              <w:spacing w:after="0"/>
            </w:pPr>
            <w:r>
              <w:rPr>
                <w:rFonts w:ascii="Calibri" w:hAnsi="Calibri" w:eastAsia="Calibri" w:cs="Calibri"/>
                <w:b w:val="0"/>
                <w:i w:val="0"/>
                <w:sz w:val="19"/>
                <w:lang w:val="en-US" w:bidi="fa-IR"/>
              </w:rPr>
              <w:t>53% of product-weeks are stock-limited or out of stock; about 39% of demand (6.2 million units) was not served</w:t>
            </w:r>
          </w:p>
        </w:tc>
      </w:tr>
      <w:tr>
        <w:trPr>
          <w:cantSplit/>
        </w:trPr>
        <w:tc>
          <w:tcPr>
            <w:tcW w:type="dxa" w:w="2302"/>
          </w:tcPr>
          <w:p>
            <w:pPr>
              <w:spacing w:after="0"/>
            </w:pPr>
            <w:r>
              <w:rPr>
                <w:rFonts w:ascii="Calibri" w:hAnsi="Calibri" w:eastAsia="Calibri" w:cs="Calibri"/>
                <w:b/>
                <w:i w:val="0"/>
                <w:sz w:val="19"/>
                <w:lang w:val="en-US" w:bidi="fa-IR"/>
              </w:rPr>
              <w:t>Forecast accuracy</w:t>
            </w:r>
          </w:p>
        </w:tc>
        <w:tc>
          <w:tcPr>
            <w:tcW w:type="dxa" w:w="7336"/>
          </w:tcPr>
          <w:p>
            <w:pPr>
              <w:spacing w:after="0"/>
            </w:pPr>
            <w:r>
              <w:rPr>
                <w:rFonts w:ascii="Calibri" w:hAnsi="Calibri" w:eastAsia="Calibri" w:cs="Calibri"/>
                <w:b w:val="0"/>
                <w:i w:val="0"/>
                <w:sz w:val="19"/>
                <w:lang w:val="en-US" w:bidi="fa-IR"/>
              </w:rPr>
              <w:t>WAPE 4.57% (MAE 97 units, MAPE 5.03%); 6.64% on weeks where demand was observed; best simple rule 5.28%</w:t>
            </w:r>
          </w:p>
        </w:tc>
      </w:tr>
      <w:tr>
        <w:trPr>
          <w:cantSplit/>
        </w:trPr>
        <w:tc>
          <w:tcPr>
            <w:tcW w:type="dxa" w:w="2302"/>
            <w:shd w:val="clear" w:color="auto" w:fill="F7F9FC"/>
          </w:tcPr>
          <w:p>
            <w:pPr>
              <w:spacing w:after="0"/>
            </w:pPr>
            <w:r>
              <w:rPr>
                <w:rFonts w:ascii="Calibri" w:hAnsi="Calibri" w:eastAsia="Calibri" w:cs="Calibri"/>
                <w:b/>
                <w:i w:val="0"/>
                <w:sz w:val="19"/>
                <w:lang w:val="en-US" w:bidi="fa-IR"/>
              </w:rPr>
              <w:t>Forecast</w:t>
            </w:r>
          </w:p>
        </w:tc>
        <w:tc>
          <w:tcPr>
            <w:tcW w:type="dxa" w:w="7336"/>
            <w:shd w:val="clear" w:color="auto" w:fill="F7F9FC"/>
          </w:tcPr>
          <w:p>
            <w:pPr>
              <w:spacing w:after="0"/>
            </w:pPr>
            <w:r>
              <w:rPr>
                <w:rFonts w:ascii="Calibri" w:hAnsi="Calibri" w:eastAsia="Calibri" w:cs="Calibri"/>
                <w:b w:val="0"/>
                <w:i w:val="0"/>
                <w:sz w:val="19"/>
                <w:lang w:val="en-US" w:bidi="fa-IR"/>
              </w:rPr>
              <w:t>About 2.0 million units in weeks 261-286 (+2.8% vs the same weeks a year earlier); range 1.84-2.15 million</w:t>
            </w:r>
          </w:p>
        </w:tc>
      </w:tr>
      <w:tr>
        <w:trPr>
          <w:cantSplit/>
        </w:trPr>
        <w:tc>
          <w:tcPr>
            <w:tcW w:type="dxa" w:w="2302"/>
          </w:tcPr>
          <w:p>
            <w:pPr>
              <w:spacing w:after="0"/>
            </w:pPr>
            <w:r>
              <w:rPr>
                <w:rFonts w:ascii="Calibri" w:hAnsi="Calibri" w:eastAsia="Calibri" w:cs="Calibri"/>
                <w:b/>
                <w:i w:val="0"/>
                <w:sz w:val="19"/>
                <w:lang w:val="en-US" w:bidi="fa-IR"/>
              </w:rPr>
              <w:t>Revenue potential</w:t>
            </w:r>
          </w:p>
        </w:tc>
        <w:tc>
          <w:tcPr>
            <w:tcW w:type="dxa" w:w="7336"/>
          </w:tcPr>
          <w:p>
            <w:pPr>
              <w:spacing w:after="0"/>
            </w:pPr>
            <w:r>
              <w:rPr>
                <w:rFonts w:ascii="Calibri" w:hAnsi="Calibri" w:eastAsia="Calibri" w:cs="Calibri"/>
                <w:b w:val="0"/>
                <w:i w:val="0"/>
                <w:sz w:val="19"/>
                <w:lang w:val="en-US" w:bidi="fa-IR"/>
              </w:rPr>
              <w:t>64.6 million dollars if every demanded unit could be sold; 35.8 million at historical stock; 28.7 million (44%) unserved</w:t>
            </w:r>
          </w:p>
        </w:tc>
      </w:tr>
      <w:tr>
        <w:trPr>
          <w:cantSplit/>
        </w:trPr>
        <w:tc>
          <w:tcPr>
            <w:tcW w:type="dxa" w:w="2302"/>
            <w:shd w:val="clear" w:color="auto" w:fill="F7F9FC"/>
          </w:tcPr>
          <w:p>
            <w:pPr>
              <w:spacing w:after="0"/>
            </w:pPr>
            <w:r>
              <w:rPr>
                <w:rFonts w:ascii="Calibri" w:hAnsi="Calibri" w:eastAsia="Calibri" w:cs="Calibri"/>
                <w:b/>
                <w:i w:val="0"/>
                <w:sz w:val="19"/>
                <w:lang w:val="en-US" w:bidi="fa-IR"/>
              </w:rPr>
              <w:t>Dashboard</w:t>
            </w:r>
          </w:p>
        </w:tc>
        <w:tc>
          <w:tcPr>
            <w:tcW w:type="dxa" w:w="7336"/>
            <w:shd w:val="clear" w:color="auto" w:fill="F7F9FC"/>
          </w:tcPr>
          <w:p>
            <w:pPr>
              <w:spacing w:after="0"/>
            </w:pPr>
            <w:r>
              <w:rPr>
                <w:rFonts w:ascii="Calibri" w:hAnsi="Calibri" w:eastAsia="Calibri" w:cs="Calibri"/>
                <w:b w:val="0"/>
                <w:i w:val="0"/>
                <w:sz w:val="19"/>
                <w:lang w:val="en-US" w:bidi="fa-IR"/>
              </w:rPr>
              <w:t>Revenue 65.4 million dollars (+3.3%), gross margin 21.5%, service level 60%, 35 alerts (16 high)</w:t>
            </w:r>
          </w:p>
        </w:tc>
      </w:tr>
      <w:tr>
        <w:trPr>
          <w:cantSplit/>
        </w:trPr>
        <w:tc>
          <w:tcPr>
            <w:tcW w:type="dxa" w:w="2302"/>
          </w:tcPr>
          <w:p>
            <w:pPr>
              <w:spacing w:after="0"/>
            </w:pPr>
            <w:r>
              <w:rPr>
                <w:rFonts w:ascii="Calibri" w:hAnsi="Calibri" w:eastAsia="Calibri" w:cs="Calibri"/>
                <w:b/>
                <w:i w:val="0"/>
                <w:sz w:val="19"/>
                <w:lang w:val="en-US" w:bidi="fa-IR"/>
              </w:rPr>
              <w:t>Pricing</w:t>
            </w:r>
          </w:p>
        </w:tc>
        <w:tc>
          <w:tcPr>
            <w:tcW w:type="dxa" w:w="7336"/>
          </w:tcPr>
          <w:p>
            <w:pPr>
              <w:spacing w:after="0"/>
            </w:pPr>
            <w:r>
              <w:rPr>
                <w:rFonts w:ascii="Calibri" w:hAnsi="Calibri" w:eastAsia="Calibri" w:cs="Calibri"/>
                <w:b w:val="0"/>
                <w:i w:val="0"/>
                <w:sz w:val="19"/>
                <w:lang w:val="en-US" w:bidi="fa-IR"/>
              </w:rPr>
              <w:t>+1.26 million dollars profit in 26 weeks (planning case); range 1.15-1.30 million; replay of the last 52 weeks +1.43 million</w:t>
            </w:r>
          </w:p>
        </w:tc>
      </w:tr>
      <w:tr>
        <w:trPr>
          <w:cantSplit/>
        </w:trPr>
        <w:tc>
          <w:tcPr>
            <w:tcW w:type="dxa" w:w="2302"/>
            <w:shd w:val="clear" w:color="auto" w:fill="F7F9FC"/>
          </w:tcPr>
          <w:p>
            <w:pPr>
              <w:spacing w:after="0"/>
            </w:pPr>
            <w:r>
              <w:rPr>
                <w:rFonts w:ascii="Calibri" w:hAnsi="Calibri" w:eastAsia="Calibri" w:cs="Calibri"/>
                <w:b/>
                <w:i w:val="0"/>
                <w:sz w:val="19"/>
                <w:lang w:val="en-US" w:bidi="fa-IR"/>
              </w:rPr>
              <w:t>Over-stock</w:t>
            </w:r>
          </w:p>
        </w:tc>
        <w:tc>
          <w:tcPr>
            <w:tcW w:type="dxa" w:w="7336"/>
            <w:shd w:val="clear" w:color="auto" w:fill="F7F9FC"/>
          </w:tcPr>
          <w:p>
            <w:pPr>
              <w:spacing w:after="0"/>
            </w:pPr>
            <w:r>
              <w:rPr>
                <w:rFonts w:ascii="Calibri" w:hAnsi="Calibri" w:eastAsia="Calibri" w:cs="Calibri"/>
                <w:b w:val="0"/>
                <w:i w:val="0"/>
                <w:sz w:val="19"/>
                <w:lang w:val="en-US" w:bidi="fa-IR"/>
              </w:rPr>
              <w:t>5 products hold 64 to 370 weeks of stock: 10.8 million dollars tied up, about 1.3 million a year to carry</w:t>
            </w:r>
          </w:p>
        </w:tc>
      </w:tr>
    </w:tbl>
    <w:p>
      <w:pPr>
        <w:spacing w:after="40"/>
      </w:pPr>
    </w:p>
    <w:p>
      <w:pPr>
        <w:pStyle w:val="Heading2"/>
      </w:pPr>
      <w:r>
        <w:rPr>
          <w:rFonts w:ascii="Calibri" w:hAnsi="Calibri" w:eastAsia="Calibri" w:cs="Calibri"/>
          <w:b/>
          <w:i w:val="0"/>
          <w:color w:val="2A78D6"/>
          <w:sz w:val="28"/>
          <w:lang w:val="en-US" w:bidi="fa-IR"/>
        </w:rPr>
        <w:t>3.3 Repository and how to run it</w:t>
      </w:r>
    </w:p>
    <w:p>
      <w:r>
        <w:rPr>
          <w:rFonts w:ascii="Calibri" w:hAnsi="Calibri" w:eastAsia="Calibri" w:cs="Calibri"/>
          <w:b w:val="0"/>
          <w:i w:val="0"/>
          <w:lang w:val="en-US" w:bidi="fa-IR"/>
        </w:rPr>
        <w:t>Every part is a Jupyter notebook; each notebook writes its outputs into a folder with the same name (one Excel workbook with the Summary sheet first, figures and, where relevant, a database). Only the latest version of each notebook is in the root folder; earlier versions are in the history folder. The notebooks must be run in this order: part1_etl_pipeline, part2_preprocessing, part2_forecasting, part3_dashboard, part4_pricing (Part 4 writes its pricing tables into the dashboard database, so Part 3 must run first). part1_eda is independent and optional. The README explains setup. The presentation deck is Armani_Data_Science_Presentation.pptx.</w:t>
      </w:r>
    </w:p>
    <w:p>
      <w:pPr>
        <w:pStyle w:val="Heading1"/>
      </w:pPr>
      <w:r>
        <w:rPr>
          <w:rFonts w:ascii="Calibri" w:hAnsi="Calibri" w:eastAsia="Calibri" w:cs="Calibri"/>
          <w:b/>
          <w:i w:val="0"/>
          <w:color w:val="12263F"/>
          <w:sz w:val="36"/>
          <w:lang w:val="en-US" w:bidi="fa-IR"/>
        </w:rPr>
        <w:t>4. Part 1: Data engineering</w:t>
      </w:r>
    </w:p>
    <w:p>
      <w:pPr>
        <w:pStyle w:val="Heading2"/>
      </w:pPr>
      <w:r>
        <w:rPr>
          <w:rFonts w:ascii="Calibri" w:hAnsi="Calibri" w:eastAsia="Calibri" w:cs="Calibri"/>
          <w:b/>
          <w:i w:val="0"/>
          <w:color w:val="2A78D6"/>
          <w:sz w:val="28"/>
          <w:lang w:val="en-US" w:bidi="fa-IR"/>
        </w:rPr>
        <w:t>4.1 Goal</w:t>
      </w:r>
    </w:p>
    <w:p>
      <w:r>
        <w:rPr>
          <w:rFonts w:ascii="Calibri" w:hAnsi="Calibri" w:eastAsia="Calibri" w:cs="Calibri"/>
          <w:b w:val="0"/>
          <w:i w:val="0"/>
          <w:lang w:val="en-US" w:bidi="fa-IR"/>
        </w:rPr>
        <w:t>Every later number depends on this part, so the goal was twofold: (a) understand exactly what the raw file contains and what each column really measures, and (b) build a repeatable pipeline that cleans the data, keeps an audit trail and stores it in a database that is easy to query.</w:t>
      </w:r>
    </w:p>
    <w:p>
      <w:pPr>
        <w:pStyle w:val="Heading2"/>
      </w:pPr>
      <w:r>
        <w:rPr>
          <w:rFonts w:ascii="Calibri" w:hAnsi="Calibri" w:eastAsia="Calibri" w:cs="Calibri"/>
          <w:b/>
          <w:i w:val="0"/>
          <w:color w:val="2A78D6"/>
          <w:sz w:val="28"/>
          <w:lang w:val="en-US" w:bidi="fa-IR"/>
        </w:rPr>
        <w:t>4.2 Step 1: Understand the raw file (exploratory analysis)</w:t>
      </w:r>
    </w:p>
    <w:p>
      <w:r>
        <w:rPr>
          <w:rFonts w:ascii="Calibri" w:hAnsi="Calibri" w:eastAsia="Calibri" w:cs="Calibri"/>
          <w:b w:val="0"/>
          <w:i w:val="0"/>
          <w:lang w:val="en-US" w:bidi="fa-IR"/>
        </w:rPr>
        <w:t>The exploratory notebook only reads the file; it changes nothing. It checks size and grain, completeness, uniqueness, consistency of formulas, validity of values, outliers and business signals. The main findings: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301"/>
        <w:gridCol w:w="7336"/>
      </w:tblGrid>
      <w:tr>
        <w:trPr>
          <w:tblHeader/>
        </w:trPr>
        <w:tc>
          <w:tcPr>
            <w:tcW w:type="dxa" w:w="2302"/>
            <w:shd w:val="clear" w:color="auto" w:fill="12263F"/>
          </w:tcPr>
          <w:p>
            <w:pPr>
              <w:spacing w:after="0"/>
            </w:pPr>
            <w:r>
              <w:rPr>
                <w:rFonts w:ascii="Calibri" w:hAnsi="Calibri" w:eastAsia="Calibri" w:cs="Calibri"/>
                <w:b/>
                <w:i w:val="0"/>
                <w:color w:val="FFFFFF"/>
                <w:sz w:val="19"/>
                <w:lang w:val="en-US" w:bidi="fa-IR"/>
              </w:rPr>
              <w:t>Check</w:t>
            </w:r>
          </w:p>
        </w:tc>
        <w:tc>
          <w:tcPr>
            <w:tcW w:type="dxa" w:w="7336"/>
            <w:shd w:val="clear" w:color="auto" w:fill="12263F"/>
          </w:tcPr>
          <w:p>
            <w:pPr>
              <w:spacing w:after="0"/>
            </w:pPr>
            <w:r>
              <w:rPr>
                <w:rFonts w:ascii="Calibri" w:hAnsi="Calibri" w:eastAsia="Calibri" w:cs="Calibri"/>
                <w:b/>
                <w:i w:val="0"/>
                <w:color w:val="FFFFFF"/>
                <w:sz w:val="19"/>
                <w:lang w:val="en-US" w:bidi="fa-IR"/>
              </w:rPr>
              <w:t>Finding</w:t>
            </w:r>
          </w:p>
        </w:tc>
      </w:tr>
      <w:tr>
        <w:trPr>
          <w:cantSplit/>
        </w:trPr>
        <w:tc>
          <w:tcPr>
            <w:tcW w:type="dxa" w:w="2302"/>
          </w:tcPr>
          <w:p>
            <w:pPr>
              <w:spacing w:after="0"/>
            </w:pPr>
            <w:r>
              <w:rPr>
                <w:rFonts w:ascii="Calibri" w:hAnsi="Calibri" w:eastAsia="Calibri" w:cs="Calibri"/>
                <w:b/>
                <w:i w:val="0"/>
                <w:sz w:val="19"/>
                <w:lang w:val="en-US" w:bidi="fa-IR"/>
              </w:rPr>
              <w:t>Grain</w:t>
            </w:r>
          </w:p>
        </w:tc>
        <w:tc>
          <w:tcPr>
            <w:tcW w:type="dxa" w:w="7336"/>
          </w:tcPr>
          <w:p>
            <w:pPr>
              <w:spacing w:after="0"/>
            </w:pPr>
            <w:r>
              <w:rPr>
                <w:rFonts w:ascii="Calibri" w:hAnsi="Calibri" w:eastAsia="Calibri" w:cs="Calibri"/>
                <w:b w:val="0"/>
                <w:i w:val="0"/>
                <w:sz w:val="19"/>
                <w:lang w:val="en-US" w:bidi="fa-IR"/>
              </w:rPr>
              <w:t>One row per product per week; 30 products, weeks 1-260. 7,839 rows instead of 7,800.</w:t>
            </w:r>
          </w:p>
        </w:tc>
      </w:tr>
      <w:tr>
        <w:trPr>
          <w:cantSplit/>
        </w:trPr>
        <w:tc>
          <w:tcPr>
            <w:tcW w:type="dxa" w:w="2302"/>
            <w:shd w:val="clear" w:color="auto" w:fill="F7F9FC"/>
          </w:tcPr>
          <w:p>
            <w:pPr>
              <w:spacing w:after="0"/>
            </w:pPr>
            <w:r>
              <w:rPr>
                <w:rFonts w:ascii="Calibri" w:hAnsi="Calibri" w:eastAsia="Calibri" w:cs="Calibri"/>
                <w:b/>
                <w:i w:val="0"/>
                <w:sz w:val="19"/>
                <w:lang w:val="en-US" w:bidi="fa-IR"/>
              </w:rPr>
              <w:t>Duplicates</w:t>
            </w:r>
          </w:p>
        </w:tc>
        <w:tc>
          <w:tcPr>
            <w:tcW w:type="dxa" w:w="7336"/>
            <w:shd w:val="clear" w:color="auto" w:fill="F7F9FC"/>
          </w:tcPr>
          <w:p>
            <w:pPr>
              <w:spacing w:after="0"/>
            </w:pPr>
            <w:r>
              <w:rPr>
                <w:rFonts w:ascii="Calibri" w:hAnsi="Calibri" w:eastAsia="Calibri" w:cs="Calibri"/>
                <w:b w:val="0"/>
                <w:i w:val="0"/>
                <w:sz w:val="19"/>
                <w:lang w:val="en-US" w:bidi="fa-IR"/>
              </w:rPr>
              <w:t>39 exact duplicate rows (every duplicated (week, product) key is an exact copy).</w:t>
            </w:r>
          </w:p>
        </w:tc>
      </w:tr>
      <w:tr>
        <w:trPr>
          <w:cantSplit/>
        </w:trPr>
        <w:tc>
          <w:tcPr>
            <w:tcW w:type="dxa" w:w="2302"/>
          </w:tcPr>
          <w:p>
            <w:pPr>
              <w:spacing w:after="0"/>
            </w:pPr>
            <w:r>
              <w:rPr>
                <w:rFonts w:ascii="Calibri" w:hAnsi="Calibri" w:eastAsia="Calibri" w:cs="Calibri"/>
                <w:b/>
                <w:i w:val="0"/>
                <w:sz w:val="19"/>
                <w:lang w:val="en-US" w:bidi="fa-IR"/>
              </w:rPr>
              <w:t>Missing values</w:t>
            </w:r>
          </w:p>
        </w:tc>
        <w:tc>
          <w:tcPr>
            <w:tcW w:type="dxa" w:w="7336"/>
          </w:tcPr>
          <w:p>
            <w:pPr>
              <w:spacing w:after="0"/>
            </w:pPr>
            <w:r>
              <w:rPr>
                <w:rFonts w:ascii="Calibri" w:hAnsi="Calibri" w:eastAsia="Calibri" w:cs="Calibri"/>
                <w:b w:val="0"/>
                <w:i w:val="0"/>
                <w:sz w:val="19"/>
                <w:lang w:val="en-US" w:bidi="fa-IR"/>
              </w:rPr>
              <w:t>Sales_Units missing in 16 rows (Revenue is present); Demand_Forecast missing in 609 rows (7.8%); other columns complete.</w:t>
            </w:r>
          </w:p>
        </w:tc>
      </w:tr>
      <w:tr>
        <w:trPr>
          <w:cantSplit/>
        </w:trPr>
        <w:tc>
          <w:tcPr>
            <w:tcW w:type="dxa" w:w="2302"/>
            <w:shd w:val="clear" w:color="auto" w:fill="F7F9FC"/>
          </w:tcPr>
          <w:p>
            <w:pPr>
              <w:spacing w:after="0"/>
            </w:pPr>
            <w:r>
              <w:rPr>
                <w:rFonts w:ascii="Calibri" w:hAnsi="Calibri" w:eastAsia="Calibri" w:cs="Calibri"/>
                <w:b/>
                <w:i w:val="0"/>
                <w:sz w:val="19"/>
                <w:lang w:val="en-US" w:bidi="fa-IR"/>
              </w:rPr>
              <w:t>Formulas</w:t>
            </w:r>
          </w:p>
        </w:tc>
        <w:tc>
          <w:tcPr>
            <w:tcW w:type="dxa" w:w="7336"/>
            <w:shd w:val="clear" w:color="auto" w:fill="F7F9FC"/>
          </w:tcPr>
          <w:p>
            <w:pPr>
              <w:spacing w:after="0"/>
            </w:pPr>
            <w:r>
              <w:rPr>
                <w:rFonts w:ascii="Calibri" w:hAnsi="Calibri" w:eastAsia="Calibri" w:cs="Calibri"/>
                <w:b w:val="0"/>
                <w:i w:val="0"/>
                <w:sz w:val="19"/>
                <w:lang w:val="en-US" w:bidi="fa-IR"/>
              </w:rPr>
              <w:t>Revenue = Sales x Price, Gross_Profit and Gross_Profit_Margin reproduce 100%. Revenue_Growth contains 897 'infinite' values. Inventory_Turnover_Ratio matches no obvious definition and is clipped at 1.0 in 2,842 rows.</w:t>
            </w:r>
          </w:p>
        </w:tc>
      </w:tr>
      <w:tr>
        <w:trPr>
          <w:cantSplit/>
        </w:trPr>
        <w:tc>
          <w:tcPr>
            <w:tcW w:type="dxa" w:w="2302"/>
          </w:tcPr>
          <w:p>
            <w:pPr>
              <w:spacing w:after="0"/>
            </w:pPr>
            <w:r>
              <w:rPr>
                <w:rFonts w:ascii="Calibri" w:hAnsi="Calibri" w:eastAsia="Calibri" w:cs="Calibri"/>
                <w:b/>
                <w:i w:val="0"/>
                <w:sz w:val="19"/>
                <w:lang w:val="en-US" w:bidi="fa-IR"/>
              </w:rPr>
              <w:t>Zero sales</w:t>
            </w:r>
          </w:p>
        </w:tc>
        <w:tc>
          <w:tcPr>
            <w:tcW w:type="dxa" w:w="7336"/>
          </w:tcPr>
          <w:p>
            <w:pPr>
              <w:spacing w:after="0"/>
            </w:pPr>
            <w:r>
              <w:rPr>
                <w:rFonts w:ascii="Calibri" w:hAnsi="Calibri" w:eastAsia="Calibri" w:cs="Calibri"/>
                <w:b w:val="0"/>
                <w:i w:val="0"/>
                <w:sz w:val="19"/>
                <w:lang w:val="en-US" w:bidi="fa-IR"/>
              </w:rPr>
              <w:t>1,333 weeks with zero sales (17%), but only 431 of them have zero inventory in the same row.</w:t>
            </w:r>
          </w:p>
        </w:tc>
      </w:tr>
      <w:tr>
        <w:trPr>
          <w:cantSplit/>
        </w:trPr>
        <w:tc>
          <w:tcPr>
            <w:tcW w:type="dxa" w:w="2302"/>
            <w:shd w:val="clear" w:color="auto" w:fill="F7F9FC"/>
          </w:tcPr>
          <w:p>
            <w:pPr>
              <w:spacing w:after="0"/>
            </w:pPr>
            <w:r>
              <w:rPr>
                <w:rFonts w:ascii="Calibri" w:hAnsi="Calibri" w:eastAsia="Calibri" w:cs="Calibri"/>
                <w:b/>
                <w:i w:val="0"/>
                <w:sz w:val="19"/>
                <w:lang w:val="en-US" w:bidi="fa-IR"/>
              </w:rPr>
              <w:t>Impossible rows</w:t>
            </w:r>
          </w:p>
        </w:tc>
        <w:tc>
          <w:tcPr>
            <w:tcW w:type="dxa" w:w="7336"/>
            <w:shd w:val="clear" w:color="auto" w:fill="F7F9FC"/>
          </w:tcPr>
          <w:p>
            <w:pPr>
              <w:spacing w:after="0"/>
            </w:pPr>
            <w:r>
              <w:rPr>
                <w:rFonts w:ascii="Calibri" w:hAnsi="Calibri" w:eastAsia="Calibri" w:cs="Calibri"/>
                <w:b w:val="0"/>
                <w:i w:val="0"/>
                <w:sz w:val="19"/>
                <w:lang w:val="en-US" w:bidi="fa-IR"/>
              </w:rPr>
              <w:t>905 rows with zero inventory but positive sales.</w:t>
            </w:r>
          </w:p>
        </w:tc>
      </w:tr>
      <w:tr>
        <w:trPr>
          <w:cantSplit/>
        </w:trPr>
        <w:tc>
          <w:tcPr>
            <w:tcW w:type="dxa" w:w="2302"/>
          </w:tcPr>
          <w:p>
            <w:pPr>
              <w:spacing w:after="0"/>
            </w:pPr>
            <w:r>
              <w:rPr>
                <w:rFonts w:ascii="Calibri" w:hAnsi="Calibri" w:eastAsia="Calibri" w:cs="Calibri"/>
                <w:b/>
                <w:i w:val="0"/>
                <w:sz w:val="19"/>
                <w:lang w:val="en-US" w:bidi="fa-IR"/>
              </w:rPr>
              <w:t>Pile-ups</w:t>
            </w:r>
          </w:p>
        </w:tc>
        <w:tc>
          <w:tcPr>
            <w:tcW w:type="dxa" w:w="7336"/>
          </w:tcPr>
          <w:p>
            <w:pPr>
              <w:spacing w:after="0"/>
            </w:pPr>
            <w:r>
              <w:rPr>
                <w:rFonts w:ascii="Calibri" w:hAnsi="Calibri" w:eastAsia="Calibri" w:cs="Calibri"/>
                <w:b w:val="0"/>
                <w:i w:val="0"/>
                <w:sz w:val="19"/>
                <w:lang w:val="en-US" w:bidi="fa-IR"/>
              </w:rPr>
              <w:t>Sales exactly 1,500 or 2,500 in 2,116 rows; inventory exactly 0, 1,500 or 2,500 in 4,161 rows.</w:t>
            </w:r>
          </w:p>
        </w:tc>
      </w:tr>
      <w:tr>
        <w:trPr>
          <w:cantSplit/>
        </w:trPr>
        <w:tc>
          <w:tcPr>
            <w:tcW w:type="dxa" w:w="2302"/>
            <w:shd w:val="clear" w:color="auto" w:fill="F7F9FC"/>
          </w:tcPr>
          <w:p>
            <w:pPr>
              <w:spacing w:after="0"/>
            </w:pPr>
            <w:r>
              <w:rPr>
                <w:rFonts w:ascii="Calibri" w:hAnsi="Calibri" w:eastAsia="Calibri" w:cs="Calibri"/>
                <w:b/>
                <w:i w:val="0"/>
                <w:sz w:val="19"/>
                <w:lang w:val="en-US" w:bidi="fa-IR"/>
              </w:rPr>
              <w:t>Outliers</w:t>
            </w:r>
          </w:p>
        </w:tc>
        <w:tc>
          <w:tcPr>
            <w:tcW w:type="dxa" w:w="7336"/>
            <w:shd w:val="clear" w:color="auto" w:fill="F7F9FC"/>
          </w:tcPr>
          <w:p>
            <w:pPr>
              <w:spacing w:after="0"/>
            </w:pPr>
            <w:r>
              <w:rPr>
                <w:rFonts w:ascii="Calibri" w:hAnsi="Calibri" w:eastAsia="Calibri" w:cs="Calibri"/>
                <w:b w:val="0"/>
                <w:i w:val="0"/>
                <w:sz w:val="19"/>
                <w:lang w:val="en-US" w:bidi="fa-IR"/>
              </w:rPr>
              <w:t>23 sales values with a robust z-score above 4 within their product.</w:t>
            </w:r>
          </w:p>
        </w:tc>
      </w:tr>
      <w:tr>
        <w:trPr>
          <w:cantSplit/>
        </w:trPr>
        <w:tc>
          <w:tcPr>
            <w:tcW w:type="dxa" w:w="2302"/>
          </w:tcPr>
          <w:p>
            <w:pPr>
              <w:spacing w:after="0"/>
            </w:pPr>
            <w:r>
              <w:rPr>
                <w:rFonts w:ascii="Calibri" w:hAnsi="Calibri" w:eastAsia="Calibri" w:cs="Calibri"/>
                <w:b/>
                <w:i w:val="0"/>
                <w:sz w:val="19"/>
                <w:lang w:val="en-US" w:bidi="fa-IR"/>
              </w:rPr>
              <w:t>Business signals</w:t>
            </w:r>
          </w:p>
        </w:tc>
        <w:tc>
          <w:tcPr>
            <w:tcW w:type="dxa" w:w="7336"/>
          </w:tcPr>
          <w:p>
            <w:pPr>
              <w:spacing w:after="0"/>
            </w:pPr>
            <w:r>
              <w:rPr>
                <w:rFonts w:ascii="Calibri" w:hAnsi="Calibri" w:eastAsia="Calibri" w:cs="Calibri"/>
                <w:b w:val="0"/>
                <w:i w:val="0"/>
                <w:sz w:val="19"/>
                <w:lang w:val="en-US" w:bidi="fa-IR"/>
              </w:rPr>
              <w:t>Price / cost markup is 1.20-1.35 for all products (little pricing signal); the legacy forecast has a correlation of only 0.21 with sales; seasonality looks weak at first sight.</w:t>
            </w:r>
          </w:p>
        </w:tc>
      </w:tr>
    </w:tbl>
    <w:p>
      <w:pPr>
        <w:spacing w:after="40"/>
      </w:pPr>
    </w:p>
    <w:p>
      <w:r>
        <w:rPr>
          <w:rFonts w:ascii="Calibri" w:hAnsi="Calibri" w:eastAsia="Calibri" w:cs="Calibri"/>
          <w:b w:val="0"/>
          <w:i w:val="0"/>
          <w:lang w:val="en-US" w:bidi="fa-IR"/>
        </w:rPr>
        <w:t>Several of these facts look like errors. The key lesson of this step: do not delete what you do not understand. The zero-sales weeks, the pile-ups and the 'impossible' rows turned out to be the most informative part of the file.</w:t>
      </w:r>
    </w:p>
    <w:p>
      <w:pPr>
        <w:pStyle w:val="Heading2"/>
      </w:pPr>
      <w:r>
        <w:rPr>
          <w:rFonts w:ascii="Calibri" w:hAnsi="Calibri" w:eastAsia="Calibri" w:cs="Calibri"/>
          <w:b/>
          <w:i w:val="0"/>
          <w:color w:val="2A78D6"/>
          <w:sz w:val="28"/>
          <w:lang w:val="en-US" w:bidi="fa-IR"/>
        </w:rPr>
        <w:t>4.3 Step 2: Nine data challenges and how each was treated</w:t>
      </w:r>
    </w:p>
    <w:p>
      <w:r>
        <w:rPr>
          <w:rFonts w:ascii="Calibri" w:hAnsi="Calibri" w:eastAsia="Calibri" w:cs="Calibri"/>
          <w:b w:val="0"/>
          <w:i w:val="0"/>
          <w:lang w:val="en-US" w:bidi="fa-IR"/>
        </w:rPr>
        <w:t>The guiding rule: fix what is provably wrong, flag what is merely unusual, never delete information whose meaning is not yet understood.</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431"/>
        <w:gridCol w:w="2013"/>
        <w:gridCol w:w="2157"/>
        <w:gridCol w:w="2876"/>
        <w:gridCol w:w="2157"/>
      </w:tblGrid>
      <w:tr>
        <w:trPr>
          <w:tblHeader/>
        </w:trPr>
        <w:tc>
          <w:tcPr>
            <w:tcW w:type="dxa" w:w="432"/>
            <w:shd w:val="clear" w:color="auto" w:fill="12263F"/>
          </w:tcPr>
          <w:p>
            <w:pPr>
              <w:spacing w:after="0"/>
            </w:pPr>
            <w:r>
              <w:rPr>
                <w:rFonts w:ascii="Calibri" w:hAnsi="Calibri" w:eastAsia="Calibri" w:cs="Calibri"/>
                <w:b/>
                <w:i w:val="0"/>
                <w:color w:val="FFFFFF"/>
                <w:sz w:val="18"/>
                <w:lang w:val="en-US" w:bidi="fa-IR"/>
              </w:rPr>
              <w:t>#</w:t>
            </w:r>
          </w:p>
        </w:tc>
        <w:tc>
          <w:tcPr>
            <w:tcW w:type="dxa" w:w="2014"/>
            <w:shd w:val="clear" w:color="auto" w:fill="12263F"/>
          </w:tcPr>
          <w:p>
            <w:pPr>
              <w:spacing w:after="0"/>
            </w:pPr>
            <w:r>
              <w:rPr>
                <w:rFonts w:ascii="Calibri" w:hAnsi="Calibri" w:eastAsia="Calibri" w:cs="Calibri"/>
                <w:b/>
                <w:i w:val="0"/>
                <w:color w:val="FFFFFF"/>
                <w:sz w:val="18"/>
                <w:lang w:val="en-US" w:bidi="fa-IR"/>
              </w:rPr>
              <w:t>Challenge</w:t>
            </w:r>
          </w:p>
        </w:tc>
        <w:tc>
          <w:tcPr>
            <w:tcW w:type="dxa" w:w="2158"/>
            <w:shd w:val="clear" w:color="auto" w:fill="12263F"/>
          </w:tcPr>
          <w:p>
            <w:pPr>
              <w:spacing w:after="0"/>
            </w:pPr>
            <w:r>
              <w:rPr>
                <w:rFonts w:ascii="Calibri" w:hAnsi="Calibri" w:eastAsia="Calibri" w:cs="Calibri"/>
                <w:b/>
                <w:i w:val="0"/>
                <w:color w:val="FFFFFF"/>
                <w:sz w:val="18"/>
                <w:lang w:val="en-US" w:bidi="fa-IR"/>
              </w:rPr>
              <w:t>Evidence</w:t>
            </w:r>
          </w:p>
        </w:tc>
        <w:tc>
          <w:tcPr>
            <w:tcW w:type="dxa" w:w="2877"/>
            <w:shd w:val="clear" w:color="auto" w:fill="12263F"/>
          </w:tcPr>
          <w:p>
            <w:pPr>
              <w:spacing w:after="0"/>
            </w:pPr>
            <w:r>
              <w:rPr>
                <w:rFonts w:ascii="Calibri" w:hAnsi="Calibri" w:eastAsia="Calibri" w:cs="Calibri"/>
                <w:b/>
                <w:i w:val="0"/>
                <w:color w:val="FFFFFF"/>
                <w:sz w:val="18"/>
                <w:lang w:val="en-US" w:bidi="fa-IR"/>
              </w:rPr>
              <w:t>Treatment</w:t>
            </w:r>
          </w:p>
        </w:tc>
        <w:tc>
          <w:tcPr>
            <w:tcW w:type="dxa" w:w="2158"/>
            <w:shd w:val="clear" w:color="auto" w:fill="12263F"/>
          </w:tcPr>
          <w:p>
            <w:pPr>
              <w:spacing w:after="0"/>
            </w:pPr>
            <w:r>
              <w:rPr>
                <w:rFonts w:ascii="Calibri" w:hAnsi="Calibri" w:eastAsia="Calibri" w:cs="Calibri"/>
                <w:b/>
                <w:i w:val="0"/>
                <w:color w:val="FFFFFF"/>
                <w:sz w:val="18"/>
                <w:lang w:val="en-US" w:bidi="fa-IR"/>
              </w:rPr>
              <w:t>Reason</w:t>
            </w:r>
          </w:p>
        </w:tc>
      </w:tr>
      <w:tr>
        <w:trPr>
          <w:cantSplit/>
        </w:trPr>
        <w:tc>
          <w:tcPr>
            <w:tcW w:type="dxa" w:w="432"/>
          </w:tcPr>
          <w:p>
            <w:pPr>
              <w:spacing w:after="0"/>
            </w:pPr>
            <w:r>
              <w:rPr>
                <w:rFonts w:ascii="Calibri" w:hAnsi="Calibri" w:eastAsia="Calibri" w:cs="Calibri"/>
                <w:b/>
                <w:i w:val="0"/>
                <w:sz w:val="18"/>
                <w:lang w:val="en-US" w:bidi="fa-IR"/>
              </w:rPr>
              <w:t>1</w:t>
            </w:r>
          </w:p>
        </w:tc>
        <w:tc>
          <w:tcPr>
            <w:tcW w:type="dxa" w:w="2014"/>
          </w:tcPr>
          <w:p>
            <w:pPr>
              <w:spacing w:after="0"/>
            </w:pPr>
            <w:r>
              <w:rPr>
                <w:rFonts w:ascii="Calibri" w:hAnsi="Calibri" w:eastAsia="Calibri" w:cs="Calibri"/>
                <w:b w:val="0"/>
                <w:i w:val="0"/>
                <w:sz w:val="18"/>
                <w:lang w:val="en-US" w:bidi="fa-IR"/>
              </w:rPr>
              <w:t>Exact duplicate rows</w:t>
            </w:r>
          </w:p>
        </w:tc>
        <w:tc>
          <w:tcPr>
            <w:tcW w:type="dxa" w:w="2158"/>
          </w:tcPr>
          <w:p>
            <w:pPr>
              <w:spacing w:after="0"/>
            </w:pPr>
            <w:r>
              <w:rPr>
                <w:rFonts w:ascii="Calibri" w:hAnsi="Calibri" w:eastAsia="Calibri" w:cs="Calibri"/>
                <w:b w:val="0"/>
                <w:i w:val="0"/>
                <w:sz w:val="18"/>
                <w:lang w:val="en-US" w:bidi="fa-IR"/>
              </w:rPr>
              <w:t>39 rows</w:t>
            </w:r>
          </w:p>
        </w:tc>
        <w:tc>
          <w:tcPr>
            <w:tcW w:type="dxa" w:w="2877"/>
          </w:tcPr>
          <w:p>
            <w:pPr>
              <w:spacing w:after="0"/>
            </w:pPr>
            <w:r>
              <w:rPr>
                <w:rFonts w:ascii="Calibri" w:hAnsi="Calibri" w:eastAsia="Calibri" w:cs="Calibri"/>
                <w:b w:val="0"/>
                <w:i w:val="0"/>
                <w:sz w:val="18"/>
                <w:lang w:val="en-US" w:bidi="fa-IR"/>
              </w:rPr>
              <w:t>Dropped, first occurrence kept and logged; conflicting duplicates would be quarantined (none exist)</w:t>
            </w:r>
          </w:p>
        </w:tc>
        <w:tc>
          <w:tcPr>
            <w:tcW w:type="dxa" w:w="2158"/>
          </w:tcPr>
          <w:p>
            <w:pPr>
              <w:spacing w:after="0"/>
            </w:pPr>
            <w:r>
              <w:rPr>
                <w:rFonts w:ascii="Calibri" w:hAnsi="Calibri" w:eastAsia="Calibri" w:cs="Calibri"/>
                <w:b w:val="0"/>
                <w:i w:val="0"/>
                <w:sz w:val="18"/>
                <w:lang w:val="en-US" w:bidi="fa-IR"/>
              </w:rPr>
              <w:t>A repeated week double-counts sales</w:t>
            </w:r>
          </w:p>
        </w:tc>
      </w:tr>
      <w:tr>
        <w:trPr>
          <w:cantSplit/>
        </w:trPr>
        <w:tc>
          <w:tcPr>
            <w:tcW w:type="dxa" w:w="432"/>
            <w:shd w:val="clear" w:color="auto" w:fill="F7F9FC"/>
          </w:tcPr>
          <w:p>
            <w:pPr>
              <w:spacing w:after="0"/>
            </w:pPr>
            <w:r>
              <w:rPr>
                <w:rFonts w:ascii="Calibri" w:hAnsi="Calibri" w:eastAsia="Calibri" w:cs="Calibri"/>
                <w:b/>
                <w:i w:val="0"/>
                <w:sz w:val="18"/>
                <w:lang w:val="en-US" w:bidi="fa-IR"/>
              </w:rPr>
              <w:t>2</w:t>
            </w:r>
          </w:p>
        </w:tc>
        <w:tc>
          <w:tcPr>
            <w:tcW w:type="dxa" w:w="2014"/>
            <w:shd w:val="clear" w:color="auto" w:fill="F7F9FC"/>
          </w:tcPr>
          <w:p>
            <w:pPr>
              <w:spacing w:after="0"/>
            </w:pPr>
            <w:r>
              <w:rPr>
                <w:rFonts w:ascii="Calibri" w:hAnsi="Calibri" w:eastAsia="Calibri" w:cs="Calibri"/>
                <w:b w:val="0"/>
                <w:i w:val="0"/>
                <w:sz w:val="18"/>
                <w:lang w:val="en-US" w:bidi="fa-IR"/>
              </w:rPr>
              <w:t>Missing Sales_Units</w:t>
            </w:r>
          </w:p>
        </w:tc>
        <w:tc>
          <w:tcPr>
            <w:tcW w:type="dxa" w:w="2158"/>
            <w:shd w:val="clear" w:color="auto" w:fill="F7F9FC"/>
          </w:tcPr>
          <w:p>
            <w:pPr>
              <w:spacing w:after="0"/>
            </w:pPr>
            <w:r>
              <w:rPr>
                <w:rFonts w:ascii="Calibri" w:hAnsi="Calibri" w:eastAsia="Calibri" w:cs="Calibri"/>
                <w:b w:val="0"/>
                <w:i w:val="0"/>
                <w:sz w:val="18"/>
                <w:lang w:val="en-US" w:bidi="fa-IR"/>
              </w:rPr>
              <w:t>16 rows</w:t>
            </w:r>
          </w:p>
        </w:tc>
        <w:tc>
          <w:tcPr>
            <w:tcW w:type="dxa" w:w="2877"/>
            <w:shd w:val="clear" w:color="auto" w:fill="F7F9FC"/>
          </w:tcPr>
          <w:p>
            <w:pPr>
              <w:spacing w:after="0"/>
            </w:pPr>
            <w:r>
              <w:rPr>
                <w:rFonts w:ascii="Calibri" w:hAnsi="Calibri" w:eastAsia="Calibri" w:cs="Calibri"/>
                <w:b w:val="0"/>
                <w:i w:val="0"/>
                <w:sz w:val="18"/>
                <w:lang w:val="en-US" w:bidi="fa-IR"/>
              </w:rPr>
              <w:t>Recovered as ROUND(Revenue / Price); flagged</w:t>
            </w:r>
          </w:p>
        </w:tc>
        <w:tc>
          <w:tcPr>
            <w:tcW w:type="dxa" w:w="2158"/>
            <w:shd w:val="clear" w:color="auto" w:fill="F7F9FC"/>
          </w:tcPr>
          <w:p>
            <w:pPr>
              <w:spacing w:after="0"/>
            </w:pPr>
            <w:r>
              <w:rPr>
                <w:rFonts w:ascii="Calibri" w:hAnsi="Calibri" w:eastAsia="Calibri" w:cs="Calibri"/>
                <w:b w:val="0"/>
                <w:i w:val="0"/>
                <w:sz w:val="18"/>
                <w:lang w:val="en-US" w:bidi="fa-IR"/>
              </w:rPr>
              <w:t>Revenue and price are present, so the value is determinable</w:t>
            </w:r>
          </w:p>
        </w:tc>
      </w:tr>
      <w:tr>
        <w:trPr>
          <w:cantSplit/>
        </w:trPr>
        <w:tc>
          <w:tcPr>
            <w:tcW w:type="dxa" w:w="432"/>
          </w:tcPr>
          <w:p>
            <w:pPr>
              <w:spacing w:after="0"/>
            </w:pPr>
            <w:r>
              <w:rPr>
                <w:rFonts w:ascii="Calibri" w:hAnsi="Calibri" w:eastAsia="Calibri" w:cs="Calibri"/>
                <w:b/>
                <w:i w:val="0"/>
                <w:sz w:val="18"/>
                <w:lang w:val="en-US" w:bidi="fa-IR"/>
              </w:rPr>
              <w:t>3</w:t>
            </w:r>
          </w:p>
        </w:tc>
        <w:tc>
          <w:tcPr>
            <w:tcW w:type="dxa" w:w="2014"/>
          </w:tcPr>
          <w:p>
            <w:pPr>
              <w:spacing w:after="0"/>
            </w:pPr>
            <w:r>
              <w:rPr>
                <w:rFonts w:ascii="Calibri" w:hAnsi="Calibri" w:eastAsia="Calibri" w:cs="Calibri"/>
                <w:b w:val="0"/>
                <w:i w:val="0"/>
                <w:sz w:val="18"/>
                <w:lang w:val="en-US" w:bidi="fa-IR"/>
              </w:rPr>
              <w:t>Missing legacy forecast</w:t>
            </w:r>
          </w:p>
        </w:tc>
        <w:tc>
          <w:tcPr>
            <w:tcW w:type="dxa" w:w="2158"/>
          </w:tcPr>
          <w:p>
            <w:pPr>
              <w:spacing w:after="0"/>
            </w:pPr>
            <w:r>
              <w:rPr>
                <w:rFonts w:ascii="Calibri" w:hAnsi="Calibri" w:eastAsia="Calibri" w:cs="Calibri"/>
                <w:b w:val="0"/>
                <w:i w:val="0"/>
                <w:sz w:val="18"/>
                <w:lang w:val="en-US" w:bidi="fa-IR"/>
              </w:rPr>
              <w:t>606 rows after de-duplication</w:t>
            </w:r>
          </w:p>
        </w:tc>
        <w:tc>
          <w:tcPr>
            <w:tcW w:type="dxa" w:w="2877"/>
          </w:tcPr>
          <w:p>
            <w:pPr>
              <w:spacing w:after="0"/>
            </w:pPr>
            <w:r>
              <w:rPr>
                <w:rFonts w:ascii="Calibri" w:hAnsi="Calibri" w:eastAsia="Calibri" w:cs="Calibri"/>
                <w:b w:val="0"/>
                <w:i w:val="0"/>
                <w:sz w:val="18"/>
                <w:lang w:val="en-US" w:bidi="fa-IR"/>
              </w:rPr>
              <w:t>Kept empty and flagged, not imputed</w:t>
            </w:r>
          </w:p>
        </w:tc>
        <w:tc>
          <w:tcPr>
            <w:tcW w:type="dxa" w:w="2158"/>
          </w:tcPr>
          <w:p>
            <w:pPr>
              <w:spacing w:after="0"/>
            </w:pPr>
            <w:r>
              <w:rPr>
                <w:rFonts w:ascii="Calibri" w:hAnsi="Calibri" w:eastAsia="Calibri" w:cs="Calibri"/>
                <w:b w:val="0"/>
                <w:i w:val="0"/>
                <w:sz w:val="18"/>
                <w:lang w:val="en-US" w:bidi="fa-IR"/>
              </w:rPr>
              <w:t>Imputing would invent a baseline</w:t>
            </w:r>
          </w:p>
        </w:tc>
      </w:tr>
      <w:tr>
        <w:trPr>
          <w:cantSplit/>
        </w:trPr>
        <w:tc>
          <w:tcPr>
            <w:tcW w:type="dxa" w:w="432"/>
            <w:shd w:val="clear" w:color="auto" w:fill="F7F9FC"/>
          </w:tcPr>
          <w:p>
            <w:pPr>
              <w:spacing w:after="0"/>
            </w:pPr>
            <w:r>
              <w:rPr>
                <w:rFonts w:ascii="Calibri" w:hAnsi="Calibri" w:eastAsia="Calibri" w:cs="Calibri"/>
                <w:b/>
                <w:i w:val="0"/>
                <w:sz w:val="18"/>
                <w:lang w:val="en-US" w:bidi="fa-IR"/>
              </w:rPr>
              <w:t>4</w:t>
            </w:r>
          </w:p>
        </w:tc>
        <w:tc>
          <w:tcPr>
            <w:tcW w:type="dxa" w:w="2014"/>
            <w:shd w:val="clear" w:color="auto" w:fill="F7F9FC"/>
          </w:tcPr>
          <w:p>
            <w:pPr>
              <w:spacing w:after="0"/>
            </w:pPr>
            <w:r>
              <w:rPr>
                <w:rFonts w:ascii="Calibri" w:hAnsi="Calibri" w:eastAsia="Calibri" w:cs="Calibri"/>
                <w:b w:val="0"/>
                <w:i w:val="0"/>
                <w:sz w:val="18"/>
                <w:lang w:val="en-US" w:bidi="fa-IR"/>
              </w:rPr>
              <w:t>Infinite revenue growth</w:t>
            </w:r>
          </w:p>
        </w:tc>
        <w:tc>
          <w:tcPr>
            <w:tcW w:type="dxa" w:w="2158"/>
            <w:shd w:val="clear" w:color="auto" w:fill="F7F9FC"/>
          </w:tcPr>
          <w:p>
            <w:pPr>
              <w:spacing w:after="0"/>
            </w:pPr>
            <w:r>
              <w:rPr>
                <w:rFonts w:ascii="Calibri" w:hAnsi="Calibri" w:eastAsia="Calibri" w:cs="Calibri"/>
                <w:b w:val="0"/>
                <w:i w:val="0"/>
                <w:sz w:val="18"/>
                <w:lang w:val="en-US" w:bidi="fa-IR"/>
              </w:rPr>
              <w:t>897 rows</w:t>
            </w:r>
          </w:p>
        </w:tc>
        <w:tc>
          <w:tcPr>
            <w:tcW w:type="dxa" w:w="2877"/>
            <w:shd w:val="clear" w:color="auto" w:fill="F7F9FC"/>
          </w:tcPr>
          <w:p>
            <w:pPr>
              <w:spacing w:after="0"/>
            </w:pPr>
            <w:r>
              <w:rPr>
                <w:rFonts w:ascii="Calibri" w:hAnsi="Calibri" w:eastAsia="Calibri" w:cs="Calibri"/>
                <w:b w:val="0"/>
                <w:i w:val="0"/>
                <w:sz w:val="18"/>
                <w:lang w:val="en-US" w:bidi="fa-IR"/>
              </w:rPr>
              <w:t>Set to NULL; growth recomputed from clean revenue</w:t>
            </w:r>
          </w:p>
        </w:tc>
        <w:tc>
          <w:tcPr>
            <w:tcW w:type="dxa" w:w="2158"/>
            <w:shd w:val="clear" w:color="auto" w:fill="F7F9FC"/>
          </w:tcPr>
          <w:p>
            <w:pPr>
              <w:spacing w:after="0"/>
            </w:pPr>
            <w:r>
              <w:rPr>
                <w:rFonts w:ascii="Calibri" w:hAnsi="Calibri" w:eastAsia="Calibri" w:cs="Calibri"/>
                <w:b w:val="0"/>
                <w:i w:val="0"/>
                <w:sz w:val="18"/>
                <w:lang w:val="en-US" w:bidi="fa-IR"/>
              </w:rPr>
              <w:t>Growth after a zero-revenue week is undefined</w:t>
            </w:r>
          </w:p>
        </w:tc>
      </w:tr>
      <w:tr>
        <w:trPr>
          <w:cantSplit/>
        </w:trPr>
        <w:tc>
          <w:tcPr>
            <w:tcW w:type="dxa" w:w="432"/>
          </w:tcPr>
          <w:p>
            <w:pPr>
              <w:spacing w:after="0"/>
            </w:pPr>
            <w:r>
              <w:rPr>
                <w:rFonts w:ascii="Calibri" w:hAnsi="Calibri" w:eastAsia="Calibri" w:cs="Calibri"/>
                <w:b/>
                <w:i w:val="0"/>
                <w:sz w:val="18"/>
                <w:lang w:val="en-US" w:bidi="fa-IR"/>
              </w:rPr>
              <w:t>5</w:t>
            </w:r>
          </w:p>
        </w:tc>
        <w:tc>
          <w:tcPr>
            <w:tcW w:type="dxa" w:w="2014"/>
          </w:tcPr>
          <w:p>
            <w:pPr>
              <w:spacing w:after="0"/>
            </w:pPr>
            <w:r>
              <w:rPr>
                <w:rFonts w:ascii="Calibri" w:hAnsi="Calibri" w:eastAsia="Calibri" w:cs="Calibri"/>
                <w:b w:val="0"/>
                <w:i w:val="0"/>
                <w:sz w:val="18"/>
                <w:lang w:val="en-US" w:bidi="fa-IR"/>
              </w:rPr>
              <w:t>Inconsistent derived fields</w:t>
            </w:r>
          </w:p>
        </w:tc>
        <w:tc>
          <w:tcPr>
            <w:tcW w:type="dxa" w:w="2158"/>
          </w:tcPr>
          <w:p>
            <w:pPr>
              <w:spacing w:after="0"/>
            </w:pPr>
            <w:r>
              <w:rPr>
                <w:rFonts w:ascii="Calibri" w:hAnsi="Calibri" w:eastAsia="Calibri" w:cs="Calibri"/>
                <w:b w:val="0"/>
                <w:i w:val="0"/>
                <w:sz w:val="18"/>
                <w:lang w:val="en-US" w:bidi="fa-IR"/>
              </w:rPr>
              <w:t>Only 36.6% consistent</w:t>
            </w:r>
          </w:p>
        </w:tc>
        <w:tc>
          <w:tcPr>
            <w:tcW w:type="dxa" w:w="2877"/>
          </w:tcPr>
          <w:p>
            <w:pPr>
              <w:spacing w:after="0"/>
            </w:pPr>
            <w:r>
              <w:rPr>
                <w:rFonts w:ascii="Calibri" w:hAnsi="Calibri" w:eastAsia="Calibri" w:cs="Calibri"/>
                <w:b w:val="0"/>
                <w:i w:val="0"/>
                <w:sz w:val="18"/>
                <w:lang w:val="en-US" w:bidi="fa-IR"/>
              </w:rPr>
              <w:t>Revenue, gross profit, margin, growth and turnover recomputed from clean inputs</w:t>
            </w:r>
          </w:p>
        </w:tc>
        <w:tc>
          <w:tcPr>
            <w:tcW w:type="dxa" w:w="2158"/>
          </w:tcPr>
          <w:p>
            <w:pPr>
              <w:spacing w:after="0"/>
            </w:pPr>
            <w:r>
              <w:rPr>
                <w:rFonts w:ascii="Calibri" w:hAnsi="Calibri" w:eastAsia="Calibri" w:cs="Calibri"/>
                <w:b w:val="0"/>
                <w:i w:val="0"/>
                <w:sz w:val="18"/>
                <w:lang w:val="en-US" w:bidi="fa-IR"/>
              </w:rPr>
              <w:t>KPIs must be reproducible</w:t>
            </w:r>
          </w:p>
        </w:tc>
      </w:tr>
      <w:tr>
        <w:trPr>
          <w:cantSplit/>
        </w:trPr>
        <w:tc>
          <w:tcPr>
            <w:tcW w:type="dxa" w:w="432"/>
            <w:shd w:val="clear" w:color="auto" w:fill="F7F9FC"/>
          </w:tcPr>
          <w:p>
            <w:pPr>
              <w:spacing w:after="0"/>
            </w:pPr>
            <w:r>
              <w:rPr>
                <w:rFonts w:ascii="Calibri" w:hAnsi="Calibri" w:eastAsia="Calibri" w:cs="Calibri"/>
                <w:b/>
                <w:i w:val="0"/>
                <w:sz w:val="18"/>
                <w:lang w:val="en-US" w:bidi="fa-IR"/>
              </w:rPr>
              <w:t>6</w:t>
            </w:r>
          </w:p>
        </w:tc>
        <w:tc>
          <w:tcPr>
            <w:tcW w:type="dxa" w:w="2014"/>
            <w:shd w:val="clear" w:color="auto" w:fill="F7F9FC"/>
          </w:tcPr>
          <w:p>
            <w:pPr>
              <w:spacing w:after="0"/>
            </w:pPr>
            <w:r>
              <w:rPr>
                <w:rFonts w:ascii="Calibri" w:hAnsi="Calibri" w:eastAsia="Calibri" w:cs="Calibri"/>
                <w:b w:val="0"/>
                <w:i w:val="0"/>
                <w:sz w:val="18"/>
                <w:lang w:val="en-US" w:bidi="fa-IR"/>
              </w:rPr>
              <w:t>Inventory in the 'wrong' week</w:t>
            </w:r>
          </w:p>
        </w:tc>
        <w:tc>
          <w:tcPr>
            <w:tcW w:type="dxa" w:w="2158"/>
            <w:shd w:val="clear" w:color="auto" w:fill="F7F9FC"/>
          </w:tcPr>
          <w:p>
            <w:pPr>
              <w:spacing w:after="0"/>
            </w:pPr>
            <w:r>
              <w:rPr>
                <w:rFonts w:ascii="Calibri" w:hAnsi="Calibri" w:eastAsia="Calibri" w:cs="Calibri"/>
                <w:b w:val="0"/>
                <w:i w:val="0"/>
                <w:sz w:val="18"/>
                <w:lang w:val="en-US" w:bidi="fa-IR"/>
              </w:rPr>
              <w:t>907 rows with zero inventory but sales</w:t>
            </w:r>
          </w:p>
        </w:tc>
        <w:tc>
          <w:tcPr>
            <w:tcW w:type="dxa" w:w="2877"/>
            <w:shd w:val="clear" w:color="auto" w:fill="F7F9FC"/>
          </w:tcPr>
          <w:p>
            <w:pPr>
              <w:spacing w:after="0"/>
            </w:pPr>
            <w:r>
              <w:rPr>
                <w:rFonts w:ascii="Calibri" w:hAnsi="Calibri" w:eastAsia="Calibri" w:cs="Calibri"/>
                <w:b w:val="0"/>
                <w:i w:val="0"/>
                <w:sz w:val="18"/>
                <w:lang w:val="en-US" w:bidi="fa-IR"/>
              </w:rPr>
              <w:t>stock_available_for_sales = previous row's inventory</w:t>
            </w:r>
          </w:p>
        </w:tc>
        <w:tc>
          <w:tcPr>
            <w:tcW w:type="dxa" w:w="2158"/>
            <w:shd w:val="clear" w:color="auto" w:fill="F7F9FC"/>
          </w:tcPr>
          <w:p>
            <w:pPr>
              <w:spacing w:after="0"/>
            </w:pPr>
            <w:r>
              <w:rPr>
                <w:rFonts w:ascii="Calibri" w:hAnsi="Calibri" w:eastAsia="Calibri" w:cs="Calibri"/>
                <w:b w:val="0"/>
                <w:i w:val="0"/>
                <w:sz w:val="18"/>
                <w:lang w:val="en-US" w:bidi="fa-IR"/>
              </w:rPr>
              <w:t>Verified: zero sales above stock afterwards</w:t>
            </w:r>
          </w:p>
        </w:tc>
      </w:tr>
      <w:tr>
        <w:trPr>
          <w:cantSplit/>
        </w:trPr>
        <w:tc>
          <w:tcPr>
            <w:tcW w:type="dxa" w:w="432"/>
          </w:tcPr>
          <w:p>
            <w:pPr>
              <w:spacing w:after="0"/>
            </w:pPr>
            <w:r>
              <w:rPr>
                <w:rFonts w:ascii="Calibri" w:hAnsi="Calibri" w:eastAsia="Calibri" w:cs="Calibri"/>
                <w:b/>
                <w:i w:val="0"/>
                <w:sz w:val="18"/>
                <w:lang w:val="en-US" w:bidi="fa-IR"/>
              </w:rPr>
              <w:t>7</w:t>
            </w:r>
          </w:p>
        </w:tc>
        <w:tc>
          <w:tcPr>
            <w:tcW w:type="dxa" w:w="2014"/>
          </w:tcPr>
          <w:p>
            <w:pPr>
              <w:spacing w:after="0"/>
            </w:pPr>
            <w:r>
              <w:rPr>
                <w:rFonts w:ascii="Calibri" w:hAnsi="Calibri" w:eastAsia="Calibri" w:cs="Calibri"/>
                <w:b w:val="0"/>
                <w:i w:val="0"/>
                <w:sz w:val="18"/>
                <w:lang w:val="en-US" w:bidi="fa-IR"/>
              </w:rPr>
              <w:t>Pile-ups and zero-sales weeks</w:t>
            </w:r>
          </w:p>
        </w:tc>
        <w:tc>
          <w:tcPr>
            <w:tcW w:type="dxa" w:w="2158"/>
          </w:tcPr>
          <w:p>
            <w:pPr>
              <w:spacing w:after="0"/>
            </w:pPr>
            <w:r>
              <w:rPr>
                <w:rFonts w:ascii="Calibri" w:hAnsi="Calibri" w:eastAsia="Calibri" w:cs="Calibri"/>
                <w:b w:val="0"/>
                <w:i w:val="0"/>
                <w:sz w:val="18"/>
                <w:lang w:val="en-US" w:bidi="fa-IR"/>
              </w:rPr>
              <w:t>27% of sales and 53% of inventory at 1,500 / 2,500; 1,329 zero-sales weeks</w:t>
            </w:r>
          </w:p>
        </w:tc>
        <w:tc>
          <w:tcPr>
            <w:tcW w:type="dxa" w:w="2877"/>
          </w:tcPr>
          <w:p>
            <w:pPr>
              <w:spacing w:after="0"/>
            </w:pPr>
            <w:r>
              <w:rPr>
                <w:rFonts w:ascii="Calibri" w:hAnsi="Calibri" w:eastAsia="Calibri" w:cs="Calibri"/>
                <w:b w:val="0"/>
                <w:i w:val="0"/>
                <w:sz w:val="18"/>
                <w:lang w:val="en-US" w:bidi="fa-IR"/>
              </w:rPr>
              <w:t>Flagged, never deleted</w:t>
            </w:r>
          </w:p>
        </w:tc>
        <w:tc>
          <w:tcPr>
            <w:tcW w:type="dxa" w:w="2158"/>
          </w:tcPr>
          <w:p>
            <w:pPr>
              <w:spacing w:after="0"/>
            </w:pPr>
            <w:r>
              <w:rPr>
                <w:rFonts w:ascii="Calibri" w:hAnsi="Calibri" w:eastAsia="Calibri" w:cs="Calibri"/>
                <w:b w:val="0"/>
                <w:i w:val="0"/>
                <w:sz w:val="18"/>
                <w:lang w:val="en-US" w:bidi="fa-IR"/>
              </w:rPr>
              <w:t>They are stock caps and carry information</w:t>
            </w:r>
          </w:p>
        </w:tc>
      </w:tr>
      <w:tr>
        <w:trPr>
          <w:cantSplit/>
        </w:trPr>
        <w:tc>
          <w:tcPr>
            <w:tcW w:type="dxa" w:w="432"/>
            <w:shd w:val="clear" w:color="auto" w:fill="F7F9FC"/>
          </w:tcPr>
          <w:p>
            <w:pPr>
              <w:spacing w:after="0"/>
            </w:pPr>
            <w:r>
              <w:rPr>
                <w:rFonts w:ascii="Calibri" w:hAnsi="Calibri" w:eastAsia="Calibri" w:cs="Calibri"/>
                <w:b/>
                <w:i w:val="0"/>
                <w:sz w:val="18"/>
                <w:lang w:val="en-US" w:bidi="fa-IR"/>
              </w:rPr>
              <w:t>8</w:t>
            </w:r>
          </w:p>
        </w:tc>
        <w:tc>
          <w:tcPr>
            <w:tcW w:type="dxa" w:w="2014"/>
            <w:shd w:val="clear" w:color="auto" w:fill="F7F9FC"/>
          </w:tcPr>
          <w:p>
            <w:pPr>
              <w:spacing w:after="0"/>
            </w:pPr>
            <w:r>
              <w:rPr>
                <w:rFonts w:ascii="Calibri" w:hAnsi="Calibri" w:eastAsia="Calibri" w:cs="Calibri"/>
                <w:b w:val="0"/>
                <w:i w:val="0"/>
                <w:sz w:val="18"/>
                <w:lang w:val="en-US" w:bidi="fa-IR"/>
              </w:rPr>
              <w:t>Outliers</w:t>
            </w:r>
          </w:p>
        </w:tc>
        <w:tc>
          <w:tcPr>
            <w:tcW w:type="dxa" w:w="2158"/>
            <w:shd w:val="clear" w:color="auto" w:fill="F7F9FC"/>
          </w:tcPr>
          <w:p>
            <w:pPr>
              <w:spacing w:after="0"/>
            </w:pPr>
            <w:r>
              <w:rPr>
                <w:rFonts w:ascii="Calibri" w:hAnsi="Calibri" w:eastAsia="Calibri" w:cs="Calibri"/>
                <w:b w:val="0"/>
                <w:i w:val="0"/>
                <w:sz w:val="18"/>
                <w:lang w:val="en-US" w:bidi="fa-IR"/>
              </w:rPr>
              <w:t>23 sales values</w:t>
            </w:r>
          </w:p>
        </w:tc>
        <w:tc>
          <w:tcPr>
            <w:tcW w:type="dxa" w:w="2877"/>
            <w:shd w:val="clear" w:color="auto" w:fill="F7F9FC"/>
          </w:tcPr>
          <w:p>
            <w:pPr>
              <w:spacing w:after="0"/>
            </w:pPr>
            <w:r>
              <w:rPr>
                <w:rFonts w:ascii="Calibri" w:hAnsi="Calibri" w:eastAsia="Calibri" w:cs="Calibri"/>
                <w:b w:val="0"/>
                <w:i w:val="0"/>
                <w:sz w:val="18"/>
                <w:lang w:val="en-US" w:bidi="fa-IR"/>
              </w:rPr>
              <w:t>Flagged; a winsorised copy added, original untouched</w:t>
            </w:r>
          </w:p>
        </w:tc>
        <w:tc>
          <w:tcPr>
            <w:tcW w:type="dxa" w:w="2158"/>
            <w:shd w:val="clear" w:color="auto" w:fill="F7F9FC"/>
          </w:tcPr>
          <w:p>
            <w:pPr>
              <w:spacing w:after="0"/>
            </w:pPr>
            <w:r>
              <w:rPr>
                <w:rFonts w:ascii="Calibri" w:hAnsi="Calibri" w:eastAsia="Calibri" w:cs="Calibri"/>
                <w:b w:val="0"/>
                <w:i w:val="0"/>
                <w:sz w:val="18"/>
                <w:lang w:val="en-US" w:bidi="fa-IR"/>
              </w:rPr>
              <w:t>Extremes may be real peaks</w:t>
            </w:r>
          </w:p>
        </w:tc>
      </w:tr>
      <w:tr>
        <w:trPr>
          <w:cantSplit/>
        </w:trPr>
        <w:tc>
          <w:tcPr>
            <w:tcW w:type="dxa" w:w="432"/>
          </w:tcPr>
          <w:p>
            <w:pPr>
              <w:spacing w:after="0"/>
            </w:pPr>
            <w:r>
              <w:rPr>
                <w:rFonts w:ascii="Calibri" w:hAnsi="Calibri" w:eastAsia="Calibri" w:cs="Calibri"/>
                <w:b/>
                <w:i w:val="0"/>
                <w:sz w:val="18"/>
                <w:lang w:val="en-US" w:bidi="fa-IR"/>
              </w:rPr>
              <w:t>9</w:t>
            </w:r>
          </w:p>
        </w:tc>
        <w:tc>
          <w:tcPr>
            <w:tcW w:type="dxa" w:w="2014"/>
          </w:tcPr>
          <w:p>
            <w:pPr>
              <w:spacing w:after="0"/>
            </w:pPr>
            <w:r>
              <w:rPr>
                <w:rFonts w:ascii="Calibri" w:hAnsi="Calibri" w:eastAsia="Calibri" w:cs="Calibri"/>
                <w:b w:val="0"/>
                <w:i w:val="0"/>
                <w:sz w:val="18"/>
                <w:lang w:val="en-US" w:bidi="fa-IR"/>
              </w:rPr>
              <w:t>No dates, customers or competitors</w:t>
            </w:r>
          </w:p>
        </w:tc>
        <w:tc>
          <w:tcPr>
            <w:tcW w:type="dxa" w:w="2158"/>
          </w:tcPr>
          <w:p>
            <w:pPr>
              <w:spacing w:after="0"/>
            </w:pPr>
            <w:r>
              <w:rPr>
                <w:rFonts w:ascii="Calibri" w:hAnsi="Calibri" w:eastAsia="Calibri" w:cs="Calibri"/>
                <w:b w:val="0"/>
                <w:i w:val="0"/>
                <w:sz w:val="18"/>
                <w:lang w:val="en-US" w:bidi="fa-IR"/>
              </w:rPr>
              <w:t>Week numbers only</w:t>
            </w:r>
          </w:p>
        </w:tc>
        <w:tc>
          <w:tcPr>
            <w:tcW w:type="dxa" w:w="2877"/>
          </w:tcPr>
          <w:p>
            <w:pPr>
              <w:spacing w:after="0"/>
            </w:pPr>
            <w:r>
              <w:rPr>
                <w:rFonts w:ascii="Calibri" w:hAnsi="Calibri" w:eastAsia="Calibri" w:cs="Calibri"/>
                <w:b w:val="0"/>
                <w:i w:val="0"/>
                <w:sz w:val="18"/>
                <w:lang w:val="en-US" w:bidi="fa-IR"/>
              </w:rPr>
              <w:t>Synthetic calendar (week 1 = Monday 6 January 2020); labelled scenario inputs</w:t>
            </w:r>
          </w:p>
        </w:tc>
        <w:tc>
          <w:tcPr>
            <w:tcW w:type="dxa" w:w="2158"/>
          </w:tcPr>
          <w:p>
            <w:pPr>
              <w:spacing w:after="0"/>
            </w:pPr>
            <w:r>
              <w:rPr>
                <w:rFonts w:ascii="Calibri" w:hAnsi="Calibri" w:eastAsia="Calibri" w:cs="Calibri"/>
                <w:b w:val="0"/>
                <w:i w:val="0"/>
                <w:sz w:val="18"/>
                <w:lang w:val="en-US" w:bidi="fa-IR"/>
              </w:rPr>
              <w:t>Nothing is invented silently</w:t>
            </w:r>
          </w:p>
        </w:tc>
      </w:tr>
    </w:tbl>
    <w:p>
      <w:pPr>
        <w:spacing w:after="40"/>
      </w:pPr>
    </w:p>
    <w:p>
      <w:pPr>
        <w:pStyle w:val="Heading2"/>
      </w:pPr>
      <w:r>
        <w:rPr>
          <w:rFonts w:ascii="Calibri" w:hAnsi="Calibri" w:eastAsia="Calibri" w:cs="Calibri"/>
          <w:b/>
          <w:i w:val="0"/>
          <w:color w:val="2A78D6"/>
          <w:sz w:val="28"/>
          <w:lang w:val="en-US" w:bidi="fa-IR"/>
        </w:rPr>
        <w:t>4.4 Step 3: The key discovery: stock caps sales</w:t>
      </w:r>
    </w:p>
    <w:p>
      <w:r>
        <w:rPr>
          <w:rFonts w:ascii="Calibri" w:hAnsi="Calibri" w:eastAsia="Calibri" w:cs="Calibri"/>
          <w:b w:val="0"/>
          <w:i w:val="0"/>
          <w:lang w:val="en-US" w:bidi="fa-IR"/>
        </w:rPr>
        <w:t>The 905 'impossible' rows (zero inventory but positive sales) triggered a hypothesis: maybe the inventory column is recorded at the end of the week, so the stock that limits this week's sales is the previous row's inventory. The hypothesis was tested, and it explains the data:</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Correlation of sales in week t with inventory in week t-1 is 0.85 for normal-stock products, much higher than with inventory in week 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After moving the inventory one row forward, there are zero rows with sales above the available stock.</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All 1,329 weeks with zero available stock have zero sales.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In 2,813 further weeks, sales equal the available stock exactly, and the pile-ups at 1,500 and 2,500 are the stock caps.</w:t>
      </w:r>
    </w:p>
    <w:p>
      <w:pPr>
        <w:keepNext/>
        <w:spacing w:after="40"/>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inventory_timing_v1.2.png"/>
                    <pic:cNvPicPr/>
                  </pic:nvPicPr>
                  <pic:blipFill>
                    <a:blip r:embed="rId9"/>
                    <a:stretch>
                      <a:fillRect/>
                    </a:stretch>
                  </pic:blipFill>
                  <pic:spPr>
                    <a:xfrm>
                      <a:off x="0" y="0"/>
                      <a:ext cx="5303520" cy="2651760"/>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1. Sales follow the previous week's inventory, not the same week's.</w:t>
      </w:r>
    </w:p>
    <w:tbl>
      <w:tblPr>
        <w:tblW w:type="auto" w:w="0"/>
        <w:jc w:val="center"/>
        <w:tblLook w:firstColumn="1" w:firstRow="1" w:lastColumn="0" w:lastRow="0" w:noHBand="0" w:noVBand="1" w:val="04A0"/>
        <w:tblBorders>
          <w:top w:val="single" w:sz="6" w:space="0" w:color="2A78D6"/>
          <w:left w:val="single" w:sz="6" w:space="0" w:color="2A78D6"/>
          <w:bottom w:val="single" w:sz="6" w:space="0" w:color="2A78D6"/>
          <w:right w:val="single" w:sz="6" w:space="0" w:color="2A78D6"/>
          <w:insideH w:val="single" w:sz="6" w:space="0" w:color="2A78D6"/>
          <w:insideV w:val="single" w:sz="6" w:space="0" w:color="2A78D6"/>
        </w:tblBorders>
        <w:tblCellMar>
          <w:top w:w="100" w:type="dxa"/>
          <w:left w:w="160" w:type="dxa"/>
          <w:bottom w:w="100" w:type="dxa"/>
          <w:right w:w="160" w:type="dxa"/>
        </w:tblCellMar>
      </w:tblPr>
      <w:tblGrid>
        <w:gridCol w:w="9638"/>
      </w:tblGrid>
      <w:tr>
        <w:tc>
          <w:tcPr>
            <w:tcW w:type="dxa" w:w="9638"/>
            <w:shd w:val="clear" w:color="auto" w:fill="F2F6FB"/>
          </w:tcPr>
          <w:p>
            <w:pPr>
              <w:spacing w:after="40"/>
            </w:pPr>
            <w:r>
              <w:rPr>
                <w:rFonts w:ascii="Calibri" w:hAnsi="Calibri" w:eastAsia="Calibri" w:cs="Calibri"/>
                <w:b/>
                <w:i w:val="0"/>
                <w:color w:val="2A78D6"/>
                <w:lang w:val="en-US" w:bidi="fa-IR"/>
              </w:rPr>
              <w:t>Consequence</w:t>
            </w:r>
          </w:p>
          <w:p>
            <w:pPr>
              <w:spacing w:after="0"/>
            </w:pPr>
            <w:r>
              <w:rPr>
                <w:rFonts w:ascii="Calibri" w:hAnsi="Calibri" w:eastAsia="Calibri" w:cs="Calibri"/>
                <w:b w:val="0"/>
                <w:i w:val="0"/>
                <w:lang w:val="en-US" w:bidi="fa-IR"/>
              </w:rPr>
              <w:t>sales = min(demand, stock available). In 53 percent of product-weeks stock limits sales, so sales are a censored (cut-off) measure of demand. A forecast of raw sales would forecast stock availability. This finding drives Parts 2, 3 and 4.</w:t>
            </w:r>
          </w:p>
        </w:tc>
      </w:tr>
    </w:tbl>
    <w:p>
      <w:pPr>
        <w:spacing w:after="40"/>
      </w:pPr>
    </w:p>
    <w:p>
      <w:pPr>
        <w:pStyle w:val="Heading2"/>
      </w:pPr>
      <w:r>
        <w:rPr>
          <w:rFonts w:ascii="Calibri" w:hAnsi="Calibri" w:eastAsia="Calibri" w:cs="Calibri"/>
          <w:b/>
          <w:i w:val="0"/>
          <w:color w:val="2A78D6"/>
          <w:sz w:val="28"/>
          <w:lang w:val="en-US" w:bidi="fa-IR"/>
        </w:rPr>
        <w:t>4.5 Step 4: The ETL pipeline</w:t>
      </w:r>
    </w:p>
    <w:p>
      <w:r>
        <w:rPr>
          <w:rFonts w:ascii="Calibri" w:hAnsi="Calibri" w:eastAsia="Calibri" w:cs="Calibri"/>
          <w:b w:val="0"/>
          <w:i w:val="0"/>
          <w:lang w:val="en-US" w:bidi="fa-IR"/>
        </w:rPr>
        <w:t>ETL means Extract, Transform, Load. The pipeline is a notebook with the following stages, each designed so that nothing is lost and everything can be traced:</w:t>
      </w:r>
    </w:p>
    <w:p>
      <w:pPr>
        <w:spacing w:after="60"/>
        <w:ind w:left="510" w:hanging="340"/>
      </w:pPr>
      <w:r>
        <w:rPr>
          <w:rFonts w:ascii="Calibri" w:hAnsi="Calibri" w:eastAsia="Calibri" w:cs="Calibri"/>
          <w:b/>
          <w:i w:val="0"/>
          <w:color w:val="2A78D6"/>
          <w:lang w:val="en-US" w:bidi="fa-IR"/>
        </w:rPr>
        <w:t xml:space="preserve">1.  </w:t>
      </w:r>
      <w:r>
        <w:rPr>
          <w:rFonts w:ascii="Calibri" w:hAnsi="Calibri" w:eastAsia="Calibri" w:cs="Calibri"/>
          <w:b w:val="0"/>
          <w:i w:val="0"/>
          <w:lang w:val="en-US" w:bidi="fa-IR"/>
        </w:rPr>
        <w:t>Extract: check that the file exists and has the required columns (otherwise a typed exception stops the load). Store an untouched copy of every raw row in a staging table (stg_sales_raw).</w:t>
      </w:r>
    </w:p>
    <w:p>
      <w:pPr>
        <w:spacing w:after="60"/>
        <w:ind w:left="510" w:hanging="340"/>
      </w:pPr>
      <w:r>
        <w:rPr>
          <w:rFonts w:ascii="Calibri" w:hAnsi="Calibri" w:eastAsia="Calibri" w:cs="Calibri"/>
          <w:b/>
          <w:i w:val="0"/>
          <w:color w:val="2A78D6"/>
          <w:lang w:val="en-US" w:bidi="fa-IR"/>
        </w:rPr>
        <w:t xml:space="preserve">2.  </w:t>
      </w:r>
      <w:r>
        <w:rPr>
          <w:rFonts w:ascii="Calibri" w:hAnsi="Calibri" w:eastAsia="Calibri" w:cs="Calibri"/>
          <w:b w:val="0"/>
          <w:i w:val="0"/>
          <w:lang w:val="en-US" w:bidi="fa-IR"/>
        </w:rPr>
        <w:t>Validate: every row is checked (valid week, known product, positive price, non-negative sales, inventory present). Rows that cannot be used go to a quarantine table together with the reason and the raw row as JSON. In this file zero rows were quarantined.</w:t>
      </w:r>
    </w:p>
    <w:p>
      <w:pPr>
        <w:spacing w:after="60"/>
        <w:ind w:left="510" w:hanging="340"/>
      </w:pPr>
      <w:r>
        <w:rPr>
          <w:rFonts w:ascii="Calibri" w:hAnsi="Calibri" w:eastAsia="Calibri" w:cs="Calibri"/>
          <w:b/>
          <w:i w:val="0"/>
          <w:color w:val="2A78D6"/>
          <w:lang w:val="en-US" w:bidi="fa-IR"/>
        </w:rPr>
        <w:t xml:space="preserve">3.  </w:t>
      </w:r>
      <w:r>
        <w:rPr>
          <w:rFonts w:ascii="Calibri" w:hAnsi="Calibri" w:eastAsia="Calibri" w:cs="Calibri"/>
          <w:b w:val="0"/>
          <w:i w:val="0"/>
          <w:lang w:val="en-US" w:bidi="fa-IR"/>
        </w:rPr>
        <w:t>De-duplicate: exact duplicates are dropped (39); duplicates with conflicting values would be quarantined.</w:t>
      </w:r>
    </w:p>
    <w:p>
      <w:pPr>
        <w:spacing w:after="60"/>
        <w:ind w:left="510" w:hanging="340"/>
      </w:pPr>
      <w:r>
        <w:rPr>
          <w:rFonts w:ascii="Calibri" w:hAnsi="Calibri" w:eastAsia="Calibri" w:cs="Calibri"/>
          <w:b/>
          <w:i w:val="0"/>
          <w:color w:val="2A78D6"/>
          <w:lang w:val="en-US" w:bidi="fa-IR"/>
        </w:rPr>
        <w:t xml:space="preserve">4.  </w:t>
      </w:r>
      <w:r>
        <w:rPr>
          <w:rFonts w:ascii="Calibri" w:hAnsi="Calibri" w:eastAsia="Calibri" w:cs="Calibri"/>
          <w:b w:val="0"/>
          <w:i w:val="0"/>
          <w:lang w:val="en-US" w:bidi="fa-IR"/>
        </w:rPr>
        <w:t>Recover: missing sales are recovered as Revenue / Price and flagged. A corrupt text value such as 'abc' is handled the same way.</w:t>
      </w:r>
    </w:p>
    <w:p>
      <w:pPr>
        <w:spacing w:after="60"/>
        <w:ind w:left="510" w:hanging="340"/>
      </w:pPr>
      <w:r>
        <w:rPr>
          <w:rFonts w:ascii="Calibri" w:hAnsi="Calibri" w:eastAsia="Calibri" w:cs="Calibri"/>
          <w:b/>
          <w:i w:val="0"/>
          <w:color w:val="2A78D6"/>
          <w:lang w:val="en-US" w:bidi="fa-IR"/>
        </w:rPr>
        <w:t xml:space="preserve">5.  </w:t>
      </w:r>
      <w:r>
        <w:rPr>
          <w:rFonts w:ascii="Calibri" w:hAnsi="Calibri" w:eastAsia="Calibri" w:cs="Calibri"/>
          <w:b w:val="0"/>
          <w:i w:val="0"/>
          <w:lang w:val="en-US" w:bidi="fa-IR"/>
        </w:rPr>
        <w:t>Clean and derive: infinite growth set to NULL; revenue, gross profit, margin, growth and turnover recomputed. New columns are added: stock_available_for_sales, a winsorised sales copy, and the product category and inventory profile.</w:t>
      </w:r>
    </w:p>
    <w:p>
      <w:pPr>
        <w:spacing w:after="60"/>
        <w:ind w:left="510" w:hanging="340"/>
      </w:pPr>
      <w:r>
        <w:rPr>
          <w:rFonts w:ascii="Calibri" w:hAnsi="Calibri" w:eastAsia="Calibri" w:cs="Calibri"/>
          <w:b/>
          <w:i w:val="0"/>
          <w:color w:val="2A78D6"/>
          <w:lang w:val="en-US" w:bidi="fa-IR"/>
        </w:rPr>
        <w:t xml:space="preserve">6.  </w:t>
      </w:r>
      <w:r>
        <w:rPr>
          <w:rFonts w:ascii="Calibri" w:hAnsi="Calibri" w:eastAsia="Calibri" w:cs="Calibri"/>
          <w:b w:val="0"/>
          <w:i w:val="0"/>
          <w:lang w:val="en-US" w:bidi="fa-IR"/>
        </w:rPr>
        <w:t>Flag: nine flag columns (imputed sales, zero sales, sales pile-up, inventory pile-up, stock-out week, stock-limited week, stock unknown, outlier, forecast missing).</w:t>
      </w:r>
    </w:p>
    <w:p>
      <w:pPr>
        <w:spacing w:after="60"/>
        <w:ind w:left="510" w:hanging="340"/>
      </w:pPr>
      <w:r>
        <w:rPr>
          <w:rFonts w:ascii="Calibri" w:hAnsi="Calibri" w:eastAsia="Calibri" w:cs="Calibri"/>
          <w:b/>
          <w:i w:val="0"/>
          <w:color w:val="2A78D6"/>
          <w:lang w:val="en-US" w:bidi="fa-IR"/>
        </w:rPr>
        <w:t xml:space="preserve">7.  </w:t>
      </w:r>
      <w:r>
        <w:rPr>
          <w:rFonts w:ascii="Calibri" w:hAnsi="Calibri" w:eastAsia="Calibri" w:cs="Calibri"/>
          <w:b w:val="0"/>
          <w:i w:val="0"/>
          <w:lang w:val="en-US" w:bidi="fa-IR"/>
        </w:rPr>
        <w:t>Load: the star schema is written inside one transaction (all or nothing), the run is logged, and the load is idempotent (running it twice gives the same database).</w:t>
      </w:r>
    </w:p>
    <w:p>
      <w:pPr>
        <w:pStyle w:val="Heading2"/>
      </w:pPr>
      <w:r>
        <w:rPr>
          <w:rFonts w:ascii="Calibri" w:hAnsi="Calibri" w:eastAsia="Calibri" w:cs="Calibri"/>
          <w:b/>
          <w:i w:val="0"/>
          <w:color w:val="2A78D6"/>
          <w:sz w:val="28"/>
          <w:lang w:val="en-US" w:bidi="fa-IR"/>
        </w:rPr>
        <w:t>4.6 Step 5: The database (star schema)</w:t>
      </w:r>
    </w:p>
    <w:p>
      <w:r>
        <w:rPr>
          <w:rFonts w:ascii="Calibri" w:hAnsi="Calibri" w:eastAsia="Calibri" w:cs="Calibri"/>
          <w:b w:val="0"/>
          <w:i w:val="0"/>
          <w:lang w:val="en-US" w:bidi="fa-IR"/>
        </w:rPr>
        <w:t>The database is SQLite. A star schema separates descriptive tables (dimensions) from the measurements (the fact table), so that every later question is a simple query.</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164"/>
        <w:gridCol w:w="6473"/>
      </w:tblGrid>
      <w:tr>
        <w:trPr>
          <w:tblHeader/>
        </w:trPr>
        <w:tc>
          <w:tcPr>
            <w:tcW w:type="dxa" w:w="3165"/>
            <w:shd w:val="clear" w:color="auto" w:fill="12263F"/>
          </w:tcPr>
          <w:p>
            <w:pPr>
              <w:spacing w:after="0"/>
            </w:pPr>
            <w:r>
              <w:rPr>
                <w:rFonts w:ascii="Calibri" w:hAnsi="Calibri" w:eastAsia="Calibri" w:cs="Calibri"/>
                <w:b/>
                <w:i w:val="0"/>
                <w:color w:val="FFFFFF"/>
                <w:sz w:val="19"/>
                <w:lang w:val="en-US" w:bidi="fa-IR"/>
              </w:rPr>
              <w:t>Table</w:t>
            </w:r>
          </w:p>
        </w:tc>
        <w:tc>
          <w:tcPr>
            <w:tcW w:type="dxa" w:w="6473"/>
            <w:shd w:val="clear" w:color="auto" w:fill="12263F"/>
          </w:tcPr>
          <w:p>
            <w:pPr>
              <w:spacing w:after="0"/>
            </w:pPr>
            <w:r>
              <w:rPr>
                <w:rFonts w:ascii="Calibri" w:hAnsi="Calibri" w:eastAsia="Calibri" w:cs="Calibri"/>
                <w:b/>
                <w:i w:val="0"/>
                <w:color w:val="FFFFFF"/>
                <w:sz w:val="19"/>
                <w:lang w:val="en-US" w:bidi="fa-IR"/>
              </w:rPr>
              <w:t>Content</w:t>
            </w:r>
          </w:p>
        </w:tc>
      </w:tr>
      <w:tr>
        <w:trPr>
          <w:cantSplit/>
        </w:trPr>
        <w:tc>
          <w:tcPr>
            <w:tcW w:type="dxa" w:w="3165"/>
          </w:tcPr>
          <w:p>
            <w:pPr>
              <w:spacing w:after="0"/>
            </w:pPr>
            <w:r>
              <w:rPr>
                <w:rFonts w:ascii="Calibri" w:hAnsi="Calibri" w:eastAsia="Calibri" w:cs="Calibri"/>
                <w:b/>
                <w:i w:val="0"/>
                <w:sz w:val="19"/>
                <w:lang w:val="en-US" w:bidi="fa-IR"/>
              </w:rPr>
              <w:t>dim_product</w:t>
            </w:r>
          </w:p>
        </w:tc>
        <w:tc>
          <w:tcPr>
            <w:tcW w:type="dxa" w:w="6473"/>
          </w:tcPr>
          <w:p>
            <w:pPr>
              <w:spacing w:after="0"/>
            </w:pPr>
            <w:r>
              <w:rPr>
                <w:rFonts w:ascii="Calibri" w:hAnsi="Calibri" w:eastAsia="Calibri" w:cs="Calibri"/>
                <w:b w:val="0"/>
                <w:i w:val="0"/>
                <w:sz w:val="19"/>
                <w:lang w:val="en-US" w:bidi="fa-IR"/>
              </w:rPr>
              <w:t>30 products with category (8 categories, derived from the product name: an assumption), variant, and inventory profile ('high_stock' when mean inventory is more than 5 times mean weekly sales: 7 products; otherwise 'normal': 23)</w:t>
            </w:r>
          </w:p>
        </w:tc>
      </w:tr>
      <w:tr>
        <w:trPr>
          <w:cantSplit/>
        </w:trPr>
        <w:tc>
          <w:tcPr>
            <w:tcW w:type="dxa" w:w="3165"/>
            <w:shd w:val="clear" w:color="auto" w:fill="F7F9FC"/>
          </w:tcPr>
          <w:p>
            <w:pPr>
              <w:spacing w:after="0"/>
            </w:pPr>
            <w:r>
              <w:rPr>
                <w:rFonts w:ascii="Calibri" w:hAnsi="Calibri" w:eastAsia="Calibri" w:cs="Calibri"/>
                <w:b/>
                <w:i w:val="0"/>
                <w:sz w:val="19"/>
                <w:lang w:val="en-US" w:bidi="fa-IR"/>
              </w:rPr>
              <w:t>dim_date</w:t>
            </w:r>
          </w:p>
        </w:tc>
        <w:tc>
          <w:tcPr>
            <w:tcW w:type="dxa" w:w="6473"/>
            <w:shd w:val="clear" w:color="auto" w:fill="F7F9FC"/>
          </w:tcPr>
          <w:p>
            <w:pPr>
              <w:spacing w:after="0"/>
            </w:pPr>
            <w:r>
              <w:rPr>
                <w:rFonts w:ascii="Calibri" w:hAnsi="Calibri" w:eastAsia="Calibri" w:cs="Calibri"/>
                <w:b w:val="0"/>
                <w:i w:val="0"/>
                <w:sz w:val="19"/>
                <w:lang w:val="en-US" w:bidi="fa-IR"/>
              </w:rPr>
              <w:t>260 weeks with a synthetic Monday start date, year, quarter, month, week of year (1-52), season and year index (1-5)</w:t>
            </w:r>
          </w:p>
        </w:tc>
      </w:tr>
      <w:tr>
        <w:trPr>
          <w:cantSplit/>
        </w:trPr>
        <w:tc>
          <w:tcPr>
            <w:tcW w:type="dxa" w:w="3165"/>
          </w:tcPr>
          <w:p>
            <w:pPr>
              <w:spacing w:after="0"/>
            </w:pPr>
            <w:r>
              <w:rPr>
                <w:rFonts w:ascii="Calibri" w:hAnsi="Calibri" w:eastAsia="Calibri" w:cs="Calibri"/>
                <w:b/>
                <w:i w:val="0"/>
                <w:sz w:val="19"/>
                <w:lang w:val="en-US" w:bidi="fa-IR"/>
              </w:rPr>
              <w:t>fact_weekly_sales</w:t>
            </w:r>
          </w:p>
        </w:tc>
        <w:tc>
          <w:tcPr>
            <w:tcW w:type="dxa" w:w="6473"/>
          </w:tcPr>
          <w:p>
            <w:pPr>
              <w:spacing w:after="0"/>
            </w:pPr>
            <w:r>
              <w:rPr>
                <w:rFonts w:ascii="Calibri" w:hAnsi="Calibri" w:eastAsia="Calibri" w:cs="Calibri"/>
                <w:b w:val="0"/>
                <w:i w:val="0"/>
                <w:sz w:val="19"/>
                <w:lang w:val="en-US" w:bidi="fa-IR"/>
              </w:rPr>
              <w:t>7,800 rows (30 x 260): units, price, cost, inventory, stock available for sales, legacy forecast, revenue, gross profit, operating profit, implied opex, margin, turnover, growth and the flags</w:t>
            </w:r>
          </w:p>
        </w:tc>
      </w:tr>
      <w:tr>
        <w:trPr>
          <w:cantSplit/>
        </w:trPr>
        <w:tc>
          <w:tcPr>
            <w:tcW w:type="dxa" w:w="3165"/>
            <w:shd w:val="clear" w:color="auto" w:fill="F7F9FC"/>
          </w:tcPr>
          <w:p>
            <w:pPr>
              <w:spacing w:after="0"/>
            </w:pPr>
            <w:r>
              <w:rPr>
                <w:rFonts w:ascii="Calibri" w:hAnsi="Calibri" w:eastAsia="Calibri" w:cs="Calibri"/>
                <w:b/>
                <w:i w:val="0"/>
                <w:sz w:val="19"/>
                <w:lang w:val="en-US" w:bidi="fa-IR"/>
              </w:rPr>
              <w:t>stg_sales_raw</w:t>
            </w:r>
          </w:p>
        </w:tc>
        <w:tc>
          <w:tcPr>
            <w:tcW w:type="dxa" w:w="6473"/>
            <w:shd w:val="clear" w:color="auto" w:fill="F7F9FC"/>
          </w:tcPr>
          <w:p>
            <w:pPr>
              <w:spacing w:after="0"/>
            </w:pPr>
            <w:r>
              <w:rPr>
                <w:rFonts w:ascii="Calibri" w:hAnsi="Calibri" w:eastAsia="Calibri" w:cs="Calibri"/>
                <w:b w:val="0"/>
                <w:i w:val="0"/>
                <w:sz w:val="19"/>
                <w:lang w:val="en-US" w:bidi="fa-IR"/>
              </w:rPr>
              <w:t>Untouched copy of the 7,839 raw rows</w:t>
            </w:r>
          </w:p>
        </w:tc>
      </w:tr>
      <w:tr>
        <w:trPr>
          <w:cantSplit/>
        </w:trPr>
        <w:tc>
          <w:tcPr>
            <w:tcW w:type="dxa" w:w="3165"/>
          </w:tcPr>
          <w:p>
            <w:pPr>
              <w:spacing w:after="0"/>
            </w:pPr>
            <w:r>
              <w:rPr>
                <w:rFonts w:ascii="Calibri" w:hAnsi="Calibri" w:eastAsia="Calibri" w:cs="Calibri"/>
                <w:b/>
                <w:i w:val="0"/>
                <w:sz w:val="19"/>
                <w:lang w:val="en-US" w:bidi="fa-IR"/>
              </w:rPr>
              <w:t>data_quality_log, quarantine_rows, etl_run_log</w:t>
            </w:r>
          </w:p>
        </w:tc>
        <w:tc>
          <w:tcPr>
            <w:tcW w:type="dxa" w:w="6473"/>
          </w:tcPr>
          <w:p>
            <w:pPr>
              <w:spacing w:after="0"/>
            </w:pPr>
            <w:r>
              <w:rPr>
                <w:rFonts w:ascii="Calibri" w:hAnsi="Calibri" w:eastAsia="Calibri" w:cs="Calibri"/>
                <w:b w:val="0"/>
                <w:i w:val="0"/>
                <w:sz w:val="19"/>
                <w:lang w:val="en-US" w:bidi="fa-IR"/>
              </w:rPr>
              <w:t>Audit tables: every correction with its row count, every rejected row with its reason, every run</w:t>
            </w:r>
          </w:p>
        </w:tc>
      </w:tr>
    </w:tbl>
    <w:p>
      <w:pPr>
        <w:spacing w:after="40"/>
      </w:pPr>
    </w:p>
    <w:p>
      <w:pPr>
        <w:keepNext/>
        <w:spacing w:after="40"/>
        <w:jc w:val="center"/>
      </w:pPr>
      <w:r>
        <w:drawing>
          <wp:inline xmlns:a="http://schemas.openxmlformats.org/drawingml/2006/main" xmlns:pic="http://schemas.openxmlformats.org/drawingml/2006/picture">
            <wp:extent cx="4754880" cy="2593571"/>
            <wp:docPr id="2" name="Picture 2"/>
            <wp:cNvGraphicFramePr>
              <a:graphicFrameLocks noChangeAspect="1"/>
            </wp:cNvGraphicFramePr>
            <a:graphic>
              <a:graphicData uri="http://schemas.openxmlformats.org/drawingml/2006/picture">
                <pic:pic>
                  <pic:nvPicPr>
                    <pic:cNvPr id="0" name="star_schema_v1.2.png"/>
                    <pic:cNvPicPr/>
                  </pic:nvPicPr>
                  <pic:blipFill>
                    <a:blip r:embed="rId10"/>
                    <a:stretch>
                      <a:fillRect/>
                    </a:stretch>
                  </pic:blipFill>
                  <pic:spPr>
                    <a:xfrm>
                      <a:off x="0" y="0"/>
                      <a:ext cx="4754880" cy="2593571"/>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2. The star schema.</w:t>
      </w:r>
    </w:p>
    <w:p>
      <w:pPr>
        <w:pStyle w:val="Heading2"/>
      </w:pPr>
      <w:r>
        <w:rPr>
          <w:rFonts w:ascii="Calibri" w:hAnsi="Calibri" w:eastAsia="Calibri" w:cs="Calibri"/>
          <w:b/>
          <w:i w:val="0"/>
          <w:color w:val="2A78D6"/>
          <w:sz w:val="28"/>
          <w:lang w:val="en-US" w:bidi="fa-IR"/>
        </w:rPr>
        <w:t>4.7 Step 6: Proving the pipeline works</w:t>
      </w:r>
    </w:p>
    <w:p>
      <w:r>
        <w:rPr>
          <w:rFonts w:ascii="Calibri" w:hAnsi="Calibri" w:eastAsia="Calibri" w:cs="Calibri"/>
          <w:b w:val="0"/>
          <w:i w:val="0"/>
          <w:lang w:val="en-US" w:bidi="fa-IR"/>
        </w:rPr>
        <w:t>Data quality was measured on five dimensions before (raw file) and after (database). Each is the share of values that satisfy a rule.</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5256"/>
        <w:gridCol w:w="2190"/>
        <w:gridCol w:w="2190"/>
      </w:tblGrid>
      <w:tr>
        <w:trPr>
          <w:tblHeader/>
        </w:trPr>
        <w:tc>
          <w:tcPr>
            <w:tcW w:type="dxa" w:w="5257"/>
            <w:shd w:val="clear" w:color="auto" w:fill="12263F"/>
          </w:tcPr>
          <w:p>
            <w:pPr>
              <w:spacing w:after="0"/>
            </w:pPr>
            <w:r>
              <w:rPr>
                <w:rFonts w:ascii="Calibri" w:hAnsi="Calibri" w:eastAsia="Calibri" w:cs="Calibri"/>
                <w:b/>
                <w:i w:val="0"/>
                <w:color w:val="FFFFFF"/>
                <w:sz w:val="19"/>
                <w:lang w:val="en-US" w:bidi="fa-IR"/>
              </w:rPr>
              <w:t>Dimension</w:t>
            </w:r>
          </w:p>
        </w:tc>
        <w:tc>
          <w:tcPr>
            <w:tcW w:type="dxa" w:w="2190"/>
            <w:shd w:val="clear" w:color="auto" w:fill="12263F"/>
          </w:tcPr>
          <w:p>
            <w:pPr>
              <w:spacing w:after="0"/>
            </w:pPr>
            <w:r>
              <w:rPr>
                <w:rFonts w:ascii="Calibri" w:hAnsi="Calibri" w:eastAsia="Calibri" w:cs="Calibri"/>
                <w:b/>
                <w:i w:val="0"/>
                <w:color w:val="FFFFFF"/>
                <w:sz w:val="19"/>
                <w:lang w:val="en-US" w:bidi="fa-IR"/>
              </w:rPr>
              <w:t>Raw file</w:t>
            </w:r>
          </w:p>
        </w:tc>
        <w:tc>
          <w:tcPr>
            <w:tcW w:type="dxa" w:w="2190"/>
            <w:shd w:val="clear" w:color="auto" w:fill="12263F"/>
          </w:tcPr>
          <w:p>
            <w:pPr>
              <w:spacing w:after="0"/>
            </w:pPr>
            <w:r>
              <w:rPr>
                <w:rFonts w:ascii="Calibri" w:hAnsi="Calibri" w:eastAsia="Calibri" w:cs="Calibri"/>
                <w:b/>
                <w:i w:val="0"/>
                <w:color w:val="FFFFFF"/>
                <w:sz w:val="19"/>
                <w:lang w:val="en-US" w:bidi="fa-IR"/>
              </w:rPr>
              <w:t>Database</w:t>
            </w:r>
          </w:p>
        </w:tc>
      </w:tr>
      <w:tr>
        <w:trPr>
          <w:cantSplit/>
        </w:trPr>
        <w:tc>
          <w:tcPr>
            <w:tcW w:type="dxa" w:w="5257"/>
          </w:tcPr>
          <w:p>
            <w:pPr>
              <w:spacing w:after="0"/>
            </w:pPr>
            <w:r>
              <w:rPr>
                <w:rFonts w:ascii="Calibri" w:hAnsi="Calibri" w:eastAsia="Calibri" w:cs="Calibri"/>
                <w:b/>
                <w:i w:val="0"/>
                <w:sz w:val="19"/>
                <w:lang w:val="en-US" w:bidi="fa-IR"/>
              </w:rPr>
              <w:t>Completeness (base fields not empty)</w:t>
            </w:r>
          </w:p>
        </w:tc>
        <w:tc>
          <w:tcPr>
            <w:tcW w:type="dxa" w:w="2190"/>
          </w:tcPr>
          <w:p>
            <w:pPr>
              <w:spacing w:after="0"/>
            </w:pPr>
            <w:r>
              <w:rPr>
                <w:rFonts w:ascii="Calibri" w:hAnsi="Calibri" w:eastAsia="Calibri" w:cs="Calibri"/>
                <w:b w:val="0"/>
                <w:i w:val="0"/>
                <w:sz w:val="19"/>
                <w:lang w:val="en-US" w:bidi="fa-IR"/>
              </w:rPr>
              <w:t>98.4%</w:t>
            </w:r>
          </w:p>
        </w:tc>
        <w:tc>
          <w:tcPr>
            <w:tcW w:type="dxa" w:w="2190"/>
          </w:tcPr>
          <w:p>
            <w:pPr>
              <w:spacing w:after="0"/>
            </w:pPr>
            <w:r>
              <w:rPr>
                <w:rFonts w:ascii="Calibri" w:hAnsi="Calibri" w:eastAsia="Calibri" w:cs="Calibri"/>
                <w:b w:val="0"/>
                <w:i w:val="0"/>
                <w:sz w:val="19"/>
                <w:lang w:val="en-US" w:bidi="fa-IR"/>
              </w:rPr>
              <w:t>98.5%</w:t>
            </w:r>
          </w:p>
        </w:tc>
      </w:tr>
      <w:tr>
        <w:trPr>
          <w:cantSplit/>
        </w:trPr>
        <w:tc>
          <w:tcPr>
            <w:tcW w:type="dxa" w:w="5257"/>
            <w:shd w:val="clear" w:color="auto" w:fill="F7F9FC"/>
          </w:tcPr>
          <w:p>
            <w:pPr>
              <w:spacing w:after="0"/>
            </w:pPr>
            <w:r>
              <w:rPr>
                <w:rFonts w:ascii="Calibri" w:hAnsi="Calibri" w:eastAsia="Calibri" w:cs="Calibri"/>
                <w:b/>
                <w:i w:val="0"/>
                <w:sz w:val="19"/>
                <w:lang w:val="en-US" w:bidi="fa-IR"/>
              </w:rPr>
              <w:t>Uniqueness (no duplicate product-week)</w:t>
            </w:r>
          </w:p>
        </w:tc>
        <w:tc>
          <w:tcPr>
            <w:tcW w:type="dxa" w:w="2190"/>
            <w:shd w:val="clear" w:color="auto" w:fill="F7F9FC"/>
          </w:tcPr>
          <w:p>
            <w:pPr>
              <w:spacing w:after="0"/>
            </w:pPr>
            <w:r>
              <w:rPr>
                <w:rFonts w:ascii="Calibri" w:hAnsi="Calibri" w:eastAsia="Calibri" w:cs="Calibri"/>
                <w:b w:val="0"/>
                <w:i w:val="0"/>
                <w:sz w:val="19"/>
                <w:lang w:val="en-US" w:bidi="fa-IR"/>
              </w:rPr>
              <w:t>99.5%</w:t>
            </w:r>
          </w:p>
        </w:tc>
        <w:tc>
          <w:tcPr>
            <w:tcW w:type="dxa" w:w="2190"/>
            <w:shd w:val="clear" w:color="auto" w:fill="F7F9FC"/>
          </w:tcPr>
          <w:p>
            <w:pPr>
              <w:spacing w:after="0"/>
            </w:pPr>
            <w:r>
              <w:rPr>
                <w:rFonts w:ascii="Calibri" w:hAnsi="Calibri" w:eastAsia="Calibri" w:cs="Calibri"/>
                <w:b w:val="0"/>
                <w:i w:val="0"/>
                <w:sz w:val="19"/>
                <w:lang w:val="en-US" w:bidi="fa-IR"/>
              </w:rPr>
              <w:t>100%</w:t>
            </w:r>
          </w:p>
        </w:tc>
      </w:tr>
      <w:tr>
        <w:trPr>
          <w:cantSplit/>
        </w:trPr>
        <w:tc>
          <w:tcPr>
            <w:tcW w:type="dxa" w:w="5257"/>
          </w:tcPr>
          <w:p>
            <w:pPr>
              <w:spacing w:after="0"/>
            </w:pPr>
            <w:r>
              <w:rPr>
                <w:rFonts w:ascii="Calibri" w:hAnsi="Calibri" w:eastAsia="Calibri" w:cs="Calibri"/>
                <w:b/>
                <w:i w:val="0"/>
                <w:sz w:val="19"/>
                <w:lang w:val="en-US" w:bidi="fa-IR"/>
              </w:rPr>
              <w:t>Validity (finite, non-negative, price above cost)</w:t>
            </w:r>
          </w:p>
        </w:tc>
        <w:tc>
          <w:tcPr>
            <w:tcW w:type="dxa" w:w="2190"/>
          </w:tcPr>
          <w:p>
            <w:pPr>
              <w:spacing w:after="0"/>
            </w:pPr>
            <w:r>
              <w:rPr>
                <w:rFonts w:ascii="Calibri" w:hAnsi="Calibri" w:eastAsia="Calibri" w:cs="Calibri"/>
                <w:b w:val="0"/>
                <w:i w:val="0"/>
                <w:sz w:val="19"/>
                <w:lang w:val="en-US" w:bidi="fa-IR"/>
              </w:rPr>
              <w:t>88.6%</w:t>
            </w:r>
          </w:p>
        </w:tc>
        <w:tc>
          <w:tcPr>
            <w:tcW w:type="dxa" w:w="2190"/>
          </w:tcPr>
          <w:p>
            <w:pPr>
              <w:spacing w:after="0"/>
            </w:pPr>
            <w:r>
              <w:rPr>
                <w:rFonts w:ascii="Calibri" w:hAnsi="Calibri" w:eastAsia="Calibri" w:cs="Calibri"/>
                <w:b w:val="0"/>
                <w:i w:val="0"/>
                <w:sz w:val="19"/>
                <w:lang w:val="en-US" w:bidi="fa-IR"/>
              </w:rPr>
              <w:t>100%</w:t>
            </w:r>
          </w:p>
        </w:tc>
      </w:tr>
      <w:tr>
        <w:trPr>
          <w:cantSplit/>
        </w:trPr>
        <w:tc>
          <w:tcPr>
            <w:tcW w:type="dxa" w:w="5257"/>
            <w:shd w:val="clear" w:color="auto" w:fill="F7F9FC"/>
          </w:tcPr>
          <w:p>
            <w:pPr>
              <w:spacing w:after="0"/>
            </w:pPr>
            <w:r>
              <w:rPr>
                <w:rFonts w:ascii="Calibri" w:hAnsi="Calibri" w:eastAsia="Calibri" w:cs="Calibri"/>
                <w:b/>
                <w:i w:val="0"/>
                <w:sz w:val="19"/>
                <w:lang w:val="en-US" w:bidi="fa-IR"/>
              </w:rPr>
              <w:t>Derived-field consistency</w:t>
            </w:r>
          </w:p>
        </w:tc>
        <w:tc>
          <w:tcPr>
            <w:tcW w:type="dxa" w:w="2190"/>
            <w:shd w:val="clear" w:color="auto" w:fill="F7F9FC"/>
          </w:tcPr>
          <w:p>
            <w:pPr>
              <w:spacing w:after="0"/>
            </w:pPr>
            <w:r>
              <w:rPr>
                <w:rFonts w:ascii="Calibri" w:hAnsi="Calibri" w:eastAsia="Calibri" w:cs="Calibri"/>
                <w:b w:val="0"/>
                <w:i w:val="0"/>
                <w:sz w:val="19"/>
                <w:lang w:val="en-US" w:bidi="fa-IR"/>
              </w:rPr>
              <w:t>36.6%</w:t>
            </w:r>
          </w:p>
        </w:tc>
        <w:tc>
          <w:tcPr>
            <w:tcW w:type="dxa" w:w="2190"/>
            <w:shd w:val="clear" w:color="auto" w:fill="F7F9FC"/>
          </w:tcPr>
          <w:p>
            <w:pPr>
              <w:spacing w:after="0"/>
            </w:pPr>
            <w:r>
              <w:rPr>
                <w:rFonts w:ascii="Calibri" w:hAnsi="Calibri" w:eastAsia="Calibri" w:cs="Calibri"/>
                <w:b w:val="0"/>
                <w:i w:val="0"/>
                <w:sz w:val="19"/>
                <w:lang w:val="en-US" w:bidi="fa-IR"/>
              </w:rPr>
              <w:t>100%</w:t>
            </w:r>
          </w:p>
        </w:tc>
      </w:tr>
      <w:tr>
        <w:trPr>
          <w:cantSplit/>
        </w:trPr>
        <w:tc>
          <w:tcPr>
            <w:tcW w:type="dxa" w:w="5257"/>
          </w:tcPr>
          <w:p>
            <w:pPr>
              <w:spacing w:after="0"/>
            </w:pPr>
            <w:r>
              <w:rPr>
                <w:rFonts w:ascii="Calibri" w:hAnsi="Calibri" w:eastAsia="Calibri" w:cs="Calibri"/>
                <w:b/>
                <w:i w:val="0"/>
                <w:sz w:val="19"/>
                <w:lang w:val="en-US" w:bidi="fa-IR"/>
              </w:rPr>
              <w:t>Stock plausibility (sales not above available stock)</w:t>
            </w:r>
          </w:p>
        </w:tc>
        <w:tc>
          <w:tcPr>
            <w:tcW w:type="dxa" w:w="2190"/>
          </w:tcPr>
          <w:p>
            <w:pPr>
              <w:spacing w:after="0"/>
            </w:pPr>
            <w:r>
              <w:rPr>
                <w:rFonts w:ascii="Calibri" w:hAnsi="Calibri" w:eastAsia="Calibri" w:cs="Calibri"/>
                <w:b w:val="0"/>
                <w:i w:val="0"/>
                <w:sz w:val="19"/>
                <w:lang w:val="en-US" w:bidi="fa-IR"/>
              </w:rPr>
              <w:t>75.4%</w:t>
            </w:r>
          </w:p>
        </w:tc>
        <w:tc>
          <w:tcPr>
            <w:tcW w:type="dxa" w:w="2190"/>
          </w:tcPr>
          <w:p>
            <w:pPr>
              <w:spacing w:after="0"/>
            </w:pPr>
            <w:r>
              <w:rPr>
                <w:rFonts w:ascii="Calibri" w:hAnsi="Calibri" w:eastAsia="Calibri" w:cs="Calibri"/>
                <w:b w:val="0"/>
                <w:i w:val="0"/>
                <w:sz w:val="19"/>
                <w:lang w:val="en-US" w:bidi="fa-IR"/>
              </w:rPr>
              <w:t>100%</w:t>
            </w:r>
          </w:p>
        </w:tc>
      </w:tr>
      <w:tr>
        <w:trPr>
          <w:cantSplit/>
        </w:trPr>
        <w:tc>
          <w:tcPr>
            <w:tcW w:type="dxa" w:w="5257"/>
            <w:shd w:val="clear" w:color="auto" w:fill="F7F9FC"/>
          </w:tcPr>
          <w:p>
            <w:pPr>
              <w:spacing w:after="0"/>
            </w:pPr>
            <w:r>
              <w:rPr>
                <w:rFonts w:ascii="Calibri" w:hAnsi="Calibri" w:eastAsia="Calibri" w:cs="Calibri"/>
                <w:b/>
                <w:i w:val="0"/>
                <w:sz w:val="19"/>
                <w:lang w:val="en-US" w:bidi="fa-IR"/>
              </w:rPr>
              <w:t>Integrity index (mean of the five)</w:t>
            </w:r>
          </w:p>
        </w:tc>
        <w:tc>
          <w:tcPr>
            <w:tcW w:type="dxa" w:w="2190"/>
            <w:shd w:val="clear" w:color="auto" w:fill="F7F9FC"/>
          </w:tcPr>
          <w:p>
            <w:pPr>
              <w:spacing w:after="0"/>
            </w:pPr>
            <w:r>
              <w:rPr>
                <w:rFonts w:ascii="Calibri" w:hAnsi="Calibri" w:eastAsia="Calibri" w:cs="Calibri"/>
                <w:b w:val="0"/>
                <w:i w:val="0"/>
                <w:sz w:val="19"/>
                <w:lang w:val="en-US" w:bidi="fa-IR"/>
              </w:rPr>
              <w:t>79.7%</w:t>
            </w:r>
          </w:p>
        </w:tc>
        <w:tc>
          <w:tcPr>
            <w:tcW w:type="dxa" w:w="2190"/>
            <w:shd w:val="clear" w:color="auto" w:fill="F7F9FC"/>
          </w:tcPr>
          <w:p>
            <w:pPr>
              <w:spacing w:after="0"/>
            </w:pPr>
            <w:r>
              <w:rPr>
                <w:rFonts w:ascii="Calibri" w:hAnsi="Calibri" w:eastAsia="Calibri" w:cs="Calibri"/>
                <w:b w:val="0"/>
                <w:i w:val="0"/>
                <w:sz w:val="19"/>
                <w:lang w:val="en-US" w:bidi="fa-IR"/>
              </w:rPr>
              <w:t>99.7%</w:t>
            </w:r>
          </w:p>
        </w:tc>
      </w:tr>
    </w:tbl>
    <w:p>
      <w:pPr>
        <w:spacing w:after="40"/>
      </w:pPr>
    </w:p>
    <w:p>
      <w:r>
        <w:rPr>
          <w:rFonts w:ascii="Calibri" w:hAnsi="Calibri" w:eastAsia="Calibri" w:cs="Calibri"/>
          <w:b w:val="0"/>
          <w:i w:val="0"/>
          <w:lang w:val="en-US" w:bidi="fa-IR"/>
        </w:rPr>
        <w:t>Two sets of tests protect the pipeline. Fifteen exception tests run the pipeline on a deliberately corrupted copy of the file (non-positive price, unknown product, invalid week, unrecoverable sales, negative sales, missing inventory, conflicting duplicate key, text in numeric columns, missing file, missing column, unreadable file) and check that each problem is handled in the intended way; all 15 pass. Sixteen validation checks compare the database with the source: row counts reconcile (staging = fact + duplicates + quarantined = 7,839), there are no foreign-key violations, no duplicate keys, no infinite values, revenue totals match to the cent, and no sale exceeds available stock; all pass.</w:t>
      </w:r>
    </w:p>
    <w:p>
      <w:pPr>
        <w:pStyle w:val="Heading2"/>
      </w:pPr>
      <w:r>
        <w:rPr>
          <w:rFonts w:ascii="Calibri" w:hAnsi="Calibri" w:eastAsia="Calibri" w:cs="Calibri"/>
          <w:b/>
          <w:i w:val="0"/>
          <w:color w:val="2A78D6"/>
          <w:sz w:val="28"/>
          <w:lang w:val="en-US" w:bidi="fa-IR"/>
        </w:rPr>
        <w:t>4.8 Outputs, assumptions and limits of Part 1</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Outputs: armani_trade database, schema SQL, an Excel workbook (8 sheets, Summary first), figures and a run log.</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Assumption: dates are synthetic (week 1 = 6 January 2020). Seasonal findings are relative to the 52-week cycle, not to real months.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Assumption: product categories are derived from product names.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Assumption: the stock that limits a week's sales is the previous row's inventory (verified in the data).</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Limit: Inventory_Turnover_Ratio had no documented definition; it was recomputed with an explicit definition and the original kept.</w:t>
      </w:r>
    </w:p>
    <w:p>
      <w:pPr>
        <w:pStyle w:val="Heading1"/>
      </w:pPr>
      <w:r>
        <w:rPr>
          <w:rFonts w:ascii="Calibri" w:hAnsi="Calibri" w:eastAsia="Calibri" w:cs="Calibri"/>
          <w:b/>
          <w:i w:val="0"/>
          <w:color w:val="12263F"/>
          <w:sz w:val="36"/>
          <w:lang w:val="en-US" w:bidi="fa-IR"/>
        </w:rPr>
        <w:t>5. Part 2: Demand forecasting</w:t>
      </w:r>
    </w:p>
    <w:p>
      <w:pPr>
        <w:pStyle w:val="Heading2"/>
      </w:pPr>
      <w:r>
        <w:rPr>
          <w:rFonts w:ascii="Calibri" w:hAnsi="Calibri" w:eastAsia="Calibri" w:cs="Calibri"/>
          <w:b/>
          <w:i w:val="0"/>
          <w:color w:val="2A78D6"/>
          <w:sz w:val="28"/>
          <w:lang w:val="en-US" w:bidi="fa-IR"/>
        </w:rPr>
        <w:t>5.1 Goal and why it is not trivial</w:t>
      </w:r>
    </w:p>
    <w:p>
      <w:r>
        <w:rPr>
          <w:rFonts w:ascii="Calibri" w:hAnsi="Calibri" w:eastAsia="Calibri" w:cs="Calibri"/>
          <w:b w:val="0"/>
          <w:i w:val="0"/>
          <w:lang w:val="en-US" w:bidi="fa-IR"/>
        </w:rPr>
        <w:t>The goal is to forecast the demand of each of the 30 products for each of the next 26 weeks (weeks 261 to 286), with a range of likely outcomes. It is not trivial because of the finding in Part 1: the observed sales are not demand. The work therefore has two stages: pre-processing (build a trustworthy target and understand what drives demand) and modelling (compare methods fairly and select one).</w:t>
      </w:r>
    </w:p>
    <w:p>
      <w:pPr>
        <w:pStyle w:val="Heading2"/>
      </w:pPr>
      <w:r>
        <w:rPr>
          <w:rFonts w:ascii="Calibri" w:hAnsi="Calibri" w:eastAsia="Calibri" w:cs="Calibri"/>
          <w:b/>
          <w:i w:val="0"/>
          <w:color w:val="2A78D6"/>
          <w:sz w:val="28"/>
          <w:lang w:val="en-US" w:bidi="fa-IR"/>
        </w:rPr>
        <w:t>5.2 Step 1: Classify every week by stock censoring</w:t>
      </w:r>
    </w:p>
    <w:p>
      <w:r>
        <w:rPr>
          <w:rFonts w:ascii="Calibri" w:hAnsi="Calibri" w:eastAsia="Calibri" w:cs="Calibri"/>
          <w:b w:val="0"/>
          <w:i w:val="0"/>
          <w:lang w:val="en-US" w:bidi="fa-IR"/>
        </w:rPr>
        <w:t>Because sales = min(demand, stock available), each product-week falls into one of four types: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013"/>
        <w:gridCol w:w="2876"/>
        <w:gridCol w:w="1582"/>
        <w:gridCol w:w="3164"/>
      </w:tblGrid>
      <w:tr>
        <w:trPr>
          <w:tblHeader/>
        </w:trPr>
        <w:tc>
          <w:tcPr>
            <w:tcW w:type="dxa" w:w="2014"/>
            <w:shd w:val="clear" w:color="auto" w:fill="12263F"/>
          </w:tcPr>
          <w:p>
            <w:pPr>
              <w:spacing w:after="0"/>
            </w:pPr>
            <w:r>
              <w:rPr>
                <w:rFonts w:ascii="Calibri" w:hAnsi="Calibri" w:eastAsia="Calibri" w:cs="Calibri"/>
                <w:b/>
                <w:i w:val="0"/>
                <w:color w:val="FFFFFF"/>
                <w:sz w:val="18"/>
                <w:lang w:val="en-US" w:bidi="fa-IR"/>
              </w:rPr>
              <w:t>Type</w:t>
            </w:r>
          </w:p>
        </w:tc>
        <w:tc>
          <w:tcPr>
            <w:tcW w:type="dxa" w:w="2877"/>
            <w:shd w:val="clear" w:color="auto" w:fill="12263F"/>
          </w:tcPr>
          <w:p>
            <w:pPr>
              <w:spacing w:after="0"/>
            </w:pPr>
            <w:r>
              <w:rPr>
                <w:rFonts w:ascii="Calibri" w:hAnsi="Calibri" w:eastAsia="Calibri" w:cs="Calibri"/>
                <w:b/>
                <w:i w:val="0"/>
                <w:color w:val="FFFFFF"/>
                <w:sz w:val="18"/>
                <w:lang w:val="en-US" w:bidi="fa-IR"/>
              </w:rPr>
              <w:t>Rule</w:t>
            </w:r>
          </w:p>
        </w:tc>
        <w:tc>
          <w:tcPr>
            <w:tcW w:type="dxa" w:w="1582"/>
            <w:shd w:val="clear" w:color="auto" w:fill="12263F"/>
          </w:tcPr>
          <w:p>
            <w:pPr>
              <w:spacing w:after="0"/>
            </w:pPr>
            <w:r>
              <w:rPr>
                <w:rFonts w:ascii="Calibri" w:hAnsi="Calibri" w:eastAsia="Calibri" w:cs="Calibri"/>
                <w:b/>
                <w:i w:val="0"/>
                <w:color w:val="FFFFFF"/>
                <w:sz w:val="18"/>
                <w:lang w:val="en-US" w:bidi="fa-IR"/>
              </w:rPr>
              <w:t>Share of weeks</w:t>
            </w:r>
          </w:p>
        </w:tc>
        <w:tc>
          <w:tcPr>
            <w:tcW w:type="dxa" w:w="3165"/>
            <w:shd w:val="clear" w:color="auto" w:fill="12263F"/>
          </w:tcPr>
          <w:p>
            <w:pPr>
              <w:spacing w:after="0"/>
            </w:pPr>
            <w:r>
              <w:rPr>
                <w:rFonts w:ascii="Calibri" w:hAnsi="Calibri" w:eastAsia="Calibri" w:cs="Calibri"/>
                <w:b/>
                <w:i w:val="0"/>
                <w:color w:val="FFFFFF"/>
                <w:sz w:val="18"/>
                <w:lang w:val="en-US" w:bidi="fa-IR"/>
              </w:rPr>
              <w:t>What is known about demand</w:t>
            </w:r>
          </w:p>
        </w:tc>
      </w:tr>
      <w:tr>
        <w:trPr>
          <w:cantSplit/>
        </w:trPr>
        <w:tc>
          <w:tcPr>
            <w:tcW w:type="dxa" w:w="2014"/>
          </w:tcPr>
          <w:p>
            <w:pPr>
              <w:spacing w:after="0"/>
            </w:pPr>
            <w:r>
              <w:rPr>
                <w:rFonts w:ascii="Calibri" w:hAnsi="Calibri" w:eastAsia="Calibri" w:cs="Calibri"/>
                <w:b/>
                <w:i w:val="0"/>
                <w:sz w:val="18"/>
                <w:lang w:val="en-US" w:bidi="fa-IR"/>
              </w:rPr>
              <w:t>Unconstrained</w:t>
            </w:r>
          </w:p>
        </w:tc>
        <w:tc>
          <w:tcPr>
            <w:tcW w:type="dxa" w:w="2877"/>
          </w:tcPr>
          <w:p>
            <w:pPr>
              <w:spacing w:after="0"/>
            </w:pPr>
            <w:r>
              <w:rPr>
                <w:rFonts w:ascii="Calibri" w:hAnsi="Calibri" w:eastAsia="Calibri" w:cs="Calibri"/>
                <w:b w:val="0"/>
                <w:i w:val="0"/>
                <w:sz w:val="18"/>
                <w:lang w:val="en-US" w:bidi="fa-IR"/>
              </w:rPr>
              <w:t>sales &lt; stock available</w:t>
            </w:r>
          </w:p>
        </w:tc>
        <w:tc>
          <w:tcPr>
            <w:tcW w:type="dxa" w:w="1582"/>
          </w:tcPr>
          <w:p>
            <w:pPr>
              <w:spacing w:after="0"/>
            </w:pPr>
            <w:r>
              <w:rPr>
                <w:rFonts w:ascii="Calibri" w:hAnsi="Calibri" w:eastAsia="Calibri" w:cs="Calibri"/>
                <w:b w:val="0"/>
                <w:i w:val="0"/>
                <w:sz w:val="18"/>
                <w:lang w:val="en-US" w:bidi="fa-IR"/>
              </w:rPr>
              <w:t>46.5%</w:t>
            </w:r>
          </w:p>
        </w:tc>
        <w:tc>
          <w:tcPr>
            <w:tcW w:type="dxa" w:w="3165"/>
          </w:tcPr>
          <w:p>
            <w:pPr>
              <w:spacing w:after="0"/>
            </w:pPr>
            <w:r>
              <w:rPr>
                <w:rFonts w:ascii="Calibri" w:hAnsi="Calibri" w:eastAsia="Calibri" w:cs="Calibri"/>
                <w:b w:val="0"/>
                <w:i w:val="0"/>
                <w:sz w:val="18"/>
                <w:lang w:val="en-US" w:bidi="fa-IR"/>
              </w:rPr>
              <w:t>Demand equals the observed sales</w:t>
            </w:r>
          </w:p>
        </w:tc>
      </w:tr>
      <w:tr>
        <w:trPr>
          <w:cantSplit/>
        </w:trPr>
        <w:tc>
          <w:tcPr>
            <w:tcW w:type="dxa" w:w="2014"/>
            <w:shd w:val="clear" w:color="auto" w:fill="F7F9FC"/>
          </w:tcPr>
          <w:p>
            <w:pPr>
              <w:spacing w:after="0"/>
            </w:pPr>
            <w:r>
              <w:rPr>
                <w:rFonts w:ascii="Calibri" w:hAnsi="Calibri" w:eastAsia="Calibri" w:cs="Calibri"/>
                <w:b/>
                <w:i w:val="0"/>
                <w:sz w:val="18"/>
                <w:lang w:val="en-US" w:bidi="fa-IR"/>
              </w:rPr>
              <w:t>Stock-limited</w:t>
            </w:r>
          </w:p>
        </w:tc>
        <w:tc>
          <w:tcPr>
            <w:tcW w:type="dxa" w:w="2877"/>
            <w:shd w:val="clear" w:color="auto" w:fill="F7F9FC"/>
          </w:tcPr>
          <w:p>
            <w:pPr>
              <w:spacing w:after="0"/>
            </w:pPr>
            <w:r>
              <w:rPr>
                <w:rFonts w:ascii="Calibri" w:hAnsi="Calibri" w:eastAsia="Calibri" w:cs="Calibri"/>
                <w:b w:val="0"/>
                <w:i w:val="0"/>
                <w:sz w:val="18"/>
                <w:lang w:val="en-US" w:bidi="fa-IR"/>
              </w:rPr>
              <w:t>sales = stock available (&gt; 0)</w:t>
            </w:r>
          </w:p>
        </w:tc>
        <w:tc>
          <w:tcPr>
            <w:tcW w:type="dxa" w:w="1582"/>
            <w:shd w:val="clear" w:color="auto" w:fill="F7F9FC"/>
          </w:tcPr>
          <w:p>
            <w:pPr>
              <w:spacing w:after="0"/>
            </w:pPr>
            <w:r>
              <w:rPr>
                <w:rFonts w:ascii="Calibri" w:hAnsi="Calibri" w:eastAsia="Calibri" w:cs="Calibri"/>
                <w:b w:val="0"/>
                <w:i w:val="0"/>
                <w:sz w:val="18"/>
                <w:lang w:val="en-US" w:bidi="fa-IR"/>
              </w:rPr>
              <w:t>36.1%</w:t>
            </w:r>
          </w:p>
        </w:tc>
        <w:tc>
          <w:tcPr>
            <w:tcW w:type="dxa" w:w="3165"/>
            <w:shd w:val="clear" w:color="auto" w:fill="F7F9FC"/>
          </w:tcPr>
          <w:p>
            <w:pPr>
              <w:spacing w:after="0"/>
            </w:pPr>
            <w:r>
              <w:rPr>
                <w:rFonts w:ascii="Calibri" w:hAnsi="Calibri" w:eastAsia="Calibri" w:cs="Calibri"/>
                <w:b w:val="0"/>
                <w:i w:val="0"/>
                <w:sz w:val="18"/>
                <w:lang w:val="en-US" w:bidi="fa-IR"/>
              </w:rPr>
              <w:t>Demand is at least the sales</w:t>
            </w:r>
          </w:p>
        </w:tc>
      </w:tr>
      <w:tr>
        <w:trPr>
          <w:cantSplit/>
        </w:trPr>
        <w:tc>
          <w:tcPr>
            <w:tcW w:type="dxa" w:w="2014"/>
          </w:tcPr>
          <w:p>
            <w:pPr>
              <w:spacing w:after="0"/>
            </w:pPr>
            <w:r>
              <w:rPr>
                <w:rFonts w:ascii="Calibri" w:hAnsi="Calibri" w:eastAsia="Calibri" w:cs="Calibri"/>
                <w:b/>
                <w:i w:val="0"/>
                <w:sz w:val="18"/>
                <w:lang w:val="en-US" w:bidi="fa-IR"/>
              </w:rPr>
              <w:t>Stock-out</w:t>
            </w:r>
          </w:p>
        </w:tc>
        <w:tc>
          <w:tcPr>
            <w:tcW w:type="dxa" w:w="2877"/>
          </w:tcPr>
          <w:p>
            <w:pPr>
              <w:spacing w:after="0"/>
            </w:pPr>
            <w:r>
              <w:rPr>
                <w:rFonts w:ascii="Calibri" w:hAnsi="Calibri" w:eastAsia="Calibri" w:cs="Calibri"/>
                <w:b w:val="0"/>
                <w:i w:val="0"/>
                <w:sz w:val="18"/>
                <w:lang w:val="en-US" w:bidi="fa-IR"/>
              </w:rPr>
              <w:t>stock available = 0</w:t>
            </w:r>
          </w:p>
        </w:tc>
        <w:tc>
          <w:tcPr>
            <w:tcW w:type="dxa" w:w="1582"/>
          </w:tcPr>
          <w:p>
            <w:pPr>
              <w:spacing w:after="0"/>
            </w:pPr>
            <w:r>
              <w:rPr>
                <w:rFonts w:ascii="Calibri" w:hAnsi="Calibri" w:eastAsia="Calibri" w:cs="Calibri"/>
                <w:b w:val="0"/>
                <w:i w:val="0"/>
                <w:sz w:val="18"/>
                <w:lang w:val="en-US" w:bidi="fa-IR"/>
              </w:rPr>
              <w:t>17.0%</w:t>
            </w:r>
          </w:p>
        </w:tc>
        <w:tc>
          <w:tcPr>
            <w:tcW w:type="dxa" w:w="3165"/>
          </w:tcPr>
          <w:p>
            <w:pPr>
              <w:spacing w:after="0"/>
            </w:pPr>
            <w:r>
              <w:rPr>
                <w:rFonts w:ascii="Calibri" w:hAnsi="Calibri" w:eastAsia="Calibri" w:cs="Calibri"/>
                <w:b w:val="0"/>
                <w:i w:val="0"/>
                <w:sz w:val="18"/>
                <w:lang w:val="en-US" w:bidi="fa-IR"/>
              </w:rPr>
              <w:t>Sales are 0; demand is hidden but positive</w:t>
            </w:r>
          </w:p>
        </w:tc>
      </w:tr>
      <w:tr>
        <w:trPr>
          <w:cantSplit/>
        </w:trPr>
        <w:tc>
          <w:tcPr>
            <w:tcW w:type="dxa" w:w="2014"/>
            <w:shd w:val="clear" w:color="auto" w:fill="F7F9FC"/>
          </w:tcPr>
          <w:p>
            <w:pPr>
              <w:spacing w:after="0"/>
            </w:pPr>
            <w:r>
              <w:rPr>
                <w:rFonts w:ascii="Calibri" w:hAnsi="Calibri" w:eastAsia="Calibri" w:cs="Calibri"/>
                <w:b/>
                <w:i w:val="0"/>
                <w:sz w:val="18"/>
                <w:lang w:val="en-US" w:bidi="fa-IR"/>
              </w:rPr>
              <w:t>Stock unknown</w:t>
            </w:r>
          </w:p>
        </w:tc>
        <w:tc>
          <w:tcPr>
            <w:tcW w:type="dxa" w:w="2877"/>
            <w:shd w:val="clear" w:color="auto" w:fill="F7F9FC"/>
          </w:tcPr>
          <w:p>
            <w:pPr>
              <w:spacing w:after="0"/>
            </w:pPr>
            <w:r>
              <w:rPr>
                <w:rFonts w:ascii="Calibri" w:hAnsi="Calibri" w:eastAsia="Calibri" w:cs="Calibri"/>
                <w:b w:val="0"/>
                <w:i w:val="0"/>
                <w:sz w:val="18"/>
                <w:lang w:val="en-US" w:bidi="fa-IR"/>
              </w:rPr>
              <w:t>first week of a product</w:t>
            </w:r>
          </w:p>
        </w:tc>
        <w:tc>
          <w:tcPr>
            <w:tcW w:type="dxa" w:w="1582"/>
            <w:shd w:val="clear" w:color="auto" w:fill="F7F9FC"/>
          </w:tcPr>
          <w:p>
            <w:pPr>
              <w:spacing w:after="0"/>
            </w:pPr>
            <w:r>
              <w:rPr>
                <w:rFonts w:ascii="Calibri" w:hAnsi="Calibri" w:eastAsia="Calibri" w:cs="Calibri"/>
                <w:b w:val="0"/>
                <w:i w:val="0"/>
                <w:sz w:val="18"/>
                <w:lang w:val="en-US" w:bidi="fa-IR"/>
              </w:rPr>
              <w:t>0.4%</w:t>
            </w:r>
          </w:p>
        </w:tc>
        <w:tc>
          <w:tcPr>
            <w:tcW w:type="dxa" w:w="3165"/>
            <w:shd w:val="clear" w:color="auto" w:fill="F7F9FC"/>
          </w:tcPr>
          <w:p>
            <w:pPr>
              <w:spacing w:after="0"/>
            </w:pPr>
            <w:r>
              <w:rPr>
                <w:rFonts w:ascii="Calibri" w:hAnsi="Calibri" w:eastAsia="Calibri" w:cs="Calibri"/>
                <w:b w:val="0"/>
                <w:i w:val="0"/>
                <w:sz w:val="18"/>
                <w:lang w:val="en-US" w:bidi="fa-IR"/>
              </w:rPr>
              <w:t>No previous inventory exists</w:t>
            </w:r>
          </w:p>
        </w:tc>
      </w:tr>
    </w:tbl>
    <w:p>
      <w:pPr>
        <w:spacing w:after="40"/>
      </w:pPr>
    </w:p>
    <w:p>
      <w:r>
        <w:rPr>
          <w:rFonts w:ascii="Calibri" w:hAnsi="Calibri" w:eastAsia="Calibri" w:cs="Calibri"/>
          <w:b w:val="0"/>
          <w:i w:val="0"/>
          <w:lang w:val="en-US" w:bidi="fa-IR"/>
        </w:rPr>
        <w:t>The 7 high-stock products are almost never capped (98.8 percent of their weeks are unconstrained), while the 23 normal-stock products are capped about two-thirds of the time (30.6 percent unconstrained). The unconstrained weeks are special: there demand is known exactly. They are used later as 'truth cells' to validate the reconstruction and to score models honestly.</w:t>
      </w:r>
    </w:p>
    <w:p>
      <w:pPr>
        <w:pStyle w:val="Heading2"/>
      </w:pPr>
      <w:r>
        <w:rPr>
          <w:rFonts w:ascii="Calibri" w:hAnsi="Calibri" w:eastAsia="Calibri" w:cs="Calibri"/>
          <w:b/>
          <w:i w:val="0"/>
          <w:color w:val="2A78D6"/>
          <w:sz w:val="28"/>
          <w:lang w:val="en-US" w:bidi="fa-IR"/>
        </w:rPr>
        <w:t>5.3 Step 2: Is the legacy forecast usable?</w:t>
      </w:r>
    </w:p>
    <w:p>
      <w:r>
        <w:rPr>
          <w:rFonts w:ascii="Calibri" w:hAnsi="Calibri" w:eastAsia="Calibri" w:cs="Calibri"/>
          <w:b w:val="0"/>
          <w:i w:val="0"/>
          <w:lang w:val="en-US" w:bidi="fa-IR"/>
        </w:rPr>
        <w:t>The file contains the company's own forecast (Demand_Forecast). In Part 1 its correlation with sales was only 0.21, which suggests it is poor. But that comparison used censored sales. On unconstrained weeks, where sales equal demand, the legacy forecast has a correlation of 0.97 with the truth, a bias of only -0.4 percent and a multiplicative noise of about 10 percent (MAPE 7.9 percent). It is therefore a good noisy measure of demand. On censored weeks it is mostly above the observed sales, exactly as a demand measure should be. It was never a bad forecast; it was compared with the wrong target. (606 values are missing and are handled by the model below.)</w:t>
      </w:r>
    </w:p>
    <w:p>
      <w:pPr>
        <w:keepNext/>
        <w:spacing w:after="40"/>
        <w:jc w:val="center"/>
      </w:pPr>
      <w:r>
        <w:drawing>
          <wp:inline xmlns:a="http://schemas.openxmlformats.org/drawingml/2006/main" xmlns:pic="http://schemas.openxmlformats.org/drawingml/2006/picture">
            <wp:extent cx="5669280" cy="1625194"/>
            <wp:docPr id="3" name="Picture 3"/>
            <wp:cNvGraphicFramePr>
              <a:graphicFrameLocks noChangeAspect="1"/>
            </wp:cNvGraphicFramePr>
            <a:graphic>
              <a:graphicData uri="http://schemas.openxmlformats.org/drawingml/2006/picture">
                <pic:pic>
                  <pic:nvPicPr>
                    <pic:cNvPr id="0" name="legacy_forecast_validation_v1.1.png"/>
                    <pic:cNvPicPr/>
                  </pic:nvPicPr>
                  <pic:blipFill>
                    <a:blip r:embed="rId11"/>
                    <a:stretch>
                      <a:fillRect/>
                    </a:stretch>
                  </pic:blipFill>
                  <pic:spPr>
                    <a:xfrm>
                      <a:off x="0" y="0"/>
                      <a:ext cx="5669280" cy="1625194"/>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3. The legacy forecast against true demand on unconstrained weeks.</w:t>
      </w:r>
    </w:p>
    <w:p>
      <w:pPr>
        <w:pStyle w:val="Heading2"/>
      </w:pPr>
      <w:r>
        <w:rPr>
          <w:rFonts w:ascii="Calibri" w:hAnsi="Calibri" w:eastAsia="Calibri" w:cs="Calibri"/>
          <w:b/>
          <w:i w:val="0"/>
          <w:color w:val="2A78D6"/>
          <w:sz w:val="28"/>
          <w:lang w:val="en-US" w:bidi="fa-IR"/>
        </w:rPr>
        <w:t>5.4 Step 3: Reconstruct demand (the target column demand_est)</w:t>
      </w:r>
    </w:p>
    <w:p>
      <w:r>
        <w:rPr>
          <w:rFonts w:ascii="Calibri" w:hAnsi="Calibri" w:eastAsia="Calibri" w:cs="Calibri"/>
          <w:b w:val="0"/>
          <w:i w:val="0"/>
          <w:lang w:val="en-US" w:bidi="fa-IR"/>
        </w:rPr>
        <w:t>For every product-week a demand estimate demand_est is computed according to the week type:</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452"/>
        <w:gridCol w:w="4459"/>
        <w:gridCol w:w="1726"/>
      </w:tblGrid>
      <w:tr>
        <w:trPr>
          <w:tblHeader/>
        </w:trPr>
        <w:tc>
          <w:tcPr>
            <w:tcW w:type="dxa" w:w="3452"/>
            <w:shd w:val="clear" w:color="auto" w:fill="12263F"/>
          </w:tcPr>
          <w:p>
            <w:pPr>
              <w:spacing w:after="0"/>
            </w:pPr>
            <w:r>
              <w:rPr>
                <w:rFonts w:ascii="Calibri" w:hAnsi="Calibri" w:eastAsia="Calibri" w:cs="Calibri"/>
                <w:b/>
                <w:i w:val="0"/>
                <w:color w:val="FFFFFF"/>
                <w:sz w:val="19"/>
                <w:lang w:val="en-US" w:bidi="fa-IR"/>
              </w:rPr>
              <w:t>Week type</w:t>
            </w:r>
          </w:p>
        </w:tc>
        <w:tc>
          <w:tcPr>
            <w:tcW w:type="dxa" w:w="4459"/>
            <w:shd w:val="clear" w:color="auto" w:fill="12263F"/>
          </w:tcPr>
          <w:p>
            <w:pPr>
              <w:spacing w:after="0"/>
            </w:pPr>
            <w:r>
              <w:rPr>
                <w:rFonts w:ascii="Calibri" w:hAnsi="Calibri" w:eastAsia="Calibri" w:cs="Calibri"/>
                <w:b/>
                <w:i w:val="0"/>
                <w:color w:val="FFFFFF"/>
                <w:sz w:val="19"/>
                <w:lang w:val="en-US" w:bidi="fa-IR"/>
              </w:rPr>
              <w:t>demand_est</w:t>
            </w:r>
          </w:p>
        </w:tc>
        <w:tc>
          <w:tcPr>
            <w:tcW w:type="dxa" w:w="1726"/>
            <w:shd w:val="clear" w:color="auto" w:fill="12263F"/>
          </w:tcPr>
          <w:p>
            <w:pPr>
              <w:spacing w:after="0"/>
            </w:pPr>
            <w:r>
              <w:rPr>
                <w:rFonts w:ascii="Calibri" w:hAnsi="Calibri" w:eastAsia="Calibri" w:cs="Calibri"/>
                <w:b/>
                <w:i w:val="0"/>
                <w:color w:val="FFFFFF"/>
                <w:sz w:val="19"/>
                <w:lang w:val="en-US" w:bidi="fa-IR"/>
              </w:rPr>
              <w:t>Source label</w:t>
            </w:r>
          </w:p>
        </w:tc>
      </w:tr>
      <w:tr>
        <w:trPr>
          <w:cantSplit/>
        </w:trPr>
        <w:tc>
          <w:tcPr>
            <w:tcW w:type="dxa" w:w="3452"/>
          </w:tcPr>
          <w:p>
            <w:pPr>
              <w:spacing w:after="0"/>
            </w:pPr>
            <w:r>
              <w:rPr>
                <w:rFonts w:ascii="Calibri" w:hAnsi="Calibri" w:eastAsia="Calibri" w:cs="Calibri"/>
                <w:b/>
                <w:i w:val="0"/>
                <w:sz w:val="19"/>
                <w:lang w:val="en-US" w:bidi="fa-IR"/>
              </w:rPr>
              <w:t>Unconstrained</w:t>
            </w:r>
          </w:p>
        </w:tc>
        <w:tc>
          <w:tcPr>
            <w:tcW w:type="dxa" w:w="4459"/>
          </w:tcPr>
          <w:p>
            <w:pPr>
              <w:spacing w:after="0"/>
            </w:pPr>
            <w:r>
              <w:rPr>
                <w:rFonts w:ascii="Calibri" w:hAnsi="Calibri" w:eastAsia="Calibri" w:cs="Calibri"/>
                <w:b w:val="0"/>
                <w:i w:val="0"/>
                <w:sz w:val="19"/>
                <w:lang w:val="en-US" w:bidi="fa-IR"/>
              </w:rPr>
              <w:t>observed sales</w:t>
            </w:r>
          </w:p>
        </w:tc>
        <w:tc>
          <w:tcPr>
            <w:tcW w:type="dxa" w:w="1726"/>
          </w:tcPr>
          <w:p>
            <w:pPr>
              <w:spacing w:after="0"/>
            </w:pPr>
            <w:r>
              <w:rPr>
                <w:rFonts w:ascii="Calibri" w:hAnsi="Calibri" w:eastAsia="Calibri" w:cs="Calibri"/>
                <w:b w:val="0"/>
                <w:i w:val="0"/>
                <w:sz w:val="19"/>
                <w:lang w:val="en-US" w:bidi="fa-IR"/>
              </w:rPr>
              <w:t>observed</w:t>
            </w:r>
          </w:p>
        </w:tc>
      </w:tr>
      <w:tr>
        <w:trPr>
          <w:cantSplit/>
        </w:trPr>
        <w:tc>
          <w:tcPr>
            <w:tcW w:type="dxa" w:w="3452"/>
            <w:shd w:val="clear" w:color="auto" w:fill="F7F9FC"/>
          </w:tcPr>
          <w:p>
            <w:pPr>
              <w:spacing w:after="0"/>
            </w:pPr>
            <w:r>
              <w:rPr>
                <w:rFonts w:ascii="Calibri" w:hAnsi="Calibri" w:eastAsia="Calibri" w:cs="Calibri"/>
                <w:b/>
                <w:i w:val="0"/>
                <w:sz w:val="19"/>
                <w:lang w:val="en-US" w:bidi="fa-IR"/>
              </w:rPr>
              <w:t>Censored or unknown, legacy forecast available</w:t>
            </w:r>
          </w:p>
        </w:tc>
        <w:tc>
          <w:tcPr>
            <w:tcW w:type="dxa" w:w="4459"/>
            <w:shd w:val="clear" w:color="auto" w:fill="F7F9FC"/>
          </w:tcPr>
          <w:p>
            <w:pPr>
              <w:spacing w:after="0"/>
            </w:pPr>
            <w:r>
              <w:rPr>
                <w:rFonts w:ascii="Calibri" w:hAnsi="Calibri" w:eastAsia="Calibri" w:cs="Calibri"/>
                <w:b w:val="0"/>
                <w:i w:val="0"/>
                <w:sz w:val="19"/>
                <w:lang w:val="en-US" w:bidi="fa-IR"/>
              </w:rPr>
              <w:t>max(sales, 0.40 x legacy forecast + 0.60 x seasonal model)</w:t>
            </w:r>
          </w:p>
        </w:tc>
        <w:tc>
          <w:tcPr>
            <w:tcW w:type="dxa" w:w="1726"/>
            <w:shd w:val="clear" w:color="auto" w:fill="F7F9FC"/>
          </w:tcPr>
          <w:p>
            <w:pPr>
              <w:spacing w:after="0"/>
            </w:pPr>
            <w:r>
              <w:rPr>
                <w:rFonts w:ascii="Calibri" w:hAnsi="Calibri" w:eastAsia="Calibri" w:cs="Calibri"/>
                <w:b w:val="0"/>
                <w:i w:val="0"/>
                <w:sz w:val="19"/>
                <w:lang w:val="en-US" w:bidi="fa-IR"/>
              </w:rPr>
              <w:t>forecast_blend</w:t>
            </w:r>
          </w:p>
        </w:tc>
      </w:tr>
      <w:tr>
        <w:trPr>
          <w:cantSplit/>
        </w:trPr>
        <w:tc>
          <w:tcPr>
            <w:tcW w:type="dxa" w:w="3452"/>
          </w:tcPr>
          <w:p>
            <w:pPr>
              <w:spacing w:after="0"/>
            </w:pPr>
            <w:r>
              <w:rPr>
                <w:rFonts w:ascii="Calibri" w:hAnsi="Calibri" w:eastAsia="Calibri" w:cs="Calibri"/>
                <w:b/>
                <w:i w:val="0"/>
                <w:sz w:val="19"/>
                <w:lang w:val="en-US" w:bidi="fa-IR"/>
              </w:rPr>
              <w:t>Censored or unknown, legacy forecast missing</w:t>
            </w:r>
          </w:p>
        </w:tc>
        <w:tc>
          <w:tcPr>
            <w:tcW w:type="dxa" w:w="4459"/>
          </w:tcPr>
          <w:p>
            <w:pPr>
              <w:spacing w:after="0"/>
            </w:pPr>
            <w:r>
              <w:rPr>
                <w:rFonts w:ascii="Calibri" w:hAnsi="Calibri" w:eastAsia="Calibri" w:cs="Calibri"/>
                <w:b w:val="0"/>
                <w:i w:val="0"/>
                <w:sz w:val="19"/>
                <w:lang w:val="en-US" w:bidi="fa-IR"/>
              </w:rPr>
              <w:t>max(sales, seasonal model)</w:t>
            </w:r>
          </w:p>
        </w:tc>
        <w:tc>
          <w:tcPr>
            <w:tcW w:type="dxa" w:w="1726"/>
          </w:tcPr>
          <w:p>
            <w:pPr>
              <w:spacing w:after="0"/>
            </w:pPr>
            <w:r>
              <w:rPr>
                <w:rFonts w:ascii="Calibri" w:hAnsi="Calibri" w:eastAsia="Calibri" w:cs="Calibri"/>
                <w:b w:val="0"/>
                <w:i w:val="0"/>
                <w:sz w:val="19"/>
                <w:lang w:val="en-US" w:bidi="fa-IR"/>
              </w:rPr>
              <w:t>model_only</w:t>
            </w:r>
          </w:p>
        </w:tc>
      </w:tr>
    </w:tbl>
    <w:p>
      <w:pPr>
        <w:spacing w:after="40"/>
      </w:pPr>
    </w:p>
    <w:p>
      <w:r>
        <w:rPr>
          <w:rFonts w:ascii="Calibri" w:hAnsi="Calibri" w:eastAsia="Calibri" w:cs="Calibri"/>
          <w:b w:val="0"/>
          <w:i w:val="0"/>
          <w:lang w:val="en-US" w:bidi="fa-IR"/>
        </w:rPr>
        <w:t>The seasonal model is a simple log-linear model with a product level, a shared trend and a shared yearly seasonal curve written with Fourier terms (sine and cosine waves). Its two free parameters, the Fourier order K and the trend structure, were chosen by blocked five-fold cross-validation on training data using the one-standard-error rule: K = 2 with a shared trend. The blend weight (0.40 on the legacy forecast) was fitted on out-of-fold predictions and confirmed on products not used for fitting.</w:t>
      </w:r>
    </w:p>
    <w:p>
      <w:r>
        <w:rPr>
          <w:rFonts w:ascii="Calibri" w:hAnsi="Calibri" w:eastAsia="Calibri" w:cs="Calibri"/>
          <w:b w:val="0"/>
          <w:i w:val="0"/>
          <w:lang w:val="en-US" w:bidi="fa-IR"/>
        </w:rPr>
        <w:t>How good is the reconstruction? It is tested on unconstrained weeks (true demand known; the model numbers are out-of-fold):</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4315"/>
        <w:gridCol w:w="2301"/>
        <w:gridCol w:w="3020"/>
      </w:tblGrid>
      <w:tr>
        <w:trPr>
          <w:tblHeader/>
        </w:trPr>
        <w:tc>
          <w:tcPr>
            <w:tcW w:type="dxa" w:w="4315"/>
            <w:shd w:val="clear" w:color="auto" w:fill="12263F"/>
          </w:tcPr>
          <w:p>
            <w:pPr>
              <w:spacing w:after="0"/>
            </w:pPr>
            <w:r>
              <w:rPr>
                <w:rFonts w:ascii="Calibri" w:hAnsi="Calibri" w:eastAsia="Calibri" w:cs="Calibri"/>
                <w:b/>
                <w:i w:val="0"/>
                <w:color w:val="FFFFFF"/>
                <w:sz w:val="19"/>
                <w:lang w:val="en-US" w:bidi="fa-IR"/>
              </w:rPr>
              <w:t>Method</w:t>
            </w:r>
          </w:p>
        </w:tc>
        <w:tc>
          <w:tcPr>
            <w:tcW w:type="dxa" w:w="2302"/>
            <w:shd w:val="clear" w:color="auto" w:fill="12263F"/>
          </w:tcPr>
          <w:p>
            <w:pPr>
              <w:spacing w:after="0"/>
            </w:pPr>
            <w:r>
              <w:rPr>
                <w:rFonts w:ascii="Calibri" w:hAnsi="Calibri" w:eastAsia="Calibri" w:cs="Calibri"/>
                <w:b/>
                <w:i w:val="0"/>
                <w:color w:val="FFFFFF"/>
                <w:sz w:val="19"/>
                <w:lang w:val="en-US" w:bidi="fa-IR"/>
              </w:rPr>
              <w:t>Error (MAPE)</w:t>
            </w:r>
          </w:p>
        </w:tc>
        <w:tc>
          <w:tcPr>
            <w:tcW w:type="dxa" w:w="3021"/>
            <w:shd w:val="clear" w:color="auto" w:fill="12263F"/>
          </w:tcPr>
          <w:p>
            <w:pPr>
              <w:spacing w:after="0"/>
            </w:pPr>
            <w:r>
              <w:rPr>
                <w:rFonts w:ascii="Calibri" w:hAnsi="Calibri" w:eastAsia="Calibri" w:cs="Calibri"/>
                <w:b/>
                <w:i w:val="0"/>
                <w:color w:val="FFFFFF"/>
                <w:sz w:val="19"/>
                <w:lang w:val="en-US" w:bidi="fa-IR"/>
              </w:rPr>
              <w:t>Mean absolute error (units)</w:t>
            </w:r>
          </w:p>
        </w:tc>
      </w:tr>
      <w:tr>
        <w:trPr>
          <w:cantSplit/>
        </w:trPr>
        <w:tc>
          <w:tcPr>
            <w:tcW w:type="dxa" w:w="4315"/>
          </w:tcPr>
          <w:p>
            <w:pPr>
              <w:spacing w:after="0"/>
            </w:pPr>
            <w:r>
              <w:rPr>
                <w:rFonts w:ascii="Calibri" w:hAnsi="Calibri" w:eastAsia="Calibri" w:cs="Calibri"/>
                <w:b/>
                <w:i w:val="0"/>
                <w:sz w:val="19"/>
                <w:lang w:val="en-US" w:bidi="fa-IR"/>
              </w:rPr>
              <w:t>Legacy forecast alone</w:t>
            </w:r>
          </w:p>
        </w:tc>
        <w:tc>
          <w:tcPr>
            <w:tcW w:type="dxa" w:w="2302"/>
          </w:tcPr>
          <w:p>
            <w:pPr>
              <w:spacing w:after="0"/>
            </w:pPr>
            <w:r>
              <w:rPr>
                <w:rFonts w:ascii="Calibri" w:hAnsi="Calibri" w:eastAsia="Calibri" w:cs="Calibri"/>
                <w:b w:val="0"/>
                <w:i w:val="0"/>
                <w:sz w:val="19"/>
                <w:lang w:val="en-US" w:bidi="fa-IR"/>
              </w:rPr>
              <w:t>7.9%</w:t>
            </w:r>
          </w:p>
        </w:tc>
        <w:tc>
          <w:tcPr>
            <w:tcW w:type="dxa" w:w="3021"/>
          </w:tcPr>
          <w:p>
            <w:pPr>
              <w:spacing w:after="0"/>
            </w:pPr>
            <w:r>
              <w:rPr>
                <w:rFonts w:ascii="Calibri" w:hAnsi="Calibri" w:eastAsia="Calibri" w:cs="Calibri"/>
                <w:b w:val="0"/>
                <w:i w:val="0"/>
                <w:sz w:val="19"/>
                <w:lang w:val="en-US" w:bidi="fa-IR"/>
              </w:rPr>
              <w:t>111</w:t>
            </w:r>
          </w:p>
        </w:tc>
      </w:tr>
      <w:tr>
        <w:trPr>
          <w:cantSplit/>
        </w:trPr>
        <w:tc>
          <w:tcPr>
            <w:tcW w:type="dxa" w:w="4315"/>
            <w:shd w:val="clear" w:color="auto" w:fill="F7F9FC"/>
          </w:tcPr>
          <w:p>
            <w:pPr>
              <w:spacing w:after="0"/>
            </w:pPr>
            <w:r>
              <w:rPr>
                <w:rFonts w:ascii="Calibri" w:hAnsi="Calibri" w:eastAsia="Calibri" w:cs="Calibri"/>
                <w:b/>
                <w:i w:val="0"/>
                <w:sz w:val="19"/>
                <w:lang w:val="en-US" w:bidi="fa-IR"/>
              </w:rPr>
              <w:t>Seasonal model alone</w:t>
            </w:r>
          </w:p>
        </w:tc>
        <w:tc>
          <w:tcPr>
            <w:tcW w:type="dxa" w:w="2302"/>
            <w:shd w:val="clear" w:color="auto" w:fill="F7F9FC"/>
          </w:tcPr>
          <w:p>
            <w:pPr>
              <w:spacing w:after="0"/>
            </w:pPr>
            <w:r>
              <w:rPr>
                <w:rFonts w:ascii="Calibri" w:hAnsi="Calibri" w:eastAsia="Calibri" w:cs="Calibri"/>
                <w:b w:val="0"/>
                <w:i w:val="0"/>
                <w:sz w:val="19"/>
                <w:lang w:val="en-US" w:bidi="fa-IR"/>
              </w:rPr>
              <w:t>6.6%</w:t>
            </w:r>
          </w:p>
        </w:tc>
        <w:tc>
          <w:tcPr>
            <w:tcW w:type="dxa" w:w="3021"/>
            <w:shd w:val="clear" w:color="auto" w:fill="F7F9FC"/>
          </w:tcPr>
          <w:p>
            <w:pPr>
              <w:spacing w:after="0"/>
            </w:pPr>
            <w:r>
              <w:rPr>
                <w:rFonts w:ascii="Calibri" w:hAnsi="Calibri" w:eastAsia="Calibri" w:cs="Calibri"/>
                <w:b w:val="0"/>
                <w:i w:val="0"/>
                <w:sz w:val="19"/>
                <w:lang w:val="en-US" w:bidi="fa-IR"/>
              </w:rPr>
              <w:t>91</w:t>
            </w:r>
          </w:p>
        </w:tc>
      </w:tr>
      <w:tr>
        <w:trPr>
          <w:cantSplit/>
        </w:trPr>
        <w:tc>
          <w:tcPr>
            <w:tcW w:type="dxa" w:w="4315"/>
          </w:tcPr>
          <w:p>
            <w:pPr>
              <w:spacing w:after="0"/>
            </w:pPr>
            <w:r>
              <w:rPr>
                <w:rFonts w:ascii="Calibri" w:hAnsi="Calibri" w:eastAsia="Calibri" w:cs="Calibri"/>
                <w:b/>
                <w:i w:val="0"/>
                <w:sz w:val="19"/>
                <w:lang w:val="en-US" w:bidi="fa-IR"/>
              </w:rPr>
              <w:t>Blend 0.40 / 0.60</w:t>
            </w:r>
          </w:p>
        </w:tc>
        <w:tc>
          <w:tcPr>
            <w:tcW w:type="dxa" w:w="2302"/>
          </w:tcPr>
          <w:p>
            <w:pPr>
              <w:spacing w:after="0"/>
            </w:pPr>
            <w:r>
              <w:rPr>
                <w:rFonts w:ascii="Calibri" w:hAnsi="Calibri" w:eastAsia="Calibri" w:cs="Calibri"/>
                <w:b w:val="0"/>
                <w:i w:val="0"/>
                <w:sz w:val="19"/>
                <w:lang w:val="en-US" w:bidi="fa-IR"/>
              </w:rPr>
              <w:t>5.0%</w:t>
            </w:r>
          </w:p>
        </w:tc>
        <w:tc>
          <w:tcPr>
            <w:tcW w:type="dxa" w:w="3021"/>
          </w:tcPr>
          <w:p>
            <w:pPr>
              <w:spacing w:after="0"/>
            </w:pPr>
            <w:r>
              <w:rPr>
                <w:rFonts w:ascii="Calibri" w:hAnsi="Calibri" w:eastAsia="Calibri" w:cs="Calibri"/>
                <w:b w:val="0"/>
                <w:i w:val="0"/>
                <w:sz w:val="19"/>
                <w:lang w:val="en-US" w:bidi="fa-IR"/>
              </w:rPr>
              <w:t>70</w:t>
            </w:r>
          </w:p>
        </w:tc>
      </w:tr>
    </w:tbl>
    <w:p>
      <w:pPr>
        <w:spacing w:after="40"/>
      </w:pPr>
    </w:p>
    <w:p>
      <w:r>
        <w:rPr>
          <w:rFonts w:ascii="Calibri" w:hAnsi="Calibri" w:eastAsia="Calibri" w:cs="Calibri"/>
          <w:b w:val="0"/>
          <w:i w:val="0"/>
          <w:lang w:val="en-US" w:bidi="fa-IR"/>
        </w:rPr>
        <w:t>Three real rows of the dataset (all Barley) show the three cases: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536"/>
        <w:gridCol w:w="1117"/>
        <w:gridCol w:w="977"/>
        <w:gridCol w:w="1257"/>
        <w:gridCol w:w="1396"/>
        <w:gridCol w:w="1396"/>
        <w:gridCol w:w="1955"/>
      </w:tblGrid>
      <w:tr>
        <w:trPr>
          <w:tblHeader/>
        </w:trPr>
        <w:tc>
          <w:tcPr>
            <w:tcW w:type="dxa" w:w="1536"/>
            <w:shd w:val="clear" w:color="auto" w:fill="12263F"/>
          </w:tcPr>
          <w:p>
            <w:pPr>
              <w:spacing w:after="0"/>
            </w:pPr>
            <w:r>
              <w:rPr>
                <w:rFonts w:ascii="Calibri" w:hAnsi="Calibri" w:eastAsia="Calibri" w:cs="Calibri"/>
                <w:b/>
                <w:i w:val="0"/>
                <w:color w:val="FFFFFF"/>
                <w:sz w:val="18"/>
                <w:lang w:val="en-US" w:bidi="fa-IR"/>
              </w:rPr>
              <w:t>Case</w:t>
            </w:r>
          </w:p>
        </w:tc>
        <w:tc>
          <w:tcPr>
            <w:tcW w:type="dxa" w:w="1117"/>
            <w:shd w:val="clear" w:color="auto" w:fill="12263F"/>
          </w:tcPr>
          <w:p>
            <w:pPr>
              <w:spacing w:after="0"/>
            </w:pPr>
            <w:r>
              <w:rPr>
                <w:rFonts w:ascii="Calibri" w:hAnsi="Calibri" w:eastAsia="Calibri" w:cs="Calibri"/>
                <w:b/>
                <w:i w:val="0"/>
                <w:color w:val="FFFFFF"/>
                <w:sz w:val="18"/>
                <w:lang w:val="en-US" w:bidi="fa-IR"/>
              </w:rPr>
              <w:t>Barley week</w:t>
            </w:r>
          </w:p>
        </w:tc>
        <w:tc>
          <w:tcPr>
            <w:tcW w:type="dxa" w:w="978"/>
            <w:shd w:val="clear" w:color="auto" w:fill="12263F"/>
          </w:tcPr>
          <w:p>
            <w:pPr>
              <w:spacing w:after="0"/>
            </w:pPr>
            <w:r>
              <w:rPr>
                <w:rFonts w:ascii="Calibri" w:hAnsi="Calibri" w:eastAsia="Calibri" w:cs="Calibri"/>
                <w:b/>
                <w:i w:val="0"/>
                <w:color w:val="FFFFFF"/>
                <w:sz w:val="18"/>
                <w:lang w:val="en-US" w:bidi="fa-IR"/>
              </w:rPr>
              <w:t>Sales</w:t>
            </w:r>
          </w:p>
        </w:tc>
        <w:tc>
          <w:tcPr>
            <w:tcW w:type="dxa" w:w="1257"/>
            <w:shd w:val="clear" w:color="auto" w:fill="12263F"/>
          </w:tcPr>
          <w:p>
            <w:pPr>
              <w:spacing w:after="0"/>
            </w:pPr>
            <w:r>
              <w:rPr>
                <w:rFonts w:ascii="Calibri" w:hAnsi="Calibri" w:eastAsia="Calibri" w:cs="Calibri"/>
                <w:b/>
                <w:i w:val="0"/>
                <w:color w:val="FFFFFF"/>
                <w:sz w:val="18"/>
                <w:lang w:val="en-US" w:bidi="fa-IR"/>
              </w:rPr>
              <w:t>Stock available</w:t>
            </w:r>
          </w:p>
        </w:tc>
        <w:tc>
          <w:tcPr>
            <w:tcW w:type="dxa" w:w="1397"/>
            <w:shd w:val="clear" w:color="auto" w:fill="12263F"/>
          </w:tcPr>
          <w:p>
            <w:pPr>
              <w:spacing w:after="0"/>
            </w:pPr>
            <w:r>
              <w:rPr>
                <w:rFonts w:ascii="Calibri" w:hAnsi="Calibri" w:eastAsia="Calibri" w:cs="Calibri"/>
                <w:b/>
                <w:i w:val="0"/>
                <w:color w:val="FFFFFF"/>
                <w:sz w:val="18"/>
                <w:lang w:val="en-US" w:bidi="fa-IR"/>
              </w:rPr>
              <w:t>Legacy forecast</w:t>
            </w:r>
          </w:p>
        </w:tc>
        <w:tc>
          <w:tcPr>
            <w:tcW w:type="dxa" w:w="1397"/>
            <w:shd w:val="clear" w:color="auto" w:fill="12263F"/>
          </w:tcPr>
          <w:p>
            <w:pPr>
              <w:spacing w:after="0"/>
            </w:pPr>
            <w:r>
              <w:rPr>
                <w:rFonts w:ascii="Calibri" w:hAnsi="Calibri" w:eastAsia="Calibri" w:cs="Calibri"/>
                <w:b/>
                <w:i w:val="0"/>
                <w:color w:val="FFFFFF"/>
                <w:sz w:val="18"/>
                <w:lang w:val="en-US" w:bidi="fa-IR"/>
              </w:rPr>
              <w:t>Seasonal model</w:t>
            </w:r>
          </w:p>
        </w:tc>
        <w:tc>
          <w:tcPr>
            <w:tcW w:type="dxa" w:w="1955"/>
            <w:shd w:val="clear" w:color="auto" w:fill="12263F"/>
          </w:tcPr>
          <w:p>
            <w:pPr>
              <w:spacing w:after="0"/>
            </w:pPr>
            <w:r>
              <w:rPr>
                <w:rFonts w:ascii="Calibri" w:hAnsi="Calibri" w:eastAsia="Calibri" w:cs="Calibri"/>
                <w:b/>
                <w:i w:val="0"/>
                <w:color w:val="FFFFFF"/>
                <w:sz w:val="18"/>
                <w:lang w:val="en-US" w:bidi="fa-IR"/>
              </w:rPr>
              <w:t>demand_est</w:t>
            </w:r>
          </w:p>
        </w:tc>
      </w:tr>
      <w:tr>
        <w:trPr>
          <w:cantSplit/>
        </w:trPr>
        <w:tc>
          <w:tcPr>
            <w:tcW w:type="dxa" w:w="1536"/>
          </w:tcPr>
          <w:p>
            <w:pPr>
              <w:spacing w:after="0"/>
            </w:pPr>
            <w:r>
              <w:rPr>
                <w:rFonts w:ascii="Calibri" w:hAnsi="Calibri" w:eastAsia="Calibri" w:cs="Calibri"/>
                <w:b/>
                <w:i w:val="0"/>
                <w:sz w:val="18"/>
                <w:lang w:val="en-US" w:bidi="fa-IR"/>
              </w:rPr>
              <w:t>Unconstrained</w:t>
            </w:r>
          </w:p>
        </w:tc>
        <w:tc>
          <w:tcPr>
            <w:tcW w:type="dxa" w:w="1117"/>
          </w:tcPr>
          <w:p>
            <w:pPr>
              <w:spacing w:after="0"/>
            </w:pPr>
            <w:r>
              <w:rPr>
                <w:rFonts w:ascii="Calibri" w:hAnsi="Calibri" w:eastAsia="Calibri" w:cs="Calibri"/>
                <w:b w:val="0"/>
                <w:i w:val="0"/>
                <w:sz w:val="18"/>
                <w:lang w:val="en-US" w:bidi="fa-IR"/>
              </w:rPr>
              <w:t>28</w:t>
            </w:r>
          </w:p>
        </w:tc>
        <w:tc>
          <w:tcPr>
            <w:tcW w:type="dxa" w:w="978"/>
          </w:tcPr>
          <w:p>
            <w:pPr>
              <w:spacing w:after="0"/>
            </w:pPr>
            <w:r>
              <w:rPr>
                <w:rFonts w:ascii="Calibri" w:hAnsi="Calibri" w:eastAsia="Calibri" w:cs="Calibri"/>
                <w:b w:val="0"/>
                <w:i w:val="0"/>
                <w:sz w:val="18"/>
                <w:lang w:val="en-US" w:bidi="fa-IR"/>
              </w:rPr>
              <w:t>2,201</w:t>
            </w:r>
          </w:p>
        </w:tc>
        <w:tc>
          <w:tcPr>
            <w:tcW w:type="dxa" w:w="1257"/>
          </w:tcPr>
          <w:p>
            <w:pPr>
              <w:spacing w:after="0"/>
            </w:pPr>
            <w:r>
              <w:rPr>
                <w:rFonts w:ascii="Calibri" w:hAnsi="Calibri" w:eastAsia="Calibri" w:cs="Calibri"/>
                <w:b w:val="0"/>
                <w:i w:val="0"/>
                <w:sz w:val="18"/>
                <w:lang w:val="en-US" w:bidi="fa-IR"/>
              </w:rPr>
              <w:t>2,500</w:t>
            </w:r>
          </w:p>
        </w:tc>
        <w:tc>
          <w:tcPr>
            <w:tcW w:type="dxa" w:w="1397"/>
          </w:tcPr>
          <w:p>
            <w:pPr>
              <w:spacing w:after="0"/>
            </w:pPr>
            <w:r>
              <w:rPr>
                <w:rFonts w:ascii="Calibri" w:hAnsi="Calibri" w:eastAsia="Calibri" w:cs="Calibri"/>
                <w:b w:val="0"/>
                <w:i w:val="0"/>
                <w:sz w:val="18"/>
                <w:lang w:val="en-US" w:bidi="fa-IR"/>
              </w:rPr>
              <w:t>2,211</w:t>
            </w:r>
          </w:p>
        </w:tc>
        <w:tc>
          <w:tcPr>
            <w:tcW w:type="dxa" w:w="1397"/>
          </w:tcPr>
          <w:p>
            <w:pPr>
              <w:spacing w:after="0"/>
            </w:pPr>
            <w:r>
              <w:rPr>
                <w:rFonts w:ascii="Calibri" w:hAnsi="Calibri" w:eastAsia="Calibri" w:cs="Calibri"/>
                <w:b w:val="0"/>
                <w:i w:val="0"/>
                <w:sz w:val="18"/>
                <w:lang w:val="en-US" w:bidi="fa-IR"/>
              </w:rPr>
              <w:t>2,343</w:t>
            </w:r>
          </w:p>
        </w:tc>
        <w:tc>
          <w:tcPr>
            <w:tcW w:type="dxa" w:w="1955"/>
          </w:tcPr>
          <w:p>
            <w:pPr>
              <w:spacing w:after="0"/>
            </w:pPr>
            <w:r>
              <w:rPr>
                <w:rFonts w:ascii="Calibri" w:hAnsi="Calibri" w:eastAsia="Calibri" w:cs="Calibri"/>
                <w:b w:val="0"/>
                <w:i w:val="0"/>
                <w:sz w:val="18"/>
                <w:lang w:val="en-US" w:bidi="fa-IR"/>
              </w:rPr>
              <w:t>2,201 (= sales)</w:t>
            </w:r>
          </w:p>
        </w:tc>
      </w:tr>
      <w:tr>
        <w:trPr>
          <w:cantSplit/>
        </w:trPr>
        <w:tc>
          <w:tcPr>
            <w:tcW w:type="dxa" w:w="1536"/>
            <w:shd w:val="clear" w:color="auto" w:fill="F7F9FC"/>
          </w:tcPr>
          <w:p>
            <w:pPr>
              <w:spacing w:after="0"/>
            </w:pPr>
            <w:r>
              <w:rPr>
                <w:rFonts w:ascii="Calibri" w:hAnsi="Calibri" w:eastAsia="Calibri" w:cs="Calibri"/>
                <w:b/>
                <w:i w:val="0"/>
                <w:sz w:val="18"/>
                <w:lang w:val="en-US" w:bidi="fa-IR"/>
              </w:rPr>
              <w:t>Stock-limited</w:t>
            </w:r>
          </w:p>
        </w:tc>
        <w:tc>
          <w:tcPr>
            <w:tcW w:type="dxa" w:w="1117"/>
            <w:shd w:val="clear" w:color="auto" w:fill="F7F9FC"/>
          </w:tcPr>
          <w:p>
            <w:pPr>
              <w:spacing w:after="0"/>
            </w:pPr>
            <w:r>
              <w:rPr>
                <w:rFonts w:ascii="Calibri" w:hAnsi="Calibri" w:eastAsia="Calibri" w:cs="Calibri"/>
                <w:b w:val="0"/>
                <w:i w:val="0"/>
                <w:sz w:val="18"/>
                <w:lang w:val="en-US" w:bidi="fa-IR"/>
              </w:rPr>
              <w:t>2</w:t>
            </w:r>
          </w:p>
        </w:tc>
        <w:tc>
          <w:tcPr>
            <w:tcW w:type="dxa" w:w="978"/>
            <w:shd w:val="clear" w:color="auto" w:fill="F7F9FC"/>
          </w:tcPr>
          <w:p>
            <w:pPr>
              <w:spacing w:after="0"/>
            </w:pPr>
            <w:r>
              <w:rPr>
                <w:rFonts w:ascii="Calibri" w:hAnsi="Calibri" w:eastAsia="Calibri" w:cs="Calibri"/>
                <w:b w:val="0"/>
                <w:i w:val="0"/>
                <w:sz w:val="18"/>
                <w:lang w:val="en-US" w:bidi="fa-IR"/>
              </w:rPr>
              <w:t>2,500</w:t>
            </w:r>
          </w:p>
        </w:tc>
        <w:tc>
          <w:tcPr>
            <w:tcW w:type="dxa" w:w="1257"/>
            <w:shd w:val="clear" w:color="auto" w:fill="F7F9FC"/>
          </w:tcPr>
          <w:p>
            <w:pPr>
              <w:spacing w:after="0"/>
            </w:pPr>
            <w:r>
              <w:rPr>
                <w:rFonts w:ascii="Calibri" w:hAnsi="Calibri" w:eastAsia="Calibri" w:cs="Calibri"/>
                <w:b w:val="0"/>
                <w:i w:val="0"/>
                <w:sz w:val="18"/>
                <w:lang w:val="en-US" w:bidi="fa-IR"/>
              </w:rPr>
              <w:t>2,500</w:t>
            </w:r>
          </w:p>
        </w:tc>
        <w:tc>
          <w:tcPr>
            <w:tcW w:type="dxa" w:w="1397"/>
            <w:shd w:val="clear" w:color="auto" w:fill="F7F9FC"/>
          </w:tcPr>
          <w:p>
            <w:pPr>
              <w:spacing w:after="0"/>
            </w:pPr>
            <w:r>
              <w:rPr>
                <w:rFonts w:ascii="Calibri" w:hAnsi="Calibri" w:eastAsia="Calibri" w:cs="Calibri"/>
                <w:b w:val="0"/>
                <w:i w:val="0"/>
                <w:sz w:val="18"/>
                <w:lang w:val="en-US" w:bidi="fa-IR"/>
              </w:rPr>
              <w:t>2,733</w:t>
            </w:r>
          </w:p>
        </w:tc>
        <w:tc>
          <w:tcPr>
            <w:tcW w:type="dxa" w:w="1397"/>
            <w:shd w:val="clear" w:color="auto" w:fill="F7F9FC"/>
          </w:tcPr>
          <w:p>
            <w:pPr>
              <w:spacing w:after="0"/>
            </w:pPr>
            <w:r>
              <w:rPr>
                <w:rFonts w:ascii="Calibri" w:hAnsi="Calibri" w:eastAsia="Calibri" w:cs="Calibri"/>
                <w:b w:val="0"/>
                <w:i w:val="0"/>
                <w:sz w:val="18"/>
                <w:lang w:val="en-US" w:bidi="fa-IR"/>
              </w:rPr>
              <w:t>2,611</w:t>
            </w:r>
          </w:p>
        </w:tc>
        <w:tc>
          <w:tcPr>
            <w:tcW w:type="dxa" w:w="1955"/>
            <w:shd w:val="clear" w:color="auto" w:fill="F7F9FC"/>
          </w:tcPr>
          <w:p>
            <w:pPr>
              <w:spacing w:after="0"/>
            </w:pPr>
            <w:r>
              <w:rPr>
                <w:rFonts w:ascii="Calibri" w:hAnsi="Calibri" w:eastAsia="Calibri" w:cs="Calibri"/>
                <w:b w:val="0"/>
                <w:i w:val="0"/>
                <w:sz w:val="18"/>
                <w:lang w:val="en-US" w:bidi="fa-IR"/>
              </w:rPr>
              <w:t>2,659 (+6.4% above sales)</w:t>
            </w:r>
          </w:p>
        </w:tc>
      </w:tr>
      <w:tr>
        <w:trPr>
          <w:cantSplit/>
        </w:trPr>
        <w:tc>
          <w:tcPr>
            <w:tcW w:type="dxa" w:w="1536"/>
          </w:tcPr>
          <w:p>
            <w:pPr>
              <w:spacing w:after="0"/>
            </w:pPr>
            <w:r>
              <w:rPr>
                <w:rFonts w:ascii="Calibri" w:hAnsi="Calibri" w:eastAsia="Calibri" w:cs="Calibri"/>
                <w:b/>
                <w:i w:val="0"/>
                <w:sz w:val="18"/>
                <w:lang w:val="en-US" w:bidi="fa-IR"/>
              </w:rPr>
              <w:t>Stock-out</w:t>
            </w:r>
          </w:p>
        </w:tc>
        <w:tc>
          <w:tcPr>
            <w:tcW w:type="dxa" w:w="1117"/>
          </w:tcPr>
          <w:p>
            <w:pPr>
              <w:spacing w:after="0"/>
            </w:pPr>
            <w:r>
              <w:rPr>
                <w:rFonts w:ascii="Calibri" w:hAnsi="Calibri" w:eastAsia="Calibri" w:cs="Calibri"/>
                <w:b w:val="0"/>
                <w:i w:val="0"/>
                <w:sz w:val="18"/>
                <w:lang w:val="en-US" w:bidi="fa-IR"/>
              </w:rPr>
              <w:t>4</w:t>
            </w:r>
          </w:p>
        </w:tc>
        <w:tc>
          <w:tcPr>
            <w:tcW w:type="dxa" w:w="978"/>
          </w:tcPr>
          <w:p>
            <w:pPr>
              <w:spacing w:after="0"/>
            </w:pPr>
            <w:r>
              <w:rPr>
                <w:rFonts w:ascii="Calibri" w:hAnsi="Calibri" w:eastAsia="Calibri" w:cs="Calibri"/>
                <w:b w:val="0"/>
                <w:i w:val="0"/>
                <w:sz w:val="18"/>
                <w:lang w:val="en-US" w:bidi="fa-IR"/>
              </w:rPr>
              <w:t>0</w:t>
            </w:r>
          </w:p>
        </w:tc>
        <w:tc>
          <w:tcPr>
            <w:tcW w:type="dxa" w:w="1257"/>
          </w:tcPr>
          <w:p>
            <w:pPr>
              <w:spacing w:after="0"/>
            </w:pPr>
            <w:r>
              <w:rPr>
                <w:rFonts w:ascii="Calibri" w:hAnsi="Calibri" w:eastAsia="Calibri" w:cs="Calibri"/>
                <w:b w:val="0"/>
                <w:i w:val="0"/>
                <w:sz w:val="18"/>
                <w:lang w:val="en-US" w:bidi="fa-IR"/>
              </w:rPr>
              <w:t>0</w:t>
            </w:r>
          </w:p>
        </w:tc>
        <w:tc>
          <w:tcPr>
            <w:tcW w:type="dxa" w:w="1397"/>
          </w:tcPr>
          <w:p>
            <w:pPr>
              <w:spacing w:after="0"/>
            </w:pPr>
            <w:r>
              <w:rPr>
                <w:rFonts w:ascii="Calibri" w:hAnsi="Calibri" w:eastAsia="Calibri" w:cs="Calibri"/>
                <w:b w:val="0"/>
                <w:i w:val="0"/>
                <w:sz w:val="18"/>
                <w:lang w:val="en-US" w:bidi="fa-IR"/>
              </w:rPr>
              <w:t>3,195</w:t>
            </w:r>
          </w:p>
        </w:tc>
        <w:tc>
          <w:tcPr>
            <w:tcW w:type="dxa" w:w="1397"/>
          </w:tcPr>
          <w:p>
            <w:pPr>
              <w:spacing w:after="0"/>
            </w:pPr>
            <w:r>
              <w:rPr>
                <w:rFonts w:ascii="Calibri" w:hAnsi="Calibri" w:eastAsia="Calibri" w:cs="Calibri"/>
                <w:b w:val="0"/>
                <w:i w:val="0"/>
                <w:sz w:val="18"/>
                <w:lang w:val="en-US" w:bidi="fa-IR"/>
              </w:rPr>
              <w:t>2,758</w:t>
            </w:r>
          </w:p>
        </w:tc>
        <w:tc>
          <w:tcPr>
            <w:tcW w:type="dxa" w:w="1955"/>
          </w:tcPr>
          <w:p>
            <w:pPr>
              <w:spacing w:after="0"/>
            </w:pPr>
            <w:r>
              <w:rPr>
                <w:rFonts w:ascii="Calibri" w:hAnsi="Calibri" w:eastAsia="Calibri" w:cs="Calibri"/>
                <w:b w:val="0"/>
                <w:i w:val="0"/>
                <w:sz w:val="18"/>
                <w:lang w:val="en-US" w:bidi="fa-IR"/>
              </w:rPr>
              <w:t>2,925</w:t>
            </w:r>
          </w:p>
        </w:tc>
      </w:tr>
    </w:tbl>
    <w:p>
      <w:pPr>
        <w:spacing w:after="40"/>
      </w:pPr>
    </w:p>
    <w:p>
      <w:r>
        <w:rPr>
          <w:rFonts w:ascii="Calibri" w:hAnsi="Calibri" w:eastAsia="Calibri" w:cs="Calibri"/>
          <w:b w:val="0"/>
          <w:i w:val="0"/>
          <w:lang w:val="en-US" w:bidi="fa-IR"/>
        </w:rPr>
        <w:t>Result: the estimated lost demand is about 6.2 million units, 39 percent of the reconstructed demand. Caveat: unconstrained weeks are slightly biased toward lower demand (they are the weeks where demand was below stock), so the accuracy of the blend on censored weeks is an estimate. For this reason, model accuracy is later reported both on all weeks and on unconstrained weeks only.</w:t>
      </w:r>
    </w:p>
    <w:p>
      <w:pPr>
        <w:keepNext/>
        <w:spacing w:after="40"/>
        <w:jc w:val="center"/>
      </w:pPr>
      <w:r>
        <w:drawing>
          <wp:inline xmlns:a="http://schemas.openxmlformats.org/drawingml/2006/main" xmlns:pic="http://schemas.openxmlformats.org/drawingml/2006/picture">
            <wp:extent cx="5669280" cy="3307080"/>
            <wp:docPr id="4" name="Picture 4"/>
            <wp:cNvGraphicFramePr>
              <a:graphicFrameLocks noChangeAspect="1"/>
            </wp:cNvGraphicFramePr>
            <a:graphic>
              <a:graphicData uri="http://schemas.openxmlformats.org/drawingml/2006/picture">
                <pic:pic>
                  <pic:nvPicPr>
                    <pic:cNvPr id="0" name="demand_reconstruction_examples_v1.1.png"/>
                    <pic:cNvPicPr/>
                  </pic:nvPicPr>
                  <pic:blipFill>
                    <a:blip r:embed="rId12"/>
                    <a:stretch>
                      <a:fillRect/>
                    </a:stretch>
                  </pic:blipFill>
                  <pic:spPr>
                    <a:xfrm>
                      <a:off x="0" y="0"/>
                      <a:ext cx="5669280" cy="3307080"/>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4. Observed sales (capped) and reconstructed demand for example products.</w:t>
      </w:r>
    </w:p>
    <w:p>
      <w:pPr>
        <w:pStyle w:val="Heading2"/>
      </w:pPr>
      <w:r>
        <w:rPr>
          <w:rFonts w:ascii="Calibri" w:hAnsi="Calibri" w:eastAsia="Calibri" w:cs="Calibri"/>
          <w:b/>
          <w:i w:val="0"/>
          <w:color w:val="2A78D6"/>
          <w:sz w:val="28"/>
          <w:lang w:val="en-US" w:bidi="fa-IR"/>
        </w:rPr>
        <w:t>5.5 Step 4: What drives demand? (evidence for the features)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Calendar effects: for each metric the share of variance explained by week of year, month, quarter or season was compared with a permutation null (labels shuffled within each product 100 times). Week of year explains 78 percent (7 high-stock products) to 86 percent (23 normal-stock products) of the variance of demand; price, cost and unit margin have no calendar effect; stock level has only a small one (5 percent).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Shared seasonality: the 52-week demand profiles of all 30 products correlate 0.97 on average (minimum 0.94). All products are busy and quiet at the same times of the year. The shared curve peaks in week 13 (25 percent above a normal week) and is quietest in week 38 (25 percent below), a swing of 1.67 times.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Trend: growth of about 2.8 percent a year (last 52 weeks against the 52 before). A seasonal-trend decomposition (STL) gives a seasonal strength of 1.00 and a trend strength of 0.92 (1 means fully explained).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Product shape clusters: clustering products by profile shape (silhouette 0.31) adds little because shapes are almost identical.</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Stock regimes: k-means on stock-out rate, capped-week rate and stock cover gives 2 regimes (silhouette 0.67). They describe how often sales are capped, which matters for risk (Parts 3 and 4), not for the shape of demand.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Price and cost: a within-product regression of log demand on log price (controlling for product level, season and trend) gives an effect of -0.017 with a 95 percent interval of -0.056 to +0.021. Price varies only 4 percent within a product. There is no measurable price effect in this data.</w:t>
      </w:r>
    </w:p>
    <w:p>
      <w:pPr>
        <w:keepNext/>
        <w:spacing w:after="40"/>
        <w:jc w:val="center"/>
      </w:pPr>
      <w:r>
        <w:drawing>
          <wp:inline xmlns:a="http://schemas.openxmlformats.org/drawingml/2006/main" xmlns:pic="http://schemas.openxmlformats.org/drawingml/2006/picture">
            <wp:extent cx="5486400" cy="2244436"/>
            <wp:docPr id="5" name="Picture 5"/>
            <wp:cNvGraphicFramePr>
              <a:graphicFrameLocks noChangeAspect="1"/>
            </wp:cNvGraphicFramePr>
            <a:graphic>
              <a:graphicData uri="http://schemas.openxmlformats.org/drawingml/2006/picture">
                <pic:pic>
                  <pic:nvPicPr>
                    <pic:cNvPr id="0" name="shared_seasonal_rhythm_v1.2.png"/>
                    <pic:cNvPicPr/>
                  </pic:nvPicPr>
                  <pic:blipFill>
                    <a:blip r:embed="rId13"/>
                    <a:stretch>
                      <a:fillRect/>
                    </a:stretch>
                  </pic:blipFill>
                  <pic:spPr>
                    <a:xfrm>
                      <a:off x="0" y="0"/>
                      <a:ext cx="5486400" cy="2244436"/>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5. Every product follows the same yearly rhythm (grey = one product each; blue = average).</w:t>
      </w:r>
    </w:p>
    <w:p>
      <w:pPr>
        <w:pStyle w:val="Heading2"/>
      </w:pPr>
      <w:r>
        <w:rPr>
          <w:rFonts w:ascii="Calibri" w:hAnsi="Calibri" w:eastAsia="Calibri" w:cs="Calibri"/>
          <w:b/>
          <w:i w:val="0"/>
          <w:color w:val="2A78D6"/>
          <w:sz w:val="28"/>
          <w:lang w:val="en-US" w:bidi="fa-IR"/>
        </w:rPr>
        <w:t>5.6 Step 5: Feature engineering</w:t>
      </w:r>
    </w:p>
    <w:p>
      <w:r>
        <w:rPr>
          <w:rFonts w:ascii="Calibri" w:hAnsi="Calibri" w:eastAsia="Calibri" w:cs="Calibri"/>
          <w:b w:val="0"/>
          <w:i w:val="0"/>
          <w:lang w:val="en-US" w:bidi="fa-IR"/>
        </w:rPr>
        <w:t>Features were built in three layers, each with a purpose. Only information known at the forecast origin is ever used, and the legacy forecast is never a model input (it only helps to build the target).</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559"/>
        <w:gridCol w:w="1275"/>
        <w:gridCol w:w="5102"/>
        <w:gridCol w:w="1700"/>
      </w:tblGrid>
      <w:tr>
        <w:trPr>
          <w:tblHeader/>
        </w:trPr>
        <w:tc>
          <w:tcPr>
            <w:tcW w:type="dxa" w:w="1559"/>
            <w:shd w:val="clear" w:color="auto" w:fill="12263F"/>
          </w:tcPr>
          <w:p>
            <w:pPr>
              <w:spacing w:after="0"/>
            </w:pPr>
            <w:r>
              <w:rPr>
                <w:rFonts w:ascii="Calibri" w:hAnsi="Calibri" w:eastAsia="Calibri" w:cs="Calibri"/>
                <w:b/>
                <w:i w:val="0"/>
                <w:color w:val="FFFFFF"/>
                <w:sz w:val="18"/>
                <w:lang w:val="en-US" w:bidi="fa-IR"/>
              </w:rPr>
              <w:t>Layer</w:t>
            </w:r>
          </w:p>
        </w:tc>
        <w:tc>
          <w:tcPr>
            <w:tcW w:type="dxa" w:w="1276"/>
            <w:shd w:val="clear" w:color="auto" w:fill="12263F"/>
          </w:tcPr>
          <w:p>
            <w:pPr>
              <w:spacing w:after="0"/>
            </w:pPr>
            <w:r>
              <w:rPr>
                <w:rFonts w:ascii="Calibri" w:hAnsi="Calibri" w:eastAsia="Calibri" w:cs="Calibri"/>
                <w:b/>
                <w:i w:val="0"/>
                <w:color w:val="FFFFFF"/>
                <w:sz w:val="18"/>
                <w:lang w:val="en-US" w:bidi="fa-IR"/>
              </w:rPr>
              <w:t>Built in</w:t>
            </w:r>
          </w:p>
        </w:tc>
        <w:tc>
          <w:tcPr>
            <w:tcW w:type="dxa" w:w="5102"/>
            <w:shd w:val="clear" w:color="auto" w:fill="12263F"/>
          </w:tcPr>
          <w:p>
            <w:pPr>
              <w:spacing w:after="0"/>
            </w:pPr>
            <w:r>
              <w:rPr>
                <w:rFonts w:ascii="Calibri" w:hAnsi="Calibri" w:eastAsia="Calibri" w:cs="Calibri"/>
                <w:b/>
                <w:i w:val="0"/>
                <w:color w:val="FFFFFF"/>
                <w:sz w:val="18"/>
                <w:lang w:val="en-US" w:bidi="fa-IR"/>
              </w:rPr>
              <w:t>Features</w:t>
            </w:r>
          </w:p>
        </w:tc>
        <w:tc>
          <w:tcPr>
            <w:tcW w:type="dxa" w:w="1701"/>
            <w:shd w:val="clear" w:color="auto" w:fill="12263F"/>
          </w:tcPr>
          <w:p>
            <w:pPr>
              <w:spacing w:after="0"/>
            </w:pPr>
            <w:r>
              <w:rPr>
                <w:rFonts w:ascii="Calibri" w:hAnsi="Calibri" w:eastAsia="Calibri" w:cs="Calibri"/>
                <w:b/>
                <w:i w:val="0"/>
                <w:color w:val="FFFFFF"/>
                <w:sz w:val="18"/>
                <w:lang w:val="en-US" w:bidi="fa-IR"/>
              </w:rPr>
              <w:t>Purpose</w:t>
            </w:r>
          </w:p>
        </w:tc>
      </w:tr>
      <w:tr>
        <w:trPr>
          <w:cantSplit/>
        </w:trPr>
        <w:tc>
          <w:tcPr>
            <w:tcW w:type="dxa" w:w="1559"/>
          </w:tcPr>
          <w:p>
            <w:pPr>
              <w:spacing w:after="0"/>
            </w:pPr>
            <w:r>
              <w:rPr>
                <w:rFonts w:ascii="Calibri" w:hAnsi="Calibri" w:eastAsia="Calibri" w:cs="Calibri"/>
                <w:b/>
                <w:i w:val="0"/>
                <w:sz w:val="18"/>
                <w:lang w:val="en-US" w:bidi="fa-IR"/>
              </w:rPr>
              <w:t>A. Data and stock</w:t>
            </w:r>
          </w:p>
        </w:tc>
        <w:tc>
          <w:tcPr>
            <w:tcW w:type="dxa" w:w="1276"/>
          </w:tcPr>
          <w:p>
            <w:pPr>
              <w:spacing w:after="0"/>
            </w:pPr>
            <w:r>
              <w:rPr>
                <w:rFonts w:ascii="Calibri" w:hAnsi="Calibri" w:eastAsia="Calibri" w:cs="Calibri"/>
                <w:b w:val="0"/>
                <w:i w:val="0"/>
                <w:sz w:val="18"/>
                <w:lang w:val="en-US" w:bidi="fa-IR"/>
              </w:rPr>
              <w:t>ETL</w:t>
            </w:r>
          </w:p>
        </w:tc>
        <w:tc>
          <w:tcPr>
            <w:tcW w:type="dxa" w:w="5102"/>
          </w:tcPr>
          <w:p>
            <w:pPr>
              <w:spacing w:after="0"/>
            </w:pPr>
            <w:r>
              <w:rPr>
                <w:rFonts w:ascii="Calibri" w:hAnsi="Calibri" w:eastAsia="Calibri" w:cs="Calibri"/>
                <w:b w:val="0"/>
                <w:i w:val="0"/>
                <w:sz w:val="18"/>
                <w:lang w:val="en-US" w:bidi="fa-IR"/>
              </w:rPr>
              <w:t>stock_available_for_sales (previous row's inventory); censor status; flags for stock-out, stock-limited, pile-up, imputed, outlier, forecast missing; recomputed margin, growth and turnover; winsorised sales</w:t>
            </w:r>
          </w:p>
        </w:tc>
        <w:tc>
          <w:tcPr>
            <w:tcW w:type="dxa" w:w="1701"/>
          </w:tcPr>
          <w:p>
            <w:pPr>
              <w:spacing w:after="0"/>
            </w:pPr>
            <w:r>
              <w:rPr>
                <w:rFonts w:ascii="Calibri" w:hAnsi="Calibri" w:eastAsia="Calibri" w:cs="Calibri"/>
                <w:b w:val="0"/>
                <w:i w:val="0"/>
                <w:sz w:val="18"/>
                <w:lang w:val="en-US" w:bidi="fa-IR"/>
              </w:rPr>
              <w:t>What does each sales number measure?</w:t>
            </w:r>
          </w:p>
        </w:tc>
      </w:tr>
      <w:tr>
        <w:trPr>
          <w:cantSplit/>
        </w:trPr>
        <w:tc>
          <w:tcPr>
            <w:tcW w:type="dxa" w:w="1559"/>
            <w:shd w:val="clear" w:color="auto" w:fill="F7F9FC"/>
          </w:tcPr>
          <w:p>
            <w:pPr>
              <w:spacing w:after="0"/>
            </w:pPr>
            <w:r>
              <w:rPr>
                <w:rFonts w:ascii="Calibri" w:hAnsi="Calibri" w:eastAsia="Calibri" w:cs="Calibri"/>
                <w:b/>
                <w:i w:val="0"/>
                <w:sz w:val="18"/>
                <w:lang w:val="en-US" w:bidi="fa-IR"/>
              </w:rPr>
              <w:t>B. Target and structure</w:t>
            </w:r>
          </w:p>
        </w:tc>
        <w:tc>
          <w:tcPr>
            <w:tcW w:type="dxa" w:w="1276"/>
            <w:shd w:val="clear" w:color="auto" w:fill="F7F9FC"/>
          </w:tcPr>
          <w:p>
            <w:pPr>
              <w:spacing w:after="0"/>
            </w:pPr>
            <w:r>
              <w:rPr>
                <w:rFonts w:ascii="Calibri" w:hAnsi="Calibri" w:eastAsia="Calibri" w:cs="Calibri"/>
                <w:b w:val="0"/>
                <w:i w:val="0"/>
                <w:sz w:val="18"/>
                <w:lang w:val="en-US" w:bidi="fa-IR"/>
              </w:rPr>
              <w:t>Pre-processing</w:t>
            </w:r>
          </w:p>
        </w:tc>
        <w:tc>
          <w:tcPr>
            <w:tcW w:type="dxa" w:w="5102"/>
            <w:shd w:val="clear" w:color="auto" w:fill="F7F9FC"/>
          </w:tcPr>
          <w:p>
            <w:pPr>
              <w:spacing w:after="0"/>
            </w:pPr>
            <w:r>
              <w:rPr>
                <w:rFonts w:ascii="Calibri" w:hAnsi="Calibri" w:eastAsia="Calibri" w:cs="Calibri"/>
                <w:b w:val="0"/>
                <w:i w:val="0"/>
                <w:sz w:val="18"/>
                <w:lang w:val="en-US" w:bidi="fa-IR"/>
              </w:rPr>
              <w:t>demand_est (with source and uplift %); seasonal-model prediction; calendar fields (week of year, quarter, season, year index); stock regime; high-stock / normal-stock profile</w:t>
            </w:r>
          </w:p>
        </w:tc>
        <w:tc>
          <w:tcPr>
            <w:tcW w:type="dxa" w:w="1701"/>
            <w:shd w:val="clear" w:color="auto" w:fill="F7F9FC"/>
          </w:tcPr>
          <w:p>
            <w:pPr>
              <w:spacing w:after="0"/>
            </w:pPr>
            <w:r>
              <w:rPr>
                <w:rFonts w:ascii="Calibri" w:hAnsi="Calibri" w:eastAsia="Calibri" w:cs="Calibri"/>
                <w:b w:val="0"/>
                <w:i w:val="0"/>
                <w:sz w:val="18"/>
                <w:lang w:val="en-US" w:bidi="fa-IR"/>
              </w:rPr>
              <w:t>The target and product descriptors</w:t>
            </w:r>
          </w:p>
        </w:tc>
      </w:tr>
      <w:tr>
        <w:trPr>
          <w:cantSplit/>
        </w:trPr>
        <w:tc>
          <w:tcPr>
            <w:tcW w:type="dxa" w:w="1559"/>
          </w:tcPr>
          <w:p>
            <w:pPr>
              <w:spacing w:after="0"/>
            </w:pPr>
            <w:r>
              <w:rPr>
                <w:rFonts w:ascii="Calibri" w:hAnsi="Calibri" w:eastAsia="Calibri" w:cs="Calibri"/>
                <w:b/>
                <w:i w:val="0"/>
                <w:sz w:val="18"/>
                <w:lang w:val="en-US" w:bidi="fa-IR"/>
              </w:rPr>
              <w:t>C. Model inputs</w:t>
            </w:r>
          </w:p>
        </w:tc>
        <w:tc>
          <w:tcPr>
            <w:tcW w:type="dxa" w:w="1276"/>
          </w:tcPr>
          <w:p>
            <w:pPr>
              <w:spacing w:after="0"/>
            </w:pPr>
            <w:r>
              <w:rPr>
                <w:rFonts w:ascii="Calibri" w:hAnsi="Calibri" w:eastAsia="Calibri" w:cs="Calibri"/>
                <w:b w:val="0"/>
                <w:i w:val="0"/>
                <w:sz w:val="18"/>
                <w:lang w:val="en-US" w:bidi="fa-IR"/>
              </w:rPr>
              <w:t>Forecasting</w:t>
            </w:r>
          </w:p>
        </w:tc>
        <w:tc>
          <w:tcPr>
            <w:tcW w:type="dxa" w:w="5102"/>
          </w:tcPr>
          <w:p>
            <w:pPr>
              <w:spacing w:after="0"/>
            </w:pPr>
            <w:r>
              <w:rPr>
                <w:rFonts w:ascii="Calibri" w:hAnsi="Calibri" w:eastAsia="Calibri" w:cs="Calibri"/>
                <w:b w:val="0"/>
                <w:i w:val="0"/>
                <w:sz w:val="18"/>
                <w:lang w:val="en-US" w:bidi="fa-IR"/>
              </w:rPr>
              <w:t>Structural model: product level, shared trend, sine/cosine pairs of the week of year. LightGBM: horizon, week of year, sine/cosine, trend index, demand of the same week last year and its two neighbours, 13/26/52-week average levels, last value, product / segment / regime / category codes; target expressed relative to the 52-week level</w:t>
            </w:r>
          </w:p>
        </w:tc>
        <w:tc>
          <w:tcPr>
            <w:tcW w:type="dxa" w:w="1701"/>
          </w:tcPr>
          <w:p>
            <w:pPr>
              <w:spacing w:after="0"/>
            </w:pPr>
            <w:r>
              <w:rPr>
                <w:rFonts w:ascii="Calibri" w:hAnsi="Calibri" w:eastAsia="Calibri" w:cs="Calibri"/>
                <w:b w:val="0"/>
                <w:i w:val="0"/>
                <w:sz w:val="18"/>
                <w:lang w:val="en-US" w:bidi="fa-IR"/>
              </w:rPr>
              <w:t>Simple structure against a richer learner</w:t>
            </w:r>
          </w:p>
        </w:tc>
      </w:tr>
    </w:tbl>
    <w:p>
      <w:pPr>
        <w:spacing w:after="40"/>
      </w:pPr>
    </w:p>
    <w:p>
      <w:r>
        <w:rPr>
          <w:rFonts w:ascii="Calibri" w:hAnsi="Calibri" w:eastAsia="Calibri" w:cs="Calibri"/>
          <w:b w:val="0"/>
          <w:i w:val="0"/>
          <w:lang w:val="en-US" w:bidi="fa-IR"/>
        </w:rPr>
        <w:t>Feature importance of the LightGBM model confirms the earlier evidence: week of year (45.6 percent of the importance), the first seasonal sine term (31.9 percent), last year's neighbouring weeks (10.7 percent) and the second cosine (6.8 percent) carry about 95 percent of it; product size, level features and category codes carry almost nothing once the target is relative to the 52-week level.</w:t>
      </w:r>
    </w:p>
    <w:p>
      <w:pPr>
        <w:pStyle w:val="Heading2"/>
      </w:pPr>
      <w:r>
        <w:rPr>
          <w:rFonts w:ascii="Calibri" w:hAnsi="Calibri" w:eastAsia="Calibri" w:cs="Calibri"/>
          <w:b/>
          <w:i w:val="0"/>
          <w:color w:val="2A78D6"/>
          <w:sz w:val="28"/>
          <w:lang w:val="en-US" w:bidi="fa-IR"/>
        </w:rPr>
        <w:t>5.7 Step 6: How the models are tested (validation design)</w:t>
      </w:r>
    </w:p>
    <w:p>
      <w:r>
        <w:rPr>
          <w:rFonts w:ascii="Calibri" w:hAnsi="Calibri" w:eastAsia="Calibri" w:cs="Calibri"/>
          <w:b w:val="0"/>
          <w:i w:val="0"/>
          <w:lang w:val="en-US" w:bidi="fa-IR"/>
        </w:rPr>
        <w:t>The predicted column is demand_est, for 26 weeks ahead and 30 products (780 forecasts). The inputs are past demand_est, the week of year and the product. The test design is a rolling-origin backtest instead of a single train/test split: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Why not one train/test split? One split gives one error number that depends on which weeks fall in the test window. With strong seasonality an easy season flatters a model and a hard season punishes it. A random split is worse: shuffled weeks leak neighbouring weeks and the seasonal pattern into training.</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Four tests: the model learns from weeks 1 to 156, 182, 208 or 234 and forecasts the following 26 weeks (weeks 157-182, 183-208, 209-234, 235-260). The test windows alternate between the first half and the second half of the year, so every season is tested twice. Each test imitates the real task: learn from the past, forecast 26 weeks. Together they give 4 x 26 x 30 = 3,120 test forecasts and four error numbers, which also show the stability of a model.</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Validation inside the training window: every free parameter is chosen using the last 52 weeks of the training window (two inner 26-week windows, or a trailing validation block). The chosen setting is then refitted on all training weeks. The test weeks never influence any setting.</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final forecast uses the same logic: learn from weeks 1 to 260 and forecast weeks 261 to 286.</w:t>
      </w:r>
    </w:p>
    <w:p>
      <w:pPr>
        <w:keepNext/>
        <w:spacing w:after="40"/>
        <w:jc w:val="center"/>
      </w:pPr>
      <w:r>
        <w:drawing>
          <wp:inline xmlns:a="http://schemas.openxmlformats.org/drawingml/2006/main" xmlns:pic="http://schemas.openxmlformats.org/drawingml/2006/picture">
            <wp:extent cx="5669280" cy="1795272"/>
            <wp:docPr id="6" name="Picture 6"/>
            <wp:cNvGraphicFramePr>
              <a:graphicFrameLocks noChangeAspect="1"/>
            </wp:cNvGraphicFramePr>
            <a:graphic>
              <a:graphicData uri="http://schemas.openxmlformats.org/drawingml/2006/picture">
                <pic:pic>
                  <pic:nvPicPr>
                    <pic:cNvPr id="0" name="train_test_timeline_v1.2.png"/>
                    <pic:cNvPicPr/>
                  </pic:nvPicPr>
                  <pic:blipFill>
                    <a:blip r:embed="rId14"/>
                    <a:stretch>
                      <a:fillRect/>
                    </a:stretch>
                  </pic:blipFill>
                  <pic:spPr>
                    <a:xfrm>
                      <a:off x="0" y="0"/>
                      <a:ext cx="5669280" cy="1795272"/>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6. Time order is never broken: each test learns from the past and is scored on the next 26 weeks.</w:t>
      </w:r>
    </w:p>
    <w:p>
      <w:pPr>
        <w:pStyle w:val="Heading2"/>
      </w:pPr>
      <w:r>
        <w:rPr>
          <w:rFonts w:ascii="Calibri" w:hAnsi="Calibri" w:eastAsia="Calibri" w:cs="Calibri"/>
          <w:b/>
          <w:i w:val="0"/>
          <w:color w:val="2A78D6"/>
          <w:sz w:val="28"/>
          <w:lang w:val="en-US" w:bidi="fa-IR"/>
        </w:rPr>
        <w:t>5.8 Step 7: The 13 candidate models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157"/>
        <w:gridCol w:w="4603"/>
        <w:gridCol w:w="2876"/>
      </w:tblGrid>
      <w:tr>
        <w:trPr>
          <w:tblHeader/>
        </w:trPr>
        <w:tc>
          <w:tcPr>
            <w:tcW w:type="dxa" w:w="2158"/>
            <w:shd w:val="clear" w:color="auto" w:fill="12263F"/>
          </w:tcPr>
          <w:p>
            <w:pPr>
              <w:spacing w:after="0"/>
            </w:pPr>
            <w:r>
              <w:rPr>
                <w:rFonts w:ascii="Calibri" w:hAnsi="Calibri" w:eastAsia="Calibri" w:cs="Calibri"/>
                <w:b/>
                <w:i w:val="0"/>
                <w:color w:val="FFFFFF"/>
                <w:sz w:val="19"/>
                <w:lang w:val="en-US" w:bidi="fa-IR"/>
              </w:rPr>
              <w:t>Family</w:t>
            </w:r>
          </w:p>
        </w:tc>
        <w:tc>
          <w:tcPr>
            <w:tcW w:type="dxa" w:w="4603"/>
            <w:shd w:val="clear" w:color="auto" w:fill="12263F"/>
          </w:tcPr>
          <w:p>
            <w:pPr>
              <w:spacing w:after="0"/>
            </w:pPr>
            <w:r>
              <w:rPr>
                <w:rFonts w:ascii="Calibri" w:hAnsi="Calibri" w:eastAsia="Calibri" w:cs="Calibri"/>
                <w:b/>
                <w:i w:val="0"/>
                <w:color w:val="FFFFFF"/>
                <w:sz w:val="19"/>
                <w:lang w:val="en-US" w:bidi="fa-IR"/>
              </w:rPr>
              <w:t>Models</w:t>
            </w:r>
          </w:p>
        </w:tc>
        <w:tc>
          <w:tcPr>
            <w:tcW w:type="dxa" w:w="2877"/>
            <w:shd w:val="clear" w:color="auto" w:fill="12263F"/>
          </w:tcPr>
          <w:p>
            <w:pPr>
              <w:spacing w:after="0"/>
            </w:pPr>
            <w:r>
              <w:rPr>
                <w:rFonts w:ascii="Calibri" w:hAnsi="Calibri" w:eastAsia="Calibri" w:cs="Calibri"/>
                <w:b/>
                <w:i w:val="0"/>
                <w:color w:val="FFFFFF"/>
                <w:sz w:val="19"/>
                <w:lang w:val="en-US" w:bidi="fa-IR"/>
              </w:rPr>
              <w:t>Idea</w:t>
            </w:r>
          </w:p>
        </w:tc>
      </w:tr>
      <w:tr>
        <w:trPr>
          <w:cantSplit/>
        </w:trPr>
        <w:tc>
          <w:tcPr>
            <w:tcW w:type="dxa" w:w="2158"/>
          </w:tcPr>
          <w:p>
            <w:pPr>
              <w:spacing w:after="0"/>
            </w:pPr>
            <w:r>
              <w:rPr>
                <w:rFonts w:ascii="Calibri" w:hAnsi="Calibri" w:eastAsia="Calibri" w:cs="Calibri"/>
                <w:b/>
                <w:i w:val="0"/>
                <w:sz w:val="19"/>
                <w:lang w:val="en-US" w:bidi="fa-IR"/>
              </w:rPr>
              <w:t>Rules of thumb (baselines)</w:t>
            </w:r>
          </w:p>
        </w:tc>
        <w:tc>
          <w:tcPr>
            <w:tcW w:type="dxa" w:w="4603"/>
          </w:tcPr>
          <w:p>
            <w:pPr>
              <w:spacing w:after="0"/>
            </w:pPr>
            <w:r>
              <w:rPr>
                <w:rFonts w:ascii="Calibri" w:hAnsi="Calibri" w:eastAsia="Calibri" w:cs="Calibri"/>
                <w:b w:val="0"/>
                <w:i w:val="0"/>
                <w:sz w:val="19"/>
                <w:lang w:val="en-US" w:bidi="fa-IR"/>
              </w:rPr>
              <w:t>Seasonal naive (same week last year); last-52-week mean; mean x shared seasonal index</w:t>
            </w:r>
          </w:p>
        </w:tc>
        <w:tc>
          <w:tcPr>
            <w:tcW w:type="dxa" w:w="2877"/>
          </w:tcPr>
          <w:p>
            <w:pPr>
              <w:spacing w:after="0"/>
            </w:pPr>
            <w:r>
              <w:rPr>
                <w:rFonts w:ascii="Calibri" w:hAnsi="Calibri" w:eastAsia="Calibri" w:cs="Calibri"/>
                <w:b w:val="0"/>
                <w:i w:val="0"/>
                <w:sz w:val="19"/>
                <w:lang w:val="en-US" w:bidi="fa-IR"/>
              </w:rPr>
              <w:t>No fitting; the bar every complex model must beat</w:t>
            </w:r>
          </w:p>
        </w:tc>
      </w:tr>
      <w:tr>
        <w:trPr>
          <w:cantSplit/>
        </w:trPr>
        <w:tc>
          <w:tcPr>
            <w:tcW w:type="dxa" w:w="2158"/>
            <w:shd w:val="clear" w:color="auto" w:fill="F7F9FC"/>
          </w:tcPr>
          <w:p>
            <w:pPr>
              <w:spacing w:after="0"/>
            </w:pPr>
            <w:r>
              <w:rPr>
                <w:rFonts w:ascii="Calibri" w:hAnsi="Calibri" w:eastAsia="Calibri" w:cs="Calibri"/>
                <w:b/>
                <w:i w:val="0"/>
                <w:sz w:val="19"/>
                <w:lang w:val="en-US" w:bidi="fa-IR"/>
              </w:rPr>
              <w:t>Classic statistics</w:t>
            </w:r>
          </w:p>
        </w:tc>
        <w:tc>
          <w:tcPr>
            <w:tcW w:type="dxa" w:w="4603"/>
            <w:shd w:val="clear" w:color="auto" w:fill="F7F9FC"/>
          </w:tcPr>
          <w:p>
            <w:pPr>
              <w:spacing w:after="0"/>
            </w:pPr>
            <w:r>
              <w:rPr>
                <w:rFonts w:ascii="Calibri" w:hAnsi="Calibri" w:eastAsia="Calibri" w:cs="Calibri"/>
                <w:b w:val="0"/>
                <w:i w:val="0"/>
                <w:sz w:val="19"/>
                <w:lang w:val="en-US" w:bidi="fa-IR"/>
              </w:rPr>
              <w:t>Holt-Winters exponential smoothing (per product); SARIMAX with Fourier seasonality and ARMA errors (per product)</w:t>
            </w:r>
          </w:p>
        </w:tc>
        <w:tc>
          <w:tcPr>
            <w:tcW w:type="dxa" w:w="2877"/>
            <w:shd w:val="clear" w:color="auto" w:fill="F7F9FC"/>
          </w:tcPr>
          <w:p>
            <w:pPr>
              <w:spacing w:after="0"/>
            </w:pPr>
            <w:r>
              <w:rPr>
                <w:rFonts w:ascii="Calibri" w:hAnsi="Calibri" w:eastAsia="Calibri" w:cs="Calibri"/>
                <w:b w:val="0"/>
                <w:i w:val="0"/>
                <w:sz w:val="19"/>
                <w:lang w:val="en-US" w:bidi="fa-IR"/>
              </w:rPr>
              <w:t>Each product modelled separately</w:t>
            </w:r>
          </w:p>
        </w:tc>
      </w:tr>
      <w:tr>
        <w:trPr>
          <w:cantSplit/>
        </w:trPr>
        <w:tc>
          <w:tcPr>
            <w:tcW w:type="dxa" w:w="2158"/>
          </w:tcPr>
          <w:p>
            <w:pPr>
              <w:spacing w:after="0"/>
            </w:pPr>
            <w:r>
              <w:rPr>
                <w:rFonts w:ascii="Calibri" w:hAnsi="Calibri" w:eastAsia="Calibri" w:cs="Calibri"/>
                <w:b/>
                <w:i w:val="0"/>
                <w:sz w:val="19"/>
                <w:lang w:val="en-US" w:bidi="fa-IR"/>
              </w:rPr>
              <w:t>Structural</w:t>
            </w:r>
          </w:p>
        </w:tc>
        <w:tc>
          <w:tcPr>
            <w:tcW w:type="dxa" w:w="4603"/>
          </w:tcPr>
          <w:p>
            <w:pPr>
              <w:spacing w:after="0"/>
            </w:pPr>
            <w:r>
              <w:rPr>
                <w:rFonts w:ascii="Calibri" w:hAnsi="Calibri" w:eastAsia="Calibri" w:cs="Calibri"/>
                <w:b w:val="0"/>
                <w:i w:val="0"/>
                <w:sz w:val="19"/>
                <w:lang w:val="en-US" w:bidi="fa-IR"/>
              </w:rPr>
              <w:t>Shared-curve structural model, pooled (all products together) and per segment; the plain recipe 'size x season x growth'</w:t>
            </w:r>
          </w:p>
        </w:tc>
        <w:tc>
          <w:tcPr>
            <w:tcW w:type="dxa" w:w="2877"/>
          </w:tcPr>
          <w:p>
            <w:pPr>
              <w:spacing w:after="0"/>
            </w:pPr>
            <w:r>
              <w:rPr>
                <w:rFonts w:ascii="Calibri" w:hAnsi="Calibri" w:eastAsia="Calibri" w:cs="Calibri"/>
                <w:b w:val="0"/>
                <w:i w:val="0"/>
                <w:sz w:val="19"/>
                <w:lang w:val="en-US" w:bidi="fa-IR"/>
              </w:rPr>
              <w:t>One shared seasonal curve, a level per product, a shared trend</w:t>
            </w:r>
          </w:p>
        </w:tc>
      </w:tr>
      <w:tr>
        <w:trPr>
          <w:cantSplit/>
        </w:trPr>
        <w:tc>
          <w:tcPr>
            <w:tcW w:type="dxa" w:w="2158"/>
            <w:shd w:val="clear" w:color="auto" w:fill="F7F9FC"/>
          </w:tcPr>
          <w:p>
            <w:pPr>
              <w:spacing w:after="0"/>
            </w:pPr>
            <w:r>
              <w:rPr>
                <w:rFonts w:ascii="Calibri" w:hAnsi="Calibri" w:eastAsia="Calibri" w:cs="Calibri"/>
                <w:b/>
                <w:i w:val="0"/>
                <w:sz w:val="19"/>
                <w:lang w:val="en-US" w:bidi="fa-IR"/>
              </w:rPr>
              <w:t>Machine learning</w:t>
            </w:r>
          </w:p>
        </w:tc>
        <w:tc>
          <w:tcPr>
            <w:tcW w:type="dxa" w:w="4603"/>
            <w:shd w:val="clear" w:color="auto" w:fill="F7F9FC"/>
          </w:tcPr>
          <w:p>
            <w:pPr>
              <w:spacing w:after="0"/>
            </w:pPr>
            <w:r>
              <w:rPr>
                <w:rFonts w:ascii="Calibri" w:hAnsi="Calibri" w:eastAsia="Calibri" w:cs="Calibri"/>
                <w:b w:val="0"/>
                <w:i w:val="0"/>
                <w:sz w:val="19"/>
                <w:lang w:val="en-US" w:bidi="fa-IR"/>
              </w:rPr>
              <w:t>LightGBM global and per segment; Prophet (per product)</w:t>
            </w:r>
          </w:p>
        </w:tc>
        <w:tc>
          <w:tcPr>
            <w:tcW w:type="dxa" w:w="2877"/>
            <w:shd w:val="clear" w:color="auto" w:fill="F7F9FC"/>
          </w:tcPr>
          <w:p>
            <w:pPr>
              <w:spacing w:after="0"/>
            </w:pPr>
            <w:r>
              <w:rPr>
                <w:rFonts w:ascii="Calibri" w:hAnsi="Calibri" w:eastAsia="Calibri" w:cs="Calibri"/>
                <w:b w:val="0"/>
                <w:i w:val="0"/>
                <w:sz w:val="19"/>
                <w:lang w:val="en-US" w:bidi="fa-IR"/>
              </w:rPr>
              <w:t>Flexible learners with many settings</w:t>
            </w:r>
          </w:p>
        </w:tc>
      </w:tr>
      <w:tr>
        <w:trPr>
          <w:cantSplit/>
        </w:trPr>
        <w:tc>
          <w:tcPr>
            <w:tcW w:type="dxa" w:w="2158"/>
          </w:tcPr>
          <w:p>
            <w:pPr>
              <w:spacing w:after="0"/>
            </w:pPr>
            <w:r>
              <w:rPr>
                <w:rFonts w:ascii="Calibri" w:hAnsi="Calibri" w:eastAsia="Calibri" w:cs="Calibri"/>
                <w:b/>
                <w:i w:val="0"/>
                <w:sz w:val="19"/>
                <w:lang w:val="en-US" w:bidi="fa-IR"/>
              </w:rPr>
              <w:t>Ensembles</w:t>
            </w:r>
          </w:p>
        </w:tc>
        <w:tc>
          <w:tcPr>
            <w:tcW w:type="dxa" w:w="4603"/>
          </w:tcPr>
          <w:p>
            <w:pPr>
              <w:spacing w:after="0"/>
            </w:pPr>
            <w:r>
              <w:rPr>
                <w:rFonts w:ascii="Calibri" w:hAnsi="Calibri" w:eastAsia="Calibri" w:cs="Calibri"/>
                <w:b w:val="0"/>
                <w:i w:val="0"/>
                <w:sz w:val="19"/>
                <w:lang w:val="en-US" w:bidi="fa-IR"/>
              </w:rPr>
              <w:t>Average of 5 models; walk-forward average of the best 3 (chosen only from earlier tests)</w:t>
            </w:r>
          </w:p>
        </w:tc>
        <w:tc>
          <w:tcPr>
            <w:tcW w:type="dxa" w:w="2877"/>
          </w:tcPr>
          <w:p>
            <w:pPr>
              <w:spacing w:after="0"/>
            </w:pPr>
            <w:r>
              <w:rPr>
                <w:rFonts w:ascii="Calibri" w:hAnsi="Calibri" w:eastAsia="Calibri" w:cs="Calibri"/>
                <w:b w:val="0"/>
                <w:i w:val="0"/>
                <w:sz w:val="19"/>
                <w:lang w:val="en-US" w:bidi="fa-IR"/>
              </w:rPr>
              <w:t>Combining forecasts</w:t>
            </w:r>
          </w:p>
        </w:tc>
      </w:tr>
    </w:tbl>
    <w:p>
      <w:pPr>
        <w:spacing w:after="40"/>
      </w:pPr>
    </w:p>
    <w:p>
      <w:pPr>
        <w:pStyle w:val="Heading2"/>
      </w:pPr>
      <w:r>
        <w:rPr>
          <w:rFonts w:ascii="Calibri" w:hAnsi="Calibri" w:eastAsia="Calibri" w:cs="Calibri"/>
          <w:b/>
          <w:i w:val="0"/>
          <w:color w:val="2A78D6"/>
          <w:sz w:val="28"/>
          <w:lang w:val="en-US" w:bidi="fa-IR"/>
        </w:rPr>
        <w:t>5.9 Step 8: Tuning the free parameters</w:t>
      </w:r>
    </w:p>
    <w:p>
      <w:r>
        <w:rPr>
          <w:rFonts w:ascii="Calibri" w:hAnsi="Calibri" w:eastAsia="Calibri" w:cs="Calibri"/>
          <w:b w:val="0"/>
          <w:i w:val="0"/>
          <w:lang w:val="en-US" w:bidi="fa-IR"/>
        </w:rPr>
        <w:t>A free parameter is a model setting that is not learned by the model itself and has to be chosen. Every one below was chosen on validation windows inside the training weeks only:</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870"/>
        <w:gridCol w:w="3452"/>
        <w:gridCol w:w="2445"/>
        <w:gridCol w:w="1870"/>
      </w:tblGrid>
      <w:tr>
        <w:trPr>
          <w:tblHeader/>
        </w:trPr>
        <w:tc>
          <w:tcPr>
            <w:tcW w:type="dxa" w:w="1870"/>
            <w:shd w:val="clear" w:color="auto" w:fill="12263F"/>
          </w:tcPr>
          <w:p>
            <w:pPr>
              <w:spacing w:after="0"/>
            </w:pPr>
            <w:r>
              <w:rPr>
                <w:rFonts w:ascii="Calibri" w:hAnsi="Calibri" w:eastAsia="Calibri" w:cs="Calibri"/>
                <w:b/>
                <w:i w:val="0"/>
                <w:color w:val="FFFFFF"/>
                <w:sz w:val="18"/>
                <w:lang w:val="en-US" w:bidi="fa-IR"/>
              </w:rPr>
              <w:t>Model</w:t>
            </w:r>
          </w:p>
        </w:tc>
        <w:tc>
          <w:tcPr>
            <w:tcW w:type="dxa" w:w="3452"/>
            <w:shd w:val="clear" w:color="auto" w:fill="12263F"/>
          </w:tcPr>
          <w:p>
            <w:pPr>
              <w:spacing w:after="0"/>
            </w:pPr>
            <w:r>
              <w:rPr>
                <w:rFonts w:ascii="Calibri" w:hAnsi="Calibri" w:eastAsia="Calibri" w:cs="Calibri"/>
                <w:b/>
                <w:i w:val="0"/>
                <w:color w:val="FFFFFF"/>
                <w:sz w:val="18"/>
                <w:lang w:val="en-US" w:bidi="fa-IR"/>
              </w:rPr>
              <w:t>Free parameters searched</w:t>
            </w:r>
          </w:p>
        </w:tc>
        <w:tc>
          <w:tcPr>
            <w:tcW w:type="dxa" w:w="2445"/>
            <w:shd w:val="clear" w:color="auto" w:fill="12263F"/>
          </w:tcPr>
          <w:p>
            <w:pPr>
              <w:spacing w:after="0"/>
            </w:pPr>
            <w:r>
              <w:rPr>
                <w:rFonts w:ascii="Calibri" w:hAnsi="Calibri" w:eastAsia="Calibri" w:cs="Calibri"/>
                <w:b/>
                <w:i w:val="0"/>
                <w:color w:val="FFFFFF"/>
                <w:sz w:val="18"/>
                <w:lang w:val="en-US" w:bidi="fa-IR"/>
              </w:rPr>
              <w:t>Chosen on</w:t>
            </w:r>
          </w:p>
        </w:tc>
        <w:tc>
          <w:tcPr>
            <w:tcW w:type="dxa" w:w="1870"/>
            <w:shd w:val="clear" w:color="auto" w:fill="12263F"/>
          </w:tcPr>
          <w:p>
            <w:pPr>
              <w:spacing w:after="0"/>
            </w:pPr>
            <w:r>
              <w:rPr>
                <w:rFonts w:ascii="Calibri" w:hAnsi="Calibri" w:eastAsia="Calibri" w:cs="Calibri"/>
                <w:b/>
                <w:i w:val="0"/>
                <w:color w:val="FFFFFF"/>
                <w:sz w:val="18"/>
                <w:lang w:val="en-US" w:bidi="fa-IR"/>
              </w:rPr>
              <w:t>Selected</w:t>
            </w:r>
          </w:p>
        </w:tc>
      </w:tr>
      <w:tr>
        <w:trPr>
          <w:cantSplit/>
        </w:trPr>
        <w:tc>
          <w:tcPr>
            <w:tcW w:type="dxa" w:w="1870"/>
          </w:tcPr>
          <w:p>
            <w:pPr>
              <w:spacing w:after="0"/>
            </w:pPr>
            <w:r>
              <w:rPr>
                <w:rFonts w:ascii="Calibri" w:hAnsi="Calibri" w:eastAsia="Calibri" w:cs="Calibri"/>
                <w:b/>
                <w:i w:val="0"/>
                <w:sz w:val="18"/>
                <w:lang w:val="en-US" w:bidi="fa-IR"/>
              </w:rPr>
              <w:t>Demand reconstruction</w:t>
            </w:r>
          </w:p>
        </w:tc>
        <w:tc>
          <w:tcPr>
            <w:tcW w:type="dxa" w:w="3452"/>
          </w:tcPr>
          <w:p>
            <w:pPr>
              <w:spacing w:after="0"/>
            </w:pPr>
            <w:r>
              <w:rPr>
                <w:rFonts w:ascii="Calibri" w:hAnsi="Calibri" w:eastAsia="Calibri" w:cs="Calibri"/>
                <w:b w:val="0"/>
                <w:i w:val="0"/>
                <w:sz w:val="18"/>
                <w:lang w:val="en-US" w:bidi="fa-IR"/>
              </w:rPr>
              <w:t>Fourier order K 1-10, trend shared or per product; blend weight</w:t>
            </w:r>
          </w:p>
        </w:tc>
        <w:tc>
          <w:tcPr>
            <w:tcW w:type="dxa" w:w="2445"/>
          </w:tcPr>
          <w:p>
            <w:pPr>
              <w:spacing w:after="0"/>
            </w:pPr>
            <w:r>
              <w:rPr>
                <w:rFonts w:ascii="Calibri" w:hAnsi="Calibri" w:eastAsia="Calibri" w:cs="Calibri"/>
                <w:b w:val="0"/>
                <w:i w:val="0"/>
                <w:sz w:val="18"/>
                <w:lang w:val="en-US" w:bidi="fa-IR"/>
              </w:rPr>
              <w:t>Blocked 5-fold CV, 1-SE rule; out-of-fold fit</w:t>
            </w:r>
          </w:p>
        </w:tc>
        <w:tc>
          <w:tcPr>
            <w:tcW w:type="dxa" w:w="1870"/>
          </w:tcPr>
          <w:p>
            <w:pPr>
              <w:spacing w:after="0"/>
            </w:pPr>
            <w:r>
              <w:rPr>
                <w:rFonts w:ascii="Calibri" w:hAnsi="Calibri" w:eastAsia="Calibri" w:cs="Calibri"/>
                <w:b w:val="0"/>
                <w:i w:val="0"/>
                <w:sz w:val="18"/>
                <w:lang w:val="en-US" w:bidi="fa-IR"/>
              </w:rPr>
              <w:t>K = 2, shared; weight 0.40</w:t>
            </w:r>
          </w:p>
        </w:tc>
      </w:tr>
      <w:tr>
        <w:trPr>
          <w:cantSplit/>
        </w:trPr>
        <w:tc>
          <w:tcPr>
            <w:tcW w:type="dxa" w:w="1870"/>
            <w:shd w:val="clear" w:color="auto" w:fill="F7F9FC"/>
          </w:tcPr>
          <w:p>
            <w:pPr>
              <w:spacing w:after="0"/>
            </w:pPr>
            <w:r>
              <w:rPr>
                <w:rFonts w:ascii="Calibri" w:hAnsi="Calibri" w:eastAsia="Calibri" w:cs="Calibri"/>
                <w:b/>
                <w:i w:val="0"/>
                <w:sz w:val="18"/>
                <w:lang w:val="en-US" w:bidi="fa-IR"/>
              </w:rPr>
              <w:t>Structural (winner)</w:t>
            </w:r>
          </w:p>
        </w:tc>
        <w:tc>
          <w:tcPr>
            <w:tcW w:type="dxa" w:w="3452"/>
            <w:shd w:val="clear" w:color="auto" w:fill="F7F9FC"/>
          </w:tcPr>
          <w:p>
            <w:pPr>
              <w:spacing w:after="0"/>
            </w:pPr>
            <w:r>
              <w:rPr>
                <w:rFonts w:ascii="Calibri" w:hAnsi="Calibri" w:eastAsia="Calibri" w:cs="Calibri"/>
                <w:b w:val="0"/>
                <w:i w:val="0"/>
                <w:sz w:val="18"/>
                <w:lang w:val="en-US" w:bidi="fa-IR"/>
              </w:rPr>
              <w:t>Fourier order K 1-8, trend shared or per product (16 combinations)</w:t>
            </w:r>
          </w:p>
        </w:tc>
        <w:tc>
          <w:tcPr>
            <w:tcW w:type="dxa" w:w="2445"/>
            <w:shd w:val="clear" w:color="auto" w:fill="F7F9FC"/>
          </w:tcPr>
          <w:p>
            <w:pPr>
              <w:spacing w:after="0"/>
            </w:pPr>
            <w:r>
              <w:rPr>
                <w:rFonts w:ascii="Calibri" w:hAnsi="Calibri" w:eastAsia="Calibri" w:cs="Calibri"/>
                <w:b w:val="0"/>
                <w:i w:val="0"/>
                <w:sz w:val="18"/>
                <w:lang w:val="en-US" w:bidi="fa-IR"/>
              </w:rPr>
              <w:t>Two inner windows (T-52, T-26), WAPE</w:t>
            </w:r>
          </w:p>
        </w:tc>
        <w:tc>
          <w:tcPr>
            <w:tcW w:type="dxa" w:w="1870"/>
            <w:shd w:val="clear" w:color="auto" w:fill="F7F9FC"/>
          </w:tcPr>
          <w:p>
            <w:pPr>
              <w:spacing w:after="0"/>
            </w:pPr>
            <w:r>
              <w:rPr>
                <w:rFonts w:ascii="Calibri" w:hAnsi="Calibri" w:eastAsia="Calibri" w:cs="Calibri"/>
                <w:b w:val="0"/>
                <w:i w:val="0"/>
                <w:sz w:val="18"/>
                <w:lang w:val="en-US" w:bidi="fa-IR"/>
              </w:rPr>
              <w:t>K = 3, shared trend (final fit)</w:t>
            </w:r>
          </w:p>
        </w:tc>
      </w:tr>
      <w:tr>
        <w:trPr>
          <w:cantSplit/>
        </w:trPr>
        <w:tc>
          <w:tcPr>
            <w:tcW w:type="dxa" w:w="1870"/>
          </w:tcPr>
          <w:p>
            <w:pPr>
              <w:spacing w:after="0"/>
            </w:pPr>
            <w:r>
              <w:rPr>
                <w:rFonts w:ascii="Calibri" w:hAnsi="Calibri" w:eastAsia="Calibri" w:cs="Calibri"/>
                <w:b/>
                <w:i w:val="0"/>
                <w:sz w:val="18"/>
                <w:lang w:val="en-US" w:bidi="fa-IR"/>
              </w:rPr>
              <w:t>Holt-Winters</w:t>
            </w:r>
          </w:p>
        </w:tc>
        <w:tc>
          <w:tcPr>
            <w:tcW w:type="dxa" w:w="3452"/>
          </w:tcPr>
          <w:p>
            <w:pPr>
              <w:spacing w:after="0"/>
            </w:pPr>
            <w:r>
              <w:rPr>
                <w:rFonts w:ascii="Calibri" w:hAnsi="Calibri" w:eastAsia="Calibri" w:cs="Calibri"/>
                <w:b w:val="0"/>
                <w:i w:val="0"/>
                <w:sz w:val="18"/>
                <w:lang w:val="en-US" w:bidi="fa-IR"/>
              </w:rPr>
              <w:t>Trend none or damped; seasonality additive or multiplicative</w:t>
            </w:r>
          </w:p>
        </w:tc>
        <w:tc>
          <w:tcPr>
            <w:tcW w:type="dxa" w:w="2445"/>
          </w:tcPr>
          <w:p>
            <w:pPr>
              <w:spacing w:after="0"/>
            </w:pPr>
            <w:r>
              <w:rPr>
                <w:rFonts w:ascii="Calibri" w:hAnsi="Calibri" w:eastAsia="Calibri" w:cs="Calibri"/>
                <w:b w:val="0"/>
                <w:i w:val="0"/>
                <w:sz w:val="18"/>
                <w:lang w:val="en-US" w:bidi="fa-IR"/>
              </w:rPr>
              <w:t>AICc, per product</w:t>
            </w:r>
          </w:p>
        </w:tc>
        <w:tc>
          <w:tcPr>
            <w:tcW w:type="dxa" w:w="1870"/>
          </w:tcPr>
          <w:p>
            <w:pPr>
              <w:spacing w:after="0"/>
            </w:pPr>
            <w:r>
              <w:rPr>
                <w:rFonts w:ascii="Calibri" w:hAnsi="Calibri" w:eastAsia="Calibri" w:cs="Calibri"/>
                <w:b w:val="0"/>
                <w:i w:val="0"/>
                <w:sz w:val="18"/>
                <w:lang w:val="en-US" w:bidi="fa-IR"/>
              </w:rPr>
              <w:t>Per product</w:t>
            </w:r>
          </w:p>
        </w:tc>
      </w:tr>
      <w:tr>
        <w:trPr>
          <w:cantSplit/>
        </w:trPr>
        <w:tc>
          <w:tcPr>
            <w:tcW w:type="dxa" w:w="1870"/>
            <w:shd w:val="clear" w:color="auto" w:fill="F7F9FC"/>
          </w:tcPr>
          <w:p>
            <w:pPr>
              <w:spacing w:after="0"/>
            </w:pPr>
            <w:r>
              <w:rPr>
                <w:rFonts w:ascii="Calibri" w:hAnsi="Calibri" w:eastAsia="Calibri" w:cs="Calibri"/>
                <w:b/>
                <w:i w:val="0"/>
                <w:sz w:val="18"/>
                <w:lang w:val="en-US" w:bidi="fa-IR"/>
              </w:rPr>
              <w:t>SARIMAX</w:t>
            </w:r>
          </w:p>
        </w:tc>
        <w:tc>
          <w:tcPr>
            <w:tcW w:type="dxa" w:w="3452"/>
            <w:shd w:val="clear" w:color="auto" w:fill="F7F9FC"/>
          </w:tcPr>
          <w:p>
            <w:pPr>
              <w:spacing w:after="0"/>
            </w:pPr>
            <w:r>
              <w:rPr>
                <w:rFonts w:ascii="Calibri" w:hAnsi="Calibri" w:eastAsia="Calibri" w:cs="Calibri"/>
                <w:b w:val="0"/>
                <w:i w:val="0"/>
                <w:sz w:val="18"/>
                <w:lang w:val="en-US" w:bidi="fa-IR"/>
              </w:rPr>
              <w:t>Fourier K in {2, 3}; ARMA order (1,0,0) or (1,0,1)</w:t>
            </w:r>
          </w:p>
        </w:tc>
        <w:tc>
          <w:tcPr>
            <w:tcW w:type="dxa" w:w="2445"/>
            <w:shd w:val="clear" w:color="auto" w:fill="F7F9FC"/>
          </w:tcPr>
          <w:p>
            <w:pPr>
              <w:spacing w:after="0"/>
            </w:pPr>
            <w:r>
              <w:rPr>
                <w:rFonts w:ascii="Calibri" w:hAnsi="Calibri" w:eastAsia="Calibri" w:cs="Calibri"/>
                <w:b w:val="0"/>
                <w:i w:val="0"/>
                <w:sz w:val="18"/>
                <w:lang w:val="en-US" w:bidi="fa-IR"/>
              </w:rPr>
              <w:t>AICc, per product</w:t>
            </w:r>
          </w:p>
        </w:tc>
        <w:tc>
          <w:tcPr>
            <w:tcW w:type="dxa" w:w="1870"/>
            <w:shd w:val="clear" w:color="auto" w:fill="F7F9FC"/>
          </w:tcPr>
          <w:p>
            <w:pPr>
              <w:spacing w:after="0"/>
            </w:pPr>
            <w:r>
              <w:rPr>
                <w:rFonts w:ascii="Calibri" w:hAnsi="Calibri" w:eastAsia="Calibri" w:cs="Calibri"/>
                <w:b w:val="0"/>
                <w:i w:val="0"/>
                <w:sz w:val="18"/>
                <w:lang w:val="en-US" w:bidi="fa-IR"/>
              </w:rPr>
              <w:t>K 2-3, (1,0,1)</w:t>
            </w:r>
          </w:p>
        </w:tc>
      </w:tr>
      <w:tr>
        <w:trPr>
          <w:cantSplit/>
        </w:trPr>
        <w:tc>
          <w:tcPr>
            <w:tcW w:type="dxa" w:w="1870"/>
          </w:tcPr>
          <w:p>
            <w:pPr>
              <w:spacing w:after="0"/>
            </w:pPr>
            <w:r>
              <w:rPr>
                <w:rFonts w:ascii="Calibri" w:hAnsi="Calibri" w:eastAsia="Calibri" w:cs="Calibri"/>
                <w:b/>
                <w:i w:val="0"/>
                <w:sz w:val="18"/>
                <w:lang w:val="en-US" w:bidi="fa-IR"/>
              </w:rPr>
              <w:t>LightGBM</w:t>
            </w:r>
          </w:p>
        </w:tc>
        <w:tc>
          <w:tcPr>
            <w:tcW w:type="dxa" w:w="3452"/>
          </w:tcPr>
          <w:p>
            <w:pPr>
              <w:spacing w:after="0"/>
            </w:pPr>
            <w:r>
              <w:rPr>
                <w:rFonts w:ascii="Calibri" w:hAnsi="Calibri" w:eastAsia="Calibri" w:cs="Calibri"/>
                <w:b w:val="0"/>
                <w:i w:val="0"/>
                <w:sz w:val="18"/>
                <w:lang w:val="en-US" w:bidi="fa-IR"/>
              </w:rPr>
              <w:t>Leaves, learning rate, minimum leaf size, feature fraction, L2 (10 random configurations)</w:t>
            </w:r>
          </w:p>
        </w:tc>
        <w:tc>
          <w:tcPr>
            <w:tcW w:type="dxa" w:w="2445"/>
          </w:tcPr>
          <w:p>
            <w:pPr>
              <w:spacing w:after="0"/>
            </w:pPr>
            <w:r>
              <w:rPr>
                <w:rFonts w:ascii="Calibri" w:hAnsi="Calibri" w:eastAsia="Calibri" w:cs="Calibri"/>
                <w:b w:val="0"/>
                <w:i w:val="0"/>
                <w:sz w:val="18"/>
                <w:lang w:val="en-US" w:bidi="fa-IR"/>
              </w:rPr>
              <w:t>Trailing 26-week validation block, early stopping</w:t>
            </w:r>
          </w:p>
        </w:tc>
        <w:tc>
          <w:tcPr>
            <w:tcW w:type="dxa" w:w="1870"/>
          </w:tcPr>
          <w:p>
            <w:pPr>
              <w:spacing w:after="0"/>
            </w:pPr>
            <w:r>
              <w:rPr>
                <w:rFonts w:ascii="Calibri" w:hAnsi="Calibri" w:eastAsia="Calibri" w:cs="Calibri"/>
                <w:b w:val="0"/>
                <w:i w:val="0"/>
                <w:sz w:val="18"/>
                <w:lang w:val="en-US" w:bidi="fa-IR"/>
              </w:rPr>
              <w:t>7 leaves, rate 0.03, min leaf 80</w:t>
            </w:r>
          </w:p>
        </w:tc>
      </w:tr>
      <w:tr>
        <w:trPr>
          <w:cantSplit/>
        </w:trPr>
        <w:tc>
          <w:tcPr>
            <w:tcW w:type="dxa" w:w="1870"/>
            <w:shd w:val="clear" w:color="auto" w:fill="F7F9FC"/>
          </w:tcPr>
          <w:p>
            <w:pPr>
              <w:spacing w:after="0"/>
            </w:pPr>
            <w:r>
              <w:rPr>
                <w:rFonts w:ascii="Calibri" w:hAnsi="Calibri" w:eastAsia="Calibri" w:cs="Calibri"/>
                <w:b/>
                <w:i w:val="0"/>
                <w:sz w:val="18"/>
                <w:lang w:val="en-US" w:bidi="fa-IR"/>
              </w:rPr>
              <w:t>Prophet</w:t>
            </w:r>
          </w:p>
        </w:tc>
        <w:tc>
          <w:tcPr>
            <w:tcW w:type="dxa" w:w="3452"/>
            <w:shd w:val="clear" w:color="auto" w:fill="F7F9FC"/>
          </w:tcPr>
          <w:p>
            <w:pPr>
              <w:spacing w:after="0"/>
            </w:pPr>
            <w:r>
              <w:rPr>
                <w:rFonts w:ascii="Calibri" w:hAnsi="Calibri" w:eastAsia="Calibri" w:cs="Calibri"/>
                <w:b w:val="0"/>
                <w:i w:val="0"/>
                <w:sz w:val="18"/>
                <w:lang w:val="en-US" w:bidi="fa-IR"/>
              </w:rPr>
              <w:t>Changepoint prior 0.01 or 0.1; Fourier order 2 or 4; additive or multiplicative</w:t>
            </w:r>
          </w:p>
        </w:tc>
        <w:tc>
          <w:tcPr>
            <w:tcW w:type="dxa" w:w="2445"/>
            <w:shd w:val="clear" w:color="auto" w:fill="F7F9FC"/>
          </w:tcPr>
          <w:p>
            <w:pPr>
              <w:spacing w:after="0"/>
            </w:pPr>
            <w:r>
              <w:rPr>
                <w:rFonts w:ascii="Calibri" w:hAnsi="Calibri" w:eastAsia="Calibri" w:cs="Calibri"/>
                <w:b w:val="0"/>
                <w:i w:val="0"/>
                <w:sz w:val="18"/>
                <w:lang w:val="en-US" w:bidi="fa-IR"/>
              </w:rPr>
              <w:t>Inner CV on 6 sample products</w:t>
            </w:r>
          </w:p>
        </w:tc>
        <w:tc>
          <w:tcPr>
            <w:tcW w:type="dxa" w:w="1870"/>
            <w:shd w:val="clear" w:color="auto" w:fill="F7F9FC"/>
          </w:tcPr>
          <w:p>
            <w:pPr>
              <w:spacing w:after="0"/>
            </w:pPr>
            <w:r>
              <w:rPr>
                <w:rFonts w:ascii="Calibri" w:hAnsi="Calibri" w:eastAsia="Calibri" w:cs="Calibri"/>
                <w:b w:val="0"/>
                <w:i w:val="0"/>
                <w:sz w:val="18"/>
                <w:lang w:val="en-US" w:bidi="fa-IR"/>
              </w:rPr>
              <w:t>Prior 0.01, order 2</w:t>
            </w:r>
          </w:p>
        </w:tc>
      </w:tr>
      <w:tr>
        <w:trPr>
          <w:cantSplit/>
        </w:trPr>
        <w:tc>
          <w:tcPr>
            <w:tcW w:type="dxa" w:w="1870"/>
          </w:tcPr>
          <w:p>
            <w:pPr>
              <w:spacing w:after="0"/>
            </w:pPr>
            <w:r>
              <w:rPr>
                <w:rFonts w:ascii="Calibri" w:hAnsi="Calibri" w:eastAsia="Calibri" w:cs="Calibri"/>
                <w:b/>
                <w:i w:val="0"/>
                <w:sz w:val="18"/>
                <w:lang w:val="en-US" w:bidi="fa-IR"/>
              </w:rPr>
              <w:t>Ensembles</w:t>
            </w:r>
          </w:p>
        </w:tc>
        <w:tc>
          <w:tcPr>
            <w:tcW w:type="dxa" w:w="3452"/>
          </w:tcPr>
          <w:p>
            <w:pPr>
              <w:spacing w:after="0"/>
            </w:pPr>
            <w:r>
              <w:rPr>
                <w:rFonts w:ascii="Calibri" w:hAnsi="Calibri" w:eastAsia="Calibri" w:cs="Calibri"/>
                <w:b w:val="0"/>
                <w:i w:val="0"/>
                <w:sz w:val="18"/>
                <w:lang w:val="en-US" w:bidi="fa-IR"/>
              </w:rPr>
              <w:t>Members; the top 3 of the walk-forward version</w:t>
            </w:r>
          </w:p>
        </w:tc>
        <w:tc>
          <w:tcPr>
            <w:tcW w:type="dxa" w:w="2445"/>
          </w:tcPr>
          <w:p>
            <w:pPr>
              <w:spacing w:after="0"/>
            </w:pPr>
            <w:r>
              <w:rPr>
                <w:rFonts w:ascii="Calibri" w:hAnsi="Calibri" w:eastAsia="Calibri" w:cs="Calibri"/>
                <w:b w:val="0"/>
                <w:i w:val="0"/>
                <w:sz w:val="18"/>
                <w:lang w:val="en-US" w:bidi="fa-IR"/>
              </w:rPr>
              <w:t>Earlier tests only</w:t>
            </w:r>
          </w:p>
        </w:tc>
        <w:tc>
          <w:tcPr>
            <w:tcW w:type="dxa" w:w="1870"/>
          </w:tcPr>
          <w:p>
            <w:pPr>
              <w:spacing w:after="0"/>
            </w:pPr>
            <w:r>
              <w:rPr>
                <w:rFonts w:ascii="Calibri" w:hAnsi="Calibri" w:eastAsia="Calibri" w:cs="Calibri"/>
                <w:b w:val="0"/>
                <w:i w:val="0"/>
                <w:sz w:val="18"/>
                <w:lang w:val="en-US" w:bidi="fa-IR"/>
              </w:rPr>
              <w:t>Structural, structural per segment, SARIMAX</w:t>
            </w:r>
          </w:p>
        </w:tc>
      </w:tr>
    </w:tbl>
    <w:p>
      <w:pPr>
        <w:spacing w:after="40"/>
      </w:pPr>
    </w:p>
    <w:p>
      <w:pPr>
        <w:pStyle w:val="Heading2"/>
      </w:pPr>
      <w:r>
        <w:rPr>
          <w:rFonts w:ascii="Calibri" w:hAnsi="Calibri" w:eastAsia="Calibri" w:cs="Calibri"/>
          <w:b/>
          <w:i w:val="0"/>
          <w:color w:val="2A78D6"/>
          <w:sz w:val="28"/>
          <w:lang w:val="en-US" w:bidi="fa-IR"/>
        </w:rPr>
        <w:t>5.10 Step 9: Metrics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WAPE (weighted absolute percentage error) = sum of absolute errors / sum of actual demand. It is the primary metric because it weights errors by volume and is robust when some weeks are small. A WAPE of 4.6 percent means the forecast is wrong by 4.6 units in every 100 units of demand.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MAE (mean absolute error, in units), RMSE (penalises large errors), MAPE (mean absolute percentage error, as the assignment requires), MASE (error relative to a seasonal-naive forecast; below 1 beats it) and bias (systematic over- or under-forecast).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Paired bootstrap: products are resampled 2,000 times to test whether the difference between two models is real.</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Truth-cell WAPE: the same error measured only on unconstrained weeks, where demand equals observed sales.</w:t>
      </w:r>
    </w:p>
    <w:p>
      <w:pPr>
        <w:pStyle w:val="Heading2"/>
      </w:pPr>
      <w:r>
        <w:rPr>
          <w:rFonts w:ascii="Calibri" w:hAnsi="Calibri" w:eastAsia="Calibri" w:cs="Calibri"/>
          <w:b/>
          <w:i w:val="0"/>
          <w:color w:val="2A78D6"/>
          <w:sz w:val="28"/>
          <w:lang w:val="en-US" w:bidi="fa-IR"/>
        </w:rPr>
        <w:t>5.11 Step 10: Results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5102"/>
        <w:gridCol w:w="2267"/>
        <w:gridCol w:w="2267"/>
      </w:tblGrid>
      <w:tr>
        <w:trPr>
          <w:tblHeader/>
        </w:trPr>
        <w:tc>
          <w:tcPr>
            <w:tcW w:type="dxa" w:w="5102"/>
            <w:shd w:val="clear" w:color="auto" w:fill="12263F"/>
          </w:tcPr>
          <w:p>
            <w:pPr>
              <w:spacing w:after="0"/>
            </w:pPr>
            <w:r>
              <w:rPr>
                <w:rFonts w:ascii="Calibri" w:hAnsi="Calibri" w:eastAsia="Calibri" w:cs="Calibri"/>
                <w:b/>
                <w:i w:val="0"/>
                <w:color w:val="FFFFFF"/>
                <w:sz w:val="19"/>
                <w:lang w:val="en-US" w:bidi="fa-IR"/>
              </w:rPr>
              <w:t>Model</w:t>
            </w:r>
          </w:p>
        </w:tc>
        <w:tc>
          <w:tcPr>
            <w:tcW w:type="dxa" w:w="2268"/>
            <w:shd w:val="clear" w:color="auto" w:fill="12263F"/>
          </w:tcPr>
          <w:p>
            <w:pPr>
              <w:spacing w:after="0"/>
            </w:pPr>
            <w:r>
              <w:rPr>
                <w:rFonts w:ascii="Calibri" w:hAnsi="Calibri" w:eastAsia="Calibri" w:cs="Calibri"/>
                <w:b/>
                <w:i w:val="0"/>
                <w:color w:val="FFFFFF"/>
                <w:sz w:val="19"/>
                <w:lang w:val="en-US" w:bidi="fa-IR"/>
              </w:rPr>
              <w:t>WAPE all test weeks</w:t>
            </w:r>
          </w:p>
        </w:tc>
        <w:tc>
          <w:tcPr>
            <w:tcW w:type="dxa" w:w="2268"/>
            <w:shd w:val="clear" w:color="auto" w:fill="12263F"/>
          </w:tcPr>
          <w:p>
            <w:pPr>
              <w:spacing w:after="0"/>
            </w:pPr>
            <w:r>
              <w:rPr>
                <w:rFonts w:ascii="Calibri" w:hAnsi="Calibri" w:eastAsia="Calibri" w:cs="Calibri"/>
                <w:b/>
                <w:i w:val="0"/>
                <w:color w:val="FFFFFF"/>
                <w:sz w:val="19"/>
                <w:lang w:val="en-US" w:bidi="fa-IR"/>
              </w:rPr>
              <w:t>WAPE unconstrained weeks</w:t>
            </w:r>
          </w:p>
        </w:tc>
      </w:tr>
      <w:tr>
        <w:trPr>
          <w:cantSplit/>
        </w:trPr>
        <w:tc>
          <w:tcPr>
            <w:tcW w:type="dxa" w:w="5102"/>
          </w:tcPr>
          <w:p>
            <w:pPr>
              <w:spacing w:after="0"/>
            </w:pPr>
            <w:r>
              <w:rPr>
                <w:rFonts w:ascii="Calibri" w:hAnsi="Calibri" w:eastAsia="Calibri" w:cs="Calibri"/>
                <w:b/>
                <w:i w:val="0"/>
                <w:sz w:val="19"/>
                <w:lang w:val="en-US" w:bidi="fa-IR"/>
              </w:rPr>
              <w:t>Structural, pooled (winner)</w:t>
            </w:r>
          </w:p>
        </w:tc>
        <w:tc>
          <w:tcPr>
            <w:tcW w:type="dxa" w:w="2268"/>
          </w:tcPr>
          <w:p>
            <w:pPr>
              <w:spacing w:after="0"/>
            </w:pPr>
            <w:r>
              <w:rPr>
                <w:rFonts w:ascii="Calibri" w:hAnsi="Calibri" w:eastAsia="Calibri" w:cs="Calibri"/>
                <w:b w:val="0"/>
                <w:i w:val="0"/>
                <w:sz w:val="19"/>
                <w:lang w:val="en-US" w:bidi="fa-IR"/>
              </w:rPr>
              <w:t>4.57%</w:t>
            </w:r>
          </w:p>
        </w:tc>
        <w:tc>
          <w:tcPr>
            <w:tcW w:type="dxa" w:w="2268"/>
          </w:tcPr>
          <w:p>
            <w:pPr>
              <w:spacing w:after="0"/>
            </w:pPr>
            <w:r>
              <w:rPr>
                <w:rFonts w:ascii="Calibri" w:hAnsi="Calibri" w:eastAsia="Calibri" w:cs="Calibri"/>
                <w:b w:val="0"/>
                <w:i w:val="0"/>
                <w:sz w:val="19"/>
                <w:lang w:val="en-US" w:bidi="fa-IR"/>
              </w:rPr>
              <w:t>6.64%</w:t>
            </w:r>
          </w:p>
        </w:tc>
      </w:tr>
      <w:tr>
        <w:trPr>
          <w:cantSplit/>
        </w:trPr>
        <w:tc>
          <w:tcPr>
            <w:tcW w:type="dxa" w:w="5102"/>
            <w:shd w:val="clear" w:color="auto" w:fill="F7F9FC"/>
          </w:tcPr>
          <w:p>
            <w:pPr>
              <w:spacing w:after="0"/>
            </w:pPr>
            <w:r>
              <w:rPr>
                <w:rFonts w:ascii="Calibri" w:hAnsi="Calibri" w:eastAsia="Calibri" w:cs="Calibri"/>
                <w:b/>
                <w:i w:val="0"/>
                <w:sz w:val="19"/>
                <w:lang w:val="en-US" w:bidi="fa-IR"/>
              </w:rPr>
              <w:t>Structural per segment</w:t>
            </w:r>
          </w:p>
        </w:tc>
        <w:tc>
          <w:tcPr>
            <w:tcW w:type="dxa" w:w="2268"/>
            <w:shd w:val="clear" w:color="auto" w:fill="F7F9FC"/>
          </w:tcPr>
          <w:p>
            <w:pPr>
              <w:spacing w:after="0"/>
            </w:pPr>
            <w:r>
              <w:rPr>
                <w:rFonts w:ascii="Calibri" w:hAnsi="Calibri" w:eastAsia="Calibri" w:cs="Calibri"/>
                <w:b w:val="0"/>
                <w:i w:val="0"/>
                <w:sz w:val="19"/>
                <w:lang w:val="en-US" w:bidi="fa-IR"/>
              </w:rPr>
              <w:t>4.57%</w:t>
            </w:r>
          </w:p>
        </w:tc>
        <w:tc>
          <w:tcPr>
            <w:tcW w:type="dxa" w:w="2268"/>
            <w:shd w:val="clear" w:color="auto" w:fill="F7F9FC"/>
          </w:tcPr>
          <w:p>
            <w:pPr>
              <w:spacing w:after="0"/>
            </w:pPr>
            <w:r>
              <w:rPr>
                <w:rFonts w:ascii="Calibri" w:hAnsi="Calibri" w:eastAsia="Calibri" w:cs="Calibri"/>
                <w:b w:val="0"/>
                <w:i w:val="0"/>
                <w:sz w:val="19"/>
                <w:lang w:val="en-US" w:bidi="fa-IR"/>
              </w:rPr>
              <w:t>6.63%</w:t>
            </w:r>
          </w:p>
        </w:tc>
      </w:tr>
      <w:tr>
        <w:trPr>
          <w:cantSplit/>
        </w:trPr>
        <w:tc>
          <w:tcPr>
            <w:tcW w:type="dxa" w:w="5102"/>
          </w:tcPr>
          <w:p>
            <w:pPr>
              <w:spacing w:after="0"/>
            </w:pPr>
            <w:r>
              <w:rPr>
                <w:rFonts w:ascii="Calibri" w:hAnsi="Calibri" w:eastAsia="Calibri" w:cs="Calibri"/>
                <w:b/>
                <w:i w:val="0"/>
                <w:sz w:val="19"/>
                <w:lang w:val="en-US" w:bidi="fa-IR"/>
              </w:rPr>
              <w:t>Average of best 3 (walk-forward)</w:t>
            </w:r>
          </w:p>
        </w:tc>
        <w:tc>
          <w:tcPr>
            <w:tcW w:type="dxa" w:w="2268"/>
          </w:tcPr>
          <w:p>
            <w:pPr>
              <w:spacing w:after="0"/>
            </w:pPr>
            <w:r>
              <w:rPr>
                <w:rFonts w:ascii="Calibri" w:hAnsi="Calibri" w:eastAsia="Calibri" w:cs="Calibri"/>
                <w:b w:val="0"/>
                <w:i w:val="0"/>
                <w:sz w:val="19"/>
                <w:lang w:val="en-US" w:bidi="fa-IR"/>
              </w:rPr>
              <w:t>4.61%</w:t>
            </w:r>
          </w:p>
        </w:tc>
        <w:tc>
          <w:tcPr>
            <w:tcW w:type="dxa" w:w="2268"/>
          </w:tcPr>
          <w:p>
            <w:pPr>
              <w:spacing w:after="0"/>
            </w:pPr>
            <w:r>
              <w:rPr>
                <w:rFonts w:ascii="Calibri" w:hAnsi="Calibri" w:eastAsia="Calibri" w:cs="Calibri"/>
                <w:b w:val="0"/>
                <w:i w:val="0"/>
                <w:sz w:val="19"/>
                <w:lang w:val="en-US" w:bidi="fa-IR"/>
              </w:rPr>
              <w:t>6.63%</w:t>
            </w:r>
          </w:p>
        </w:tc>
      </w:tr>
      <w:tr>
        <w:trPr>
          <w:cantSplit/>
        </w:trPr>
        <w:tc>
          <w:tcPr>
            <w:tcW w:type="dxa" w:w="5102"/>
            <w:shd w:val="clear" w:color="auto" w:fill="F7F9FC"/>
          </w:tcPr>
          <w:p>
            <w:pPr>
              <w:spacing w:after="0"/>
            </w:pPr>
            <w:r>
              <w:rPr>
                <w:rFonts w:ascii="Calibri" w:hAnsi="Calibri" w:eastAsia="Calibri" w:cs="Calibri"/>
                <w:b/>
                <w:i w:val="0"/>
                <w:sz w:val="19"/>
                <w:lang w:val="en-US" w:bidi="fa-IR"/>
              </w:rPr>
              <w:t>SARIMAX per product</w:t>
            </w:r>
          </w:p>
        </w:tc>
        <w:tc>
          <w:tcPr>
            <w:tcW w:type="dxa" w:w="2268"/>
            <w:shd w:val="clear" w:color="auto" w:fill="F7F9FC"/>
          </w:tcPr>
          <w:p>
            <w:pPr>
              <w:spacing w:after="0"/>
            </w:pPr>
            <w:r>
              <w:rPr>
                <w:rFonts w:ascii="Calibri" w:hAnsi="Calibri" w:eastAsia="Calibri" w:cs="Calibri"/>
                <w:b w:val="0"/>
                <w:i w:val="0"/>
                <w:sz w:val="19"/>
                <w:lang w:val="en-US" w:bidi="fa-IR"/>
              </w:rPr>
              <w:t>4.68%</w:t>
            </w:r>
          </w:p>
        </w:tc>
        <w:tc>
          <w:tcPr>
            <w:tcW w:type="dxa" w:w="2268"/>
            <w:shd w:val="clear" w:color="auto" w:fill="F7F9FC"/>
          </w:tcPr>
          <w:p>
            <w:pPr>
              <w:spacing w:after="0"/>
            </w:pPr>
            <w:r>
              <w:rPr>
                <w:rFonts w:ascii="Calibri" w:hAnsi="Calibri" w:eastAsia="Calibri" w:cs="Calibri"/>
                <w:b w:val="0"/>
                <w:i w:val="0"/>
                <w:sz w:val="19"/>
                <w:lang w:val="en-US" w:bidi="fa-IR"/>
              </w:rPr>
              <w:t>6.74%</w:t>
            </w:r>
          </w:p>
        </w:tc>
      </w:tr>
      <w:tr>
        <w:trPr>
          <w:cantSplit/>
        </w:trPr>
        <w:tc>
          <w:tcPr>
            <w:tcW w:type="dxa" w:w="5102"/>
          </w:tcPr>
          <w:p>
            <w:pPr>
              <w:spacing w:after="0"/>
            </w:pPr>
            <w:r>
              <w:rPr>
                <w:rFonts w:ascii="Calibri" w:hAnsi="Calibri" w:eastAsia="Calibri" w:cs="Calibri"/>
                <w:b/>
                <w:i w:val="0"/>
                <w:sz w:val="19"/>
                <w:lang w:val="en-US" w:bidi="fa-IR"/>
              </w:rPr>
              <w:t>Average of 5 models</w:t>
            </w:r>
          </w:p>
        </w:tc>
        <w:tc>
          <w:tcPr>
            <w:tcW w:type="dxa" w:w="2268"/>
          </w:tcPr>
          <w:p>
            <w:pPr>
              <w:spacing w:after="0"/>
            </w:pPr>
            <w:r>
              <w:rPr>
                <w:rFonts w:ascii="Calibri" w:hAnsi="Calibri" w:eastAsia="Calibri" w:cs="Calibri"/>
                <w:b w:val="0"/>
                <w:i w:val="0"/>
                <w:sz w:val="19"/>
                <w:lang w:val="en-US" w:bidi="fa-IR"/>
              </w:rPr>
              <w:t>4.69%</w:t>
            </w:r>
          </w:p>
        </w:tc>
        <w:tc>
          <w:tcPr>
            <w:tcW w:type="dxa" w:w="2268"/>
          </w:tcPr>
          <w:p>
            <w:pPr>
              <w:spacing w:after="0"/>
            </w:pPr>
            <w:r>
              <w:rPr>
                <w:rFonts w:ascii="Calibri" w:hAnsi="Calibri" w:eastAsia="Calibri" w:cs="Calibri"/>
                <w:b w:val="0"/>
                <w:i w:val="0"/>
                <w:sz w:val="19"/>
                <w:lang w:val="en-US" w:bidi="fa-IR"/>
              </w:rPr>
              <w:t>6.70%</w:t>
            </w:r>
          </w:p>
        </w:tc>
      </w:tr>
      <w:tr>
        <w:trPr>
          <w:cantSplit/>
        </w:trPr>
        <w:tc>
          <w:tcPr>
            <w:tcW w:type="dxa" w:w="5102"/>
            <w:shd w:val="clear" w:color="auto" w:fill="F7F9FC"/>
          </w:tcPr>
          <w:p>
            <w:pPr>
              <w:spacing w:after="0"/>
            </w:pPr>
            <w:r>
              <w:rPr>
                <w:rFonts w:ascii="Calibri" w:hAnsi="Calibri" w:eastAsia="Calibri" w:cs="Calibri"/>
                <w:b/>
                <w:i w:val="0"/>
                <w:sz w:val="19"/>
                <w:lang w:val="en-US" w:bidi="fa-IR"/>
              </w:rPr>
              <w:t>Plain recipe: size x season x growth</w:t>
            </w:r>
          </w:p>
        </w:tc>
        <w:tc>
          <w:tcPr>
            <w:tcW w:type="dxa" w:w="2268"/>
            <w:shd w:val="clear" w:color="auto" w:fill="F7F9FC"/>
          </w:tcPr>
          <w:p>
            <w:pPr>
              <w:spacing w:after="0"/>
            </w:pPr>
            <w:r>
              <w:rPr>
                <w:rFonts w:ascii="Calibri" w:hAnsi="Calibri" w:eastAsia="Calibri" w:cs="Calibri"/>
                <w:b w:val="0"/>
                <w:i w:val="0"/>
                <w:sz w:val="19"/>
                <w:lang w:val="en-US" w:bidi="fa-IR"/>
              </w:rPr>
              <w:t>4.72%</w:t>
            </w:r>
          </w:p>
        </w:tc>
        <w:tc>
          <w:tcPr>
            <w:tcW w:type="dxa" w:w="2268"/>
            <w:shd w:val="clear" w:color="auto" w:fill="F7F9FC"/>
          </w:tcPr>
          <w:p>
            <w:pPr>
              <w:spacing w:after="0"/>
            </w:pPr>
            <w:r>
              <w:rPr>
                <w:rFonts w:ascii="Calibri" w:hAnsi="Calibri" w:eastAsia="Calibri" w:cs="Calibri"/>
                <w:b w:val="0"/>
                <w:i w:val="0"/>
                <w:sz w:val="19"/>
                <w:lang w:val="en-US" w:bidi="fa-IR"/>
              </w:rPr>
              <w:t>6.62%</w:t>
            </w:r>
          </w:p>
        </w:tc>
      </w:tr>
      <w:tr>
        <w:trPr>
          <w:cantSplit/>
        </w:trPr>
        <w:tc>
          <w:tcPr>
            <w:tcW w:type="dxa" w:w="5102"/>
          </w:tcPr>
          <w:p>
            <w:pPr>
              <w:spacing w:after="0"/>
            </w:pPr>
            <w:r>
              <w:rPr>
                <w:rFonts w:ascii="Calibri" w:hAnsi="Calibri" w:eastAsia="Calibri" w:cs="Calibri"/>
                <w:b/>
                <w:i w:val="0"/>
                <w:sz w:val="19"/>
                <w:lang w:val="en-US" w:bidi="fa-IR"/>
              </w:rPr>
              <w:t>Prophet</w:t>
            </w:r>
          </w:p>
        </w:tc>
        <w:tc>
          <w:tcPr>
            <w:tcW w:type="dxa" w:w="2268"/>
          </w:tcPr>
          <w:p>
            <w:pPr>
              <w:spacing w:after="0"/>
            </w:pPr>
            <w:r>
              <w:rPr>
                <w:rFonts w:ascii="Calibri" w:hAnsi="Calibri" w:eastAsia="Calibri" w:cs="Calibri"/>
                <w:b w:val="0"/>
                <w:i w:val="0"/>
                <w:sz w:val="19"/>
                <w:lang w:val="en-US" w:bidi="fa-IR"/>
              </w:rPr>
              <w:t>4.76%</w:t>
            </w:r>
          </w:p>
        </w:tc>
        <w:tc>
          <w:tcPr>
            <w:tcW w:type="dxa" w:w="2268"/>
          </w:tcPr>
          <w:p>
            <w:pPr>
              <w:spacing w:after="0"/>
            </w:pPr>
            <w:r>
              <w:rPr>
                <w:rFonts w:ascii="Calibri" w:hAnsi="Calibri" w:eastAsia="Calibri" w:cs="Calibri"/>
                <w:b w:val="0"/>
                <w:i w:val="0"/>
                <w:sz w:val="19"/>
                <w:lang w:val="en-US" w:bidi="fa-IR"/>
              </w:rPr>
              <w:t>6.80%</w:t>
            </w:r>
          </w:p>
        </w:tc>
      </w:tr>
      <w:tr>
        <w:trPr>
          <w:cantSplit/>
        </w:trPr>
        <w:tc>
          <w:tcPr>
            <w:tcW w:type="dxa" w:w="5102"/>
            <w:shd w:val="clear" w:color="auto" w:fill="F7F9FC"/>
          </w:tcPr>
          <w:p>
            <w:pPr>
              <w:spacing w:after="0"/>
            </w:pPr>
            <w:r>
              <w:rPr>
                <w:rFonts w:ascii="Calibri" w:hAnsi="Calibri" w:eastAsia="Calibri" w:cs="Calibri"/>
                <w:b/>
                <w:i w:val="0"/>
                <w:sz w:val="19"/>
                <w:lang w:val="en-US" w:bidi="fa-IR"/>
              </w:rPr>
              <w:t>LightGBM</w:t>
            </w:r>
          </w:p>
        </w:tc>
        <w:tc>
          <w:tcPr>
            <w:tcW w:type="dxa" w:w="2268"/>
            <w:shd w:val="clear" w:color="auto" w:fill="F7F9FC"/>
          </w:tcPr>
          <w:p>
            <w:pPr>
              <w:spacing w:after="0"/>
            </w:pPr>
            <w:r>
              <w:rPr>
                <w:rFonts w:ascii="Calibri" w:hAnsi="Calibri" w:eastAsia="Calibri" w:cs="Calibri"/>
                <w:b w:val="0"/>
                <w:i w:val="0"/>
                <w:sz w:val="19"/>
                <w:lang w:val="en-US" w:bidi="fa-IR"/>
              </w:rPr>
              <w:t>4.78%</w:t>
            </w:r>
          </w:p>
        </w:tc>
        <w:tc>
          <w:tcPr>
            <w:tcW w:type="dxa" w:w="2268"/>
            <w:shd w:val="clear" w:color="auto" w:fill="F7F9FC"/>
          </w:tcPr>
          <w:p>
            <w:pPr>
              <w:spacing w:after="0"/>
            </w:pPr>
            <w:r>
              <w:rPr>
                <w:rFonts w:ascii="Calibri" w:hAnsi="Calibri" w:eastAsia="Calibri" w:cs="Calibri"/>
                <w:b w:val="0"/>
                <w:i w:val="0"/>
                <w:sz w:val="19"/>
                <w:lang w:val="en-US" w:bidi="fa-IR"/>
              </w:rPr>
              <w:t>6.81%</w:t>
            </w:r>
          </w:p>
        </w:tc>
      </w:tr>
      <w:tr>
        <w:trPr>
          <w:cantSplit/>
        </w:trPr>
        <w:tc>
          <w:tcPr>
            <w:tcW w:type="dxa" w:w="5102"/>
          </w:tcPr>
          <w:p>
            <w:pPr>
              <w:spacing w:after="0"/>
            </w:pPr>
            <w:r>
              <w:rPr>
                <w:rFonts w:ascii="Calibri" w:hAnsi="Calibri" w:eastAsia="Calibri" w:cs="Calibri"/>
                <w:b/>
                <w:i w:val="0"/>
                <w:sz w:val="19"/>
                <w:lang w:val="en-US" w:bidi="fa-IR"/>
              </w:rPr>
              <w:t>LightGBM per segment</w:t>
            </w:r>
          </w:p>
        </w:tc>
        <w:tc>
          <w:tcPr>
            <w:tcW w:type="dxa" w:w="2268"/>
          </w:tcPr>
          <w:p>
            <w:pPr>
              <w:spacing w:after="0"/>
            </w:pPr>
            <w:r>
              <w:rPr>
                <w:rFonts w:ascii="Calibri" w:hAnsi="Calibri" w:eastAsia="Calibri" w:cs="Calibri"/>
                <w:b w:val="0"/>
                <w:i w:val="0"/>
                <w:sz w:val="19"/>
                <w:lang w:val="en-US" w:bidi="fa-IR"/>
              </w:rPr>
              <w:t>4.90%</w:t>
            </w:r>
          </w:p>
        </w:tc>
        <w:tc>
          <w:tcPr>
            <w:tcW w:type="dxa" w:w="2268"/>
          </w:tcPr>
          <w:p>
            <w:pPr>
              <w:spacing w:after="0"/>
            </w:pPr>
            <w:r>
              <w:rPr>
                <w:rFonts w:ascii="Calibri" w:hAnsi="Calibri" w:eastAsia="Calibri" w:cs="Calibri"/>
                <w:b w:val="0"/>
                <w:i w:val="0"/>
                <w:sz w:val="19"/>
                <w:lang w:val="en-US" w:bidi="fa-IR"/>
              </w:rPr>
              <w:t>7.03%</w:t>
            </w:r>
          </w:p>
        </w:tc>
      </w:tr>
      <w:tr>
        <w:trPr>
          <w:cantSplit/>
        </w:trPr>
        <w:tc>
          <w:tcPr>
            <w:tcW w:type="dxa" w:w="5102"/>
            <w:shd w:val="clear" w:color="auto" w:fill="F7F9FC"/>
          </w:tcPr>
          <w:p>
            <w:pPr>
              <w:spacing w:after="0"/>
            </w:pPr>
            <w:r>
              <w:rPr>
                <w:rFonts w:ascii="Calibri" w:hAnsi="Calibri" w:eastAsia="Calibri" w:cs="Calibri"/>
                <w:b/>
                <w:i w:val="0"/>
                <w:sz w:val="19"/>
                <w:lang w:val="en-US" w:bidi="fa-IR"/>
              </w:rPr>
              <w:t>Mean x shared seasonal index (best simple rule)</w:t>
            </w:r>
          </w:p>
        </w:tc>
        <w:tc>
          <w:tcPr>
            <w:tcW w:type="dxa" w:w="2268"/>
            <w:shd w:val="clear" w:color="auto" w:fill="F7F9FC"/>
          </w:tcPr>
          <w:p>
            <w:pPr>
              <w:spacing w:after="0"/>
            </w:pPr>
            <w:r>
              <w:rPr>
                <w:rFonts w:ascii="Calibri" w:hAnsi="Calibri" w:eastAsia="Calibri" w:cs="Calibri"/>
                <w:b w:val="0"/>
                <w:i w:val="0"/>
                <w:sz w:val="19"/>
                <w:lang w:val="en-US" w:bidi="fa-IR"/>
              </w:rPr>
              <w:t>5.28%</w:t>
            </w:r>
          </w:p>
        </w:tc>
        <w:tc>
          <w:tcPr>
            <w:tcW w:type="dxa" w:w="2268"/>
            <w:shd w:val="clear" w:color="auto" w:fill="F7F9FC"/>
          </w:tcPr>
          <w:p>
            <w:pPr>
              <w:spacing w:after="0"/>
            </w:pPr>
            <w:r>
              <w:rPr>
                <w:rFonts w:ascii="Calibri" w:hAnsi="Calibri" w:eastAsia="Calibri" w:cs="Calibri"/>
                <w:b w:val="0"/>
                <w:i w:val="0"/>
                <w:sz w:val="19"/>
                <w:lang w:val="en-US" w:bidi="fa-IR"/>
              </w:rPr>
              <w:t>6.81%</w:t>
            </w:r>
          </w:p>
        </w:tc>
      </w:tr>
      <w:tr>
        <w:trPr>
          <w:cantSplit/>
        </w:trPr>
        <w:tc>
          <w:tcPr>
            <w:tcW w:type="dxa" w:w="5102"/>
          </w:tcPr>
          <w:p>
            <w:pPr>
              <w:spacing w:after="0"/>
            </w:pPr>
            <w:r>
              <w:rPr>
                <w:rFonts w:ascii="Calibri" w:hAnsi="Calibri" w:eastAsia="Calibri" w:cs="Calibri"/>
                <w:b/>
                <w:i w:val="0"/>
                <w:sz w:val="19"/>
                <w:lang w:val="en-US" w:bidi="fa-IR"/>
              </w:rPr>
              <w:t>Holt-Winters</w:t>
            </w:r>
          </w:p>
        </w:tc>
        <w:tc>
          <w:tcPr>
            <w:tcW w:type="dxa" w:w="2268"/>
          </w:tcPr>
          <w:p>
            <w:pPr>
              <w:spacing w:after="0"/>
            </w:pPr>
            <w:r>
              <w:rPr>
                <w:rFonts w:ascii="Calibri" w:hAnsi="Calibri" w:eastAsia="Calibri" w:cs="Calibri"/>
                <w:b w:val="0"/>
                <w:i w:val="0"/>
                <w:sz w:val="19"/>
                <w:lang w:val="en-US" w:bidi="fa-IR"/>
              </w:rPr>
              <w:t>5.55%</w:t>
            </w:r>
          </w:p>
        </w:tc>
        <w:tc>
          <w:tcPr>
            <w:tcW w:type="dxa" w:w="2268"/>
          </w:tcPr>
          <w:p>
            <w:pPr>
              <w:spacing w:after="0"/>
            </w:pPr>
            <w:r>
              <w:rPr>
                <w:rFonts w:ascii="Calibri" w:hAnsi="Calibri" w:eastAsia="Calibri" w:cs="Calibri"/>
                <w:b w:val="0"/>
                <w:i w:val="0"/>
                <w:sz w:val="19"/>
                <w:lang w:val="en-US" w:bidi="fa-IR"/>
              </w:rPr>
              <w:t>7.36%</w:t>
            </w:r>
          </w:p>
        </w:tc>
      </w:tr>
      <w:tr>
        <w:trPr>
          <w:cantSplit/>
        </w:trPr>
        <w:tc>
          <w:tcPr>
            <w:tcW w:type="dxa" w:w="5102"/>
            <w:shd w:val="clear" w:color="auto" w:fill="F7F9FC"/>
          </w:tcPr>
          <w:p>
            <w:pPr>
              <w:spacing w:after="0"/>
            </w:pPr>
            <w:r>
              <w:rPr>
                <w:rFonts w:ascii="Calibri" w:hAnsi="Calibri" w:eastAsia="Calibri" w:cs="Calibri"/>
                <w:b/>
                <w:i w:val="0"/>
                <w:sz w:val="19"/>
                <w:lang w:val="en-US" w:bidi="fa-IR"/>
              </w:rPr>
              <w:t>Seasonal naive (same week last year)</w:t>
            </w:r>
          </w:p>
        </w:tc>
        <w:tc>
          <w:tcPr>
            <w:tcW w:type="dxa" w:w="2268"/>
            <w:shd w:val="clear" w:color="auto" w:fill="F7F9FC"/>
          </w:tcPr>
          <w:p>
            <w:pPr>
              <w:spacing w:after="0"/>
            </w:pPr>
            <w:r>
              <w:rPr>
                <w:rFonts w:ascii="Calibri" w:hAnsi="Calibri" w:eastAsia="Calibri" w:cs="Calibri"/>
                <w:b w:val="0"/>
                <w:i w:val="0"/>
                <w:sz w:val="19"/>
                <w:lang w:val="en-US" w:bidi="fa-IR"/>
              </w:rPr>
              <w:t>6.96%</w:t>
            </w:r>
          </w:p>
        </w:tc>
        <w:tc>
          <w:tcPr>
            <w:tcW w:type="dxa" w:w="2268"/>
            <w:shd w:val="clear" w:color="auto" w:fill="F7F9FC"/>
          </w:tcPr>
          <w:p>
            <w:pPr>
              <w:spacing w:after="0"/>
            </w:pPr>
            <w:r>
              <w:rPr>
                <w:rFonts w:ascii="Calibri" w:hAnsi="Calibri" w:eastAsia="Calibri" w:cs="Calibri"/>
                <w:b w:val="0"/>
                <w:i w:val="0"/>
                <w:sz w:val="19"/>
                <w:lang w:val="en-US" w:bidi="fa-IR"/>
              </w:rPr>
              <w:t>8.81%</w:t>
            </w:r>
          </w:p>
        </w:tc>
      </w:tr>
      <w:tr>
        <w:trPr>
          <w:cantSplit/>
        </w:trPr>
        <w:tc>
          <w:tcPr>
            <w:tcW w:type="dxa" w:w="5102"/>
          </w:tcPr>
          <w:p>
            <w:pPr>
              <w:spacing w:after="0"/>
            </w:pPr>
            <w:r>
              <w:rPr>
                <w:rFonts w:ascii="Calibri" w:hAnsi="Calibri" w:eastAsia="Calibri" w:cs="Calibri"/>
                <w:b/>
                <w:i w:val="0"/>
                <w:sz w:val="19"/>
                <w:lang w:val="en-US" w:bidi="fa-IR"/>
              </w:rPr>
              <w:t>Last-52-week mean</w:t>
            </w:r>
          </w:p>
        </w:tc>
        <w:tc>
          <w:tcPr>
            <w:tcW w:type="dxa" w:w="2268"/>
          </w:tcPr>
          <w:p>
            <w:pPr>
              <w:spacing w:after="0"/>
            </w:pPr>
            <w:r>
              <w:rPr>
                <w:rFonts w:ascii="Calibri" w:hAnsi="Calibri" w:eastAsia="Calibri" w:cs="Calibri"/>
                <w:b w:val="0"/>
                <w:i w:val="0"/>
                <w:sz w:val="19"/>
                <w:lang w:val="en-US" w:bidi="fa-IR"/>
              </w:rPr>
              <w:t>16.83%</w:t>
            </w:r>
          </w:p>
        </w:tc>
        <w:tc>
          <w:tcPr>
            <w:tcW w:type="dxa" w:w="2268"/>
          </w:tcPr>
          <w:p>
            <w:pPr>
              <w:spacing w:after="0"/>
            </w:pPr>
            <w:r>
              <w:rPr>
                <w:rFonts w:ascii="Calibri" w:hAnsi="Calibri" w:eastAsia="Calibri" w:cs="Calibri"/>
                <w:b w:val="0"/>
                <w:i w:val="0"/>
                <w:sz w:val="19"/>
                <w:lang w:val="en-US" w:bidi="fa-IR"/>
              </w:rPr>
              <w:t>17.28%</w:t>
            </w:r>
          </w:p>
        </w:tc>
      </w:tr>
    </w:tbl>
    <w:p>
      <w:pPr>
        <w:spacing w:after="40"/>
      </w:pP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winner is 13 percent better than the best simple rule and 34 percent better than 'same week last year'. A paired bootstrap confirms it beats the best simple rule (difference -0.72 points, 95 percent interval -0.80 to -0.63). It ties with the per-segment version (difference 0.00), so the simpler pooled model was selected.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Machine learning does not win. On unconstrained weeks the top models are practically tied between 6.6 and 6.8 percent: what matters is the structure of the problem, not the complexity of the model.</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honest accuracy to quote is the truth-cell figure, 6.64 percent. The 4.57 percent is lower because reconstructed demand is smoother than reality in capped weeks.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By segment, the winner has a WAPE of 4.35 percent for the 23 normal-stock products and 6.53 percent for the 7 high-stock products. Other metrics: MAE 97 units, RMSE 129, MASE 0.69, bias +0.07 percent.</w:t>
      </w:r>
    </w:p>
    <w:p>
      <w:pPr>
        <w:keepNext/>
        <w:spacing w:after="40"/>
        <w:jc w:val="center"/>
      </w:pPr>
      <w:r>
        <w:drawing>
          <wp:inline xmlns:a="http://schemas.openxmlformats.org/drawingml/2006/main" xmlns:pic="http://schemas.openxmlformats.org/drawingml/2006/picture">
            <wp:extent cx="5303520" cy="2699974"/>
            <wp:docPr id="7" name="Picture 7"/>
            <wp:cNvGraphicFramePr>
              <a:graphicFrameLocks noChangeAspect="1"/>
            </wp:cNvGraphicFramePr>
            <a:graphic>
              <a:graphicData uri="http://schemas.openxmlformats.org/drawingml/2006/picture">
                <pic:pic>
                  <pic:nvPicPr>
                    <pic:cNvPr id="0" name="method_tournament_v1.2.png"/>
                    <pic:cNvPicPr/>
                  </pic:nvPicPr>
                  <pic:blipFill>
                    <a:blip r:embed="rId15"/>
                    <a:stretch>
                      <a:fillRect/>
                    </a:stretch>
                  </pic:blipFill>
                  <pic:spPr>
                    <a:xfrm>
                      <a:off x="0" y="0"/>
                      <a:ext cx="5303520" cy="2699974"/>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7. The tournament: 13 methods on the same four tests.</w:t>
      </w:r>
    </w:p>
    <w:p>
      <w:pPr>
        <w:pStyle w:val="Heading2"/>
      </w:pPr>
      <w:r>
        <w:rPr>
          <w:rFonts w:ascii="Calibri" w:hAnsi="Calibri" w:eastAsia="Calibri" w:cs="Calibri"/>
          <w:b/>
          <w:i w:val="0"/>
          <w:color w:val="2A78D6"/>
          <w:sz w:val="28"/>
          <w:lang w:val="en-US" w:bidi="fa-IR"/>
        </w:rPr>
        <w:t>5.12 The winning model explained</w:t>
      </w:r>
    </w:p>
    <w:p>
      <w:r>
        <w:rPr>
          <w:rFonts w:ascii="Calibri" w:hAnsi="Calibri" w:eastAsia="Calibri" w:cs="Calibri"/>
          <w:b w:val="0"/>
          <w:i w:val="0"/>
          <w:lang w:val="en-US" w:bidi="fa-IR"/>
        </w:rPr>
        <w:t>The winning model is a shared-curve structural model. In plain words: the demand of a product in a week equals the product's normal size, times a growth factor, times a seasonal factor.</w:t>
      </w:r>
    </w:p>
    <w:p>
      <w:pPr>
        <w:spacing w:before="80" w:after="160"/>
        <w:jc w:val="center"/>
        <w:shd w:val="clear" w:color="auto" w:fill="F2F6FB"/>
      </w:pPr>
      <w:r>
        <w:rPr>
          <w:rFonts w:ascii="Consolas" w:hAnsi="Consolas" w:eastAsia="Consolas" w:cs="Consolas"/>
          <w:b/>
          <w:i w:val="0"/>
          <w:color w:val="12263F"/>
          <w:sz w:val="20"/>
          <w:lang w:val="en-US" w:bidi="fa-IR"/>
        </w:rPr>
        <w:t>demand(product, week) = product level x growth trend x seasonal factor</w:t>
      </w:r>
    </w:p>
    <w:p>
      <w:pPr>
        <w:spacing w:before="80" w:after="160"/>
        <w:jc w:val="center"/>
        <w:shd w:val="clear" w:color="auto" w:fill="F2F6FB"/>
      </w:pPr>
      <w:r>
        <w:rPr>
          <w:rFonts w:ascii="Consolas" w:hAnsi="Consolas" w:eastAsia="Consolas" w:cs="Consolas"/>
          <w:b/>
          <w:i w:val="0"/>
          <w:color w:val="12263F"/>
          <w:sz w:val="20"/>
          <w:lang w:val="en-US" w:bidi="fa-IR"/>
        </w:rPr>
        <w:t>log demand = level + trend + sum over k of [ a_k sin(2 pi k week / 52) + b_k cos(2 pi k week / 52) ]</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Product level: how big a product normally is (30 numbers). Found because products differ 5.5 times in size, from 555 units a week (Wheat) to 3,054 (Tea).</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Growth trend: one shared yearly slope, about +2.8 percent a year. Found from the year-on-year comparison and the STL trend strength of 0.92.</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Seasonal factor: a multiplier for the week of the year (1.00 is a normal week, 1.25 means 25 percent busier), the same curve for all products. Found because week of year explains 78 to 86 percent of the variance and the product profiles correlate 0.97.</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model works in logarithms, where the three parts simply add up; a small bias correction compensates for the logarithm. With K = 3 only 30 + 1 + 6 = 37 numbers are learned from 7,800 observations. Because all products share the curve there is very little room to over-fit, which is why it is hard to beat.</w:t>
      </w:r>
    </w:p>
    <w:p>
      <w:r>
        <w:rPr>
          <w:rFonts w:ascii="Calibri" w:hAnsi="Calibri" w:eastAsia="Calibri" w:cs="Calibri"/>
          <w:b w:val="0"/>
          <w:i w:val="0"/>
          <w:lang w:val="en-US" w:bidi="fa-IR"/>
        </w:rPr>
        <w:t>Worked example: Barley, first week of test 4 (week 235, learning from weeks 1 to 234; the inner validation chose K = 2 there). The level is 2,579 units; the trend multiplier is 1.057; the seasonal multiplier for week-of-year 27 (a slightly quiet week) is 0.983; the bias correction is 1.002. The forecast is 2,579 x 1.057 x 0.983 x 1.002 = 2,687 units; the actual demand was 2,505. Over the 26 test weeks the average miss is 4.8 percent for Barley and 4.6 percent for all products.</w:t>
      </w:r>
    </w:p>
    <w:p>
      <w:pPr>
        <w:keepNext/>
        <w:spacing w:after="40"/>
        <w:jc w:val="center"/>
      </w:pPr>
      <w:r>
        <w:drawing>
          <wp:inline xmlns:a="http://schemas.openxmlformats.org/drawingml/2006/main" xmlns:pic="http://schemas.openxmlformats.org/drawingml/2006/picture">
            <wp:extent cx="5303520" cy="3358896"/>
            <wp:docPr id="8" name="Picture 8"/>
            <wp:cNvGraphicFramePr>
              <a:graphicFrameLocks noChangeAspect="1"/>
            </wp:cNvGraphicFramePr>
            <a:graphic>
              <a:graphicData uri="http://schemas.openxmlformats.org/drawingml/2006/picture">
                <pic:pic>
                  <pic:nvPicPr>
                    <pic:cNvPr id="0" name="plain_recipe_example_v1.2.png"/>
                    <pic:cNvPicPr/>
                  </pic:nvPicPr>
                  <pic:blipFill>
                    <a:blip r:embed="rId16"/>
                    <a:stretch>
                      <a:fillRect/>
                    </a:stretch>
                  </pic:blipFill>
                  <pic:spPr>
                    <a:xfrm>
                      <a:off x="0" y="0"/>
                      <a:ext cx="5303520" cy="3358896"/>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8. The same idea in its plain-recipe form for Barley: size x season x growth.</w:t>
      </w:r>
    </w:p>
    <w:p>
      <w:pPr>
        <w:pStyle w:val="Heading2"/>
      </w:pPr>
      <w:r>
        <w:rPr>
          <w:rFonts w:ascii="Calibri" w:hAnsi="Calibri" w:eastAsia="Calibri" w:cs="Calibri"/>
          <w:b/>
          <w:i w:val="0"/>
          <w:color w:val="2A78D6"/>
          <w:sz w:val="28"/>
          <w:lang w:val="en-US" w:bidi="fa-IR"/>
        </w:rPr>
        <w:t>5.13 The final forecast and its range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selected model is refitted on all 260 weeks (all parameters re-tuned) and forecasts weeks 261 to 286: about 1.998 million units, 2.8 percent above the same 26 weeks a year earlier. (It is 40 percent above the preceding 26 weeks because those weeks are the seasonal low; that is season, not growth.)</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Likely range (P10 to P90): computed from the ratios actual / forecast of the selected model in the backtests, by segment and horizon bucket. Leave-one-test-out coverage is 80 percent, equal to the nominal 80 percent. The range for the total is 1.84 to 2.15 million units.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Revenue potential: for each product-week, forecast demand x the product's last-13-week average price, summed over 780 product-weeks = 64.6 million dollars.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Unserved revenue: future stock is unknown, so units sold are simulated as min(demand, stock) with stock drawn from each product's own last 104 weeks of stock available for sales. Expected sales are 1.09 million units, worth 35.8 million dollars; the difference, 28.7 million dollars (44 percent), is demand that historical stock levels would not serve. This is a risk view, not a prediction, because purchasing can change.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Example: Barley week 1: 2,899 units x 7.447 dollars = 21,589 dollars potential; history lets about 1,397 units sell (10,406 dollars); 1,494 units (11,182 dollars) would be lost.</w:t>
      </w:r>
    </w:p>
    <w:p>
      <w:pPr>
        <w:keepNext/>
        <w:spacing w:after="40"/>
        <w:jc w:val="center"/>
      </w:pPr>
      <w:r>
        <w:drawing>
          <wp:inline xmlns:a="http://schemas.openxmlformats.org/drawingml/2006/main" xmlns:pic="http://schemas.openxmlformats.org/drawingml/2006/picture">
            <wp:extent cx="5852160" cy="1872691"/>
            <wp:docPr id="9" name="Picture 9"/>
            <wp:cNvGraphicFramePr>
              <a:graphicFrameLocks noChangeAspect="1"/>
            </wp:cNvGraphicFramePr>
            <a:graphic>
              <a:graphicData uri="http://schemas.openxmlformats.org/drawingml/2006/picture">
                <pic:pic>
                  <pic:nvPicPr>
                    <pic:cNvPr id="0" name="final_forecast_v1.2.png"/>
                    <pic:cNvPicPr/>
                  </pic:nvPicPr>
                  <pic:blipFill>
                    <a:blip r:embed="rId17"/>
                    <a:stretch>
                      <a:fillRect/>
                    </a:stretch>
                  </pic:blipFill>
                  <pic:spPr>
                    <a:xfrm>
                      <a:off x="0" y="0"/>
                      <a:ext cx="5852160" cy="1872691"/>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9. The 26-week forecast with the P10-P90 range.</w:t>
      </w:r>
    </w:p>
    <w:p>
      <w:pPr>
        <w:pStyle w:val="Heading2"/>
      </w:pPr>
      <w:r>
        <w:rPr>
          <w:rFonts w:ascii="Calibri" w:hAnsi="Calibri" w:eastAsia="Calibri" w:cs="Calibri"/>
          <w:b/>
          <w:i w:val="0"/>
          <w:color w:val="2A78D6"/>
          <w:sz w:val="28"/>
          <w:lang w:val="en-US" w:bidi="fa-IR"/>
        </w:rPr>
        <w:t>5.14 Assumptions and limits of Part 2</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Demand in capped weeks is reconstructed, so accuracy on those weeks is an estimate; the truth-cell WAPE (6.64 percent) is the honest figure.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legacy forecast is treated as a noisy unbiased measure of demand (validated on unconstrained weeks only).</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Future stock follows each product's own last 104 weeks; prices and costs stay at their last-13-week average; no promotions are modelled.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Dates are synthetic; 'peak in week 13' refers to the position in the 52-week cycle.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Price is not a demand driver in this data (no measurable effect), so the forecast does not use price.</w:t>
      </w:r>
    </w:p>
    <w:p>
      <w:pPr>
        <w:pStyle w:val="Heading1"/>
      </w:pPr>
      <w:r>
        <w:rPr>
          <w:rFonts w:ascii="Calibri" w:hAnsi="Calibri" w:eastAsia="Calibri" w:cs="Calibri"/>
          <w:b/>
          <w:i w:val="0"/>
          <w:color w:val="12263F"/>
          <w:sz w:val="36"/>
          <w:lang w:val="en-US" w:bidi="fa-IR"/>
        </w:rPr>
        <w:t>6. Part 3: KPI dashboard</w:t>
      </w:r>
    </w:p>
    <w:p>
      <w:pPr>
        <w:pStyle w:val="Heading2"/>
      </w:pPr>
      <w:r>
        <w:rPr>
          <w:rFonts w:ascii="Calibri" w:hAnsi="Calibri" w:eastAsia="Calibri" w:cs="Calibri"/>
          <w:b/>
          <w:i w:val="0"/>
          <w:color w:val="2A78D6"/>
          <w:sz w:val="28"/>
          <w:lang w:val="en-US" w:bidi="fa-IR"/>
        </w:rPr>
        <w:t>6.1 Goal</w:t>
      </w:r>
    </w:p>
    <w:p>
      <w:r>
        <w:rPr>
          <w:rFonts w:ascii="Calibri" w:hAnsi="Calibri" w:eastAsia="Calibri" w:cs="Calibri"/>
          <w:b w:val="0"/>
          <w:i w:val="0"/>
          <w:lang w:val="en-US" w:bidi="fa-IR"/>
        </w:rPr>
        <w:t>The dashboard turns the data and the forecast into the KPIs and alerts that support decisions. It is an interactive web application (Streamlit with Plotly charts). Its structure follows the business questions: how are we doing financially, how well do we serve customers and manage stock, how risky is credit, what is coming, and what needs action now.</w:t>
      </w:r>
    </w:p>
    <w:p>
      <w:pPr>
        <w:pStyle w:val="Heading2"/>
      </w:pPr>
      <w:r>
        <w:rPr>
          <w:rFonts w:ascii="Calibri" w:hAnsi="Calibri" w:eastAsia="Calibri" w:cs="Calibri"/>
          <w:b/>
          <w:i w:val="0"/>
          <w:color w:val="2A78D6"/>
          <w:sz w:val="28"/>
          <w:lang w:val="en-US" w:bidi="fa-IR"/>
        </w:rPr>
        <w:t>6.2 Architecture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 notebook builds a small data mart (history, forecast, products, credit assumptions) from the ETL and forecast databases, tests it, writes the application file and takes screenshots.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application reads only the data mart (a SQLite file). Part 4 later adds its pricing tables to the same file, which enables the Pricing tab.</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Eight tabs: Overview, Financial, Stock and service, Customer credit (scenario), Forecast, Pricing, Alerts, Notes. Every tab opens with a one-sentence bottom line, and filters (period, category, segment) apply across the tabs.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application can be deployed (for example on Streamlit Community Cloud); the main file is part3_dashboard_v1.1/dashboard_app_v1.1.py.</w:t>
      </w:r>
    </w:p>
    <w:p>
      <w:pPr>
        <w:pStyle w:val="Heading2"/>
      </w:pPr>
      <w:r>
        <w:rPr>
          <w:rFonts w:ascii="Calibri" w:hAnsi="Calibri" w:eastAsia="Calibri" w:cs="Calibri"/>
          <w:b/>
          <w:i w:val="0"/>
          <w:color w:val="2A78D6"/>
          <w:sz w:val="28"/>
          <w:lang w:val="en-US" w:bidi="fa-IR"/>
        </w:rPr>
        <w:t>6.3 The KPIs and how they are defined</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876"/>
        <w:gridCol w:w="1870"/>
        <w:gridCol w:w="4890"/>
      </w:tblGrid>
      <w:tr>
        <w:trPr>
          <w:tblHeader/>
        </w:trPr>
        <w:tc>
          <w:tcPr>
            <w:tcW w:type="dxa" w:w="2877"/>
            <w:shd w:val="clear" w:color="auto" w:fill="12263F"/>
          </w:tcPr>
          <w:p>
            <w:pPr>
              <w:spacing w:after="0"/>
            </w:pPr>
            <w:r>
              <w:rPr>
                <w:rFonts w:ascii="Calibri" w:hAnsi="Calibri" w:eastAsia="Calibri" w:cs="Calibri"/>
                <w:b/>
                <w:i w:val="0"/>
                <w:color w:val="FFFFFF"/>
                <w:sz w:val="19"/>
                <w:lang w:val="en-US" w:bidi="fa-IR"/>
              </w:rPr>
              <w:t>KPI</w:t>
            </w:r>
          </w:p>
        </w:tc>
        <w:tc>
          <w:tcPr>
            <w:tcW w:type="dxa" w:w="1870"/>
            <w:shd w:val="clear" w:color="auto" w:fill="12263F"/>
          </w:tcPr>
          <w:p>
            <w:pPr>
              <w:spacing w:after="0"/>
            </w:pPr>
            <w:r>
              <w:rPr>
                <w:rFonts w:ascii="Calibri" w:hAnsi="Calibri" w:eastAsia="Calibri" w:cs="Calibri"/>
                <w:b/>
                <w:i w:val="0"/>
                <w:color w:val="FFFFFF"/>
                <w:sz w:val="19"/>
                <w:lang w:val="en-US" w:bidi="fa-IR"/>
              </w:rPr>
              <w:t>Domain</w:t>
            </w:r>
          </w:p>
        </w:tc>
        <w:tc>
          <w:tcPr>
            <w:tcW w:type="dxa" w:w="4891"/>
            <w:shd w:val="clear" w:color="auto" w:fill="12263F"/>
          </w:tcPr>
          <w:p>
            <w:pPr>
              <w:spacing w:after="0"/>
            </w:pPr>
            <w:r>
              <w:rPr>
                <w:rFonts w:ascii="Calibri" w:hAnsi="Calibri" w:eastAsia="Calibri" w:cs="Calibri"/>
                <w:b/>
                <w:i w:val="0"/>
                <w:color w:val="FFFFFF"/>
                <w:sz w:val="19"/>
                <w:lang w:val="en-US" w:bidi="fa-IR"/>
              </w:rPr>
              <w:t>Definition</w:t>
            </w:r>
          </w:p>
        </w:tc>
      </w:tr>
      <w:tr>
        <w:trPr>
          <w:cantSplit/>
        </w:trPr>
        <w:tc>
          <w:tcPr>
            <w:tcW w:type="dxa" w:w="2877"/>
          </w:tcPr>
          <w:p>
            <w:pPr>
              <w:spacing w:after="0"/>
            </w:pPr>
            <w:r>
              <w:rPr>
                <w:rFonts w:ascii="Calibri" w:hAnsi="Calibri" w:eastAsia="Calibri" w:cs="Calibri"/>
                <w:b/>
                <w:i w:val="0"/>
                <w:sz w:val="19"/>
                <w:lang w:val="en-US" w:bidi="fa-IR"/>
              </w:rPr>
              <w:t>Revenue</w:t>
            </w:r>
          </w:p>
        </w:tc>
        <w:tc>
          <w:tcPr>
            <w:tcW w:type="dxa" w:w="1870"/>
          </w:tcPr>
          <w:p>
            <w:pPr>
              <w:spacing w:after="0"/>
            </w:pPr>
            <w:r>
              <w:rPr>
                <w:rFonts w:ascii="Calibri" w:hAnsi="Calibri" w:eastAsia="Calibri" w:cs="Calibri"/>
                <w:b w:val="0"/>
                <w:i w:val="0"/>
                <w:sz w:val="19"/>
                <w:lang w:val="en-US" w:bidi="fa-IR"/>
              </w:rPr>
              <w:t>Financial</w:t>
            </w:r>
          </w:p>
        </w:tc>
        <w:tc>
          <w:tcPr>
            <w:tcW w:type="dxa" w:w="4891"/>
          </w:tcPr>
          <w:p>
            <w:pPr>
              <w:spacing w:after="0"/>
            </w:pPr>
            <w:r>
              <w:rPr>
                <w:rFonts w:ascii="Calibri" w:hAnsi="Calibri" w:eastAsia="Calibri" w:cs="Calibri"/>
                <w:b w:val="0"/>
                <w:i w:val="0"/>
                <w:sz w:val="19"/>
                <w:lang w:val="en-US" w:bidi="fa-IR"/>
              </w:rPr>
              <w:t>Sum of units sold x price (reproduced for 100% of rows in the ETL)</w:t>
            </w:r>
          </w:p>
        </w:tc>
      </w:tr>
      <w:tr>
        <w:trPr>
          <w:cantSplit/>
        </w:trPr>
        <w:tc>
          <w:tcPr>
            <w:tcW w:type="dxa" w:w="2877"/>
            <w:shd w:val="clear" w:color="auto" w:fill="F7F9FC"/>
          </w:tcPr>
          <w:p>
            <w:pPr>
              <w:spacing w:after="0"/>
            </w:pPr>
            <w:r>
              <w:rPr>
                <w:rFonts w:ascii="Calibri" w:hAnsi="Calibri" w:eastAsia="Calibri" w:cs="Calibri"/>
                <w:b/>
                <w:i w:val="0"/>
                <w:sz w:val="19"/>
                <w:lang w:val="en-US" w:bidi="fa-IR"/>
              </w:rPr>
              <w:t>Gross profit margin</w:t>
            </w:r>
          </w:p>
        </w:tc>
        <w:tc>
          <w:tcPr>
            <w:tcW w:type="dxa" w:w="1870"/>
            <w:shd w:val="clear" w:color="auto" w:fill="F7F9FC"/>
          </w:tcPr>
          <w:p>
            <w:pPr>
              <w:spacing w:after="0"/>
            </w:pPr>
            <w:r>
              <w:rPr>
                <w:rFonts w:ascii="Calibri" w:hAnsi="Calibri" w:eastAsia="Calibri" w:cs="Calibri"/>
                <w:b w:val="0"/>
                <w:i w:val="0"/>
                <w:sz w:val="19"/>
                <w:lang w:val="en-US" w:bidi="fa-IR"/>
              </w:rPr>
              <w:t>Financial</w:t>
            </w:r>
          </w:p>
        </w:tc>
        <w:tc>
          <w:tcPr>
            <w:tcW w:type="dxa" w:w="4891"/>
            <w:shd w:val="clear" w:color="auto" w:fill="F7F9FC"/>
          </w:tcPr>
          <w:p>
            <w:pPr>
              <w:spacing w:after="0"/>
            </w:pPr>
            <w:r>
              <w:rPr>
                <w:rFonts w:ascii="Calibri" w:hAnsi="Calibri" w:eastAsia="Calibri" w:cs="Calibri"/>
                <w:b w:val="0"/>
                <w:i w:val="0"/>
                <w:sz w:val="19"/>
                <w:lang w:val="en-US" w:bidi="fa-IR"/>
              </w:rPr>
              <w:t>Sum of gross profit / sum of revenue (ratio of sums, not mean of ratios)</w:t>
            </w:r>
          </w:p>
        </w:tc>
      </w:tr>
      <w:tr>
        <w:trPr>
          <w:cantSplit/>
        </w:trPr>
        <w:tc>
          <w:tcPr>
            <w:tcW w:type="dxa" w:w="2877"/>
          </w:tcPr>
          <w:p>
            <w:pPr>
              <w:spacing w:after="0"/>
            </w:pPr>
            <w:r>
              <w:rPr>
                <w:rFonts w:ascii="Calibri" w:hAnsi="Calibri" w:eastAsia="Calibri" w:cs="Calibri"/>
                <w:b/>
                <w:i w:val="0"/>
                <w:sz w:val="19"/>
                <w:lang w:val="en-US" w:bidi="fa-IR"/>
              </w:rPr>
              <w:t>Operating profit and margin</w:t>
            </w:r>
          </w:p>
        </w:tc>
        <w:tc>
          <w:tcPr>
            <w:tcW w:type="dxa" w:w="1870"/>
          </w:tcPr>
          <w:p>
            <w:pPr>
              <w:spacing w:after="0"/>
            </w:pPr>
            <w:r>
              <w:rPr>
                <w:rFonts w:ascii="Calibri" w:hAnsi="Calibri" w:eastAsia="Calibri" w:cs="Calibri"/>
                <w:b w:val="0"/>
                <w:i w:val="0"/>
                <w:sz w:val="19"/>
                <w:lang w:val="en-US" w:bidi="fa-IR"/>
              </w:rPr>
              <w:t>Financial</w:t>
            </w:r>
          </w:p>
        </w:tc>
        <w:tc>
          <w:tcPr>
            <w:tcW w:type="dxa" w:w="4891"/>
          </w:tcPr>
          <w:p>
            <w:pPr>
              <w:spacing w:after="0"/>
            </w:pPr>
            <w:r>
              <w:rPr>
                <w:rFonts w:ascii="Calibri" w:hAnsi="Calibri" w:eastAsia="Calibri" w:cs="Calibri"/>
                <w:b w:val="0"/>
                <w:i w:val="0"/>
                <w:sz w:val="19"/>
                <w:lang w:val="en-US" w:bidi="fa-IR"/>
              </w:rPr>
              <w:t>As given in the data; operating expenses are not provided, so implied opex = gross profit - operating profit</w:t>
            </w:r>
          </w:p>
        </w:tc>
      </w:tr>
      <w:tr>
        <w:trPr>
          <w:cantSplit/>
        </w:trPr>
        <w:tc>
          <w:tcPr>
            <w:tcW w:type="dxa" w:w="2877"/>
            <w:shd w:val="clear" w:color="auto" w:fill="F7F9FC"/>
          </w:tcPr>
          <w:p>
            <w:pPr>
              <w:spacing w:after="0"/>
            </w:pPr>
            <w:r>
              <w:rPr>
                <w:rFonts w:ascii="Calibri" w:hAnsi="Calibri" w:eastAsia="Calibri" w:cs="Calibri"/>
                <w:b/>
                <w:i w:val="0"/>
                <w:sz w:val="19"/>
                <w:lang w:val="en-US" w:bidi="fa-IR"/>
              </w:rPr>
              <w:t>Revenue growth</w:t>
            </w:r>
          </w:p>
        </w:tc>
        <w:tc>
          <w:tcPr>
            <w:tcW w:type="dxa" w:w="1870"/>
            <w:shd w:val="clear" w:color="auto" w:fill="F7F9FC"/>
          </w:tcPr>
          <w:p>
            <w:pPr>
              <w:spacing w:after="0"/>
            </w:pPr>
            <w:r>
              <w:rPr>
                <w:rFonts w:ascii="Calibri" w:hAnsi="Calibri" w:eastAsia="Calibri" w:cs="Calibri"/>
                <w:b w:val="0"/>
                <w:i w:val="0"/>
                <w:sz w:val="19"/>
                <w:lang w:val="en-US" w:bidi="fa-IR"/>
              </w:rPr>
              <w:t>Financial</w:t>
            </w:r>
          </w:p>
        </w:tc>
        <w:tc>
          <w:tcPr>
            <w:tcW w:type="dxa" w:w="4891"/>
            <w:shd w:val="clear" w:color="auto" w:fill="F7F9FC"/>
          </w:tcPr>
          <w:p>
            <w:pPr>
              <w:spacing w:after="0"/>
            </w:pPr>
            <w:r>
              <w:rPr>
                <w:rFonts w:ascii="Calibri" w:hAnsi="Calibri" w:eastAsia="Calibri" w:cs="Calibri"/>
                <w:b w:val="0"/>
                <w:i w:val="0"/>
                <w:sz w:val="19"/>
                <w:lang w:val="en-US" w:bidi="fa-IR"/>
              </w:rPr>
              <w:t>Revenue of the selected weeks against the same weeks 52 weeks earlier</w:t>
            </w:r>
          </w:p>
        </w:tc>
      </w:tr>
      <w:tr>
        <w:trPr>
          <w:cantSplit/>
        </w:trPr>
        <w:tc>
          <w:tcPr>
            <w:tcW w:type="dxa" w:w="2877"/>
          </w:tcPr>
          <w:p>
            <w:pPr>
              <w:spacing w:after="0"/>
            </w:pPr>
            <w:r>
              <w:rPr>
                <w:rFonts w:ascii="Calibri" w:hAnsi="Calibri" w:eastAsia="Calibri" w:cs="Calibri"/>
                <w:b/>
                <w:i w:val="0"/>
                <w:sz w:val="19"/>
                <w:lang w:val="en-US" w:bidi="fa-IR"/>
              </w:rPr>
              <w:t>Inventory turnover</w:t>
            </w:r>
          </w:p>
        </w:tc>
        <w:tc>
          <w:tcPr>
            <w:tcW w:type="dxa" w:w="1870"/>
          </w:tcPr>
          <w:p>
            <w:pPr>
              <w:spacing w:after="0"/>
            </w:pPr>
            <w:r>
              <w:rPr>
                <w:rFonts w:ascii="Calibri" w:hAnsi="Calibri" w:eastAsia="Calibri" w:cs="Calibri"/>
                <w:b w:val="0"/>
                <w:i w:val="0"/>
                <w:sz w:val="19"/>
                <w:lang w:val="en-US" w:bidi="fa-IR"/>
              </w:rPr>
              <w:t>Operational</w:t>
            </w:r>
          </w:p>
        </w:tc>
        <w:tc>
          <w:tcPr>
            <w:tcW w:type="dxa" w:w="4891"/>
          </w:tcPr>
          <w:p>
            <w:pPr>
              <w:spacing w:after="0"/>
            </w:pPr>
            <w:r>
              <w:rPr>
                <w:rFonts w:ascii="Calibri" w:hAnsi="Calibri" w:eastAsia="Calibri" w:cs="Calibri"/>
                <w:b w:val="0"/>
                <w:i w:val="0"/>
                <w:sz w:val="19"/>
                <w:lang w:val="en-US" w:bidi="fa-IR"/>
              </w:rPr>
              <w:t>Annualised COGS / average inventory at cost (inventory = stock available during each week)</w:t>
            </w:r>
          </w:p>
        </w:tc>
      </w:tr>
      <w:tr>
        <w:trPr>
          <w:cantSplit/>
        </w:trPr>
        <w:tc>
          <w:tcPr>
            <w:tcW w:type="dxa" w:w="2877"/>
            <w:shd w:val="clear" w:color="auto" w:fill="F7F9FC"/>
          </w:tcPr>
          <w:p>
            <w:pPr>
              <w:spacing w:after="0"/>
            </w:pPr>
            <w:r>
              <w:rPr>
                <w:rFonts w:ascii="Calibri" w:hAnsi="Calibri" w:eastAsia="Calibri" w:cs="Calibri"/>
                <w:b/>
                <w:i w:val="0"/>
                <w:sz w:val="19"/>
                <w:lang w:val="en-US" w:bidi="fa-IR"/>
              </w:rPr>
              <w:t>Days sales of inventory (DSI)</w:t>
            </w:r>
          </w:p>
        </w:tc>
        <w:tc>
          <w:tcPr>
            <w:tcW w:type="dxa" w:w="1870"/>
            <w:shd w:val="clear" w:color="auto" w:fill="F7F9FC"/>
          </w:tcPr>
          <w:p>
            <w:pPr>
              <w:spacing w:after="0"/>
            </w:pPr>
            <w:r>
              <w:rPr>
                <w:rFonts w:ascii="Calibri" w:hAnsi="Calibri" w:eastAsia="Calibri" w:cs="Calibri"/>
                <w:b w:val="0"/>
                <w:i w:val="0"/>
                <w:sz w:val="19"/>
                <w:lang w:val="en-US" w:bidi="fa-IR"/>
              </w:rPr>
              <w:t>Operational</w:t>
            </w:r>
          </w:p>
        </w:tc>
        <w:tc>
          <w:tcPr>
            <w:tcW w:type="dxa" w:w="4891"/>
            <w:shd w:val="clear" w:color="auto" w:fill="F7F9FC"/>
          </w:tcPr>
          <w:p>
            <w:pPr>
              <w:spacing w:after="0"/>
            </w:pPr>
            <w:r>
              <w:rPr>
                <w:rFonts w:ascii="Calibri" w:hAnsi="Calibri" w:eastAsia="Calibri" w:cs="Calibri"/>
                <w:b w:val="0"/>
                <w:i w:val="0"/>
                <w:sz w:val="19"/>
                <w:lang w:val="en-US" w:bidi="fa-IR"/>
              </w:rPr>
              <w:t>Average inventory at cost / COGS per day</w:t>
            </w:r>
          </w:p>
        </w:tc>
      </w:tr>
      <w:tr>
        <w:trPr>
          <w:cantSplit/>
        </w:trPr>
        <w:tc>
          <w:tcPr>
            <w:tcW w:type="dxa" w:w="2877"/>
          </w:tcPr>
          <w:p>
            <w:pPr>
              <w:spacing w:after="0"/>
            </w:pPr>
            <w:r>
              <w:rPr>
                <w:rFonts w:ascii="Calibri" w:hAnsi="Calibri" w:eastAsia="Calibri" w:cs="Calibri"/>
                <w:b/>
                <w:i w:val="0"/>
                <w:sz w:val="19"/>
                <w:lang w:val="en-US" w:bidi="fa-IR"/>
              </w:rPr>
              <w:t>Weeks of cover</w:t>
            </w:r>
          </w:p>
        </w:tc>
        <w:tc>
          <w:tcPr>
            <w:tcW w:type="dxa" w:w="1870"/>
          </w:tcPr>
          <w:p>
            <w:pPr>
              <w:spacing w:after="0"/>
            </w:pPr>
            <w:r>
              <w:rPr>
                <w:rFonts w:ascii="Calibri" w:hAnsi="Calibri" w:eastAsia="Calibri" w:cs="Calibri"/>
                <w:b w:val="0"/>
                <w:i w:val="0"/>
                <w:sz w:val="19"/>
                <w:lang w:val="en-US" w:bidi="fa-IR"/>
              </w:rPr>
              <w:t>Operational</w:t>
            </w:r>
          </w:p>
        </w:tc>
        <w:tc>
          <w:tcPr>
            <w:tcW w:type="dxa" w:w="4891"/>
          </w:tcPr>
          <w:p>
            <w:pPr>
              <w:spacing w:after="0"/>
            </w:pPr>
            <w:r>
              <w:rPr>
                <w:rFonts w:ascii="Calibri" w:hAnsi="Calibri" w:eastAsia="Calibri" w:cs="Calibri"/>
                <w:b w:val="0"/>
                <w:i w:val="0"/>
                <w:sz w:val="19"/>
                <w:lang w:val="en-US" w:bidi="fa-IR"/>
              </w:rPr>
              <w:t>Average stock units / average weekly reconstructed demand</w:t>
            </w:r>
          </w:p>
        </w:tc>
      </w:tr>
      <w:tr>
        <w:trPr>
          <w:cantSplit/>
        </w:trPr>
        <w:tc>
          <w:tcPr>
            <w:tcW w:type="dxa" w:w="2877"/>
            <w:shd w:val="clear" w:color="auto" w:fill="F7F9FC"/>
          </w:tcPr>
          <w:p>
            <w:pPr>
              <w:spacing w:after="0"/>
            </w:pPr>
            <w:r>
              <w:rPr>
                <w:rFonts w:ascii="Calibri" w:hAnsi="Calibri" w:eastAsia="Calibri" w:cs="Calibri"/>
                <w:b/>
                <w:i w:val="0"/>
                <w:sz w:val="19"/>
                <w:lang w:val="en-US" w:bidi="fa-IR"/>
              </w:rPr>
              <w:t>Service level (fill rate)</w:t>
            </w:r>
          </w:p>
        </w:tc>
        <w:tc>
          <w:tcPr>
            <w:tcW w:type="dxa" w:w="1870"/>
            <w:shd w:val="clear" w:color="auto" w:fill="F7F9FC"/>
          </w:tcPr>
          <w:p>
            <w:pPr>
              <w:spacing w:after="0"/>
            </w:pPr>
            <w:r>
              <w:rPr>
                <w:rFonts w:ascii="Calibri" w:hAnsi="Calibri" w:eastAsia="Calibri" w:cs="Calibri"/>
                <w:b w:val="0"/>
                <w:i w:val="0"/>
                <w:sz w:val="19"/>
                <w:lang w:val="en-US" w:bidi="fa-IR"/>
              </w:rPr>
              <w:t>Operational</w:t>
            </w:r>
          </w:p>
        </w:tc>
        <w:tc>
          <w:tcPr>
            <w:tcW w:type="dxa" w:w="4891"/>
            <w:shd w:val="clear" w:color="auto" w:fill="F7F9FC"/>
          </w:tcPr>
          <w:p>
            <w:pPr>
              <w:spacing w:after="0"/>
            </w:pPr>
            <w:r>
              <w:rPr>
                <w:rFonts w:ascii="Calibri" w:hAnsi="Calibri" w:eastAsia="Calibri" w:cs="Calibri"/>
                <w:b w:val="0"/>
                <w:i w:val="0"/>
                <w:sz w:val="19"/>
                <w:lang w:val="en-US" w:bidi="fa-IR"/>
              </w:rPr>
              <w:t>Units sold / reconstructed demand</w:t>
            </w:r>
          </w:p>
        </w:tc>
      </w:tr>
      <w:tr>
        <w:trPr>
          <w:cantSplit/>
        </w:trPr>
        <w:tc>
          <w:tcPr>
            <w:tcW w:type="dxa" w:w="2877"/>
          </w:tcPr>
          <w:p>
            <w:pPr>
              <w:spacing w:after="0"/>
            </w:pPr>
            <w:r>
              <w:rPr>
                <w:rFonts w:ascii="Calibri" w:hAnsi="Calibri" w:eastAsia="Calibri" w:cs="Calibri"/>
                <w:b/>
                <w:i w:val="0"/>
                <w:sz w:val="19"/>
                <w:lang w:val="en-US" w:bidi="fa-IR"/>
              </w:rPr>
              <w:t>Lost revenue</w:t>
            </w:r>
          </w:p>
        </w:tc>
        <w:tc>
          <w:tcPr>
            <w:tcW w:type="dxa" w:w="1870"/>
          </w:tcPr>
          <w:p>
            <w:pPr>
              <w:spacing w:after="0"/>
            </w:pPr>
            <w:r>
              <w:rPr>
                <w:rFonts w:ascii="Calibri" w:hAnsi="Calibri" w:eastAsia="Calibri" w:cs="Calibri"/>
                <w:b w:val="0"/>
                <w:i w:val="0"/>
                <w:sz w:val="19"/>
                <w:lang w:val="en-US" w:bidi="fa-IR"/>
              </w:rPr>
              <w:t>Operational</w:t>
            </w:r>
          </w:p>
        </w:tc>
        <w:tc>
          <w:tcPr>
            <w:tcW w:type="dxa" w:w="4891"/>
          </w:tcPr>
          <w:p>
            <w:pPr>
              <w:spacing w:after="0"/>
            </w:pPr>
            <w:r>
              <w:rPr>
                <w:rFonts w:ascii="Calibri" w:hAnsi="Calibri" w:eastAsia="Calibri" w:cs="Calibri"/>
                <w:b w:val="0"/>
                <w:i w:val="0"/>
                <w:sz w:val="19"/>
                <w:lang w:val="en-US" w:bidi="fa-IR"/>
              </w:rPr>
              <w:t>Sum of max(demand - sales, 0) x price: demand not served because of stock-outs or stock caps</w:t>
            </w:r>
          </w:p>
        </w:tc>
      </w:tr>
      <w:tr>
        <w:trPr>
          <w:cantSplit/>
        </w:trPr>
        <w:tc>
          <w:tcPr>
            <w:tcW w:type="dxa" w:w="2877"/>
            <w:shd w:val="clear" w:color="auto" w:fill="F7F9FC"/>
          </w:tcPr>
          <w:p>
            <w:pPr>
              <w:spacing w:after="0"/>
            </w:pPr>
            <w:r>
              <w:rPr>
                <w:rFonts w:ascii="Calibri" w:hAnsi="Calibri" w:eastAsia="Calibri" w:cs="Calibri"/>
                <w:b/>
                <w:i w:val="0"/>
                <w:sz w:val="19"/>
                <w:lang w:val="en-US" w:bidi="fa-IR"/>
              </w:rPr>
              <w:t>DSO (days sales outstanding)</w:t>
            </w:r>
          </w:p>
        </w:tc>
        <w:tc>
          <w:tcPr>
            <w:tcW w:type="dxa" w:w="1870"/>
            <w:shd w:val="clear" w:color="auto" w:fill="F7F9FC"/>
          </w:tcPr>
          <w:p>
            <w:pPr>
              <w:spacing w:after="0"/>
            </w:pPr>
            <w:r>
              <w:rPr>
                <w:rFonts w:ascii="Calibri" w:hAnsi="Calibri" w:eastAsia="Calibri" w:cs="Calibri"/>
                <w:b w:val="0"/>
                <w:i w:val="0"/>
                <w:sz w:val="19"/>
                <w:lang w:val="en-US" w:bidi="fa-IR"/>
              </w:rPr>
              <w:t>Credit (scenario)</w:t>
            </w:r>
          </w:p>
        </w:tc>
        <w:tc>
          <w:tcPr>
            <w:tcW w:type="dxa" w:w="4891"/>
            <w:shd w:val="clear" w:color="auto" w:fill="F7F9FC"/>
          </w:tcPr>
          <w:p>
            <w:pPr>
              <w:spacing w:after="0"/>
            </w:pPr>
            <w:r>
              <w:rPr>
                <w:rFonts w:ascii="Calibri" w:hAnsi="Calibri" w:eastAsia="Calibri" w:cs="Calibri"/>
                <w:b w:val="0"/>
                <w:i w:val="0"/>
                <w:sz w:val="19"/>
                <w:lang w:val="en-US" w:bidi="fa-IR"/>
              </w:rPr>
              <w:t>Credit share x (payment terms + average delay), revenue-weighted over categories</w:t>
            </w:r>
          </w:p>
        </w:tc>
      </w:tr>
      <w:tr>
        <w:trPr>
          <w:cantSplit/>
        </w:trPr>
        <w:tc>
          <w:tcPr>
            <w:tcW w:type="dxa" w:w="2877"/>
          </w:tcPr>
          <w:p>
            <w:pPr>
              <w:spacing w:after="0"/>
            </w:pPr>
            <w:r>
              <w:rPr>
                <w:rFonts w:ascii="Calibri" w:hAnsi="Calibri" w:eastAsia="Calibri" w:cs="Calibri"/>
                <w:b/>
                <w:i w:val="0"/>
                <w:sz w:val="19"/>
                <w:lang w:val="en-US" w:bidi="fa-IR"/>
              </w:rPr>
              <w:t>Receivables</w:t>
            </w:r>
          </w:p>
        </w:tc>
        <w:tc>
          <w:tcPr>
            <w:tcW w:type="dxa" w:w="1870"/>
          </w:tcPr>
          <w:p>
            <w:pPr>
              <w:spacing w:after="0"/>
            </w:pPr>
            <w:r>
              <w:rPr>
                <w:rFonts w:ascii="Calibri" w:hAnsi="Calibri" w:eastAsia="Calibri" w:cs="Calibri"/>
                <w:b w:val="0"/>
                <w:i w:val="0"/>
                <w:sz w:val="19"/>
                <w:lang w:val="en-US" w:bidi="fa-IR"/>
              </w:rPr>
              <w:t>Credit (scenario)</w:t>
            </w:r>
          </w:p>
        </w:tc>
        <w:tc>
          <w:tcPr>
            <w:tcW w:type="dxa" w:w="4891"/>
          </w:tcPr>
          <w:p>
            <w:pPr>
              <w:spacing w:after="0"/>
            </w:pPr>
            <w:r>
              <w:rPr>
                <w:rFonts w:ascii="Calibri" w:hAnsi="Calibri" w:eastAsia="Calibri" w:cs="Calibri"/>
                <w:b w:val="0"/>
                <w:i w:val="0"/>
                <w:sz w:val="19"/>
                <w:lang w:val="en-US" w:bidi="fa-IR"/>
              </w:rPr>
              <w:t>Daily revenue x DSO per category</w:t>
            </w:r>
          </w:p>
        </w:tc>
      </w:tr>
      <w:tr>
        <w:trPr>
          <w:cantSplit/>
        </w:trPr>
        <w:tc>
          <w:tcPr>
            <w:tcW w:type="dxa" w:w="2877"/>
            <w:shd w:val="clear" w:color="auto" w:fill="F7F9FC"/>
          </w:tcPr>
          <w:p>
            <w:pPr>
              <w:spacing w:after="0"/>
            </w:pPr>
            <w:r>
              <w:rPr>
                <w:rFonts w:ascii="Calibri" w:hAnsi="Calibri" w:eastAsia="Calibri" w:cs="Calibri"/>
                <w:b/>
                <w:i w:val="0"/>
                <w:sz w:val="19"/>
                <w:lang w:val="en-US" w:bidi="fa-IR"/>
              </w:rPr>
              <w:t>Expected credit loss</w:t>
            </w:r>
          </w:p>
        </w:tc>
        <w:tc>
          <w:tcPr>
            <w:tcW w:type="dxa" w:w="1870"/>
            <w:shd w:val="clear" w:color="auto" w:fill="F7F9FC"/>
          </w:tcPr>
          <w:p>
            <w:pPr>
              <w:spacing w:after="0"/>
            </w:pPr>
            <w:r>
              <w:rPr>
                <w:rFonts w:ascii="Calibri" w:hAnsi="Calibri" w:eastAsia="Calibri" w:cs="Calibri"/>
                <w:b w:val="0"/>
                <w:i w:val="0"/>
                <w:sz w:val="19"/>
                <w:lang w:val="en-US" w:bidi="fa-IR"/>
              </w:rPr>
              <w:t>Credit (scenario)</w:t>
            </w:r>
          </w:p>
        </w:tc>
        <w:tc>
          <w:tcPr>
            <w:tcW w:type="dxa" w:w="4891"/>
            <w:shd w:val="clear" w:color="auto" w:fill="F7F9FC"/>
          </w:tcPr>
          <w:p>
            <w:pPr>
              <w:spacing w:after="0"/>
            </w:pPr>
            <w:r>
              <w:rPr>
                <w:rFonts w:ascii="Calibri" w:hAnsi="Calibri" w:eastAsia="Calibri" w:cs="Calibri"/>
                <w:b w:val="0"/>
                <w:i w:val="0"/>
                <w:sz w:val="19"/>
                <w:lang w:val="en-US" w:bidi="fa-IR"/>
              </w:rPr>
              <w:t>Credit share x annual default rate x annualised revenue</w:t>
            </w:r>
          </w:p>
        </w:tc>
      </w:tr>
      <w:tr>
        <w:trPr>
          <w:cantSplit/>
        </w:trPr>
        <w:tc>
          <w:tcPr>
            <w:tcW w:type="dxa" w:w="2877"/>
          </w:tcPr>
          <w:p>
            <w:pPr>
              <w:spacing w:after="0"/>
            </w:pPr>
            <w:r>
              <w:rPr>
                <w:rFonts w:ascii="Calibri" w:hAnsi="Calibri" w:eastAsia="Calibri" w:cs="Calibri"/>
                <w:b/>
                <w:i w:val="0"/>
                <w:sz w:val="19"/>
                <w:lang w:val="en-US" w:bidi="fa-IR"/>
              </w:rPr>
              <w:t>Default-risk rating A-E</w:t>
            </w:r>
          </w:p>
        </w:tc>
        <w:tc>
          <w:tcPr>
            <w:tcW w:type="dxa" w:w="1870"/>
          </w:tcPr>
          <w:p>
            <w:pPr>
              <w:spacing w:after="0"/>
            </w:pPr>
            <w:r>
              <w:rPr>
                <w:rFonts w:ascii="Calibri" w:hAnsi="Calibri" w:eastAsia="Calibri" w:cs="Calibri"/>
                <w:b w:val="0"/>
                <w:i w:val="0"/>
                <w:sz w:val="19"/>
                <w:lang w:val="en-US" w:bidi="fa-IR"/>
              </w:rPr>
              <w:t>Credit (scenario)</w:t>
            </w:r>
          </w:p>
        </w:tc>
        <w:tc>
          <w:tcPr>
            <w:tcW w:type="dxa" w:w="4891"/>
          </w:tcPr>
          <w:p>
            <w:pPr>
              <w:spacing w:after="0"/>
            </w:pPr>
            <w:r>
              <w:rPr>
                <w:rFonts w:ascii="Calibri" w:hAnsi="Calibri" w:eastAsia="Calibri" w:cs="Calibri"/>
                <w:b w:val="0"/>
                <w:i w:val="0"/>
                <w:sz w:val="19"/>
                <w:lang w:val="en-US" w:bidi="fa-IR"/>
              </w:rPr>
              <w:t>From a risk score; explained in 6.5</w:t>
            </w:r>
          </w:p>
        </w:tc>
      </w:tr>
    </w:tbl>
    <w:p>
      <w:pPr>
        <w:spacing w:after="40"/>
      </w:pPr>
    </w:p>
    <w:p>
      <w:pPr>
        <w:pStyle w:val="Heading2"/>
      </w:pPr>
      <w:r>
        <w:rPr>
          <w:rFonts w:ascii="Calibri" w:hAnsi="Calibri" w:eastAsia="Calibri" w:cs="Calibri"/>
          <w:b/>
          <w:i w:val="0"/>
          <w:color w:val="2A78D6"/>
          <w:sz w:val="28"/>
          <w:lang w:val="en-US" w:bidi="fa-IR"/>
        </w:rPr>
        <w:t>6.4 What the KPIs say (last 52 weeks)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876"/>
        <w:gridCol w:w="2733"/>
        <w:gridCol w:w="4027"/>
      </w:tblGrid>
      <w:tr>
        <w:trPr>
          <w:tblHeader/>
        </w:trPr>
        <w:tc>
          <w:tcPr>
            <w:tcW w:type="dxa" w:w="2877"/>
            <w:shd w:val="clear" w:color="auto" w:fill="12263F"/>
          </w:tcPr>
          <w:p>
            <w:pPr>
              <w:spacing w:after="0"/>
            </w:pPr>
            <w:r>
              <w:rPr>
                <w:rFonts w:ascii="Calibri" w:hAnsi="Calibri" w:eastAsia="Calibri" w:cs="Calibri"/>
                <w:b/>
                <w:i w:val="0"/>
                <w:color w:val="FFFFFF"/>
                <w:sz w:val="19"/>
                <w:lang w:val="en-US" w:bidi="fa-IR"/>
              </w:rPr>
              <w:t>KPI</w:t>
            </w:r>
          </w:p>
        </w:tc>
        <w:tc>
          <w:tcPr>
            <w:tcW w:type="dxa" w:w="2733"/>
            <w:shd w:val="clear" w:color="auto" w:fill="12263F"/>
          </w:tcPr>
          <w:p>
            <w:pPr>
              <w:spacing w:after="0"/>
            </w:pPr>
            <w:r>
              <w:rPr>
                <w:rFonts w:ascii="Calibri" w:hAnsi="Calibri" w:eastAsia="Calibri" w:cs="Calibri"/>
                <w:b/>
                <w:i w:val="0"/>
                <w:color w:val="FFFFFF"/>
                <w:sz w:val="19"/>
                <w:lang w:val="en-US" w:bidi="fa-IR"/>
              </w:rPr>
              <w:t>Value</w:t>
            </w:r>
          </w:p>
        </w:tc>
        <w:tc>
          <w:tcPr>
            <w:tcW w:type="dxa" w:w="4028"/>
            <w:shd w:val="clear" w:color="auto" w:fill="12263F"/>
          </w:tcPr>
          <w:p>
            <w:pPr>
              <w:spacing w:after="0"/>
            </w:pPr>
            <w:r>
              <w:rPr>
                <w:rFonts w:ascii="Calibri" w:hAnsi="Calibri" w:eastAsia="Calibri" w:cs="Calibri"/>
                <w:b/>
                <w:i w:val="0"/>
                <w:color w:val="FFFFFF"/>
                <w:sz w:val="19"/>
                <w:lang w:val="en-US" w:bidi="fa-IR"/>
              </w:rPr>
              <w:t>Reading</w:t>
            </w:r>
          </w:p>
        </w:tc>
      </w:tr>
      <w:tr>
        <w:trPr>
          <w:cantSplit/>
        </w:trPr>
        <w:tc>
          <w:tcPr>
            <w:tcW w:type="dxa" w:w="2877"/>
          </w:tcPr>
          <w:p>
            <w:pPr>
              <w:spacing w:after="0"/>
            </w:pPr>
            <w:r>
              <w:rPr>
                <w:rFonts w:ascii="Calibri" w:hAnsi="Calibri" w:eastAsia="Calibri" w:cs="Calibri"/>
                <w:b/>
                <w:i w:val="0"/>
                <w:sz w:val="19"/>
                <w:lang w:val="en-US" w:bidi="fa-IR"/>
              </w:rPr>
              <w:t>Revenue</w:t>
            </w:r>
          </w:p>
        </w:tc>
        <w:tc>
          <w:tcPr>
            <w:tcW w:type="dxa" w:w="2733"/>
          </w:tcPr>
          <w:p>
            <w:pPr>
              <w:spacing w:after="0"/>
            </w:pPr>
            <w:r>
              <w:rPr>
                <w:rFonts w:ascii="Calibri" w:hAnsi="Calibri" w:eastAsia="Calibri" w:cs="Calibri"/>
                <w:b w:val="0"/>
                <w:i w:val="0"/>
                <w:sz w:val="19"/>
                <w:lang w:val="en-US" w:bidi="fa-IR"/>
              </w:rPr>
              <w:t>65.4 million dollars</w:t>
            </w:r>
          </w:p>
        </w:tc>
        <w:tc>
          <w:tcPr>
            <w:tcW w:type="dxa" w:w="4028"/>
          </w:tcPr>
          <w:p>
            <w:pPr>
              <w:spacing w:after="0"/>
            </w:pPr>
            <w:r>
              <w:rPr>
                <w:rFonts w:ascii="Calibri" w:hAnsi="Calibri" w:eastAsia="Calibri" w:cs="Calibri"/>
                <w:b w:val="0"/>
                <w:i w:val="0"/>
                <w:sz w:val="19"/>
                <w:lang w:val="en-US" w:bidi="fa-IR"/>
              </w:rPr>
              <w:t>+3.3% against the previous 52 weeks</w:t>
            </w:r>
          </w:p>
        </w:tc>
      </w:tr>
      <w:tr>
        <w:trPr>
          <w:cantSplit/>
        </w:trPr>
        <w:tc>
          <w:tcPr>
            <w:tcW w:type="dxa" w:w="2877"/>
            <w:shd w:val="clear" w:color="auto" w:fill="F7F9FC"/>
          </w:tcPr>
          <w:p>
            <w:pPr>
              <w:spacing w:after="0"/>
            </w:pPr>
            <w:r>
              <w:rPr>
                <w:rFonts w:ascii="Calibri" w:hAnsi="Calibri" w:eastAsia="Calibri" w:cs="Calibri"/>
                <w:b/>
                <w:i w:val="0"/>
                <w:sz w:val="19"/>
                <w:lang w:val="en-US" w:bidi="fa-IR"/>
              </w:rPr>
              <w:t>Gross margin</w:t>
            </w:r>
          </w:p>
        </w:tc>
        <w:tc>
          <w:tcPr>
            <w:tcW w:type="dxa" w:w="2733"/>
            <w:shd w:val="clear" w:color="auto" w:fill="F7F9FC"/>
          </w:tcPr>
          <w:p>
            <w:pPr>
              <w:spacing w:after="0"/>
            </w:pPr>
            <w:r>
              <w:rPr>
                <w:rFonts w:ascii="Calibri" w:hAnsi="Calibri" w:eastAsia="Calibri" w:cs="Calibri"/>
                <w:b w:val="0"/>
                <w:i w:val="0"/>
                <w:sz w:val="19"/>
                <w:lang w:val="en-US" w:bidi="fa-IR"/>
              </w:rPr>
              <w:t>21.5%</w:t>
            </w:r>
          </w:p>
        </w:tc>
        <w:tc>
          <w:tcPr>
            <w:tcW w:type="dxa" w:w="4028"/>
            <w:shd w:val="clear" w:color="auto" w:fill="F7F9FC"/>
          </w:tcPr>
          <w:p>
            <w:pPr>
              <w:spacing w:after="0"/>
            </w:pPr>
            <w:r>
              <w:rPr>
                <w:rFonts w:ascii="Calibri" w:hAnsi="Calibri" w:eastAsia="Calibri" w:cs="Calibri"/>
                <w:b w:val="0"/>
                <w:i w:val="0"/>
                <w:sz w:val="19"/>
                <w:lang w:val="en-US" w:bidi="fa-IR"/>
              </w:rPr>
              <w:t>Stable across quarters and categories (21-22%): the lever is volume and stock, not price</w:t>
            </w:r>
          </w:p>
        </w:tc>
      </w:tr>
      <w:tr>
        <w:trPr>
          <w:cantSplit/>
        </w:trPr>
        <w:tc>
          <w:tcPr>
            <w:tcW w:type="dxa" w:w="2877"/>
          </w:tcPr>
          <w:p>
            <w:pPr>
              <w:spacing w:after="0"/>
            </w:pPr>
            <w:r>
              <w:rPr>
                <w:rFonts w:ascii="Calibri" w:hAnsi="Calibri" w:eastAsia="Calibri" w:cs="Calibri"/>
                <w:b/>
                <w:i w:val="0"/>
                <w:sz w:val="19"/>
                <w:lang w:val="en-US" w:bidi="fa-IR"/>
              </w:rPr>
              <w:t>Operating profit</w:t>
            </w:r>
          </w:p>
        </w:tc>
        <w:tc>
          <w:tcPr>
            <w:tcW w:type="dxa" w:w="2733"/>
          </w:tcPr>
          <w:p>
            <w:pPr>
              <w:spacing w:after="0"/>
            </w:pPr>
            <w:r>
              <w:rPr>
                <w:rFonts w:ascii="Calibri" w:hAnsi="Calibri" w:eastAsia="Calibri" w:cs="Calibri"/>
                <w:b w:val="0"/>
                <w:i w:val="0"/>
                <w:sz w:val="19"/>
                <w:lang w:val="en-US" w:bidi="fa-IR"/>
              </w:rPr>
              <w:t>7.6 million dollars (11.7%)</w:t>
            </w:r>
          </w:p>
        </w:tc>
        <w:tc>
          <w:tcPr>
            <w:tcW w:type="dxa" w:w="4028"/>
          </w:tcPr>
          <w:p>
            <w:pPr>
              <w:spacing w:after="0"/>
            </w:pPr>
            <w:r>
              <w:rPr>
                <w:rFonts w:ascii="Calibri" w:hAnsi="Calibri" w:eastAsia="Calibri" w:cs="Calibri"/>
                <w:b w:val="0"/>
                <w:i w:val="0"/>
                <w:sz w:val="19"/>
                <w:lang w:val="en-US" w:bidi="fa-IR"/>
              </w:rPr>
              <w:t>Implied operating expenses 6.4 million dollars</w:t>
            </w:r>
          </w:p>
        </w:tc>
      </w:tr>
      <w:tr>
        <w:trPr>
          <w:cantSplit/>
        </w:trPr>
        <w:tc>
          <w:tcPr>
            <w:tcW w:type="dxa" w:w="2877"/>
            <w:shd w:val="clear" w:color="auto" w:fill="F7F9FC"/>
          </w:tcPr>
          <w:p>
            <w:pPr>
              <w:spacing w:after="0"/>
            </w:pPr>
            <w:r>
              <w:rPr>
                <w:rFonts w:ascii="Calibri" w:hAnsi="Calibri" w:eastAsia="Calibri" w:cs="Calibri"/>
                <w:b/>
                <w:i w:val="0"/>
                <w:sz w:val="19"/>
                <w:lang w:val="en-US" w:bidi="fa-IR"/>
              </w:rPr>
              <w:t>Inventory turnover / DSI</w:t>
            </w:r>
          </w:p>
        </w:tc>
        <w:tc>
          <w:tcPr>
            <w:tcW w:type="dxa" w:w="2733"/>
            <w:shd w:val="clear" w:color="auto" w:fill="F7F9FC"/>
          </w:tcPr>
          <w:p>
            <w:pPr>
              <w:spacing w:after="0"/>
            </w:pPr>
            <w:r>
              <w:rPr>
                <w:rFonts w:ascii="Calibri" w:hAnsi="Calibri" w:eastAsia="Calibri" w:cs="Calibri"/>
                <w:b w:val="0"/>
                <w:i w:val="0"/>
                <w:sz w:val="19"/>
                <w:lang w:val="en-US" w:bidi="fa-IR"/>
              </w:rPr>
              <w:t>3.9x / 92 days</w:t>
            </w:r>
          </w:p>
        </w:tc>
        <w:tc>
          <w:tcPr>
            <w:tcW w:type="dxa" w:w="4028"/>
            <w:shd w:val="clear" w:color="auto" w:fill="F7F9FC"/>
          </w:tcPr>
          <w:p>
            <w:pPr>
              <w:spacing w:after="0"/>
            </w:pPr>
            <w:r>
              <w:rPr>
                <w:rFonts w:ascii="Calibri" w:hAnsi="Calibri" w:eastAsia="Calibri" w:cs="Calibri"/>
                <w:b w:val="0"/>
                <w:i w:val="0"/>
                <w:sz w:val="19"/>
                <w:lang w:val="en-US" w:bidi="fa-IR"/>
              </w:rPr>
              <w:t>The average hides two worlds: 23 lean products with about 1 week of cover and 7 over-stocked ones (up to 370 weeks)</w:t>
            </w:r>
          </w:p>
        </w:tc>
      </w:tr>
      <w:tr>
        <w:trPr>
          <w:cantSplit/>
        </w:trPr>
        <w:tc>
          <w:tcPr>
            <w:tcW w:type="dxa" w:w="2877"/>
          </w:tcPr>
          <w:p>
            <w:pPr>
              <w:spacing w:after="0"/>
            </w:pPr>
            <w:r>
              <w:rPr>
                <w:rFonts w:ascii="Calibri" w:hAnsi="Calibri" w:eastAsia="Calibri" w:cs="Calibri"/>
                <w:b/>
                <w:i w:val="0"/>
                <w:sz w:val="19"/>
                <w:lang w:val="en-US" w:bidi="fa-IR"/>
              </w:rPr>
              <w:t>Service level</w:t>
            </w:r>
          </w:p>
        </w:tc>
        <w:tc>
          <w:tcPr>
            <w:tcW w:type="dxa" w:w="2733"/>
          </w:tcPr>
          <w:p>
            <w:pPr>
              <w:spacing w:after="0"/>
            </w:pPr>
            <w:r>
              <w:rPr>
                <w:rFonts w:ascii="Calibri" w:hAnsi="Calibri" w:eastAsia="Calibri" w:cs="Calibri"/>
                <w:b w:val="0"/>
                <w:i w:val="0"/>
                <w:sz w:val="19"/>
                <w:lang w:val="en-US" w:bidi="fa-IR"/>
              </w:rPr>
              <w:t>60%</w:t>
            </w:r>
          </w:p>
        </w:tc>
        <w:tc>
          <w:tcPr>
            <w:tcW w:type="dxa" w:w="4028"/>
          </w:tcPr>
          <w:p>
            <w:pPr>
              <w:spacing w:after="0"/>
            </w:pPr>
            <w:r>
              <w:rPr>
                <w:rFonts w:ascii="Calibri" w:hAnsi="Calibri" w:eastAsia="Calibri" w:cs="Calibri"/>
                <w:b w:val="0"/>
                <w:i w:val="0"/>
                <w:sz w:val="19"/>
                <w:lang w:val="en-US" w:bidi="fa-IR"/>
              </w:rPr>
              <w:t>40% of demand value is not served</w:t>
            </w:r>
          </w:p>
        </w:tc>
      </w:tr>
      <w:tr>
        <w:trPr>
          <w:cantSplit/>
        </w:trPr>
        <w:tc>
          <w:tcPr>
            <w:tcW w:type="dxa" w:w="2877"/>
            <w:shd w:val="clear" w:color="auto" w:fill="F7F9FC"/>
          </w:tcPr>
          <w:p>
            <w:pPr>
              <w:spacing w:after="0"/>
            </w:pPr>
            <w:r>
              <w:rPr>
                <w:rFonts w:ascii="Calibri" w:hAnsi="Calibri" w:eastAsia="Calibri" w:cs="Calibri"/>
                <w:b/>
                <w:i w:val="0"/>
                <w:sz w:val="19"/>
                <w:lang w:val="en-US" w:bidi="fa-IR"/>
              </w:rPr>
              <w:t>Lost revenue</w:t>
            </w:r>
          </w:p>
        </w:tc>
        <w:tc>
          <w:tcPr>
            <w:tcW w:type="dxa" w:w="2733"/>
            <w:shd w:val="clear" w:color="auto" w:fill="F7F9FC"/>
          </w:tcPr>
          <w:p>
            <w:pPr>
              <w:spacing w:after="0"/>
            </w:pPr>
            <w:r>
              <w:rPr>
                <w:rFonts w:ascii="Calibri" w:hAnsi="Calibri" w:eastAsia="Calibri" w:cs="Calibri"/>
                <w:b w:val="0"/>
                <w:i w:val="0"/>
                <w:sz w:val="19"/>
                <w:lang w:val="en-US" w:bidi="fa-IR"/>
              </w:rPr>
              <w:t>43.2 million dollars</w:t>
            </w:r>
          </w:p>
        </w:tc>
        <w:tc>
          <w:tcPr>
            <w:tcW w:type="dxa" w:w="4028"/>
            <w:shd w:val="clear" w:color="auto" w:fill="F7F9FC"/>
          </w:tcPr>
          <w:p>
            <w:pPr>
              <w:spacing w:after="0"/>
            </w:pPr>
            <w:r>
              <w:rPr>
                <w:rFonts w:ascii="Calibri" w:hAnsi="Calibri" w:eastAsia="Calibri" w:cs="Calibri"/>
                <w:b w:val="0"/>
                <w:i w:val="0"/>
                <w:sz w:val="19"/>
                <w:lang w:val="en-US" w:bidi="fa-IR"/>
              </w:rPr>
              <w:t>Reconstructed demand minus sales, at price</w:t>
            </w:r>
          </w:p>
        </w:tc>
      </w:tr>
      <w:tr>
        <w:trPr>
          <w:cantSplit/>
        </w:trPr>
        <w:tc>
          <w:tcPr>
            <w:tcW w:type="dxa" w:w="2877"/>
          </w:tcPr>
          <w:p>
            <w:pPr>
              <w:spacing w:after="0"/>
            </w:pPr>
            <w:r>
              <w:rPr>
                <w:rFonts w:ascii="Calibri" w:hAnsi="Calibri" w:eastAsia="Calibri" w:cs="Calibri"/>
                <w:b/>
                <w:i w:val="0"/>
                <w:sz w:val="19"/>
                <w:lang w:val="en-US" w:bidi="fa-IR"/>
              </w:rPr>
              <w:t>DSO / expected credit loss (scenario)</w:t>
            </w:r>
          </w:p>
        </w:tc>
        <w:tc>
          <w:tcPr>
            <w:tcW w:type="dxa" w:w="2733"/>
          </w:tcPr>
          <w:p>
            <w:pPr>
              <w:spacing w:after="0"/>
            </w:pPr>
            <w:r>
              <w:rPr>
                <w:rFonts w:ascii="Calibri" w:hAnsi="Calibri" w:eastAsia="Calibri" w:cs="Calibri"/>
                <w:b w:val="0"/>
                <w:i w:val="0"/>
                <w:sz w:val="19"/>
                <w:lang w:val="en-US" w:bidi="fa-IR"/>
              </w:rPr>
              <w:t>37 days / 0.52 million dollars a year</w:t>
            </w:r>
          </w:p>
        </w:tc>
        <w:tc>
          <w:tcPr>
            <w:tcW w:type="dxa" w:w="4028"/>
          </w:tcPr>
          <w:p>
            <w:pPr>
              <w:spacing w:after="0"/>
            </w:pPr>
            <w:r>
              <w:rPr>
                <w:rFonts w:ascii="Calibri" w:hAnsi="Calibri" w:eastAsia="Calibri" w:cs="Calibri"/>
                <w:b w:val="0"/>
                <w:i w:val="0"/>
                <w:sz w:val="19"/>
                <w:lang w:val="en-US" w:bidi="fa-IR"/>
              </w:rPr>
              <w:t>Worst rating D (Beverages and Cocoa)</w:t>
            </w:r>
          </w:p>
        </w:tc>
      </w:tr>
    </w:tbl>
    <w:p>
      <w:pPr>
        <w:spacing w:after="40"/>
      </w:pPr>
    </w:p>
    <w:p>
      <w:pPr>
        <w:pStyle w:val="Heading2"/>
      </w:pPr>
      <w:r>
        <w:rPr>
          <w:rFonts w:ascii="Calibri" w:hAnsi="Calibri" w:eastAsia="Calibri" w:cs="Calibri"/>
          <w:b/>
          <w:i w:val="0"/>
          <w:color w:val="2A78D6"/>
          <w:sz w:val="28"/>
          <w:lang w:val="en-US" w:bidi="fa-IR"/>
        </w:rPr>
        <w:t>6.5 The credit-risk rating A to E</w:t>
      </w:r>
    </w:p>
    <w:p>
      <w:r>
        <w:rPr>
          <w:rFonts w:ascii="Calibri" w:hAnsi="Calibri" w:eastAsia="Calibri" w:cs="Calibri"/>
          <w:b w:val="0"/>
          <w:i w:val="0"/>
          <w:lang w:val="en-US" w:bidi="fa-IR"/>
        </w:rPr>
        <w:t>What it is: a single letter that summarises how risky it is to sell on credit in a product category: A is the lowest risk, E the highest. Why it is useful: managers cannot read four numbers for every category, and the letter lets the system act (it raises alerts and it switches pricing rules in Part 4).</w:t>
      </w:r>
    </w:p>
    <w:p>
      <w:r>
        <w:rPr>
          <w:rFonts w:ascii="Calibri" w:hAnsi="Calibri" w:eastAsia="Calibri" w:cs="Calibri"/>
          <w:b w:val="0"/>
          <w:i w:val="0"/>
          <w:lang w:val="en-US" w:bidi="fa-IR"/>
        </w:rPr>
        <w:t>Inputs are scenario assumptions per category, because the data has no customers, invoices or payment terms: payment terms (days), share of sales on credit, average payment delay (days) and annual default rate. They are editable in the application and labelled as assumptions. From them a risk score between 0 and 100 is built:</w:t>
      </w:r>
    </w:p>
    <w:p>
      <w:pPr>
        <w:spacing w:before="80" w:after="160"/>
        <w:jc w:val="center"/>
        <w:shd w:val="clear" w:color="auto" w:fill="F2F6FB"/>
      </w:pPr>
      <w:r>
        <w:rPr>
          <w:rFonts w:ascii="Consolas" w:hAnsi="Consolas" w:eastAsia="Consolas" w:cs="Consolas"/>
          <w:b/>
          <w:i w:val="0"/>
          <w:color w:val="12263F"/>
          <w:sz w:val="20"/>
          <w:lang w:val="en-US" w:bidi="fa-IR"/>
        </w:rPr>
        <w:t>risk score = 0.40 x default score + 0.20 x lateness score + 0.25 x buffer score + 0.15 x concentration score</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589"/>
        <w:gridCol w:w="1150"/>
        <w:gridCol w:w="3452"/>
        <w:gridCol w:w="2445"/>
      </w:tblGrid>
      <w:tr>
        <w:trPr>
          <w:tblHeader/>
        </w:trPr>
        <w:tc>
          <w:tcPr>
            <w:tcW w:type="dxa" w:w="2589"/>
            <w:shd w:val="clear" w:color="auto" w:fill="12263F"/>
          </w:tcPr>
          <w:p>
            <w:pPr>
              <w:spacing w:after="0"/>
            </w:pPr>
            <w:r>
              <w:rPr>
                <w:rFonts w:ascii="Calibri" w:hAnsi="Calibri" w:eastAsia="Calibri" w:cs="Calibri"/>
                <w:b/>
                <w:i w:val="0"/>
                <w:color w:val="FFFFFF"/>
                <w:sz w:val="18"/>
                <w:lang w:val="en-US" w:bidi="fa-IR"/>
              </w:rPr>
              <w:t>Component</w:t>
            </w:r>
          </w:p>
        </w:tc>
        <w:tc>
          <w:tcPr>
            <w:tcW w:type="dxa" w:w="1151"/>
            <w:shd w:val="clear" w:color="auto" w:fill="12263F"/>
          </w:tcPr>
          <w:p>
            <w:pPr>
              <w:spacing w:after="0"/>
            </w:pPr>
            <w:r>
              <w:rPr>
                <w:rFonts w:ascii="Calibri" w:hAnsi="Calibri" w:eastAsia="Calibri" w:cs="Calibri"/>
                <w:b/>
                <w:i w:val="0"/>
                <w:color w:val="FFFFFF"/>
                <w:sz w:val="18"/>
                <w:lang w:val="en-US" w:bidi="fa-IR"/>
              </w:rPr>
              <w:t>Weight</w:t>
            </w:r>
          </w:p>
        </w:tc>
        <w:tc>
          <w:tcPr>
            <w:tcW w:type="dxa" w:w="3452"/>
            <w:shd w:val="clear" w:color="auto" w:fill="12263F"/>
          </w:tcPr>
          <w:p>
            <w:pPr>
              <w:spacing w:after="0"/>
            </w:pPr>
            <w:r>
              <w:rPr>
                <w:rFonts w:ascii="Calibri" w:hAnsi="Calibri" w:eastAsia="Calibri" w:cs="Calibri"/>
                <w:b/>
                <w:i w:val="0"/>
                <w:color w:val="FFFFFF"/>
                <w:sz w:val="18"/>
                <w:lang w:val="en-US" w:bidi="fa-IR"/>
              </w:rPr>
              <w:t>Scaled to 0-100 as</w:t>
            </w:r>
          </w:p>
        </w:tc>
        <w:tc>
          <w:tcPr>
            <w:tcW w:type="dxa" w:w="2445"/>
            <w:shd w:val="clear" w:color="auto" w:fill="12263F"/>
          </w:tcPr>
          <w:p>
            <w:pPr>
              <w:spacing w:after="0"/>
            </w:pPr>
            <w:r>
              <w:rPr>
                <w:rFonts w:ascii="Calibri" w:hAnsi="Calibri" w:eastAsia="Calibri" w:cs="Calibri"/>
                <w:b/>
                <w:i w:val="0"/>
                <w:color w:val="FFFFFF"/>
                <w:sz w:val="18"/>
                <w:lang w:val="en-US" w:bidi="fa-IR"/>
              </w:rPr>
              <w:t>Maximum score when</w:t>
            </w:r>
          </w:p>
        </w:tc>
      </w:tr>
      <w:tr>
        <w:trPr>
          <w:cantSplit/>
        </w:trPr>
        <w:tc>
          <w:tcPr>
            <w:tcW w:type="dxa" w:w="2589"/>
          </w:tcPr>
          <w:p>
            <w:pPr>
              <w:spacing w:after="0"/>
            </w:pPr>
            <w:r>
              <w:rPr>
                <w:rFonts w:ascii="Calibri" w:hAnsi="Calibri" w:eastAsia="Calibri" w:cs="Calibri"/>
                <w:b/>
                <w:i w:val="0"/>
                <w:sz w:val="18"/>
                <w:lang w:val="en-US" w:bidi="fa-IR"/>
              </w:rPr>
              <w:t>Default rate</w:t>
            </w:r>
          </w:p>
        </w:tc>
        <w:tc>
          <w:tcPr>
            <w:tcW w:type="dxa" w:w="1151"/>
          </w:tcPr>
          <w:p>
            <w:pPr>
              <w:spacing w:after="0"/>
            </w:pPr>
            <w:r>
              <w:rPr>
                <w:rFonts w:ascii="Calibri" w:hAnsi="Calibri" w:eastAsia="Calibri" w:cs="Calibri"/>
                <w:b w:val="0"/>
                <w:i w:val="0"/>
                <w:sz w:val="18"/>
                <w:lang w:val="en-US" w:bidi="fa-IR"/>
              </w:rPr>
              <w:t>40%</w:t>
            </w:r>
          </w:p>
        </w:tc>
        <w:tc>
          <w:tcPr>
            <w:tcW w:type="dxa" w:w="3452"/>
          </w:tcPr>
          <w:p>
            <w:pPr>
              <w:spacing w:after="0"/>
            </w:pPr>
            <w:r>
              <w:rPr>
                <w:rFonts w:ascii="Calibri" w:hAnsi="Calibri" w:eastAsia="Calibri" w:cs="Calibri"/>
                <w:b w:val="0"/>
                <w:i w:val="0"/>
                <w:sz w:val="18"/>
                <w:lang w:val="en-US" w:bidi="fa-IR"/>
              </w:rPr>
              <w:t>annual default rate / 3%</w:t>
            </w:r>
          </w:p>
        </w:tc>
        <w:tc>
          <w:tcPr>
            <w:tcW w:type="dxa" w:w="2445"/>
          </w:tcPr>
          <w:p>
            <w:pPr>
              <w:spacing w:after="0"/>
            </w:pPr>
            <w:r>
              <w:rPr>
                <w:rFonts w:ascii="Calibri" w:hAnsi="Calibri" w:eastAsia="Calibri" w:cs="Calibri"/>
                <w:b w:val="0"/>
                <w:i w:val="0"/>
                <w:sz w:val="18"/>
                <w:lang w:val="en-US" w:bidi="fa-IR"/>
              </w:rPr>
              <w:t>default rate is 3% or more</w:t>
            </w:r>
          </w:p>
        </w:tc>
      </w:tr>
      <w:tr>
        <w:trPr>
          <w:cantSplit/>
        </w:trPr>
        <w:tc>
          <w:tcPr>
            <w:tcW w:type="dxa" w:w="2589"/>
            <w:shd w:val="clear" w:color="auto" w:fill="F7F9FC"/>
          </w:tcPr>
          <w:p>
            <w:pPr>
              <w:spacing w:after="0"/>
            </w:pPr>
            <w:r>
              <w:rPr>
                <w:rFonts w:ascii="Calibri" w:hAnsi="Calibri" w:eastAsia="Calibri" w:cs="Calibri"/>
                <w:b/>
                <w:i w:val="0"/>
                <w:sz w:val="18"/>
                <w:lang w:val="en-US" w:bidi="fa-IR"/>
              </w:rPr>
              <w:t>Lateness</w:t>
            </w:r>
          </w:p>
        </w:tc>
        <w:tc>
          <w:tcPr>
            <w:tcW w:type="dxa" w:w="1151"/>
            <w:shd w:val="clear" w:color="auto" w:fill="F7F9FC"/>
          </w:tcPr>
          <w:p>
            <w:pPr>
              <w:spacing w:after="0"/>
            </w:pPr>
            <w:r>
              <w:rPr>
                <w:rFonts w:ascii="Calibri" w:hAnsi="Calibri" w:eastAsia="Calibri" w:cs="Calibri"/>
                <w:b w:val="0"/>
                <w:i w:val="0"/>
                <w:sz w:val="18"/>
                <w:lang w:val="en-US" w:bidi="fa-IR"/>
              </w:rPr>
              <w:t>20%</w:t>
            </w:r>
          </w:p>
        </w:tc>
        <w:tc>
          <w:tcPr>
            <w:tcW w:type="dxa" w:w="3452"/>
            <w:shd w:val="clear" w:color="auto" w:fill="F7F9FC"/>
          </w:tcPr>
          <w:p>
            <w:pPr>
              <w:spacing w:after="0"/>
            </w:pPr>
            <w:r>
              <w:rPr>
                <w:rFonts w:ascii="Calibri" w:hAnsi="Calibri" w:eastAsia="Calibri" w:cs="Calibri"/>
                <w:b w:val="0"/>
                <w:i w:val="0"/>
                <w:sz w:val="18"/>
                <w:lang w:val="en-US" w:bidi="fa-IR"/>
              </w:rPr>
              <w:t>(average delay / payment terms) / 50%</w:t>
            </w:r>
          </w:p>
        </w:tc>
        <w:tc>
          <w:tcPr>
            <w:tcW w:type="dxa" w:w="2445"/>
            <w:shd w:val="clear" w:color="auto" w:fill="F7F9FC"/>
          </w:tcPr>
          <w:p>
            <w:pPr>
              <w:spacing w:after="0"/>
            </w:pPr>
            <w:r>
              <w:rPr>
                <w:rFonts w:ascii="Calibri" w:hAnsi="Calibri" w:eastAsia="Calibri" w:cs="Calibri"/>
                <w:b w:val="0"/>
                <w:i w:val="0"/>
                <w:sz w:val="18"/>
                <w:lang w:val="en-US" w:bidi="fa-IR"/>
              </w:rPr>
              <w:t>delay is half of the terms or more</w:t>
            </w:r>
          </w:p>
        </w:tc>
      </w:tr>
      <w:tr>
        <w:trPr>
          <w:cantSplit/>
        </w:trPr>
        <w:tc>
          <w:tcPr>
            <w:tcW w:type="dxa" w:w="2589"/>
          </w:tcPr>
          <w:p>
            <w:pPr>
              <w:spacing w:after="0"/>
            </w:pPr>
            <w:r>
              <w:rPr>
                <w:rFonts w:ascii="Calibri" w:hAnsi="Calibri" w:eastAsia="Calibri" w:cs="Calibri"/>
                <w:b/>
                <w:i w:val="0"/>
                <w:sz w:val="18"/>
                <w:lang w:val="en-US" w:bidi="fa-IR"/>
              </w:rPr>
              <w:t>Loss versus margin (buffer)</w:t>
            </w:r>
          </w:p>
        </w:tc>
        <w:tc>
          <w:tcPr>
            <w:tcW w:type="dxa" w:w="1151"/>
          </w:tcPr>
          <w:p>
            <w:pPr>
              <w:spacing w:after="0"/>
            </w:pPr>
            <w:r>
              <w:rPr>
                <w:rFonts w:ascii="Calibri" w:hAnsi="Calibri" w:eastAsia="Calibri" w:cs="Calibri"/>
                <w:b w:val="0"/>
                <w:i w:val="0"/>
                <w:sz w:val="18"/>
                <w:lang w:val="en-US" w:bidi="fa-IR"/>
              </w:rPr>
              <w:t>25%</w:t>
            </w:r>
          </w:p>
        </w:tc>
        <w:tc>
          <w:tcPr>
            <w:tcW w:type="dxa" w:w="3452"/>
          </w:tcPr>
          <w:p>
            <w:pPr>
              <w:spacing w:after="0"/>
            </w:pPr>
            <w:r>
              <w:rPr>
                <w:rFonts w:ascii="Calibri" w:hAnsi="Calibri" w:eastAsia="Calibri" w:cs="Calibri"/>
                <w:b w:val="0"/>
                <w:i w:val="0"/>
                <w:sz w:val="18"/>
                <w:lang w:val="en-US" w:bidi="fa-IR"/>
              </w:rPr>
              <w:t>expected credit loss as a share of gross profit / 15%</w:t>
            </w:r>
          </w:p>
        </w:tc>
        <w:tc>
          <w:tcPr>
            <w:tcW w:type="dxa" w:w="2445"/>
          </w:tcPr>
          <w:p>
            <w:pPr>
              <w:spacing w:after="0"/>
            </w:pPr>
            <w:r>
              <w:rPr>
                <w:rFonts w:ascii="Calibri" w:hAnsi="Calibri" w:eastAsia="Calibri" w:cs="Calibri"/>
                <w:b w:val="0"/>
                <w:i w:val="0"/>
                <w:sz w:val="18"/>
                <w:lang w:val="en-US" w:bidi="fa-IR"/>
              </w:rPr>
              <w:t>loss is 15% of gross profit or more</w:t>
            </w:r>
          </w:p>
        </w:tc>
      </w:tr>
      <w:tr>
        <w:trPr>
          <w:cantSplit/>
        </w:trPr>
        <w:tc>
          <w:tcPr>
            <w:tcW w:type="dxa" w:w="2589"/>
            <w:shd w:val="clear" w:color="auto" w:fill="F7F9FC"/>
          </w:tcPr>
          <w:p>
            <w:pPr>
              <w:spacing w:after="0"/>
            </w:pPr>
            <w:r>
              <w:rPr>
                <w:rFonts w:ascii="Calibri" w:hAnsi="Calibri" w:eastAsia="Calibri" w:cs="Calibri"/>
                <w:b/>
                <w:i w:val="0"/>
                <w:sz w:val="18"/>
                <w:lang w:val="en-US" w:bidi="fa-IR"/>
              </w:rPr>
              <w:t>Concentration</w:t>
            </w:r>
          </w:p>
        </w:tc>
        <w:tc>
          <w:tcPr>
            <w:tcW w:type="dxa" w:w="1151"/>
            <w:shd w:val="clear" w:color="auto" w:fill="F7F9FC"/>
          </w:tcPr>
          <w:p>
            <w:pPr>
              <w:spacing w:after="0"/>
            </w:pPr>
            <w:r>
              <w:rPr>
                <w:rFonts w:ascii="Calibri" w:hAnsi="Calibri" w:eastAsia="Calibri" w:cs="Calibri"/>
                <w:b w:val="0"/>
                <w:i w:val="0"/>
                <w:sz w:val="18"/>
                <w:lang w:val="en-US" w:bidi="fa-IR"/>
              </w:rPr>
              <w:t>15%</w:t>
            </w:r>
          </w:p>
        </w:tc>
        <w:tc>
          <w:tcPr>
            <w:tcW w:type="dxa" w:w="3452"/>
            <w:shd w:val="clear" w:color="auto" w:fill="F7F9FC"/>
          </w:tcPr>
          <w:p>
            <w:pPr>
              <w:spacing w:after="0"/>
            </w:pPr>
            <w:r>
              <w:rPr>
                <w:rFonts w:ascii="Calibri" w:hAnsi="Calibri" w:eastAsia="Calibri" w:cs="Calibri"/>
                <w:b w:val="0"/>
                <w:i w:val="0"/>
                <w:sz w:val="18"/>
                <w:lang w:val="en-US" w:bidi="fa-IR"/>
              </w:rPr>
              <w:t>category share of revenue / 25%</w:t>
            </w:r>
          </w:p>
        </w:tc>
        <w:tc>
          <w:tcPr>
            <w:tcW w:type="dxa" w:w="2445"/>
            <w:shd w:val="clear" w:color="auto" w:fill="F7F9FC"/>
          </w:tcPr>
          <w:p>
            <w:pPr>
              <w:spacing w:after="0"/>
            </w:pPr>
            <w:r>
              <w:rPr>
                <w:rFonts w:ascii="Calibri" w:hAnsi="Calibri" w:eastAsia="Calibri" w:cs="Calibri"/>
                <w:b w:val="0"/>
                <w:i w:val="0"/>
                <w:sz w:val="18"/>
                <w:lang w:val="en-US" w:bidi="fa-IR"/>
              </w:rPr>
              <w:t>category is 25% of revenue or more</w:t>
            </w:r>
          </w:p>
        </w:tc>
      </w:tr>
    </w:tbl>
    <w:p>
      <w:pPr>
        <w:spacing w:after="40"/>
      </w:pPr>
    </w:p>
    <w:p>
      <w:r>
        <w:rPr>
          <w:rFonts w:ascii="Calibri" w:hAnsi="Calibri" w:eastAsia="Calibri" w:cs="Calibri"/>
          <w:b w:val="0"/>
          <w:i w:val="0"/>
          <w:lang w:val="en-US" w:bidi="fa-IR"/>
        </w:rPr>
        <w:t>Bands: A below 20, B below 35, C below 50, D below 65, E 65 or above. Worked example: Beverages and Cocoa has 60 (default) x 0.40 + 40 (lateness) x 0.20 + 42 (buffer) x 0.25 + 71 (concentration) x 0.15 = 53, so the rating is D. It has long terms (60 days), many credit sales (75 percent) and a large share of revenue (18 percent).</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977"/>
        <w:gridCol w:w="1988"/>
        <w:gridCol w:w="1682"/>
        <w:gridCol w:w="1988"/>
      </w:tblGrid>
      <w:tr>
        <w:trPr>
          <w:tblHeader/>
        </w:trPr>
        <w:tc>
          <w:tcPr>
            <w:tcW w:type="dxa" w:w="3978"/>
            <w:shd w:val="clear" w:color="auto" w:fill="12263F"/>
          </w:tcPr>
          <w:p>
            <w:pPr>
              <w:spacing w:after="0"/>
            </w:pPr>
            <w:r>
              <w:rPr>
                <w:rFonts w:ascii="Calibri" w:hAnsi="Calibri" w:eastAsia="Calibri" w:cs="Calibri"/>
                <w:b/>
                <w:i w:val="0"/>
                <w:color w:val="FFFFFF"/>
                <w:sz w:val="18"/>
                <w:lang w:val="en-US" w:bidi="fa-IR"/>
              </w:rPr>
              <w:t>Category</w:t>
            </w:r>
          </w:p>
        </w:tc>
        <w:tc>
          <w:tcPr>
            <w:tcW w:type="dxa" w:w="1989"/>
            <w:shd w:val="clear" w:color="auto" w:fill="12263F"/>
          </w:tcPr>
          <w:p>
            <w:pPr>
              <w:spacing w:after="0"/>
            </w:pPr>
            <w:r>
              <w:rPr>
                <w:rFonts w:ascii="Calibri" w:hAnsi="Calibri" w:eastAsia="Calibri" w:cs="Calibri"/>
                <w:b/>
                <w:i w:val="0"/>
                <w:color w:val="FFFFFF"/>
                <w:sz w:val="18"/>
                <w:lang w:val="en-US" w:bidi="fa-IR"/>
              </w:rPr>
              <w:t>Risk score</w:t>
            </w:r>
          </w:p>
        </w:tc>
        <w:tc>
          <w:tcPr>
            <w:tcW w:type="dxa" w:w="1683"/>
            <w:shd w:val="clear" w:color="auto" w:fill="12263F"/>
          </w:tcPr>
          <w:p>
            <w:pPr>
              <w:spacing w:after="0"/>
            </w:pPr>
            <w:r>
              <w:rPr>
                <w:rFonts w:ascii="Calibri" w:hAnsi="Calibri" w:eastAsia="Calibri" w:cs="Calibri"/>
                <w:b/>
                <w:i w:val="0"/>
                <w:color w:val="FFFFFF"/>
                <w:sz w:val="18"/>
                <w:lang w:val="en-US" w:bidi="fa-IR"/>
              </w:rPr>
              <w:t>Rating</w:t>
            </w:r>
          </w:p>
        </w:tc>
        <w:tc>
          <w:tcPr>
            <w:tcW w:type="dxa" w:w="1989"/>
            <w:shd w:val="clear" w:color="auto" w:fill="12263F"/>
          </w:tcPr>
          <w:p>
            <w:pPr>
              <w:spacing w:after="0"/>
            </w:pPr>
            <w:r>
              <w:rPr>
                <w:rFonts w:ascii="Calibri" w:hAnsi="Calibri" w:eastAsia="Calibri" w:cs="Calibri"/>
                <w:b/>
                <w:i w:val="0"/>
                <w:color w:val="FFFFFF"/>
                <w:sz w:val="18"/>
                <w:lang w:val="en-US" w:bidi="fa-IR"/>
              </w:rPr>
              <w:t>DSO (days)</w:t>
            </w:r>
          </w:p>
        </w:tc>
      </w:tr>
      <w:tr>
        <w:trPr>
          <w:cantSplit/>
        </w:trPr>
        <w:tc>
          <w:tcPr>
            <w:tcW w:type="dxa" w:w="3978"/>
          </w:tcPr>
          <w:p>
            <w:pPr>
              <w:spacing w:after="0"/>
            </w:pPr>
            <w:r>
              <w:rPr>
                <w:rFonts w:ascii="Calibri" w:hAnsi="Calibri" w:eastAsia="Calibri" w:cs="Calibri"/>
                <w:b/>
                <w:i w:val="0"/>
                <w:sz w:val="18"/>
                <w:lang w:val="en-US" w:bidi="fa-IR"/>
              </w:rPr>
              <w:t>Beverages and Cocoa</w:t>
            </w:r>
          </w:p>
        </w:tc>
        <w:tc>
          <w:tcPr>
            <w:tcW w:type="dxa" w:w="1989"/>
          </w:tcPr>
          <w:p>
            <w:pPr>
              <w:spacing w:after="0"/>
            </w:pPr>
            <w:r>
              <w:rPr>
                <w:rFonts w:ascii="Calibri" w:hAnsi="Calibri" w:eastAsia="Calibri" w:cs="Calibri"/>
                <w:b w:val="0"/>
                <w:i w:val="0"/>
                <w:sz w:val="18"/>
                <w:lang w:val="en-US" w:bidi="fa-IR"/>
              </w:rPr>
              <w:t>53</w:t>
            </w:r>
          </w:p>
        </w:tc>
        <w:tc>
          <w:tcPr>
            <w:tcW w:type="dxa" w:w="1683"/>
          </w:tcPr>
          <w:p>
            <w:pPr>
              <w:spacing w:after="0"/>
            </w:pPr>
            <w:r>
              <w:rPr>
                <w:rFonts w:ascii="Calibri" w:hAnsi="Calibri" w:eastAsia="Calibri" w:cs="Calibri"/>
                <w:b w:val="0"/>
                <w:i w:val="0"/>
                <w:sz w:val="18"/>
                <w:lang w:val="en-US" w:bidi="fa-IR"/>
              </w:rPr>
              <w:t>D</w:t>
            </w:r>
          </w:p>
        </w:tc>
        <w:tc>
          <w:tcPr>
            <w:tcW w:type="dxa" w:w="1989"/>
          </w:tcPr>
          <w:p>
            <w:pPr>
              <w:spacing w:after="0"/>
            </w:pPr>
            <w:r>
              <w:rPr>
                <w:rFonts w:ascii="Calibri" w:hAnsi="Calibri" w:eastAsia="Calibri" w:cs="Calibri"/>
                <w:b w:val="0"/>
                <w:i w:val="0"/>
                <w:sz w:val="18"/>
                <w:lang w:val="en-US" w:bidi="fa-IR"/>
              </w:rPr>
              <w:t>54</w:t>
            </w:r>
          </w:p>
        </w:tc>
      </w:tr>
      <w:tr>
        <w:trPr>
          <w:cantSplit/>
        </w:trPr>
        <w:tc>
          <w:tcPr>
            <w:tcW w:type="dxa" w:w="3978"/>
            <w:shd w:val="clear" w:color="auto" w:fill="F7F9FC"/>
          </w:tcPr>
          <w:p>
            <w:pPr>
              <w:spacing w:after="0"/>
            </w:pPr>
            <w:r>
              <w:rPr>
                <w:rFonts w:ascii="Calibri" w:hAnsi="Calibri" w:eastAsia="Calibri" w:cs="Calibri"/>
                <w:b/>
                <w:i w:val="0"/>
                <w:sz w:val="18"/>
                <w:lang w:val="en-US" w:bidi="fa-IR"/>
              </w:rPr>
              <w:t>Spices and Seasonings</w:t>
            </w:r>
          </w:p>
        </w:tc>
        <w:tc>
          <w:tcPr>
            <w:tcW w:type="dxa" w:w="1989"/>
            <w:shd w:val="clear" w:color="auto" w:fill="F7F9FC"/>
          </w:tcPr>
          <w:p>
            <w:pPr>
              <w:spacing w:after="0"/>
            </w:pPr>
            <w:r>
              <w:rPr>
                <w:rFonts w:ascii="Calibri" w:hAnsi="Calibri" w:eastAsia="Calibri" w:cs="Calibri"/>
                <w:b w:val="0"/>
                <w:i w:val="0"/>
                <w:sz w:val="18"/>
                <w:lang w:val="en-US" w:bidi="fa-IR"/>
              </w:rPr>
              <w:t>41</w:t>
            </w:r>
          </w:p>
        </w:tc>
        <w:tc>
          <w:tcPr>
            <w:tcW w:type="dxa" w:w="1683"/>
            <w:shd w:val="clear" w:color="auto" w:fill="F7F9FC"/>
          </w:tcPr>
          <w:p>
            <w:pPr>
              <w:spacing w:after="0"/>
            </w:pPr>
            <w:r>
              <w:rPr>
                <w:rFonts w:ascii="Calibri" w:hAnsi="Calibri" w:eastAsia="Calibri" w:cs="Calibri"/>
                <w:b w:val="0"/>
                <w:i w:val="0"/>
                <w:sz w:val="18"/>
                <w:lang w:val="en-US" w:bidi="fa-IR"/>
              </w:rPr>
              <w:t>C</w:t>
            </w:r>
          </w:p>
        </w:tc>
        <w:tc>
          <w:tcPr>
            <w:tcW w:type="dxa" w:w="1989"/>
            <w:shd w:val="clear" w:color="auto" w:fill="F7F9FC"/>
          </w:tcPr>
          <w:p>
            <w:pPr>
              <w:spacing w:after="0"/>
            </w:pPr>
            <w:r>
              <w:rPr>
                <w:rFonts w:ascii="Calibri" w:hAnsi="Calibri" w:eastAsia="Calibri" w:cs="Calibri"/>
                <w:b w:val="0"/>
                <w:i w:val="0"/>
                <w:sz w:val="18"/>
                <w:lang w:val="en-US" w:bidi="fa-IR"/>
              </w:rPr>
              <w:t>49</w:t>
            </w:r>
          </w:p>
        </w:tc>
      </w:tr>
      <w:tr>
        <w:trPr>
          <w:cantSplit/>
        </w:trPr>
        <w:tc>
          <w:tcPr>
            <w:tcW w:type="dxa" w:w="3978"/>
          </w:tcPr>
          <w:p>
            <w:pPr>
              <w:spacing w:after="0"/>
            </w:pPr>
            <w:r>
              <w:rPr>
                <w:rFonts w:ascii="Calibri" w:hAnsi="Calibri" w:eastAsia="Calibri" w:cs="Calibri"/>
                <w:b/>
                <w:i w:val="0"/>
                <w:sz w:val="18"/>
                <w:lang w:val="en-US" w:bidi="fa-IR"/>
              </w:rPr>
              <w:t>Cereals and Grains</w:t>
            </w:r>
          </w:p>
        </w:tc>
        <w:tc>
          <w:tcPr>
            <w:tcW w:type="dxa" w:w="1989"/>
          </w:tcPr>
          <w:p>
            <w:pPr>
              <w:spacing w:after="0"/>
            </w:pPr>
            <w:r>
              <w:rPr>
                <w:rFonts w:ascii="Calibri" w:hAnsi="Calibri" w:eastAsia="Calibri" w:cs="Calibri"/>
                <w:b w:val="0"/>
                <w:i w:val="0"/>
                <w:sz w:val="18"/>
                <w:lang w:val="en-US" w:bidi="fa-IR"/>
              </w:rPr>
              <w:t>39</w:t>
            </w:r>
          </w:p>
        </w:tc>
        <w:tc>
          <w:tcPr>
            <w:tcW w:type="dxa" w:w="1683"/>
          </w:tcPr>
          <w:p>
            <w:pPr>
              <w:spacing w:after="0"/>
            </w:pPr>
            <w:r>
              <w:rPr>
                <w:rFonts w:ascii="Calibri" w:hAnsi="Calibri" w:eastAsia="Calibri" w:cs="Calibri"/>
                <w:b w:val="0"/>
                <w:i w:val="0"/>
                <w:sz w:val="18"/>
                <w:lang w:val="en-US" w:bidi="fa-IR"/>
              </w:rPr>
              <w:t>C</w:t>
            </w:r>
          </w:p>
        </w:tc>
        <w:tc>
          <w:tcPr>
            <w:tcW w:type="dxa" w:w="1989"/>
          </w:tcPr>
          <w:p>
            <w:pPr>
              <w:spacing w:after="0"/>
            </w:pPr>
            <w:r>
              <w:rPr>
                <w:rFonts w:ascii="Calibri" w:hAnsi="Calibri" w:eastAsia="Calibri" w:cs="Calibri"/>
                <w:b w:val="0"/>
                <w:i w:val="0"/>
                <w:sz w:val="18"/>
                <w:lang w:val="en-US" w:bidi="fa-IR"/>
              </w:rPr>
              <w:t>36</w:t>
            </w:r>
          </w:p>
        </w:tc>
      </w:tr>
      <w:tr>
        <w:trPr>
          <w:cantSplit/>
        </w:trPr>
        <w:tc>
          <w:tcPr>
            <w:tcW w:type="dxa" w:w="3978"/>
            <w:shd w:val="clear" w:color="auto" w:fill="F7F9FC"/>
          </w:tcPr>
          <w:p>
            <w:pPr>
              <w:spacing w:after="0"/>
            </w:pPr>
            <w:r>
              <w:rPr>
                <w:rFonts w:ascii="Calibri" w:hAnsi="Calibri" w:eastAsia="Calibri" w:cs="Calibri"/>
                <w:b/>
                <w:i w:val="0"/>
                <w:sz w:val="18"/>
                <w:lang w:val="en-US" w:bidi="fa-IR"/>
              </w:rPr>
              <w:t>Pulses</w:t>
            </w:r>
          </w:p>
        </w:tc>
        <w:tc>
          <w:tcPr>
            <w:tcW w:type="dxa" w:w="1989"/>
            <w:shd w:val="clear" w:color="auto" w:fill="F7F9FC"/>
          </w:tcPr>
          <w:p>
            <w:pPr>
              <w:spacing w:after="0"/>
            </w:pPr>
            <w:r>
              <w:rPr>
                <w:rFonts w:ascii="Calibri" w:hAnsi="Calibri" w:eastAsia="Calibri" w:cs="Calibri"/>
                <w:b w:val="0"/>
                <w:i w:val="0"/>
                <w:sz w:val="18"/>
                <w:lang w:val="en-US" w:bidi="fa-IR"/>
              </w:rPr>
              <w:t>33</w:t>
            </w:r>
          </w:p>
        </w:tc>
        <w:tc>
          <w:tcPr>
            <w:tcW w:type="dxa" w:w="1683"/>
            <w:shd w:val="clear" w:color="auto" w:fill="F7F9FC"/>
          </w:tcPr>
          <w:p>
            <w:pPr>
              <w:spacing w:after="0"/>
            </w:pPr>
            <w:r>
              <w:rPr>
                <w:rFonts w:ascii="Calibri" w:hAnsi="Calibri" w:eastAsia="Calibri" w:cs="Calibri"/>
                <w:b w:val="0"/>
                <w:i w:val="0"/>
                <w:sz w:val="18"/>
                <w:lang w:val="en-US" w:bidi="fa-IR"/>
              </w:rPr>
              <w:t>B</w:t>
            </w:r>
          </w:p>
        </w:tc>
        <w:tc>
          <w:tcPr>
            <w:tcW w:type="dxa" w:w="1989"/>
            <w:shd w:val="clear" w:color="auto" w:fill="F7F9FC"/>
          </w:tcPr>
          <w:p>
            <w:pPr>
              <w:spacing w:after="0"/>
            </w:pPr>
            <w:r>
              <w:rPr>
                <w:rFonts w:ascii="Calibri" w:hAnsi="Calibri" w:eastAsia="Calibri" w:cs="Calibri"/>
                <w:b w:val="0"/>
                <w:i w:val="0"/>
                <w:sz w:val="18"/>
                <w:lang w:val="en-US" w:bidi="fa-IR"/>
              </w:rPr>
              <w:t>33</w:t>
            </w:r>
          </w:p>
        </w:tc>
      </w:tr>
      <w:tr>
        <w:trPr>
          <w:cantSplit/>
        </w:trPr>
        <w:tc>
          <w:tcPr>
            <w:tcW w:type="dxa" w:w="3978"/>
          </w:tcPr>
          <w:p>
            <w:pPr>
              <w:spacing w:after="0"/>
            </w:pPr>
            <w:r>
              <w:rPr>
                <w:rFonts w:ascii="Calibri" w:hAnsi="Calibri" w:eastAsia="Calibri" w:cs="Calibri"/>
                <w:b/>
                <w:i w:val="0"/>
                <w:sz w:val="18"/>
                <w:lang w:val="en-US" w:bidi="fa-IR"/>
              </w:rPr>
              <w:t>Canned Foods</w:t>
            </w:r>
          </w:p>
        </w:tc>
        <w:tc>
          <w:tcPr>
            <w:tcW w:type="dxa" w:w="1989"/>
          </w:tcPr>
          <w:p>
            <w:pPr>
              <w:spacing w:after="0"/>
            </w:pPr>
            <w:r>
              <w:rPr>
                <w:rFonts w:ascii="Calibri" w:hAnsi="Calibri" w:eastAsia="Calibri" w:cs="Calibri"/>
                <w:b w:val="0"/>
                <w:i w:val="0"/>
                <w:sz w:val="18"/>
                <w:lang w:val="en-US" w:bidi="fa-IR"/>
              </w:rPr>
              <w:t>29</w:t>
            </w:r>
          </w:p>
        </w:tc>
        <w:tc>
          <w:tcPr>
            <w:tcW w:type="dxa" w:w="1683"/>
          </w:tcPr>
          <w:p>
            <w:pPr>
              <w:spacing w:after="0"/>
            </w:pPr>
            <w:r>
              <w:rPr>
                <w:rFonts w:ascii="Calibri" w:hAnsi="Calibri" w:eastAsia="Calibri" w:cs="Calibri"/>
                <w:b w:val="0"/>
                <w:i w:val="0"/>
                <w:sz w:val="18"/>
                <w:lang w:val="en-US" w:bidi="fa-IR"/>
              </w:rPr>
              <w:t>B</w:t>
            </w:r>
          </w:p>
        </w:tc>
        <w:tc>
          <w:tcPr>
            <w:tcW w:type="dxa" w:w="1989"/>
          </w:tcPr>
          <w:p>
            <w:pPr>
              <w:spacing w:after="0"/>
            </w:pPr>
            <w:r>
              <w:rPr>
                <w:rFonts w:ascii="Calibri" w:hAnsi="Calibri" w:eastAsia="Calibri" w:cs="Calibri"/>
                <w:b w:val="0"/>
                <w:i w:val="0"/>
                <w:sz w:val="18"/>
                <w:lang w:val="en-US" w:bidi="fa-IR"/>
              </w:rPr>
              <w:t>34</w:t>
            </w:r>
          </w:p>
        </w:tc>
      </w:tr>
      <w:tr>
        <w:trPr>
          <w:cantSplit/>
        </w:trPr>
        <w:tc>
          <w:tcPr>
            <w:tcW w:type="dxa" w:w="3978"/>
            <w:shd w:val="clear" w:color="auto" w:fill="F7F9FC"/>
          </w:tcPr>
          <w:p>
            <w:pPr>
              <w:spacing w:after="0"/>
            </w:pPr>
            <w:r>
              <w:rPr>
                <w:rFonts w:ascii="Calibri" w:hAnsi="Calibri" w:eastAsia="Calibri" w:cs="Calibri"/>
                <w:b/>
                <w:i w:val="0"/>
                <w:sz w:val="18"/>
                <w:lang w:val="en-US" w:bidi="fa-IR"/>
              </w:rPr>
              <w:t>Oils and Fats</w:t>
            </w:r>
          </w:p>
        </w:tc>
        <w:tc>
          <w:tcPr>
            <w:tcW w:type="dxa" w:w="1989"/>
            <w:shd w:val="clear" w:color="auto" w:fill="F7F9FC"/>
          </w:tcPr>
          <w:p>
            <w:pPr>
              <w:spacing w:after="0"/>
            </w:pPr>
            <w:r>
              <w:rPr>
                <w:rFonts w:ascii="Calibri" w:hAnsi="Calibri" w:eastAsia="Calibri" w:cs="Calibri"/>
                <w:b w:val="0"/>
                <w:i w:val="0"/>
                <w:sz w:val="18"/>
                <w:lang w:val="en-US" w:bidi="fa-IR"/>
              </w:rPr>
              <w:t>27</w:t>
            </w:r>
          </w:p>
        </w:tc>
        <w:tc>
          <w:tcPr>
            <w:tcW w:type="dxa" w:w="1683"/>
            <w:shd w:val="clear" w:color="auto" w:fill="F7F9FC"/>
          </w:tcPr>
          <w:p>
            <w:pPr>
              <w:spacing w:after="0"/>
            </w:pPr>
            <w:r>
              <w:rPr>
                <w:rFonts w:ascii="Calibri" w:hAnsi="Calibri" w:eastAsia="Calibri" w:cs="Calibri"/>
                <w:b w:val="0"/>
                <w:i w:val="0"/>
                <w:sz w:val="18"/>
                <w:lang w:val="en-US" w:bidi="fa-IR"/>
              </w:rPr>
              <w:t>B</w:t>
            </w:r>
          </w:p>
        </w:tc>
        <w:tc>
          <w:tcPr>
            <w:tcW w:type="dxa" w:w="1989"/>
            <w:shd w:val="clear" w:color="auto" w:fill="F7F9FC"/>
          </w:tcPr>
          <w:p>
            <w:pPr>
              <w:spacing w:after="0"/>
            </w:pPr>
            <w:r>
              <w:rPr>
                <w:rFonts w:ascii="Calibri" w:hAnsi="Calibri" w:eastAsia="Calibri" w:cs="Calibri"/>
                <w:b w:val="0"/>
                <w:i w:val="0"/>
                <w:sz w:val="18"/>
                <w:lang w:val="en-US" w:bidi="fa-IR"/>
              </w:rPr>
              <w:t>20</w:t>
            </w:r>
          </w:p>
        </w:tc>
      </w:tr>
      <w:tr>
        <w:trPr>
          <w:cantSplit/>
        </w:trPr>
        <w:tc>
          <w:tcPr>
            <w:tcW w:type="dxa" w:w="3978"/>
          </w:tcPr>
          <w:p>
            <w:pPr>
              <w:spacing w:after="0"/>
            </w:pPr>
            <w:r>
              <w:rPr>
                <w:rFonts w:ascii="Calibri" w:hAnsi="Calibri" w:eastAsia="Calibri" w:cs="Calibri"/>
                <w:b/>
                <w:i w:val="0"/>
                <w:sz w:val="18"/>
                <w:lang w:val="en-US" w:bidi="fa-IR"/>
              </w:rPr>
              <w:t>Sugar</w:t>
            </w:r>
          </w:p>
        </w:tc>
        <w:tc>
          <w:tcPr>
            <w:tcW w:type="dxa" w:w="1989"/>
          </w:tcPr>
          <w:p>
            <w:pPr>
              <w:spacing w:after="0"/>
            </w:pPr>
            <w:r>
              <w:rPr>
                <w:rFonts w:ascii="Calibri" w:hAnsi="Calibri" w:eastAsia="Calibri" w:cs="Calibri"/>
                <w:b w:val="0"/>
                <w:i w:val="0"/>
                <w:sz w:val="18"/>
                <w:lang w:val="en-US" w:bidi="fa-IR"/>
              </w:rPr>
              <w:t>25</w:t>
            </w:r>
          </w:p>
        </w:tc>
        <w:tc>
          <w:tcPr>
            <w:tcW w:type="dxa" w:w="1683"/>
          </w:tcPr>
          <w:p>
            <w:pPr>
              <w:spacing w:after="0"/>
            </w:pPr>
            <w:r>
              <w:rPr>
                <w:rFonts w:ascii="Calibri" w:hAnsi="Calibri" w:eastAsia="Calibri" w:cs="Calibri"/>
                <w:b w:val="0"/>
                <w:i w:val="0"/>
                <w:sz w:val="18"/>
                <w:lang w:val="en-US" w:bidi="fa-IR"/>
              </w:rPr>
              <w:t>B</w:t>
            </w:r>
          </w:p>
        </w:tc>
        <w:tc>
          <w:tcPr>
            <w:tcW w:type="dxa" w:w="1989"/>
          </w:tcPr>
          <w:p>
            <w:pPr>
              <w:spacing w:after="0"/>
            </w:pPr>
            <w:r>
              <w:rPr>
                <w:rFonts w:ascii="Calibri" w:hAnsi="Calibri" w:eastAsia="Calibri" w:cs="Calibri"/>
                <w:b w:val="0"/>
                <w:i w:val="0"/>
                <w:sz w:val="18"/>
                <w:lang w:val="en-US" w:bidi="fa-IR"/>
              </w:rPr>
              <w:t>21</w:t>
            </w:r>
          </w:p>
        </w:tc>
      </w:tr>
      <w:tr>
        <w:trPr>
          <w:cantSplit/>
        </w:trPr>
        <w:tc>
          <w:tcPr>
            <w:tcW w:type="dxa" w:w="3978"/>
            <w:shd w:val="clear" w:color="auto" w:fill="F7F9FC"/>
          </w:tcPr>
          <w:p>
            <w:pPr>
              <w:spacing w:after="0"/>
            </w:pPr>
            <w:r>
              <w:rPr>
                <w:rFonts w:ascii="Calibri" w:hAnsi="Calibri" w:eastAsia="Calibri" w:cs="Calibri"/>
                <w:b/>
                <w:i w:val="0"/>
                <w:sz w:val="18"/>
                <w:lang w:val="en-US" w:bidi="fa-IR"/>
              </w:rPr>
              <w:t>Dairy</w:t>
            </w:r>
          </w:p>
        </w:tc>
        <w:tc>
          <w:tcPr>
            <w:tcW w:type="dxa" w:w="1989"/>
            <w:shd w:val="clear" w:color="auto" w:fill="F7F9FC"/>
          </w:tcPr>
          <w:p>
            <w:pPr>
              <w:spacing w:after="0"/>
            </w:pPr>
            <w:r>
              <w:rPr>
                <w:rFonts w:ascii="Calibri" w:hAnsi="Calibri" w:eastAsia="Calibri" w:cs="Calibri"/>
                <w:b w:val="0"/>
                <w:i w:val="0"/>
                <w:sz w:val="18"/>
                <w:lang w:val="en-US" w:bidi="fa-IR"/>
              </w:rPr>
              <w:t>21</w:t>
            </w:r>
          </w:p>
        </w:tc>
        <w:tc>
          <w:tcPr>
            <w:tcW w:type="dxa" w:w="1683"/>
            <w:shd w:val="clear" w:color="auto" w:fill="F7F9FC"/>
          </w:tcPr>
          <w:p>
            <w:pPr>
              <w:spacing w:after="0"/>
            </w:pPr>
            <w:r>
              <w:rPr>
                <w:rFonts w:ascii="Calibri" w:hAnsi="Calibri" w:eastAsia="Calibri" w:cs="Calibri"/>
                <w:b w:val="0"/>
                <w:i w:val="0"/>
                <w:sz w:val="18"/>
                <w:lang w:val="en-US" w:bidi="fa-IR"/>
              </w:rPr>
              <w:t>B</w:t>
            </w:r>
          </w:p>
        </w:tc>
        <w:tc>
          <w:tcPr>
            <w:tcW w:type="dxa" w:w="1989"/>
            <w:shd w:val="clear" w:color="auto" w:fill="F7F9FC"/>
          </w:tcPr>
          <w:p>
            <w:pPr>
              <w:spacing w:after="0"/>
            </w:pPr>
            <w:r>
              <w:rPr>
                <w:rFonts w:ascii="Calibri" w:hAnsi="Calibri" w:eastAsia="Calibri" w:cs="Calibri"/>
                <w:b w:val="0"/>
                <w:i w:val="0"/>
                <w:sz w:val="18"/>
                <w:lang w:val="en-US" w:bidi="fa-IR"/>
              </w:rPr>
              <w:t>19</w:t>
            </w:r>
          </w:p>
        </w:tc>
      </w:tr>
    </w:tbl>
    <w:p>
      <w:pPr>
        <w:spacing w:after="40"/>
      </w:pPr>
    </w:p>
    <w:p>
      <w:r>
        <w:rPr>
          <w:rFonts w:ascii="Calibri" w:hAnsi="Calibri" w:eastAsia="Calibri" w:cs="Calibri"/>
          <w:b w:val="0"/>
          <w:i w:val="0"/>
          <w:lang w:val="en-US" w:bidi="fa-IR"/>
        </w:rPr>
        <w:t>Why it matters: the rating raises credit alerts in the dashboard and sets the pricing rules of Part 4 (C: markdown capped at 5 percent; D and E: no markdowns, a risk premium and 15 days shorter terms). It is an illustrative scoring model; its structure is transparent and ready to be calibrated with real payment history.</w:t>
      </w:r>
    </w:p>
    <w:p>
      <w:pPr>
        <w:pStyle w:val="Heading2"/>
      </w:pPr>
      <w:r>
        <w:rPr>
          <w:rFonts w:ascii="Calibri" w:hAnsi="Calibri" w:eastAsia="Calibri" w:cs="Calibri"/>
          <w:b/>
          <w:i w:val="0"/>
          <w:color w:val="2A78D6"/>
          <w:sz w:val="28"/>
          <w:lang w:val="en-US" w:bidi="fa-IR"/>
        </w:rPr>
        <w:t>6.6 Alerts</w:t>
      </w:r>
    </w:p>
    <w:p>
      <w:r>
        <w:rPr>
          <w:rFonts w:ascii="Calibri" w:hAnsi="Calibri" w:eastAsia="Calibri" w:cs="Calibri"/>
          <w:b w:val="0"/>
          <w:i w:val="0"/>
          <w:lang w:val="en-US" w:bidi="fa-IR"/>
        </w:rPr>
        <w:t>Alerts are rules with editable thresholds, so a manager can tune sensitivity. Each alert shows the place, the metric, the money at stake and a recommended action. Default thresholds and results: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157"/>
        <w:gridCol w:w="3308"/>
        <w:gridCol w:w="4171"/>
      </w:tblGrid>
      <w:tr>
        <w:trPr>
          <w:tblHeader/>
        </w:trPr>
        <w:tc>
          <w:tcPr>
            <w:tcW w:type="dxa" w:w="2158"/>
            <w:shd w:val="clear" w:color="auto" w:fill="12263F"/>
          </w:tcPr>
          <w:p>
            <w:pPr>
              <w:spacing w:after="0"/>
            </w:pPr>
            <w:r>
              <w:rPr>
                <w:rFonts w:ascii="Calibri" w:hAnsi="Calibri" w:eastAsia="Calibri" w:cs="Calibri"/>
                <w:b/>
                <w:i w:val="0"/>
                <w:color w:val="FFFFFF"/>
                <w:sz w:val="19"/>
                <w:lang w:val="en-US" w:bidi="fa-IR"/>
              </w:rPr>
              <w:t>Alert</w:t>
            </w:r>
          </w:p>
        </w:tc>
        <w:tc>
          <w:tcPr>
            <w:tcW w:type="dxa" w:w="3308"/>
            <w:shd w:val="clear" w:color="auto" w:fill="12263F"/>
          </w:tcPr>
          <w:p>
            <w:pPr>
              <w:spacing w:after="0"/>
            </w:pPr>
            <w:r>
              <w:rPr>
                <w:rFonts w:ascii="Calibri" w:hAnsi="Calibri" w:eastAsia="Calibri" w:cs="Calibri"/>
                <w:b/>
                <w:i w:val="0"/>
                <w:color w:val="FFFFFF"/>
                <w:sz w:val="19"/>
                <w:lang w:val="en-US" w:bidi="fa-IR"/>
              </w:rPr>
              <w:t>Default threshold</w:t>
            </w:r>
          </w:p>
        </w:tc>
        <w:tc>
          <w:tcPr>
            <w:tcW w:type="dxa" w:w="4172"/>
            <w:shd w:val="clear" w:color="auto" w:fill="12263F"/>
          </w:tcPr>
          <w:p>
            <w:pPr>
              <w:spacing w:after="0"/>
            </w:pPr>
            <w:r>
              <w:rPr>
                <w:rFonts w:ascii="Calibri" w:hAnsi="Calibri" w:eastAsia="Calibri" w:cs="Calibri"/>
                <w:b/>
                <w:i w:val="0"/>
                <w:color w:val="FFFFFF"/>
                <w:sz w:val="19"/>
                <w:lang w:val="en-US" w:bidi="fa-IR"/>
              </w:rPr>
              <w:t>Example result</w:t>
            </w:r>
          </w:p>
        </w:tc>
      </w:tr>
      <w:tr>
        <w:trPr>
          <w:cantSplit/>
        </w:trPr>
        <w:tc>
          <w:tcPr>
            <w:tcW w:type="dxa" w:w="2158"/>
          </w:tcPr>
          <w:p>
            <w:pPr>
              <w:spacing w:after="0"/>
            </w:pPr>
            <w:r>
              <w:rPr>
                <w:rFonts w:ascii="Calibri" w:hAnsi="Calibri" w:eastAsia="Calibri" w:cs="Calibri"/>
                <w:b/>
                <w:i w:val="0"/>
                <w:sz w:val="19"/>
                <w:lang w:val="en-US" w:bidi="fa-IR"/>
              </w:rPr>
              <w:t>Overstock</w:t>
            </w:r>
          </w:p>
        </w:tc>
        <w:tc>
          <w:tcPr>
            <w:tcW w:type="dxa" w:w="3308"/>
          </w:tcPr>
          <w:p>
            <w:pPr>
              <w:spacing w:after="0"/>
            </w:pPr>
            <w:r>
              <w:rPr>
                <w:rFonts w:ascii="Calibri" w:hAnsi="Calibri" w:eastAsia="Calibri" w:cs="Calibri"/>
                <w:b w:val="0"/>
                <w:i w:val="0"/>
                <w:sz w:val="19"/>
                <w:lang w:val="en-US" w:bidi="fa-IR"/>
              </w:rPr>
              <w:t>More than 26 weeks of stock</w:t>
            </w:r>
          </w:p>
        </w:tc>
        <w:tc>
          <w:tcPr>
            <w:tcW w:type="dxa" w:w="4172"/>
          </w:tcPr>
          <w:p>
            <w:pPr>
              <w:spacing w:after="0"/>
            </w:pPr>
            <w:r>
              <w:rPr>
                <w:rFonts w:ascii="Calibri" w:hAnsi="Calibri" w:eastAsia="Calibri" w:cs="Calibri"/>
                <w:b w:val="0"/>
                <w:i w:val="0"/>
                <w:sz w:val="19"/>
                <w:lang w:val="en-US" w:bidi="fa-IR"/>
              </w:rPr>
              <w:t>5 products; Wheat - Hard Red: 369 weeks, 6.6 million dollars of capital tied up (at cost)</w:t>
            </w:r>
          </w:p>
        </w:tc>
      </w:tr>
      <w:tr>
        <w:trPr>
          <w:cantSplit/>
        </w:trPr>
        <w:tc>
          <w:tcPr>
            <w:tcW w:type="dxa" w:w="2158"/>
            <w:shd w:val="clear" w:color="auto" w:fill="F7F9FC"/>
          </w:tcPr>
          <w:p>
            <w:pPr>
              <w:spacing w:after="0"/>
            </w:pPr>
            <w:r>
              <w:rPr>
                <w:rFonts w:ascii="Calibri" w:hAnsi="Calibri" w:eastAsia="Calibri" w:cs="Calibri"/>
                <w:b/>
                <w:i w:val="0"/>
                <w:sz w:val="19"/>
                <w:lang w:val="en-US" w:bidi="fa-IR"/>
              </w:rPr>
              <w:t>Stock-out risk</w:t>
            </w:r>
          </w:p>
        </w:tc>
        <w:tc>
          <w:tcPr>
            <w:tcW w:type="dxa" w:w="3308"/>
            <w:shd w:val="clear" w:color="auto" w:fill="F7F9FC"/>
          </w:tcPr>
          <w:p>
            <w:pPr>
              <w:spacing w:after="0"/>
            </w:pPr>
            <w:r>
              <w:rPr>
                <w:rFonts w:ascii="Calibri" w:hAnsi="Calibri" w:eastAsia="Calibri" w:cs="Calibri"/>
                <w:b w:val="0"/>
                <w:i w:val="0"/>
                <w:sz w:val="19"/>
                <w:lang w:val="en-US" w:bidi="fa-IR"/>
              </w:rPr>
              <w:t>More than 20% of forecast revenue not served</w:t>
            </w:r>
          </w:p>
        </w:tc>
        <w:tc>
          <w:tcPr>
            <w:tcW w:type="dxa" w:w="4172"/>
            <w:shd w:val="clear" w:color="auto" w:fill="F7F9FC"/>
          </w:tcPr>
          <w:p>
            <w:pPr>
              <w:spacing w:after="0"/>
            </w:pPr>
            <w:r>
              <w:rPr>
                <w:rFonts w:ascii="Calibri" w:hAnsi="Calibri" w:eastAsia="Calibri" w:cs="Calibri"/>
                <w:b w:val="0"/>
                <w:i w:val="0"/>
                <w:sz w:val="19"/>
                <w:lang w:val="en-US" w:bidi="fa-IR"/>
              </w:rPr>
              <w:t>21 products; Lentils - Green: 64% unserved, 3.2 million dollars at risk; action: plan for at least 4,026 units a week (P90)</w:t>
            </w:r>
          </w:p>
        </w:tc>
      </w:tr>
      <w:tr>
        <w:trPr>
          <w:cantSplit/>
        </w:trPr>
        <w:tc>
          <w:tcPr>
            <w:tcW w:type="dxa" w:w="2158"/>
          </w:tcPr>
          <w:p>
            <w:pPr>
              <w:spacing w:after="0"/>
            </w:pPr>
            <w:r>
              <w:rPr>
                <w:rFonts w:ascii="Calibri" w:hAnsi="Calibri" w:eastAsia="Calibri" w:cs="Calibri"/>
                <w:b/>
                <w:i w:val="0"/>
                <w:sz w:val="19"/>
                <w:lang w:val="en-US" w:bidi="fa-IR"/>
              </w:rPr>
              <w:t>Revenue decline</w:t>
            </w:r>
          </w:p>
        </w:tc>
        <w:tc>
          <w:tcPr>
            <w:tcW w:type="dxa" w:w="3308"/>
          </w:tcPr>
          <w:p>
            <w:pPr>
              <w:spacing w:after="0"/>
            </w:pPr>
            <w:r>
              <w:rPr>
                <w:rFonts w:ascii="Calibri" w:hAnsi="Calibri" w:eastAsia="Calibri" w:cs="Calibri"/>
                <w:b w:val="0"/>
                <w:i w:val="0"/>
                <w:sz w:val="19"/>
                <w:lang w:val="en-US" w:bidi="fa-IR"/>
              </w:rPr>
              <w:t>More than 10% below the same weeks last year</w:t>
            </w:r>
          </w:p>
        </w:tc>
        <w:tc>
          <w:tcPr>
            <w:tcW w:type="dxa" w:w="4172"/>
          </w:tcPr>
          <w:p>
            <w:pPr>
              <w:spacing w:after="0"/>
            </w:pPr>
            <w:r>
              <w:rPr>
                <w:rFonts w:ascii="Calibri" w:hAnsi="Calibri" w:eastAsia="Calibri" w:cs="Calibri"/>
                <w:b w:val="0"/>
                <w:i w:val="0"/>
                <w:sz w:val="19"/>
                <w:lang w:val="en-US" w:bidi="fa-IR"/>
              </w:rPr>
              <w:t>4 products, for example Rice - White -29% and Wheat - Soft -37%</w:t>
            </w:r>
          </w:p>
        </w:tc>
      </w:tr>
      <w:tr>
        <w:trPr>
          <w:cantSplit/>
        </w:trPr>
        <w:tc>
          <w:tcPr>
            <w:tcW w:type="dxa" w:w="2158"/>
            <w:shd w:val="clear" w:color="auto" w:fill="F7F9FC"/>
          </w:tcPr>
          <w:p>
            <w:pPr>
              <w:spacing w:after="0"/>
            </w:pPr>
            <w:r>
              <w:rPr>
                <w:rFonts w:ascii="Calibri" w:hAnsi="Calibri" w:eastAsia="Calibri" w:cs="Calibri"/>
                <w:b/>
                <w:i w:val="0"/>
                <w:sz w:val="19"/>
                <w:lang w:val="en-US" w:bidi="fa-IR"/>
              </w:rPr>
              <w:t>Margin erosion</w:t>
            </w:r>
          </w:p>
        </w:tc>
        <w:tc>
          <w:tcPr>
            <w:tcW w:type="dxa" w:w="3308"/>
            <w:shd w:val="clear" w:color="auto" w:fill="F7F9FC"/>
          </w:tcPr>
          <w:p>
            <w:pPr>
              <w:spacing w:after="0"/>
            </w:pPr>
            <w:r>
              <w:rPr>
                <w:rFonts w:ascii="Calibri" w:hAnsi="Calibri" w:eastAsia="Calibri" w:cs="Calibri"/>
                <w:b w:val="0"/>
                <w:i w:val="0"/>
                <w:sz w:val="19"/>
                <w:lang w:val="en-US" w:bidi="fa-IR"/>
              </w:rPr>
              <w:t>Gross margin down more than 1 point (13 weeks against the previous 52)</w:t>
            </w:r>
          </w:p>
        </w:tc>
        <w:tc>
          <w:tcPr>
            <w:tcW w:type="dxa" w:w="4172"/>
            <w:shd w:val="clear" w:color="auto" w:fill="F7F9FC"/>
          </w:tcPr>
          <w:p>
            <w:pPr>
              <w:spacing w:after="0"/>
            </w:pPr>
            <w:r>
              <w:rPr>
                <w:rFonts w:ascii="Calibri" w:hAnsi="Calibri" w:eastAsia="Calibri" w:cs="Calibri"/>
                <w:b w:val="0"/>
                <w:i w:val="0"/>
                <w:sz w:val="19"/>
                <w:lang w:val="en-US" w:bidi="fa-IR"/>
              </w:rPr>
              <w:t>3 products, for example Salt - Iodized (down 1.6 points): COGS rose faster than price</w:t>
            </w:r>
          </w:p>
        </w:tc>
      </w:tr>
      <w:tr>
        <w:trPr>
          <w:cantSplit/>
        </w:trPr>
        <w:tc>
          <w:tcPr>
            <w:tcW w:type="dxa" w:w="2158"/>
          </w:tcPr>
          <w:p>
            <w:pPr>
              <w:spacing w:after="0"/>
            </w:pPr>
            <w:r>
              <w:rPr>
                <w:rFonts w:ascii="Calibri" w:hAnsi="Calibri" w:eastAsia="Calibri" w:cs="Calibri"/>
                <w:b/>
                <w:i w:val="0"/>
                <w:sz w:val="19"/>
                <w:lang w:val="en-US" w:bidi="fa-IR"/>
              </w:rPr>
              <w:t>Credit exposure (scenario)</w:t>
            </w:r>
          </w:p>
        </w:tc>
        <w:tc>
          <w:tcPr>
            <w:tcW w:type="dxa" w:w="3308"/>
          </w:tcPr>
          <w:p>
            <w:pPr>
              <w:spacing w:after="0"/>
            </w:pPr>
            <w:r>
              <w:rPr>
                <w:rFonts w:ascii="Calibri" w:hAnsi="Calibri" w:eastAsia="Calibri" w:cs="Calibri"/>
                <w:b w:val="0"/>
                <w:i w:val="0"/>
                <w:sz w:val="19"/>
                <w:lang w:val="en-US" w:bidi="fa-IR"/>
              </w:rPr>
              <w:t>Expected credit loss above 6% of gross profit, or DSO above 55 days</w:t>
            </w:r>
          </w:p>
        </w:tc>
        <w:tc>
          <w:tcPr>
            <w:tcW w:type="dxa" w:w="4172"/>
          </w:tcPr>
          <w:p>
            <w:pPr>
              <w:spacing w:after="0"/>
            </w:pPr>
            <w:r>
              <w:rPr>
                <w:rFonts w:ascii="Calibri" w:hAnsi="Calibri" w:eastAsia="Calibri" w:cs="Calibri"/>
                <w:b w:val="0"/>
                <w:i w:val="0"/>
                <w:sz w:val="19"/>
                <w:lang w:val="en-US" w:bidi="fa-IR"/>
              </w:rPr>
              <w:t>Beverages and Cocoa: DSO 54 days, loss 6.3% of gross profit</w:t>
            </w:r>
          </w:p>
        </w:tc>
      </w:tr>
      <w:tr>
        <w:trPr>
          <w:cantSplit/>
        </w:trPr>
        <w:tc>
          <w:tcPr>
            <w:tcW w:type="dxa" w:w="2158"/>
            <w:shd w:val="clear" w:color="auto" w:fill="F7F9FC"/>
          </w:tcPr>
          <w:p>
            <w:pPr>
              <w:spacing w:after="0"/>
            </w:pPr>
            <w:r>
              <w:rPr>
                <w:rFonts w:ascii="Calibri" w:hAnsi="Calibri" w:eastAsia="Calibri" w:cs="Calibri"/>
                <w:b/>
                <w:i w:val="0"/>
                <w:sz w:val="19"/>
                <w:lang w:val="en-US" w:bidi="fa-IR"/>
              </w:rPr>
              <w:t>Seasonal peak ahead</w:t>
            </w:r>
          </w:p>
        </w:tc>
        <w:tc>
          <w:tcPr>
            <w:tcW w:type="dxa" w:w="3308"/>
            <w:shd w:val="clear" w:color="auto" w:fill="F7F9FC"/>
          </w:tcPr>
          <w:p>
            <w:pPr>
              <w:spacing w:after="0"/>
            </w:pPr>
            <w:r>
              <w:rPr>
                <w:rFonts w:ascii="Calibri" w:hAnsi="Calibri" w:eastAsia="Calibri" w:cs="Calibri"/>
                <w:b w:val="0"/>
                <w:i w:val="0"/>
                <w:sz w:val="19"/>
                <w:lang w:val="en-US" w:bidi="fa-IR"/>
              </w:rPr>
              <w:t>Forecast peak more than 25% above the last 13 weeks</w:t>
            </w:r>
          </w:p>
        </w:tc>
        <w:tc>
          <w:tcPr>
            <w:tcW w:type="dxa" w:w="4172"/>
            <w:shd w:val="clear" w:color="auto" w:fill="F7F9FC"/>
          </w:tcPr>
          <w:p>
            <w:pPr>
              <w:spacing w:after="0"/>
            </w:pPr>
            <w:r>
              <w:rPr>
                <w:rFonts w:ascii="Calibri" w:hAnsi="Calibri" w:eastAsia="Calibri" w:cs="Calibri"/>
                <w:b w:val="0"/>
                <w:i w:val="0"/>
                <w:sz w:val="19"/>
                <w:lang w:val="en-US" w:bidi="fa-IR"/>
              </w:rPr>
              <w:t>1 low alert: demand peaks in week 273 (+50% against recent weeks); pre-build stock and confirm logistics capacity</w:t>
            </w:r>
          </w:p>
        </w:tc>
      </w:tr>
    </w:tbl>
    <w:p>
      <w:pPr>
        <w:spacing w:after="40"/>
      </w:pPr>
    </w:p>
    <w:p>
      <w:r>
        <w:rPr>
          <w:rFonts w:ascii="Calibri" w:hAnsi="Calibri" w:eastAsia="Calibri" w:cs="Calibri"/>
          <w:b w:val="0"/>
          <w:i w:val="0"/>
          <w:lang w:val="en-US" w:bidi="fa-IR"/>
        </w:rPr>
        <w:t>At default thresholds there are 35 alerts: 16 high, 18 medium and 1 low. Stock-out risk (21 products) and overstock (5 products) dominate; the single credit alert (Beverages and Cocoa) is rated high.</w:t>
      </w:r>
    </w:p>
    <w:p>
      <w:pPr>
        <w:pStyle w:val="Heading2"/>
      </w:pPr>
      <w:r>
        <w:rPr>
          <w:rFonts w:ascii="Calibri" w:hAnsi="Calibri" w:eastAsia="Calibri" w:cs="Calibri"/>
          <w:b/>
          <w:i w:val="0"/>
          <w:color w:val="2A78D6"/>
          <w:sz w:val="28"/>
          <w:lang w:val="en-US" w:bidi="fa-IR"/>
        </w:rPr>
        <w:t>6.7 The forecast and pricing tabs</w:t>
      </w:r>
    </w:p>
    <w:p>
      <w:r>
        <w:rPr>
          <w:rFonts w:ascii="Calibri" w:hAnsi="Calibri" w:eastAsia="Calibri" w:cs="Calibri"/>
          <w:b w:val="0"/>
          <w:i w:val="0"/>
          <w:lang w:val="en-US" w:bidi="fa-IR"/>
        </w:rPr>
        <w:t>The Forecast tab shows history and the 26-week forecast with the P10-P90 range for any product, and the stock scenario (potential against expected sales at historical stock). The Pricing tab shows the price recommended by Part 4 for each product-week, the expected money impact and the over-stocked products. It displays a placeholder if the Part 4 tables have not been added yet.</w:t>
      </w:r>
    </w:p>
    <w:p>
      <w:pPr>
        <w:pStyle w:val="Heading2"/>
      </w:pPr>
      <w:r>
        <w:rPr>
          <w:rFonts w:ascii="Calibri" w:hAnsi="Calibri" w:eastAsia="Calibri" w:cs="Calibri"/>
          <w:b/>
          <w:i w:val="0"/>
          <w:color w:val="2A78D6"/>
          <w:sz w:val="28"/>
          <w:lang w:val="en-US" w:bidi="fa-IR"/>
        </w:rPr>
        <w:t>6.8 How the dashboard was tested</w:t>
      </w:r>
    </w:p>
    <w:p>
      <w:r>
        <w:rPr>
          <w:rFonts w:ascii="Calibri" w:hAnsi="Calibri" w:eastAsia="Calibri" w:cs="Calibri"/>
          <w:b w:val="0"/>
          <w:i w:val="0"/>
          <w:lang w:val="en-US" w:bidi="fa-IR"/>
        </w:rPr>
        <w:t>Twenty-four automatic tests passed: the KPIs reconcile with the ETL database (revenue, gross profit, operating profit and units for all weeks and for the last 52 weeks, and by category); the KPI formulas equal a hand calculation (12 KPIs); year-over-year growth is right on a constructed series; credit formulas (DSO, receivables, expected loss) are right on small hand-made inputs; ratings are monotonic in the risk score; alerts are valid and independently recomputed (the overstock and stock-out lists match); raising a threshold removes its alerts; the application's forecast equals the forecast database (780 rows); and the application runs without exceptions on all eight tabs, with changed filters and with an empty selection.</w:t>
      </w:r>
    </w:p>
    <w:p>
      <w:pPr>
        <w:pStyle w:val="Heading2"/>
      </w:pPr>
      <w:r>
        <w:rPr>
          <w:rFonts w:ascii="Calibri" w:hAnsi="Calibri" w:eastAsia="Calibri" w:cs="Calibri"/>
          <w:b/>
          <w:i w:val="0"/>
          <w:color w:val="2A78D6"/>
          <w:sz w:val="28"/>
          <w:lang w:val="en-US" w:bidi="fa-IR"/>
        </w:rPr>
        <w:t>6.9 Assumptions and limits of Part 3</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credit layer is a scenario: there are no receivables, customers or payment terms in the data. Every credit figure is labelled as assumption-based.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Operating expenses are not provided; implied opex is gross profit minus operating profit.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Lost revenue and service level depend on the reconstructed demand and are therefore estimates.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Alert thresholds are defaults that should be agreed with management.</w:t>
      </w:r>
    </w:p>
    <w:p>
      <w:pPr>
        <w:pStyle w:val="Heading1"/>
      </w:pPr>
      <w:r>
        <w:rPr>
          <w:rFonts w:ascii="Calibri" w:hAnsi="Calibri" w:eastAsia="Calibri" w:cs="Calibri"/>
          <w:b/>
          <w:i w:val="0"/>
          <w:color w:val="12263F"/>
          <w:sz w:val="36"/>
          <w:lang w:val="en-US" w:bidi="fa-IR"/>
        </w:rPr>
        <w:t>7. Part 4: Dynamic pricing and risk strategy</w:t>
      </w:r>
    </w:p>
    <w:p>
      <w:pPr>
        <w:pStyle w:val="Heading2"/>
      </w:pPr>
      <w:r>
        <w:rPr>
          <w:rFonts w:ascii="Calibri" w:hAnsi="Calibri" w:eastAsia="Calibri" w:cs="Calibri"/>
          <w:b/>
          <w:i w:val="0"/>
          <w:color w:val="2A78D6"/>
          <w:sz w:val="28"/>
          <w:lang w:val="en-US" w:bidi="fa-IR"/>
        </w:rPr>
        <w:t>7.1 Goal and the three questions</w:t>
      </w:r>
    </w:p>
    <w:p>
      <w:r>
        <w:rPr>
          <w:rFonts w:ascii="Calibri" w:hAnsi="Calibri" w:eastAsia="Calibri" w:cs="Calibri"/>
          <w:b w:val="0"/>
          <w:i w:val="0"/>
          <w:lang w:val="en-US" w:bidi="fa-IR"/>
        </w:rPr>
        <w:t>The assignment asks for a documented algorithm that adjusts prices using the forecast, the stock and the risks. In particular it must answer three questions: (1) Demand-based adjustments: how prices scale during forecast demand peaks or lulls; (2) Inventory and seasonality sensitivity: the pricing rules for high-stock against low-stock products during peak and off-peak seasons; (3) Competitive and credit-risk guardrails: how competitive prices are ensured and credit risk respected. The sections below answer them in 7.5, 7.6 and 7.7.</w:t>
      </w:r>
    </w:p>
    <w:p>
      <w:pPr>
        <w:pStyle w:val="Heading2"/>
      </w:pPr>
      <w:r>
        <w:rPr>
          <w:rFonts w:ascii="Calibri" w:hAnsi="Calibri" w:eastAsia="Calibri" w:cs="Calibri"/>
          <w:b/>
          <w:i w:val="0"/>
          <w:color w:val="2A78D6"/>
          <w:sz w:val="28"/>
          <w:lang w:val="en-US" w:bidi="fa-IR"/>
        </w:rPr>
        <w:t>7.2 Four data insights that shape the idea</w:t>
      </w:r>
    </w:p>
    <w:p>
      <w:pPr>
        <w:spacing w:after="60"/>
        <w:ind w:left="510" w:hanging="340"/>
      </w:pPr>
      <w:r>
        <w:rPr>
          <w:rFonts w:ascii="Calibri" w:hAnsi="Calibri" w:eastAsia="Calibri" w:cs="Calibri"/>
          <w:b/>
          <w:i w:val="0"/>
          <w:color w:val="2A78D6"/>
          <w:lang w:val="en-US" w:bidi="fa-IR"/>
        </w:rPr>
        <w:t xml:space="preserve">1.  </w:t>
      </w:r>
      <w:r>
        <w:rPr>
          <w:rFonts w:ascii="Calibri" w:hAnsi="Calibri" w:eastAsia="Calibri" w:cs="Calibri"/>
          <w:b w:val="0"/>
          <w:i w:val="0"/>
          <w:lang w:val="en-US" w:bidi="fa-IR"/>
        </w:rPr>
        <w:t>78 percent of the forecast product-weeks are scarce: the stock history cannot cover forecast demand, so these products sell out whatever the price is.</w:t>
      </w:r>
    </w:p>
    <w:p>
      <w:pPr>
        <w:spacing w:after="60"/>
        <w:ind w:left="510" w:hanging="340"/>
      </w:pPr>
      <w:r>
        <w:rPr>
          <w:rFonts w:ascii="Calibri" w:hAnsi="Calibri" w:eastAsia="Calibri" w:cs="Calibri"/>
          <w:b/>
          <w:i w:val="0"/>
          <w:color w:val="2A78D6"/>
          <w:lang w:val="en-US" w:bidi="fa-IR"/>
        </w:rPr>
        <w:t xml:space="preserve">2.  </w:t>
      </w:r>
      <w:r>
        <w:rPr>
          <w:rFonts w:ascii="Calibri" w:hAnsi="Calibri" w:eastAsia="Calibri" w:cs="Calibri"/>
          <w:b w:val="0"/>
          <w:i w:val="0"/>
          <w:lang w:val="en-US" w:bidi="fa-IR"/>
        </w:rPr>
        <w:t>Demand swings about 25 percent above and below normal over the year, so scarcity is strongest in peak weeks.</w:t>
      </w:r>
    </w:p>
    <w:p>
      <w:pPr>
        <w:spacing w:after="60"/>
        <w:ind w:left="510" w:hanging="340"/>
      </w:pPr>
      <w:r>
        <w:rPr>
          <w:rFonts w:ascii="Calibri" w:hAnsi="Calibri" w:eastAsia="Calibri" w:cs="Calibri"/>
          <w:b/>
          <w:i w:val="0"/>
          <w:color w:val="2A78D6"/>
          <w:lang w:val="en-US" w:bidi="fa-IR"/>
        </w:rPr>
        <w:t xml:space="preserve">3.  </w:t>
      </w:r>
      <w:r>
        <w:rPr>
          <w:rFonts w:ascii="Calibri" w:hAnsi="Calibri" w:eastAsia="Calibri" w:cs="Calibri"/>
          <w:b w:val="0"/>
          <w:i w:val="0"/>
          <w:lang w:val="en-US" w:bidi="fa-IR"/>
        </w:rPr>
        <w:t>Five products hold 64 to 370 weeks of stock (10.8 million dollars at cost). Discounting is only interesting there, and only if it pays.</w:t>
      </w:r>
    </w:p>
    <w:p>
      <w:pPr>
        <w:spacing w:after="60"/>
        <w:ind w:left="510" w:hanging="340"/>
      </w:pPr>
      <w:r>
        <w:rPr>
          <w:rFonts w:ascii="Calibri" w:hAnsi="Calibri" w:eastAsia="Calibri" w:cs="Calibri"/>
          <w:b/>
          <w:i w:val="0"/>
          <w:color w:val="2A78D6"/>
          <w:lang w:val="en-US" w:bidi="fa-IR"/>
        </w:rPr>
        <w:t xml:space="preserve">4.  </w:t>
      </w:r>
      <w:r>
        <w:rPr>
          <w:rFonts w:ascii="Calibri" w:hAnsi="Calibri" w:eastAsia="Calibri" w:cs="Calibri"/>
          <w:b w:val="0"/>
          <w:i w:val="0"/>
          <w:lang w:val="en-US" w:bidi="fa-IR"/>
        </w:rPr>
        <w:t>Prices vary only 4 percent within a product, so price sensitivity cannot be measured from the data (effect -0.017, 95 percent interval -0.056 to +0.021).</w:t>
      </w:r>
    </w:p>
    <w:p>
      <w:pPr>
        <w:pStyle w:val="Heading2"/>
      </w:pPr>
      <w:r>
        <w:rPr>
          <w:rFonts w:ascii="Calibri" w:hAnsi="Calibri" w:eastAsia="Calibri" w:cs="Calibri"/>
          <w:b/>
          <w:i w:val="0"/>
          <w:color w:val="2A78D6"/>
          <w:sz w:val="28"/>
          <w:lang w:val="en-US" w:bidi="fa-IR"/>
        </w:rPr>
        <w:t>7.3 The idea</w:t>
      </w:r>
    </w:p>
    <w:tbl>
      <w:tblPr>
        <w:tblW w:type="auto" w:w="0"/>
        <w:jc w:val="center"/>
        <w:tblLook w:firstColumn="1" w:firstRow="1" w:lastColumn="0" w:lastRow="0" w:noHBand="0" w:noVBand="1" w:val="04A0"/>
        <w:tblBorders>
          <w:top w:val="single" w:sz="6" w:space="0" w:color="2A78D6"/>
          <w:left w:val="single" w:sz="6" w:space="0" w:color="2A78D6"/>
          <w:bottom w:val="single" w:sz="6" w:space="0" w:color="2A78D6"/>
          <w:right w:val="single" w:sz="6" w:space="0" w:color="2A78D6"/>
          <w:insideH w:val="single" w:sz="6" w:space="0" w:color="2A78D6"/>
          <w:insideV w:val="single" w:sz="6" w:space="0" w:color="2A78D6"/>
        </w:tblBorders>
        <w:tblCellMar>
          <w:top w:w="100" w:type="dxa"/>
          <w:left w:w="160" w:type="dxa"/>
          <w:bottom w:w="100" w:type="dxa"/>
          <w:right w:w="160" w:type="dxa"/>
        </w:tblCellMar>
      </w:tblPr>
      <w:tblGrid>
        <w:gridCol w:w="9638"/>
      </w:tblGrid>
      <w:tr>
        <w:tc>
          <w:tcPr>
            <w:tcW w:type="dxa" w:w="9638"/>
            <w:shd w:val="clear" w:color="auto" w:fill="F2F6FB"/>
          </w:tcPr>
          <w:p>
            <w:pPr>
              <w:spacing w:after="40"/>
            </w:pPr>
            <w:r>
              <w:rPr>
                <w:rFonts w:ascii="Calibri" w:hAnsi="Calibri" w:eastAsia="Calibri" w:cs="Calibri"/>
                <w:b/>
                <w:i w:val="0"/>
                <w:color w:val="2A78D6"/>
                <w:lang w:val="en-US" w:bidi="fa-IR"/>
              </w:rPr>
              <w:t>The pricing idea</w:t>
            </w:r>
          </w:p>
          <w:p>
            <w:pPr>
              <w:spacing w:after="0"/>
            </w:pPr>
            <w:r>
              <w:rPr>
                <w:rFonts w:ascii="Calibri" w:hAnsi="Calibri" w:eastAsia="Calibri" w:cs="Calibri"/>
                <w:b w:val="0"/>
                <w:i w:val="0"/>
                <w:lang w:val="en-US" w:bidi="fa-IR"/>
              </w:rPr>
              <w:t>Raise the price where stock sells out anyway, because then units sold are set by the stock and the extra price is pure profit. Do not rely on the unknown price sensitivity. Discount only if it provably pays. Keep strict guardrails.</w:t>
            </w:r>
          </w:p>
        </w:tc>
      </w:tr>
    </w:tbl>
    <w:p>
      <w:pPr>
        <w:spacing w:after="40"/>
      </w:pPr>
    </w:p>
    <w:p>
      <w:r>
        <w:rPr>
          <w:rFonts w:ascii="Calibri" w:hAnsi="Calibri" w:eastAsia="Calibri" w:cs="Calibri"/>
          <w:b w:val="0"/>
          <w:i w:val="0"/>
          <w:lang w:val="en-US" w:bidi="fa-IR"/>
        </w:rPr>
        <w:t>Each product-week is classified: Scarce (part of the forecast demand cannot be served; 78 percent of the plan), Balanced (stock covers demand; 5 percent) or Surplus (more than 26 weeks of stock; 17 percent). The logic does not need the price sensitivity, which is exactly what the data cannot tell.</w:t>
      </w:r>
    </w:p>
    <w:p>
      <w:pPr>
        <w:keepNext/>
        <w:spacing w:after="40"/>
        <w:jc w:val="center"/>
      </w:pPr>
      <w:r>
        <w:drawing>
          <wp:inline xmlns:a="http://schemas.openxmlformats.org/drawingml/2006/main" xmlns:pic="http://schemas.openxmlformats.org/drawingml/2006/picture">
            <wp:extent cx="4754880" cy="2405410"/>
            <wp:docPr id="10" name="Picture 10"/>
            <wp:cNvGraphicFramePr>
              <a:graphicFrameLocks noChangeAspect="1"/>
            </wp:cNvGraphicFramePr>
            <a:graphic>
              <a:graphicData uri="http://schemas.openxmlformats.org/drawingml/2006/picture">
                <pic:pic>
                  <pic:nvPicPr>
                    <pic:cNvPr id="0" name="fig1_scarcity_rule_v1.1.png"/>
                    <pic:cNvPicPr/>
                  </pic:nvPicPr>
                  <pic:blipFill>
                    <a:blip r:embed="rId18"/>
                    <a:stretch>
                      <a:fillRect/>
                    </a:stretch>
                  </pic:blipFill>
                  <pic:spPr>
                    <a:xfrm>
                      <a:off x="0" y="0"/>
                      <a:ext cx="4754880" cy="2405410"/>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10. The scarcity rule: the price rise grows with the unserved share of demand and with the season.</w:t>
      </w:r>
    </w:p>
    <w:p>
      <w:pPr>
        <w:pStyle w:val="Heading2"/>
      </w:pPr>
      <w:r>
        <w:rPr>
          <w:rFonts w:ascii="Calibri" w:hAnsi="Calibri" w:eastAsia="Calibri" w:cs="Calibri"/>
          <w:b/>
          <w:i w:val="0"/>
          <w:color w:val="2A78D6"/>
          <w:sz w:val="28"/>
          <w:lang w:val="en-US" w:bidi="fa-IR"/>
        </w:rPr>
        <w:t>7.4 The pricing engine: inputs and six rules</w:t>
      </w:r>
    </w:p>
    <w:p>
      <w:r>
        <w:rPr>
          <w:rFonts w:ascii="Calibri" w:hAnsi="Calibri" w:eastAsia="Calibri" w:cs="Calibri"/>
          <w:b w:val="0"/>
          <w:i w:val="0"/>
          <w:lang w:val="en-US" w:bidi="fa-IR"/>
        </w:rPr>
        <w:t>Inputs for every product-week: the forecast demand with its P10-P90 range, the stock expected to be available (history-based simulation), the season, and the credit rating of the category. The reference price P0 is the product's last-13-week average price. Season is peak when the shared seasonal curve is at or above 1.10, off-peak when at or below 0.90, otherwise normal. All numbers below are parameters in one dictionary and are adjustable.</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1870"/>
        <w:gridCol w:w="2445"/>
        <w:gridCol w:w="5322"/>
      </w:tblGrid>
      <w:tr>
        <w:trPr>
          <w:tblHeader/>
        </w:trPr>
        <w:tc>
          <w:tcPr>
            <w:tcW w:type="dxa" w:w="1870"/>
            <w:shd w:val="clear" w:color="auto" w:fill="12263F"/>
          </w:tcPr>
          <w:p>
            <w:pPr>
              <w:spacing w:after="0"/>
            </w:pPr>
            <w:r>
              <w:rPr>
                <w:rFonts w:ascii="Calibri" w:hAnsi="Calibri" w:eastAsia="Calibri" w:cs="Calibri"/>
                <w:b/>
                <w:i w:val="0"/>
                <w:color w:val="FFFFFF"/>
                <w:sz w:val="19"/>
                <w:lang w:val="en-US" w:bidi="fa-IR"/>
              </w:rPr>
              <w:t>Rule</w:t>
            </w:r>
          </w:p>
        </w:tc>
        <w:tc>
          <w:tcPr>
            <w:tcW w:type="dxa" w:w="2445"/>
            <w:shd w:val="clear" w:color="auto" w:fill="12263F"/>
          </w:tcPr>
          <w:p>
            <w:pPr>
              <w:spacing w:after="0"/>
            </w:pPr>
            <w:r>
              <w:rPr>
                <w:rFonts w:ascii="Calibri" w:hAnsi="Calibri" w:eastAsia="Calibri" w:cs="Calibri"/>
                <w:b/>
                <w:i w:val="0"/>
                <w:color w:val="FFFFFF"/>
                <w:sz w:val="19"/>
                <w:lang w:val="en-US" w:bidi="fa-IR"/>
              </w:rPr>
              <w:t>What it does</w:t>
            </w:r>
          </w:p>
        </w:tc>
        <w:tc>
          <w:tcPr>
            <w:tcW w:type="dxa" w:w="5322"/>
            <w:shd w:val="clear" w:color="auto" w:fill="12263F"/>
          </w:tcPr>
          <w:p>
            <w:pPr>
              <w:spacing w:after="0"/>
            </w:pPr>
            <w:r>
              <w:rPr>
                <w:rFonts w:ascii="Calibri" w:hAnsi="Calibri" w:eastAsia="Calibri" w:cs="Calibri"/>
                <w:b/>
                <w:i w:val="0"/>
                <w:color w:val="FFFFFF"/>
                <w:sz w:val="19"/>
                <w:lang w:val="en-US" w:bidi="fa-IR"/>
              </w:rPr>
              <w:t>Formula and parameters</w:t>
            </w:r>
          </w:p>
        </w:tc>
      </w:tr>
      <w:tr>
        <w:trPr>
          <w:cantSplit/>
        </w:trPr>
        <w:tc>
          <w:tcPr>
            <w:tcW w:type="dxa" w:w="1870"/>
          </w:tcPr>
          <w:p>
            <w:pPr>
              <w:spacing w:after="0"/>
            </w:pPr>
            <w:r>
              <w:rPr>
                <w:rFonts w:ascii="Calibri" w:hAnsi="Calibri" w:eastAsia="Calibri" w:cs="Calibri"/>
                <w:b/>
                <w:i w:val="0"/>
                <w:sz w:val="19"/>
                <w:lang w:val="en-US" w:bidi="fa-IR"/>
              </w:rPr>
              <w:t>1. Scarcity premium</w:t>
            </w:r>
          </w:p>
        </w:tc>
        <w:tc>
          <w:tcPr>
            <w:tcW w:type="dxa" w:w="2445"/>
          </w:tcPr>
          <w:p>
            <w:pPr>
              <w:spacing w:after="0"/>
            </w:pPr>
            <w:r>
              <w:rPr>
                <w:rFonts w:ascii="Calibri" w:hAnsi="Calibri" w:eastAsia="Calibri" w:cs="Calibri"/>
                <w:b w:val="0"/>
                <w:i w:val="0"/>
                <w:sz w:val="19"/>
                <w:lang w:val="en-US" w:bidi="fa-IR"/>
              </w:rPr>
              <w:t>Raises the price where part of the demand cannot be served</w:t>
            </w:r>
          </w:p>
        </w:tc>
        <w:tc>
          <w:tcPr>
            <w:tcW w:type="dxa" w:w="5322"/>
          </w:tcPr>
          <w:p>
            <w:pPr>
              <w:spacing w:after="0"/>
            </w:pPr>
            <w:r>
              <w:rPr>
                <w:rFonts w:ascii="Calibri" w:hAnsi="Calibri" w:eastAsia="Calibri" w:cs="Calibri"/>
                <w:b w:val="0"/>
                <w:i w:val="0"/>
                <w:sz w:val="19"/>
                <w:lang w:val="en-US" w:bidi="fa-IR"/>
              </w:rPr>
              <w:t>g = share of expected demand that cannot be served. If g &gt; 5%: rise = 8% x min(1, g / 30%) x season multiplier (peak 1.0, normal 0.75, off-peak 0.5). Otherwise 0.</w:t>
            </w:r>
          </w:p>
        </w:tc>
      </w:tr>
      <w:tr>
        <w:trPr>
          <w:cantSplit/>
        </w:trPr>
        <w:tc>
          <w:tcPr>
            <w:tcW w:type="dxa" w:w="1870"/>
            <w:shd w:val="clear" w:color="auto" w:fill="F7F9FC"/>
          </w:tcPr>
          <w:p>
            <w:pPr>
              <w:spacing w:after="0"/>
            </w:pPr>
            <w:r>
              <w:rPr>
                <w:rFonts w:ascii="Calibri" w:hAnsi="Calibri" w:eastAsia="Calibri" w:cs="Calibri"/>
                <w:b/>
                <w:i w:val="0"/>
                <w:sz w:val="19"/>
                <w:lang w:val="en-US" w:bidi="fa-IR"/>
              </w:rPr>
              <w:t>2. Sell-out protection</w:t>
            </w:r>
          </w:p>
        </w:tc>
        <w:tc>
          <w:tcPr>
            <w:tcW w:type="dxa" w:w="2445"/>
            <w:shd w:val="clear" w:color="auto" w:fill="F7F9FC"/>
          </w:tcPr>
          <w:p>
            <w:pPr>
              <w:spacing w:after="0"/>
            </w:pPr>
            <w:r>
              <w:rPr>
                <w:rFonts w:ascii="Calibri" w:hAnsi="Calibri" w:eastAsia="Calibri" w:cs="Calibri"/>
                <w:b w:val="0"/>
                <w:i w:val="0"/>
                <w:sz w:val="19"/>
                <w:lang w:val="en-US" w:bidi="fa-IR"/>
              </w:rPr>
              <w:t>Caps the rise so that units sold do not fall</w:t>
            </w:r>
          </w:p>
        </w:tc>
        <w:tc>
          <w:tcPr>
            <w:tcW w:type="dxa" w:w="5322"/>
            <w:shd w:val="clear" w:color="auto" w:fill="F7F9FC"/>
          </w:tcPr>
          <w:p>
            <w:pPr>
              <w:spacing w:after="0"/>
            </w:pPr>
            <w:r>
              <w:rPr>
                <w:rFonts w:ascii="Calibri" w:hAnsi="Calibri" w:eastAsia="Calibri" w:cs="Calibri"/>
                <w:b w:val="0"/>
                <w:i w:val="0"/>
                <w:sz w:val="19"/>
                <w:lang w:val="en-US" w:bidi="fa-IR"/>
              </w:rPr>
              <w:t>Largest rise M such that expected units sold, with demand scaled by M^(-2) (customers assumed twice as price-sensitive as the planning case), stay at least 99% of the baseline. Expectation by 1,000 simulated demand draws against stock drawn from the product's own history.</w:t>
            </w:r>
          </w:p>
        </w:tc>
      </w:tr>
      <w:tr>
        <w:trPr>
          <w:cantSplit/>
        </w:trPr>
        <w:tc>
          <w:tcPr>
            <w:tcW w:type="dxa" w:w="1870"/>
          </w:tcPr>
          <w:p>
            <w:pPr>
              <w:spacing w:after="0"/>
            </w:pPr>
            <w:r>
              <w:rPr>
                <w:rFonts w:ascii="Calibri" w:hAnsi="Calibri" w:eastAsia="Calibri" w:cs="Calibri"/>
                <w:b/>
                <w:i w:val="0"/>
                <w:sz w:val="19"/>
                <w:lang w:val="en-US" w:bidi="fa-IR"/>
              </w:rPr>
              <w:t>3. Surplus markdown</w:t>
            </w:r>
          </w:p>
        </w:tc>
        <w:tc>
          <w:tcPr>
            <w:tcW w:type="dxa" w:w="2445"/>
          </w:tcPr>
          <w:p>
            <w:pPr>
              <w:spacing w:after="0"/>
            </w:pPr>
            <w:r>
              <w:rPr>
                <w:rFonts w:ascii="Calibri" w:hAnsi="Calibri" w:eastAsia="Calibri" w:cs="Calibri"/>
                <w:b w:val="0"/>
                <w:i w:val="0"/>
                <w:sz w:val="19"/>
                <w:lang w:val="en-US" w:bidi="fa-IR"/>
              </w:rPr>
              <w:t>Allows a discount for over-stocked products, but only if it pays</w:t>
            </w:r>
          </w:p>
        </w:tc>
        <w:tc>
          <w:tcPr>
            <w:tcW w:type="dxa" w:w="5322"/>
          </w:tcPr>
          <w:p>
            <w:pPr>
              <w:spacing w:after="0"/>
            </w:pPr>
            <w:r>
              <w:rPr>
                <w:rFonts w:ascii="Calibri" w:hAnsi="Calibri" w:eastAsia="Calibri" w:cs="Calibri"/>
                <w:b w:val="0"/>
                <w:i w:val="0"/>
                <w:sz w:val="19"/>
                <w:lang w:val="en-US" w:bidi="fa-IR"/>
              </w:rPr>
              <w:t>If cover &gt; 26 weeks: depth = 10% x min(1, ln(cover/26) / ln(104/26)) x lull factor (off-peak 1.0, normal 0.5, peak 0). Applied only if simulated profit improves at the planning sensitivity (-1), counting the carrying-cost saving. The break-even sensitivity is reported.</w:t>
            </w:r>
          </w:p>
        </w:tc>
      </w:tr>
      <w:tr>
        <w:trPr>
          <w:cantSplit/>
        </w:trPr>
        <w:tc>
          <w:tcPr>
            <w:tcW w:type="dxa" w:w="1870"/>
            <w:shd w:val="clear" w:color="auto" w:fill="F7F9FC"/>
          </w:tcPr>
          <w:p>
            <w:pPr>
              <w:spacing w:after="0"/>
            </w:pPr>
            <w:r>
              <w:rPr>
                <w:rFonts w:ascii="Calibri" w:hAnsi="Calibri" w:eastAsia="Calibri" w:cs="Calibri"/>
                <w:b/>
                <w:i w:val="0"/>
                <w:sz w:val="19"/>
                <w:lang w:val="en-US" w:bidi="fa-IR"/>
              </w:rPr>
              <w:t>4. Credit risk</w:t>
            </w:r>
          </w:p>
        </w:tc>
        <w:tc>
          <w:tcPr>
            <w:tcW w:type="dxa" w:w="2445"/>
            <w:shd w:val="clear" w:color="auto" w:fill="F7F9FC"/>
          </w:tcPr>
          <w:p>
            <w:pPr>
              <w:spacing w:after="0"/>
            </w:pPr>
            <w:r>
              <w:rPr>
                <w:rFonts w:ascii="Calibri" w:hAnsi="Calibri" w:eastAsia="Calibri" w:cs="Calibri"/>
                <w:b w:val="0"/>
                <w:i w:val="0"/>
                <w:sz w:val="19"/>
                <w:lang w:val="en-US" w:bidi="fa-IR"/>
              </w:rPr>
              <w:t>Reacts to the category's rating</w:t>
            </w:r>
          </w:p>
        </w:tc>
        <w:tc>
          <w:tcPr>
            <w:tcW w:type="dxa" w:w="5322"/>
            <w:shd w:val="clear" w:color="auto" w:fill="F7F9FC"/>
          </w:tcPr>
          <w:p>
            <w:pPr>
              <w:spacing w:after="0"/>
            </w:pPr>
            <w:r>
              <w:rPr>
                <w:rFonts w:ascii="Calibri" w:hAnsi="Calibri" w:eastAsia="Calibri" w:cs="Calibri"/>
                <w:b w:val="0"/>
                <w:i w:val="0"/>
                <w:sz w:val="19"/>
                <w:lang w:val="en-US" w:bidi="fa-IR"/>
              </w:rPr>
              <w:t>A, B: normal. C: markdown capped at 5%. D, E: no markdown; risk premium = share on credit x default rate + DSO / 365 x 8% funding cost; recommended terms 15 days shorter.</w:t>
            </w:r>
          </w:p>
        </w:tc>
      </w:tr>
      <w:tr>
        <w:trPr>
          <w:cantSplit/>
        </w:trPr>
        <w:tc>
          <w:tcPr>
            <w:tcW w:type="dxa" w:w="1870"/>
          </w:tcPr>
          <w:p>
            <w:pPr>
              <w:spacing w:after="0"/>
            </w:pPr>
            <w:r>
              <w:rPr>
                <w:rFonts w:ascii="Calibri" w:hAnsi="Calibri" w:eastAsia="Calibri" w:cs="Calibri"/>
                <w:b/>
                <w:i w:val="0"/>
                <w:sz w:val="19"/>
                <w:lang w:val="en-US" w:bidi="fa-IR"/>
              </w:rPr>
              <w:t>5. Guardrails</w:t>
            </w:r>
          </w:p>
        </w:tc>
        <w:tc>
          <w:tcPr>
            <w:tcW w:type="dxa" w:w="2445"/>
          </w:tcPr>
          <w:p>
            <w:pPr>
              <w:spacing w:after="0"/>
            </w:pPr>
            <w:r>
              <w:rPr>
                <w:rFonts w:ascii="Calibri" w:hAnsi="Calibri" w:eastAsia="Calibri" w:cs="Calibri"/>
                <w:b w:val="0"/>
                <w:i w:val="0"/>
                <w:sz w:val="19"/>
                <w:lang w:val="en-US" w:bidi="fa-IR"/>
              </w:rPr>
              <w:t>Hard limits on every price</w:t>
            </w:r>
          </w:p>
        </w:tc>
        <w:tc>
          <w:tcPr>
            <w:tcW w:type="dxa" w:w="5322"/>
          </w:tcPr>
          <w:p>
            <w:pPr>
              <w:spacing w:after="0"/>
            </w:pPr>
            <w:r>
              <w:rPr>
                <w:rFonts w:ascii="Calibri" w:hAnsi="Calibri" w:eastAsia="Calibri" w:cs="Calibri"/>
                <w:b w:val="0"/>
                <w:i w:val="0"/>
                <w:sz w:val="19"/>
                <w:lang w:val="en-US" w:bidi="fa-IR"/>
              </w:rPr>
              <w:t>Cost floor = COGS x (1 + 5% markup + 12% annual carrying cost x 4 / 52) / (1 - expected credit loss rate). Competitive band 0.92 to 1.10 x P0. Weekly step at most 3% from the previous week's price.</w:t>
            </w:r>
          </w:p>
        </w:tc>
      </w:tr>
      <w:tr>
        <w:trPr>
          <w:cantSplit/>
        </w:trPr>
        <w:tc>
          <w:tcPr>
            <w:tcW w:type="dxa" w:w="1870"/>
            <w:shd w:val="clear" w:color="auto" w:fill="F7F9FC"/>
          </w:tcPr>
          <w:p>
            <w:pPr>
              <w:spacing w:after="0"/>
            </w:pPr>
            <w:r>
              <w:rPr>
                <w:rFonts w:ascii="Calibri" w:hAnsi="Calibri" w:eastAsia="Calibri" w:cs="Calibri"/>
                <w:b/>
                <w:i w:val="0"/>
                <w:sz w:val="19"/>
                <w:lang w:val="en-US" w:bidi="fa-IR"/>
              </w:rPr>
              <w:t>6. Final price</w:t>
            </w:r>
          </w:p>
        </w:tc>
        <w:tc>
          <w:tcPr>
            <w:tcW w:type="dxa" w:w="2445"/>
            <w:shd w:val="clear" w:color="auto" w:fill="F7F9FC"/>
          </w:tcPr>
          <w:p>
            <w:pPr>
              <w:spacing w:after="0"/>
            </w:pPr>
            <w:r>
              <w:rPr>
                <w:rFonts w:ascii="Calibri" w:hAnsi="Calibri" w:eastAsia="Calibri" w:cs="Calibri"/>
                <w:b w:val="0"/>
                <w:i w:val="0"/>
                <w:sz w:val="19"/>
                <w:lang w:val="en-US" w:bidi="fa-IR"/>
              </w:rPr>
              <w:t>Assembles the price and the reason</w:t>
            </w:r>
          </w:p>
        </w:tc>
        <w:tc>
          <w:tcPr>
            <w:tcW w:type="dxa" w:w="5322"/>
            <w:shd w:val="clear" w:color="auto" w:fill="F7F9FC"/>
          </w:tcPr>
          <w:p>
            <w:pPr>
              <w:spacing w:after="0"/>
            </w:pPr>
            <w:r>
              <w:rPr>
                <w:rFonts w:ascii="Calibri" w:hAnsi="Calibri" w:eastAsia="Calibri" w:cs="Calibri"/>
                <w:b w:val="0"/>
                <w:i w:val="0"/>
                <w:sz w:val="19"/>
                <w:lang w:val="en-US" w:bidi="fa-IR"/>
              </w:rPr>
              <w:t>Start at P0, apply rules 1-2 (or 3), then 4, then clip to the band, floor and step. The binding limit is recorded for every product-week, so each price can be explained.</w:t>
            </w:r>
          </w:p>
        </w:tc>
      </w:tr>
    </w:tbl>
    <w:p>
      <w:pPr>
        <w:spacing w:after="40"/>
      </w:pPr>
    </w:p>
    <w:p>
      <w:pPr>
        <w:keepNext/>
        <w:spacing w:after="40"/>
        <w:jc w:val="center"/>
      </w:pPr>
      <w:r>
        <w:drawing>
          <wp:inline xmlns:a="http://schemas.openxmlformats.org/drawingml/2006/main" xmlns:pic="http://schemas.openxmlformats.org/drawingml/2006/picture">
            <wp:extent cx="5120640" cy="3491345"/>
            <wp:docPr id="11" name="Picture 11"/>
            <wp:cNvGraphicFramePr>
              <a:graphicFrameLocks noChangeAspect="1"/>
            </wp:cNvGraphicFramePr>
            <a:graphic>
              <a:graphicData uri="http://schemas.openxmlformats.org/drawingml/2006/picture">
                <pic:pic>
                  <pic:nvPicPr>
                    <pic:cNvPr id="0" name="fig3_price_heatmap_v1.1.png"/>
                    <pic:cNvPicPr/>
                  </pic:nvPicPr>
                  <pic:blipFill>
                    <a:blip r:embed="rId19"/>
                    <a:stretch>
                      <a:fillRect/>
                    </a:stretch>
                  </pic:blipFill>
                  <pic:spPr>
                    <a:xfrm>
                      <a:off x="0" y="0"/>
                      <a:ext cx="5120640" cy="3491345"/>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11. The recommended price change for every product and week of the 26-week plan.</w:t>
      </w:r>
    </w:p>
    <w:p>
      <w:pPr>
        <w:pStyle w:val="Heading2"/>
      </w:pPr>
      <w:r>
        <w:rPr>
          <w:rFonts w:ascii="Calibri" w:hAnsi="Calibri" w:eastAsia="Calibri" w:cs="Calibri"/>
          <w:b/>
          <w:i w:val="0"/>
          <w:color w:val="2A78D6"/>
          <w:sz w:val="28"/>
          <w:lang w:val="en-US" w:bidi="fa-IR"/>
        </w:rPr>
        <w:t>7.5 Question 1: demand-based adjustments (peaks and lulls)</w:t>
      </w:r>
    </w:p>
    <w:p>
      <w:r>
        <w:rPr>
          <w:rFonts w:ascii="Calibri" w:hAnsi="Calibri" w:eastAsia="Calibri" w:cs="Calibri"/>
          <w:b w:val="0"/>
          <w:i w:val="0"/>
          <w:lang w:val="en-US" w:bidi="fa-IR"/>
        </w:rPr>
        <w:t>The premium scales with how scarce the product is and how strong the season is. The table shows the rise (unserved demand g against season):</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733"/>
        <w:gridCol w:w="2157"/>
        <w:gridCol w:w="2445"/>
        <w:gridCol w:w="2301"/>
      </w:tblGrid>
      <w:tr>
        <w:trPr>
          <w:tblHeader/>
        </w:trPr>
        <w:tc>
          <w:tcPr>
            <w:tcW w:type="dxa" w:w="2733"/>
            <w:shd w:val="clear" w:color="auto" w:fill="12263F"/>
          </w:tcPr>
          <w:p>
            <w:pPr>
              <w:spacing w:after="0"/>
            </w:pPr>
            <w:r>
              <w:rPr>
                <w:rFonts w:ascii="Calibri" w:hAnsi="Calibri" w:eastAsia="Calibri" w:cs="Calibri"/>
                <w:b/>
                <w:i w:val="0"/>
                <w:color w:val="FFFFFF"/>
                <w:sz w:val="18"/>
                <w:lang w:val="en-US" w:bidi="fa-IR"/>
              </w:rPr>
              <w:t>Unserved demand g</w:t>
            </w:r>
          </w:p>
        </w:tc>
        <w:tc>
          <w:tcPr>
            <w:tcW w:type="dxa" w:w="2158"/>
            <w:shd w:val="clear" w:color="auto" w:fill="12263F"/>
          </w:tcPr>
          <w:p>
            <w:pPr>
              <w:spacing w:after="0"/>
            </w:pPr>
            <w:r>
              <w:rPr>
                <w:rFonts w:ascii="Calibri" w:hAnsi="Calibri" w:eastAsia="Calibri" w:cs="Calibri"/>
                <w:b/>
                <w:i w:val="0"/>
                <w:color w:val="FFFFFF"/>
                <w:sz w:val="18"/>
                <w:lang w:val="en-US" w:bidi="fa-IR"/>
              </w:rPr>
              <w:t>Peak (x 1.0)</w:t>
            </w:r>
          </w:p>
        </w:tc>
        <w:tc>
          <w:tcPr>
            <w:tcW w:type="dxa" w:w="2445"/>
            <w:shd w:val="clear" w:color="auto" w:fill="12263F"/>
          </w:tcPr>
          <w:p>
            <w:pPr>
              <w:spacing w:after="0"/>
            </w:pPr>
            <w:r>
              <w:rPr>
                <w:rFonts w:ascii="Calibri" w:hAnsi="Calibri" w:eastAsia="Calibri" w:cs="Calibri"/>
                <w:b/>
                <w:i w:val="0"/>
                <w:color w:val="FFFFFF"/>
                <w:sz w:val="18"/>
                <w:lang w:val="en-US" w:bidi="fa-IR"/>
              </w:rPr>
              <w:t>Normal (x 0.75)</w:t>
            </w:r>
          </w:p>
        </w:tc>
        <w:tc>
          <w:tcPr>
            <w:tcW w:type="dxa" w:w="2302"/>
            <w:shd w:val="clear" w:color="auto" w:fill="12263F"/>
          </w:tcPr>
          <w:p>
            <w:pPr>
              <w:spacing w:after="0"/>
            </w:pPr>
            <w:r>
              <w:rPr>
                <w:rFonts w:ascii="Calibri" w:hAnsi="Calibri" w:eastAsia="Calibri" w:cs="Calibri"/>
                <w:b/>
                <w:i w:val="0"/>
                <w:color w:val="FFFFFF"/>
                <w:sz w:val="18"/>
                <w:lang w:val="en-US" w:bidi="fa-IR"/>
              </w:rPr>
              <w:t>Off-peak (x 0.5)</w:t>
            </w:r>
          </w:p>
        </w:tc>
      </w:tr>
      <w:tr>
        <w:trPr>
          <w:cantSplit/>
        </w:trPr>
        <w:tc>
          <w:tcPr>
            <w:tcW w:type="dxa" w:w="2733"/>
          </w:tcPr>
          <w:p>
            <w:pPr>
              <w:spacing w:after="0"/>
            </w:pPr>
            <w:r>
              <w:rPr>
                <w:rFonts w:ascii="Calibri" w:hAnsi="Calibri" w:eastAsia="Calibri" w:cs="Calibri"/>
                <w:b/>
                <w:i w:val="0"/>
                <w:sz w:val="18"/>
                <w:lang w:val="en-US" w:bidi="fa-IR"/>
              </w:rPr>
              <w:t>5% or less</w:t>
            </w:r>
          </w:p>
        </w:tc>
        <w:tc>
          <w:tcPr>
            <w:tcW w:type="dxa" w:w="2158"/>
          </w:tcPr>
          <w:p>
            <w:pPr>
              <w:spacing w:after="0"/>
            </w:pPr>
            <w:r>
              <w:rPr>
                <w:rFonts w:ascii="Calibri" w:hAnsi="Calibri" w:eastAsia="Calibri" w:cs="Calibri"/>
                <w:b w:val="0"/>
                <w:i w:val="0"/>
                <w:sz w:val="18"/>
                <w:lang w:val="en-US" w:bidi="fa-IR"/>
              </w:rPr>
              <w:t>0%</w:t>
            </w:r>
          </w:p>
        </w:tc>
        <w:tc>
          <w:tcPr>
            <w:tcW w:type="dxa" w:w="2445"/>
          </w:tcPr>
          <w:p>
            <w:pPr>
              <w:spacing w:after="0"/>
            </w:pPr>
            <w:r>
              <w:rPr>
                <w:rFonts w:ascii="Calibri" w:hAnsi="Calibri" w:eastAsia="Calibri" w:cs="Calibri"/>
                <w:b w:val="0"/>
                <w:i w:val="0"/>
                <w:sz w:val="18"/>
                <w:lang w:val="en-US" w:bidi="fa-IR"/>
              </w:rPr>
              <w:t>0%</w:t>
            </w:r>
          </w:p>
        </w:tc>
        <w:tc>
          <w:tcPr>
            <w:tcW w:type="dxa" w:w="2302"/>
          </w:tcPr>
          <w:p>
            <w:pPr>
              <w:spacing w:after="0"/>
            </w:pPr>
            <w:r>
              <w:rPr>
                <w:rFonts w:ascii="Calibri" w:hAnsi="Calibri" w:eastAsia="Calibri" w:cs="Calibri"/>
                <w:b w:val="0"/>
                <w:i w:val="0"/>
                <w:sz w:val="18"/>
                <w:lang w:val="en-US" w:bidi="fa-IR"/>
              </w:rPr>
              <w:t>0%</w:t>
            </w:r>
          </w:p>
        </w:tc>
      </w:tr>
      <w:tr>
        <w:trPr>
          <w:cantSplit/>
        </w:trPr>
        <w:tc>
          <w:tcPr>
            <w:tcW w:type="dxa" w:w="2733"/>
            <w:shd w:val="clear" w:color="auto" w:fill="F7F9FC"/>
          </w:tcPr>
          <w:p>
            <w:pPr>
              <w:spacing w:after="0"/>
            </w:pPr>
            <w:r>
              <w:rPr>
                <w:rFonts w:ascii="Calibri" w:hAnsi="Calibri" w:eastAsia="Calibri" w:cs="Calibri"/>
                <w:b/>
                <w:i w:val="0"/>
                <w:sz w:val="18"/>
                <w:lang w:val="en-US" w:bidi="fa-IR"/>
              </w:rPr>
              <w:t>10%</w:t>
            </w:r>
          </w:p>
        </w:tc>
        <w:tc>
          <w:tcPr>
            <w:tcW w:type="dxa" w:w="2158"/>
            <w:shd w:val="clear" w:color="auto" w:fill="F7F9FC"/>
          </w:tcPr>
          <w:p>
            <w:pPr>
              <w:spacing w:after="0"/>
            </w:pPr>
            <w:r>
              <w:rPr>
                <w:rFonts w:ascii="Calibri" w:hAnsi="Calibri" w:eastAsia="Calibri" w:cs="Calibri"/>
                <w:b w:val="0"/>
                <w:i w:val="0"/>
                <w:sz w:val="18"/>
                <w:lang w:val="en-US" w:bidi="fa-IR"/>
              </w:rPr>
              <w:t>+2.7%</w:t>
            </w:r>
          </w:p>
        </w:tc>
        <w:tc>
          <w:tcPr>
            <w:tcW w:type="dxa" w:w="2445"/>
            <w:shd w:val="clear" w:color="auto" w:fill="F7F9FC"/>
          </w:tcPr>
          <w:p>
            <w:pPr>
              <w:spacing w:after="0"/>
            </w:pPr>
            <w:r>
              <w:rPr>
                <w:rFonts w:ascii="Calibri" w:hAnsi="Calibri" w:eastAsia="Calibri" w:cs="Calibri"/>
                <w:b w:val="0"/>
                <w:i w:val="0"/>
                <w:sz w:val="18"/>
                <w:lang w:val="en-US" w:bidi="fa-IR"/>
              </w:rPr>
              <w:t>+2.0%</w:t>
            </w:r>
          </w:p>
        </w:tc>
        <w:tc>
          <w:tcPr>
            <w:tcW w:type="dxa" w:w="2302"/>
            <w:shd w:val="clear" w:color="auto" w:fill="F7F9FC"/>
          </w:tcPr>
          <w:p>
            <w:pPr>
              <w:spacing w:after="0"/>
            </w:pPr>
            <w:r>
              <w:rPr>
                <w:rFonts w:ascii="Calibri" w:hAnsi="Calibri" w:eastAsia="Calibri" w:cs="Calibri"/>
                <w:b w:val="0"/>
                <w:i w:val="0"/>
                <w:sz w:val="18"/>
                <w:lang w:val="en-US" w:bidi="fa-IR"/>
              </w:rPr>
              <w:t>+1.3%</w:t>
            </w:r>
          </w:p>
        </w:tc>
      </w:tr>
      <w:tr>
        <w:trPr>
          <w:cantSplit/>
        </w:trPr>
        <w:tc>
          <w:tcPr>
            <w:tcW w:type="dxa" w:w="2733"/>
          </w:tcPr>
          <w:p>
            <w:pPr>
              <w:spacing w:after="0"/>
            </w:pPr>
            <w:r>
              <w:rPr>
                <w:rFonts w:ascii="Calibri" w:hAnsi="Calibri" w:eastAsia="Calibri" w:cs="Calibri"/>
                <w:b/>
                <w:i w:val="0"/>
                <w:sz w:val="18"/>
                <w:lang w:val="en-US" w:bidi="fa-IR"/>
              </w:rPr>
              <w:t>20%</w:t>
            </w:r>
          </w:p>
        </w:tc>
        <w:tc>
          <w:tcPr>
            <w:tcW w:type="dxa" w:w="2158"/>
          </w:tcPr>
          <w:p>
            <w:pPr>
              <w:spacing w:after="0"/>
            </w:pPr>
            <w:r>
              <w:rPr>
                <w:rFonts w:ascii="Calibri" w:hAnsi="Calibri" w:eastAsia="Calibri" w:cs="Calibri"/>
                <w:b w:val="0"/>
                <w:i w:val="0"/>
                <w:sz w:val="18"/>
                <w:lang w:val="en-US" w:bidi="fa-IR"/>
              </w:rPr>
              <w:t>+5.3%</w:t>
            </w:r>
          </w:p>
        </w:tc>
        <w:tc>
          <w:tcPr>
            <w:tcW w:type="dxa" w:w="2445"/>
          </w:tcPr>
          <w:p>
            <w:pPr>
              <w:spacing w:after="0"/>
            </w:pPr>
            <w:r>
              <w:rPr>
                <w:rFonts w:ascii="Calibri" w:hAnsi="Calibri" w:eastAsia="Calibri" w:cs="Calibri"/>
                <w:b w:val="0"/>
                <w:i w:val="0"/>
                <w:sz w:val="18"/>
                <w:lang w:val="en-US" w:bidi="fa-IR"/>
              </w:rPr>
              <w:t>+4.0%</w:t>
            </w:r>
          </w:p>
        </w:tc>
        <w:tc>
          <w:tcPr>
            <w:tcW w:type="dxa" w:w="2302"/>
          </w:tcPr>
          <w:p>
            <w:pPr>
              <w:spacing w:after="0"/>
            </w:pPr>
            <w:r>
              <w:rPr>
                <w:rFonts w:ascii="Calibri" w:hAnsi="Calibri" w:eastAsia="Calibri" w:cs="Calibri"/>
                <w:b w:val="0"/>
                <w:i w:val="0"/>
                <w:sz w:val="18"/>
                <w:lang w:val="en-US" w:bidi="fa-IR"/>
              </w:rPr>
              <w:t>+2.7%</w:t>
            </w:r>
          </w:p>
        </w:tc>
      </w:tr>
      <w:tr>
        <w:trPr>
          <w:cantSplit/>
        </w:trPr>
        <w:tc>
          <w:tcPr>
            <w:tcW w:type="dxa" w:w="2733"/>
            <w:shd w:val="clear" w:color="auto" w:fill="F7F9FC"/>
          </w:tcPr>
          <w:p>
            <w:pPr>
              <w:spacing w:after="0"/>
            </w:pPr>
            <w:r>
              <w:rPr>
                <w:rFonts w:ascii="Calibri" w:hAnsi="Calibri" w:eastAsia="Calibri" w:cs="Calibri"/>
                <w:b/>
                <w:i w:val="0"/>
                <w:sz w:val="18"/>
                <w:lang w:val="en-US" w:bidi="fa-IR"/>
              </w:rPr>
              <w:t>30% or more</w:t>
            </w:r>
          </w:p>
        </w:tc>
        <w:tc>
          <w:tcPr>
            <w:tcW w:type="dxa" w:w="2158"/>
            <w:shd w:val="clear" w:color="auto" w:fill="F7F9FC"/>
          </w:tcPr>
          <w:p>
            <w:pPr>
              <w:spacing w:after="0"/>
            </w:pPr>
            <w:r>
              <w:rPr>
                <w:rFonts w:ascii="Calibri" w:hAnsi="Calibri" w:eastAsia="Calibri" w:cs="Calibri"/>
                <w:b w:val="0"/>
                <w:i w:val="0"/>
                <w:sz w:val="18"/>
                <w:lang w:val="en-US" w:bidi="fa-IR"/>
              </w:rPr>
              <w:t>+8.0%</w:t>
            </w:r>
          </w:p>
        </w:tc>
        <w:tc>
          <w:tcPr>
            <w:tcW w:type="dxa" w:w="2445"/>
            <w:shd w:val="clear" w:color="auto" w:fill="F7F9FC"/>
          </w:tcPr>
          <w:p>
            <w:pPr>
              <w:spacing w:after="0"/>
            </w:pPr>
            <w:r>
              <w:rPr>
                <w:rFonts w:ascii="Calibri" w:hAnsi="Calibri" w:eastAsia="Calibri" w:cs="Calibri"/>
                <w:b w:val="0"/>
                <w:i w:val="0"/>
                <w:sz w:val="18"/>
                <w:lang w:val="en-US" w:bidi="fa-IR"/>
              </w:rPr>
              <w:t>+6.0%</w:t>
            </w:r>
          </w:p>
        </w:tc>
        <w:tc>
          <w:tcPr>
            <w:tcW w:type="dxa" w:w="2302"/>
            <w:shd w:val="clear" w:color="auto" w:fill="F7F9FC"/>
          </w:tcPr>
          <w:p>
            <w:pPr>
              <w:spacing w:after="0"/>
            </w:pPr>
            <w:r>
              <w:rPr>
                <w:rFonts w:ascii="Calibri" w:hAnsi="Calibri" w:eastAsia="Calibri" w:cs="Calibri"/>
                <w:b w:val="0"/>
                <w:i w:val="0"/>
                <w:sz w:val="18"/>
                <w:lang w:val="en-US" w:bidi="fa-IR"/>
              </w:rPr>
              <w:t>+4.0%</w:t>
            </w:r>
          </w:p>
        </w:tc>
      </w:tr>
    </w:tbl>
    <w:p>
      <w:pPr>
        <w:spacing w:after="40"/>
      </w:pPr>
    </w:p>
    <w:p>
      <w:r>
        <w:rPr>
          <w:rFonts w:ascii="Calibri" w:hAnsi="Calibri" w:eastAsia="Calibri" w:cs="Calibri"/>
          <w:b w:val="0"/>
          <w:i w:val="0"/>
          <w:lang w:val="en-US" w:bidi="fa-IR"/>
        </w:rPr>
        <w:t>Worked example: Barley, week 1 (normal season). Only 48 percent of its expected demand can be served, so g = 52 percent. Rule 1: 8% x min(1, 52/30) x 0.75 = +6.0 percent. Rule 2: simulation shows the largest rise that keeps expected units within 1 percent is +4.5 percent. Rule 5: the weekly step limit allows only +3 percent over today's price. The final price is 7.447 x 1.03 = 7.67 dollars, above the cost floor (6.27) and inside the market band (6.85 to 8.19). Over the 26 weeks the forecast demand rises from 2,900 units to a peak of about 3,570 in week 13; the price follows: weeks 5 to 22 (peak) sit at the +8 percent cap (8.04 dollars), and as the season turns in weeks 23 to 26 the premium eases toward +4 percent. The weekly step keeps the path smooth.</w:t>
      </w:r>
    </w:p>
    <w:p>
      <w:pPr>
        <w:keepNext/>
        <w:spacing w:after="40"/>
        <w:jc w:val="center"/>
      </w:pPr>
      <w:r>
        <w:drawing>
          <wp:inline xmlns:a="http://schemas.openxmlformats.org/drawingml/2006/main" xmlns:pic="http://schemas.openxmlformats.org/drawingml/2006/picture">
            <wp:extent cx="5852160" cy="1482547"/>
            <wp:docPr id="12" name="Picture 12"/>
            <wp:cNvGraphicFramePr>
              <a:graphicFrameLocks noChangeAspect="1"/>
            </wp:cNvGraphicFramePr>
            <a:graphic>
              <a:graphicData uri="http://schemas.openxmlformats.org/drawingml/2006/picture">
                <pic:pic>
                  <pic:nvPicPr>
                    <pic:cNvPr id="0" name="fig2_price_paths_v1.1.png"/>
                    <pic:cNvPicPr/>
                  </pic:nvPicPr>
                  <pic:blipFill>
                    <a:blip r:embed="rId20"/>
                    <a:stretch>
                      <a:fillRect/>
                    </a:stretch>
                  </pic:blipFill>
                  <pic:spPr>
                    <a:xfrm>
                      <a:off x="0" y="0"/>
                      <a:ext cx="5852160" cy="1482547"/>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12. Recommended price paths for example products.</w:t>
      </w:r>
    </w:p>
    <w:p>
      <w:pPr>
        <w:pStyle w:val="Heading2"/>
      </w:pPr>
      <w:r>
        <w:rPr>
          <w:rFonts w:ascii="Calibri" w:hAnsi="Calibri" w:eastAsia="Calibri" w:cs="Calibri"/>
          <w:b/>
          <w:i w:val="0"/>
          <w:color w:val="2A78D6"/>
          <w:sz w:val="28"/>
          <w:lang w:val="en-US" w:bidi="fa-IR"/>
        </w:rPr>
        <w:t>7.6 Question 2: inventory and seasonality sensitivity</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401"/>
        <w:gridCol w:w="1984"/>
        <w:gridCol w:w="2125"/>
        <w:gridCol w:w="2125"/>
      </w:tblGrid>
      <w:tr>
        <w:trPr>
          <w:tblHeader/>
        </w:trPr>
        <w:tc>
          <w:tcPr>
            <w:tcW w:type="dxa" w:w="3402"/>
            <w:shd w:val="clear" w:color="auto" w:fill="12263F"/>
          </w:tcPr>
          <w:p>
            <w:pPr>
              <w:spacing w:after="0"/>
            </w:pPr>
            <w:r>
              <w:rPr>
                <w:rFonts w:ascii="Calibri" w:hAnsi="Calibri" w:eastAsia="Calibri" w:cs="Calibri"/>
                <w:b/>
                <w:i w:val="0"/>
                <w:color w:val="FFFFFF"/>
                <w:sz w:val="18"/>
                <w:lang w:val="en-US" w:bidi="fa-IR"/>
              </w:rPr>
              <w:t>Product type</w:t>
            </w:r>
          </w:p>
        </w:tc>
        <w:tc>
          <w:tcPr>
            <w:tcW w:type="dxa" w:w="1984"/>
            <w:shd w:val="clear" w:color="auto" w:fill="12263F"/>
          </w:tcPr>
          <w:p>
            <w:pPr>
              <w:spacing w:after="0"/>
            </w:pPr>
            <w:r>
              <w:rPr>
                <w:rFonts w:ascii="Calibri" w:hAnsi="Calibri" w:eastAsia="Calibri" w:cs="Calibri"/>
                <w:b/>
                <w:i w:val="0"/>
                <w:color w:val="FFFFFF"/>
                <w:sz w:val="18"/>
                <w:lang w:val="en-US" w:bidi="fa-IR"/>
              </w:rPr>
              <w:t>Peak season</w:t>
            </w:r>
          </w:p>
        </w:tc>
        <w:tc>
          <w:tcPr>
            <w:tcW w:type="dxa" w:w="2126"/>
            <w:shd w:val="clear" w:color="auto" w:fill="12263F"/>
          </w:tcPr>
          <w:p>
            <w:pPr>
              <w:spacing w:after="0"/>
            </w:pPr>
            <w:r>
              <w:rPr>
                <w:rFonts w:ascii="Calibri" w:hAnsi="Calibri" w:eastAsia="Calibri" w:cs="Calibri"/>
                <w:b/>
                <w:i w:val="0"/>
                <w:color w:val="FFFFFF"/>
                <w:sz w:val="18"/>
                <w:lang w:val="en-US" w:bidi="fa-IR"/>
              </w:rPr>
              <w:t>Normal season</w:t>
            </w:r>
          </w:p>
        </w:tc>
        <w:tc>
          <w:tcPr>
            <w:tcW w:type="dxa" w:w="2126"/>
            <w:shd w:val="clear" w:color="auto" w:fill="12263F"/>
          </w:tcPr>
          <w:p>
            <w:pPr>
              <w:spacing w:after="0"/>
            </w:pPr>
            <w:r>
              <w:rPr>
                <w:rFonts w:ascii="Calibri" w:hAnsi="Calibri" w:eastAsia="Calibri" w:cs="Calibri"/>
                <w:b/>
                <w:i w:val="0"/>
                <w:color w:val="FFFFFF"/>
                <w:sz w:val="18"/>
                <w:lang w:val="en-US" w:bidi="fa-IR"/>
              </w:rPr>
              <w:t>Off-peak season</w:t>
            </w:r>
          </w:p>
        </w:tc>
      </w:tr>
      <w:tr>
        <w:trPr>
          <w:cantSplit/>
        </w:trPr>
        <w:tc>
          <w:tcPr>
            <w:tcW w:type="dxa" w:w="3402"/>
          </w:tcPr>
          <w:p>
            <w:pPr>
              <w:spacing w:after="0"/>
            </w:pPr>
            <w:r>
              <w:rPr>
                <w:rFonts w:ascii="Calibri" w:hAnsi="Calibri" w:eastAsia="Calibri" w:cs="Calibri"/>
                <w:b/>
                <w:i w:val="0"/>
                <w:sz w:val="18"/>
                <w:lang w:val="en-US" w:bidi="fa-IR"/>
              </w:rPr>
              <w:t>Lean products (stock below demand, 78% of plan)</w:t>
            </w:r>
          </w:p>
        </w:tc>
        <w:tc>
          <w:tcPr>
            <w:tcW w:type="dxa" w:w="1984"/>
          </w:tcPr>
          <w:p>
            <w:pPr>
              <w:spacing w:after="0"/>
            </w:pPr>
            <w:r>
              <w:rPr>
                <w:rFonts w:ascii="Calibri" w:hAnsi="Calibri" w:eastAsia="Calibri" w:cs="Calibri"/>
                <w:b w:val="0"/>
                <w:i w:val="0"/>
                <w:sz w:val="18"/>
                <w:lang w:val="en-US" w:bidi="fa-IR"/>
              </w:rPr>
              <w:t>Premium up to +8%</w:t>
            </w:r>
          </w:p>
        </w:tc>
        <w:tc>
          <w:tcPr>
            <w:tcW w:type="dxa" w:w="2126"/>
          </w:tcPr>
          <w:p>
            <w:pPr>
              <w:spacing w:after="0"/>
            </w:pPr>
            <w:r>
              <w:rPr>
                <w:rFonts w:ascii="Calibri" w:hAnsi="Calibri" w:eastAsia="Calibri" w:cs="Calibri"/>
                <w:b w:val="0"/>
                <w:i w:val="0"/>
                <w:sz w:val="18"/>
                <w:lang w:val="en-US" w:bidi="fa-IR"/>
              </w:rPr>
              <w:t>Premium up to +6%</w:t>
            </w:r>
          </w:p>
        </w:tc>
        <w:tc>
          <w:tcPr>
            <w:tcW w:type="dxa" w:w="2126"/>
          </w:tcPr>
          <w:p>
            <w:pPr>
              <w:spacing w:after="0"/>
            </w:pPr>
            <w:r>
              <w:rPr>
                <w:rFonts w:ascii="Calibri" w:hAnsi="Calibri" w:eastAsia="Calibri" w:cs="Calibri"/>
                <w:b w:val="0"/>
                <w:i w:val="0"/>
                <w:sz w:val="18"/>
                <w:lang w:val="en-US" w:bidi="fa-IR"/>
              </w:rPr>
              <w:t>Premium up to +4%</w:t>
            </w:r>
          </w:p>
        </w:tc>
      </w:tr>
      <w:tr>
        <w:trPr>
          <w:cantSplit/>
        </w:trPr>
        <w:tc>
          <w:tcPr>
            <w:tcW w:type="dxa" w:w="3402"/>
            <w:shd w:val="clear" w:color="auto" w:fill="F7F9FC"/>
          </w:tcPr>
          <w:p>
            <w:pPr>
              <w:spacing w:after="0"/>
            </w:pPr>
            <w:r>
              <w:rPr>
                <w:rFonts w:ascii="Calibri" w:hAnsi="Calibri" w:eastAsia="Calibri" w:cs="Calibri"/>
                <w:b/>
                <w:i w:val="0"/>
                <w:sz w:val="18"/>
                <w:lang w:val="en-US" w:bidi="fa-IR"/>
              </w:rPr>
              <w:t>High-stock products (over 26 weeks of cover, 17%, 5 products)</w:t>
            </w:r>
          </w:p>
        </w:tc>
        <w:tc>
          <w:tcPr>
            <w:tcW w:type="dxa" w:w="1984"/>
            <w:shd w:val="clear" w:color="auto" w:fill="F7F9FC"/>
          </w:tcPr>
          <w:p>
            <w:pPr>
              <w:spacing w:after="0"/>
            </w:pPr>
            <w:r>
              <w:rPr>
                <w:rFonts w:ascii="Calibri" w:hAnsi="Calibri" w:eastAsia="Calibri" w:cs="Calibri"/>
                <w:b w:val="0"/>
                <w:i w:val="0"/>
                <w:sz w:val="18"/>
                <w:lang w:val="en-US" w:bidi="fa-IR"/>
              </w:rPr>
              <w:t>Hold the price (no markdown in a peak)</w:t>
            </w:r>
          </w:p>
        </w:tc>
        <w:tc>
          <w:tcPr>
            <w:tcW w:type="dxa" w:w="2126"/>
            <w:shd w:val="clear" w:color="auto" w:fill="F7F9FC"/>
          </w:tcPr>
          <w:p>
            <w:pPr>
              <w:spacing w:after="0"/>
            </w:pPr>
            <w:r>
              <w:rPr>
                <w:rFonts w:ascii="Calibri" w:hAnsi="Calibri" w:eastAsia="Calibri" w:cs="Calibri"/>
                <w:b w:val="0"/>
                <w:i w:val="0"/>
                <w:sz w:val="18"/>
                <w:lang w:val="en-US" w:bidi="fa-IR"/>
              </w:rPr>
              <w:t>Markdown up to 5%, only if profit rises</w:t>
            </w:r>
          </w:p>
        </w:tc>
        <w:tc>
          <w:tcPr>
            <w:tcW w:type="dxa" w:w="2126"/>
            <w:shd w:val="clear" w:color="auto" w:fill="F7F9FC"/>
          </w:tcPr>
          <w:p>
            <w:pPr>
              <w:spacing w:after="0"/>
            </w:pPr>
            <w:r>
              <w:rPr>
                <w:rFonts w:ascii="Calibri" w:hAnsi="Calibri" w:eastAsia="Calibri" w:cs="Calibri"/>
                <w:b w:val="0"/>
                <w:i w:val="0"/>
                <w:sz w:val="18"/>
                <w:lang w:val="en-US" w:bidi="fa-IR"/>
              </w:rPr>
              <w:t>Markdown up to 10%, only if profit rises</w:t>
            </w:r>
          </w:p>
        </w:tc>
      </w:tr>
    </w:tbl>
    <w:p>
      <w:pPr>
        <w:spacing w:after="40"/>
      </w:pP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Lean products: stock, not price, limits sales, so the premium is almost free money. It is largest in a peak and smallest in a lull.</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High-stock products never get a premium. A markdown is considered only outside peaks, scaled by how far cover exceeds 26 weeks (full depth at 104 weeks), and only if simulated profit rises. In the tests no markdown paid at the planning sensitivity (200 candidate markdowns rejected; the median break-even sensitivity was 3.8 times the planning value; Wheat - Hard Red would need customers 3.5 times as price-sensitive).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Price cannot fix 64 to 370 weeks of stock: clearing it within a year would need cuts of 17 to 49 percent, and carrying the excess costs about 1.3 million dollars a year, more than the whole pricing gain. The right actions are non-price: stop purchasing until stock is below 26 weeks, and offer bulk or export deals.</w:t>
      </w:r>
    </w:p>
    <w:p>
      <w:pPr>
        <w:keepNext/>
        <w:spacing w:after="40"/>
        <w:jc w:val="center"/>
      </w:pPr>
      <w:r>
        <w:drawing>
          <wp:inline xmlns:a="http://schemas.openxmlformats.org/drawingml/2006/main" xmlns:pic="http://schemas.openxmlformats.org/drawingml/2006/picture">
            <wp:extent cx="4754880" cy="2013832"/>
            <wp:docPr id="13" name="Picture 13"/>
            <wp:cNvGraphicFramePr>
              <a:graphicFrameLocks noChangeAspect="1"/>
            </wp:cNvGraphicFramePr>
            <a:graphic>
              <a:graphicData uri="http://schemas.openxmlformats.org/drawingml/2006/picture">
                <pic:pic>
                  <pic:nvPicPr>
                    <pic:cNvPr id="0" name="fig6_overstock_v1.1.png"/>
                    <pic:cNvPicPr/>
                  </pic:nvPicPr>
                  <pic:blipFill>
                    <a:blip r:embed="rId21"/>
                    <a:stretch>
                      <a:fillRect/>
                    </a:stretch>
                  </pic:blipFill>
                  <pic:spPr>
                    <a:xfrm>
                      <a:off x="0" y="0"/>
                      <a:ext cx="4754880" cy="2013832"/>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13. Capital tied up above 26 weeks of stock.</w:t>
      </w:r>
    </w:p>
    <w:p>
      <w:pPr>
        <w:pStyle w:val="Heading2"/>
      </w:pPr>
      <w:r>
        <w:rPr>
          <w:rFonts w:ascii="Calibri" w:hAnsi="Calibri" w:eastAsia="Calibri" w:cs="Calibri"/>
          <w:b/>
          <w:i w:val="0"/>
          <w:color w:val="2A78D6"/>
          <w:sz w:val="28"/>
          <w:lang w:val="en-US" w:bidi="fa-IR"/>
        </w:rPr>
        <w:t>7.7 Question 3: competitive and credit-risk guardrails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Cost floor: no sale is loss-making. Floor = cost + 5 percent markup + four weeks of carrying cost at 12 percent a year, divided by (1 - expected credit loss).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Competitive band: the price stays within 0.92 and 1.10 times the reference price. The data has no competitor prices, so the 13-week average price is the proxy for the market; the band is an adjustable parameter to be replaced by observed competitor prices.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Weekly step: at most 3 percent from one week to the next, so customers never see price shocks.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Credit-risk rules: ratings A and B follow the normal rules; C: markdown capped at 5 percent; D and E: no markdowns, a risk premium that covers default loss and funding cost (2.5 percent for Beverages and Cocoa: 0.75 x 1.8% + 54/365 x 8%), and recommended payment terms 15 days shorter, which frees about 361 thousand dollars of cash.</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All guardrails are tested automatically on the 26-week plan and on a 52-week replay.</w:t>
      </w:r>
    </w:p>
    <w:p>
      <w:pPr>
        <w:pStyle w:val="Heading2"/>
      </w:pPr>
      <w:r>
        <w:rPr>
          <w:rFonts w:ascii="Calibri" w:hAnsi="Calibri" w:eastAsia="Calibri" w:cs="Calibri"/>
          <w:b/>
          <w:i w:val="0"/>
          <w:color w:val="2A78D6"/>
          <w:sz w:val="28"/>
          <w:lang w:val="en-US" w:bidi="fa-IR"/>
        </w:rPr>
        <w:t>7.8 How the engine was tested</w:t>
      </w:r>
    </w:p>
    <w:p>
      <w:r>
        <w:rPr>
          <w:rFonts w:ascii="Calibri" w:hAnsi="Calibri" w:eastAsia="Calibri" w:cs="Calibri"/>
          <w:b w:val="0"/>
          <w:i w:val="0"/>
          <w:lang w:val="en-US" w:bidi="fa-IR"/>
        </w:rPr>
        <w:t>The difficulty is that price sensitivity cannot be measured from this data. Instead of pretending to know it, the engine was designed so that its gain barely depends on it, and the claim was tested four ways. In every test the engine and the do-nothing alternative (holding today's price) use the same simulated demand and stock, so the difference is purely the pricing. Profit means gross profit minus expected credit losses.</w:t>
      </w:r>
    </w:p>
    <w:p>
      <w:pPr>
        <w:spacing w:after="60"/>
        <w:ind w:left="510" w:hanging="340"/>
      </w:pPr>
      <w:r>
        <w:rPr>
          <w:rFonts w:ascii="Calibri" w:hAnsi="Calibri" w:eastAsia="Calibri" w:cs="Calibri"/>
          <w:b/>
          <w:i w:val="0"/>
          <w:color w:val="2A78D6"/>
          <w:lang w:val="en-US" w:bidi="fa-IR"/>
        </w:rPr>
        <w:t xml:space="preserve">1.  </w:t>
      </w:r>
      <w:r>
        <w:rPr>
          <w:rFonts w:ascii="Calibri" w:hAnsi="Calibri" w:eastAsia="Calibri" w:cs="Calibri"/>
          <w:b w:val="0"/>
          <w:i w:val="0"/>
          <w:lang w:val="en-US" w:bidi="fa-IR"/>
        </w:rPr>
        <w:t>Simulation: 1,000 demand and stock draws per product-week; demand follows a constant-elasticity response D x (P / P0)^e to the price.</w:t>
      </w:r>
    </w:p>
    <w:p>
      <w:pPr>
        <w:spacing w:after="60"/>
        <w:ind w:left="510" w:hanging="340"/>
      </w:pPr>
      <w:r>
        <w:rPr>
          <w:rFonts w:ascii="Calibri" w:hAnsi="Calibri" w:eastAsia="Calibri" w:cs="Calibri"/>
          <w:b/>
          <w:i w:val="0"/>
          <w:color w:val="2A78D6"/>
          <w:lang w:val="en-US" w:bidi="fa-IR"/>
        </w:rPr>
        <w:t xml:space="preserve">2.  </w:t>
      </w:r>
      <w:r>
        <w:rPr>
          <w:rFonts w:ascii="Calibri" w:hAnsi="Calibri" w:eastAsia="Calibri" w:cs="Calibri"/>
          <w:b w:val="0"/>
          <w:i w:val="0"/>
          <w:lang w:val="en-US" w:bidi="fa-IR"/>
        </w:rPr>
        <w:t>Stress the sensitivity: repeat for e = 0, -0.5, -1 (planning case), -2 and -3, so the result is a range.</w:t>
      </w:r>
    </w:p>
    <w:p>
      <w:pPr>
        <w:spacing w:after="60"/>
        <w:ind w:left="510" w:hanging="340"/>
      </w:pPr>
      <w:r>
        <w:rPr>
          <w:rFonts w:ascii="Calibri" w:hAnsi="Calibri" w:eastAsia="Calibri" w:cs="Calibri"/>
          <w:b/>
          <w:i w:val="0"/>
          <w:color w:val="2A78D6"/>
          <w:lang w:val="en-US" w:bidi="fa-IR"/>
        </w:rPr>
        <w:t xml:space="preserve">3.  </w:t>
      </w:r>
      <w:r>
        <w:rPr>
          <w:rFonts w:ascii="Calibri" w:hAnsi="Calibri" w:eastAsia="Calibri" w:cs="Calibri"/>
          <w:b w:val="0"/>
          <w:i w:val="0"/>
          <w:lang w:val="en-US" w:bidi="fa-IR"/>
        </w:rPr>
        <w:t>Replay the past: the last 52 weeks, with decisions at weeks 208 and 234 that use only information available at the time and a naive same-week-last-year forecast.</w:t>
      </w:r>
    </w:p>
    <w:p>
      <w:pPr>
        <w:spacing w:after="60"/>
        <w:ind w:left="510" w:hanging="340"/>
      </w:pPr>
      <w:r>
        <w:rPr>
          <w:rFonts w:ascii="Calibri" w:hAnsi="Calibri" w:eastAsia="Calibri" w:cs="Calibri"/>
          <w:b/>
          <w:i w:val="0"/>
          <w:color w:val="2A78D6"/>
          <w:lang w:val="en-US" w:bidi="fa-IR"/>
        </w:rPr>
        <w:t xml:space="preserve">4.  </w:t>
      </w:r>
      <w:r>
        <w:rPr>
          <w:rFonts w:ascii="Calibri" w:hAnsi="Calibri" w:eastAsia="Calibri" w:cs="Calibri"/>
          <w:b w:val="0"/>
          <w:i w:val="0"/>
          <w:lang w:val="en-US" w:bidi="fa-IR"/>
        </w:rPr>
        <w:t>Stress the inputs: 16 one-at-a-time parameter variations, and a test where real demand is only 60 percent (or 50 percent) of the reconstructed estimate.</w:t>
      </w:r>
    </w:p>
    <w:p>
      <w:pPr>
        <w:spacing w:after="60"/>
        <w:ind w:left="510" w:hanging="340"/>
      </w:pPr>
      <w:r>
        <w:rPr>
          <w:rFonts w:ascii="Calibri" w:hAnsi="Calibri" w:eastAsia="Calibri" w:cs="Calibri"/>
          <w:b/>
          <w:i w:val="0"/>
          <w:color w:val="2A78D6"/>
          <w:lang w:val="en-US" w:bidi="fa-IR"/>
        </w:rPr>
        <w:t xml:space="preserve">5.  </w:t>
      </w:r>
      <w:r>
        <w:rPr>
          <w:rFonts w:ascii="Calibri" w:hAnsi="Calibri" w:eastAsia="Calibri" w:cs="Calibri"/>
          <w:b w:val="0"/>
          <w:i w:val="0"/>
          <w:lang w:val="en-US" w:bidi="fa-IR"/>
        </w:rPr>
        <w:t>Nineteen automatic checks: band, cost floor, weekly step, credit rules, no markdown in a peak, hand-calculated arithmetic of rules 1 and 3, monotonicity, determinism, no look-ahead in the replay, and reconciliation. All pass.</w:t>
      </w:r>
    </w:p>
    <w:p>
      <w:pPr>
        <w:pStyle w:val="Heading2"/>
      </w:pPr>
      <w:r>
        <w:rPr>
          <w:rFonts w:ascii="Calibri" w:hAnsi="Calibri" w:eastAsia="Calibri" w:cs="Calibri"/>
          <w:b/>
          <w:i w:val="0"/>
          <w:color w:val="2A78D6"/>
          <w:sz w:val="28"/>
          <w:lang w:val="en-US" w:bidi="fa-IR"/>
        </w:rPr>
        <w:t>7.9 Results</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118"/>
        <w:gridCol w:w="1417"/>
        <w:gridCol w:w="2692"/>
        <w:gridCol w:w="2409"/>
      </w:tblGrid>
      <w:tr>
        <w:trPr>
          <w:tblHeader/>
        </w:trPr>
        <w:tc>
          <w:tcPr>
            <w:tcW w:type="dxa" w:w="3118"/>
            <w:shd w:val="clear" w:color="auto" w:fill="12263F"/>
          </w:tcPr>
          <w:p>
            <w:pPr>
              <w:spacing w:after="0"/>
            </w:pPr>
            <w:r>
              <w:rPr>
                <w:rFonts w:ascii="Calibri" w:hAnsi="Calibri" w:eastAsia="Calibri" w:cs="Calibri"/>
                <w:b/>
                <w:i w:val="0"/>
                <w:color w:val="FFFFFF"/>
                <w:sz w:val="18"/>
                <w:lang w:val="en-US" w:bidi="fa-IR"/>
              </w:rPr>
              <w:t>Customer reaction (price sensitivity e)</w:t>
            </w:r>
          </w:p>
        </w:tc>
        <w:tc>
          <w:tcPr>
            <w:tcW w:type="dxa" w:w="1417"/>
            <w:shd w:val="clear" w:color="auto" w:fill="12263F"/>
          </w:tcPr>
          <w:p>
            <w:pPr>
              <w:spacing w:after="0"/>
            </w:pPr>
            <w:r>
              <w:rPr>
                <w:rFonts w:ascii="Calibri" w:hAnsi="Calibri" w:eastAsia="Calibri" w:cs="Calibri"/>
                <w:b/>
                <w:i w:val="0"/>
                <w:color w:val="FFFFFF"/>
                <w:sz w:val="18"/>
                <w:lang w:val="en-US" w:bidi="fa-IR"/>
              </w:rPr>
              <w:t>Units change</w:t>
            </w:r>
          </w:p>
        </w:tc>
        <w:tc>
          <w:tcPr>
            <w:tcW w:type="dxa" w:w="2693"/>
            <w:shd w:val="clear" w:color="auto" w:fill="12263F"/>
          </w:tcPr>
          <w:p>
            <w:pPr>
              <w:spacing w:after="0"/>
            </w:pPr>
            <w:r>
              <w:rPr>
                <w:rFonts w:ascii="Calibri" w:hAnsi="Calibri" w:eastAsia="Calibri" w:cs="Calibri"/>
                <w:b/>
                <w:i w:val="0"/>
                <w:color w:val="FFFFFF"/>
                <w:sz w:val="18"/>
                <w:lang w:val="en-US" w:bidi="fa-IR"/>
              </w:rPr>
              <w:t>Profit gain, next 26 weeks</w:t>
            </w:r>
          </w:p>
        </w:tc>
        <w:tc>
          <w:tcPr>
            <w:tcW w:type="dxa" w:w="2409"/>
            <w:shd w:val="clear" w:color="auto" w:fill="12263F"/>
          </w:tcPr>
          <w:p>
            <w:pPr>
              <w:spacing w:after="0"/>
            </w:pPr>
            <w:r>
              <w:rPr>
                <w:rFonts w:ascii="Calibri" w:hAnsi="Calibri" w:eastAsia="Calibri" w:cs="Calibri"/>
                <w:b/>
                <w:i w:val="0"/>
                <w:color w:val="FFFFFF"/>
                <w:sz w:val="18"/>
                <w:lang w:val="en-US" w:bidi="fa-IR"/>
              </w:rPr>
              <w:t>Profit gain, replay of last 52 weeks</w:t>
            </w:r>
          </w:p>
        </w:tc>
      </w:tr>
      <w:tr>
        <w:trPr>
          <w:cantSplit/>
        </w:trPr>
        <w:tc>
          <w:tcPr>
            <w:tcW w:type="dxa" w:w="3118"/>
          </w:tcPr>
          <w:p>
            <w:pPr>
              <w:spacing w:after="0"/>
            </w:pPr>
            <w:r>
              <w:rPr>
                <w:rFonts w:ascii="Calibri" w:hAnsi="Calibri" w:eastAsia="Calibri" w:cs="Calibri"/>
                <w:b/>
                <w:i w:val="0"/>
                <w:sz w:val="18"/>
                <w:lang w:val="en-US" w:bidi="fa-IR"/>
              </w:rPr>
              <w:t>Very high (-3)</w:t>
            </w:r>
          </w:p>
        </w:tc>
        <w:tc>
          <w:tcPr>
            <w:tcW w:type="dxa" w:w="1417"/>
          </w:tcPr>
          <w:p>
            <w:pPr>
              <w:spacing w:after="0"/>
            </w:pPr>
            <w:r>
              <w:rPr>
                <w:rFonts w:ascii="Calibri" w:hAnsi="Calibri" w:eastAsia="Calibri" w:cs="Calibri"/>
                <w:b w:val="0"/>
                <w:i w:val="0"/>
                <w:sz w:val="18"/>
                <w:lang w:val="en-US" w:bidi="fa-IR"/>
              </w:rPr>
              <w:t>-1.6%</w:t>
            </w:r>
          </w:p>
        </w:tc>
        <w:tc>
          <w:tcPr>
            <w:tcW w:type="dxa" w:w="2693"/>
          </w:tcPr>
          <w:p>
            <w:pPr>
              <w:spacing w:after="0"/>
            </w:pPr>
            <w:r>
              <w:rPr>
                <w:rFonts w:ascii="Calibri" w:hAnsi="Calibri" w:eastAsia="Calibri" w:cs="Calibri"/>
                <w:b w:val="0"/>
                <w:i w:val="0"/>
                <w:sz w:val="18"/>
                <w:lang w:val="en-US" w:bidi="fa-IR"/>
              </w:rPr>
              <w:t>1.15 million dollars</w:t>
            </w:r>
          </w:p>
        </w:tc>
        <w:tc>
          <w:tcPr>
            <w:tcW w:type="dxa" w:w="2409"/>
          </w:tcPr>
          <w:p>
            <w:pPr>
              <w:spacing w:after="0"/>
            </w:pPr>
            <w:r>
              <w:rPr>
                <w:rFonts w:ascii="Calibri" w:hAnsi="Calibri" w:eastAsia="Calibri" w:cs="Calibri"/>
                <w:b w:val="0"/>
                <w:i w:val="0"/>
                <w:sz w:val="18"/>
                <w:lang w:val="en-US" w:bidi="fa-IR"/>
              </w:rPr>
              <w:t>1.27 million dollars</w:t>
            </w:r>
          </w:p>
        </w:tc>
      </w:tr>
      <w:tr>
        <w:trPr>
          <w:cantSplit/>
        </w:trPr>
        <w:tc>
          <w:tcPr>
            <w:tcW w:type="dxa" w:w="3118"/>
            <w:shd w:val="clear" w:color="auto" w:fill="F7F9FC"/>
          </w:tcPr>
          <w:p>
            <w:pPr>
              <w:spacing w:after="0"/>
            </w:pPr>
            <w:r>
              <w:rPr>
                <w:rFonts w:ascii="Calibri" w:hAnsi="Calibri" w:eastAsia="Calibri" w:cs="Calibri"/>
                <w:b/>
                <w:i w:val="0"/>
                <w:sz w:val="18"/>
                <w:lang w:val="en-US" w:bidi="fa-IR"/>
              </w:rPr>
              <w:t>High (-2)</w:t>
            </w:r>
          </w:p>
        </w:tc>
        <w:tc>
          <w:tcPr>
            <w:tcW w:type="dxa" w:w="1417"/>
            <w:shd w:val="clear" w:color="auto" w:fill="F7F9FC"/>
          </w:tcPr>
          <w:p>
            <w:pPr>
              <w:spacing w:after="0"/>
            </w:pPr>
            <w:r>
              <w:rPr>
                <w:rFonts w:ascii="Calibri" w:hAnsi="Calibri" w:eastAsia="Calibri" w:cs="Calibri"/>
                <w:b w:val="0"/>
                <w:i w:val="0"/>
                <w:sz w:val="18"/>
                <w:lang w:val="en-US" w:bidi="fa-IR"/>
              </w:rPr>
              <w:t>-0.95%</w:t>
            </w:r>
          </w:p>
        </w:tc>
        <w:tc>
          <w:tcPr>
            <w:tcW w:type="dxa" w:w="2693"/>
            <w:shd w:val="clear" w:color="auto" w:fill="F7F9FC"/>
          </w:tcPr>
          <w:p>
            <w:pPr>
              <w:spacing w:after="0"/>
            </w:pPr>
            <w:r>
              <w:rPr>
                <w:rFonts w:ascii="Calibri" w:hAnsi="Calibri" w:eastAsia="Calibri" w:cs="Calibri"/>
                <w:b w:val="0"/>
                <w:i w:val="0"/>
                <w:sz w:val="18"/>
                <w:lang w:val="en-US" w:bidi="fa-IR"/>
              </w:rPr>
              <w:t>1.22 million dollars</w:t>
            </w:r>
          </w:p>
        </w:tc>
        <w:tc>
          <w:tcPr>
            <w:tcW w:type="dxa" w:w="2409"/>
            <w:shd w:val="clear" w:color="auto" w:fill="F7F9FC"/>
          </w:tcPr>
          <w:p>
            <w:pPr>
              <w:spacing w:after="0"/>
            </w:pPr>
            <w:r>
              <w:rPr>
                <w:rFonts w:ascii="Calibri" w:hAnsi="Calibri" w:eastAsia="Calibri" w:cs="Calibri"/>
                <w:b w:val="0"/>
                <w:i w:val="0"/>
                <w:sz w:val="18"/>
                <w:lang w:val="en-US" w:bidi="fa-IR"/>
              </w:rPr>
              <w:t>1.35 million dollars</w:t>
            </w:r>
          </w:p>
        </w:tc>
      </w:tr>
      <w:tr>
        <w:trPr>
          <w:cantSplit/>
        </w:trPr>
        <w:tc>
          <w:tcPr>
            <w:tcW w:type="dxa" w:w="3118"/>
          </w:tcPr>
          <w:p>
            <w:pPr>
              <w:spacing w:after="0"/>
            </w:pPr>
            <w:r>
              <w:rPr>
                <w:rFonts w:ascii="Calibri" w:hAnsi="Calibri" w:eastAsia="Calibri" w:cs="Calibri"/>
                <w:b/>
                <w:i w:val="0"/>
                <w:sz w:val="18"/>
                <w:lang w:val="en-US" w:bidi="fa-IR"/>
              </w:rPr>
              <w:t>Planning case (-1)</w:t>
            </w:r>
          </w:p>
        </w:tc>
        <w:tc>
          <w:tcPr>
            <w:tcW w:type="dxa" w:w="1417"/>
          </w:tcPr>
          <w:p>
            <w:pPr>
              <w:spacing w:after="0"/>
            </w:pPr>
            <w:r>
              <w:rPr>
                <w:rFonts w:ascii="Calibri" w:hAnsi="Calibri" w:eastAsia="Calibri" w:cs="Calibri"/>
                <w:b w:val="0"/>
                <w:i w:val="0"/>
                <w:sz w:val="18"/>
                <w:lang w:val="en-US" w:bidi="fa-IR"/>
              </w:rPr>
              <w:t>-0.44%</w:t>
            </w:r>
          </w:p>
        </w:tc>
        <w:tc>
          <w:tcPr>
            <w:tcW w:type="dxa" w:w="2693"/>
          </w:tcPr>
          <w:p>
            <w:pPr>
              <w:spacing w:after="0"/>
            </w:pPr>
            <w:r>
              <w:rPr>
                <w:rFonts w:ascii="Calibri" w:hAnsi="Calibri" w:eastAsia="Calibri" w:cs="Calibri"/>
                <w:b w:val="0"/>
                <w:i w:val="0"/>
                <w:sz w:val="18"/>
                <w:lang w:val="en-US" w:bidi="fa-IR"/>
              </w:rPr>
              <w:t>1.26 million dollars (+17.0% of 7.5 million)</w:t>
            </w:r>
          </w:p>
        </w:tc>
        <w:tc>
          <w:tcPr>
            <w:tcW w:type="dxa" w:w="2409"/>
          </w:tcPr>
          <w:p>
            <w:pPr>
              <w:spacing w:after="0"/>
            </w:pPr>
            <w:r>
              <w:rPr>
                <w:rFonts w:ascii="Calibri" w:hAnsi="Calibri" w:eastAsia="Calibri" w:cs="Calibri"/>
                <w:b w:val="0"/>
                <w:i w:val="0"/>
                <w:sz w:val="18"/>
                <w:lang w:val="en-US" w:bidi="fa-IR"/>
              </w:rPr>
              <w:t>1.43 million dollars (+10.6% of 13.5 million)</w:t>
            </w:r>
          </w:p>
        </w:tc>
      </w:tr>
      <w:tr>
        <w:trPr>
          <w:cantSplit/>
        </w:trPr>
        <w:tc>
          <w:tcPr>
            <w:tcW w:type="dxa" w:w="3118"/>
            <w:shd w:val="clear" w:color="auto" w:fill="F7F9FC"/>
          </w:tcPr>
          <w:p>
            <w:pPr>
              <w:spacing w:after="0"/>
            </w:pPr>
            <w:r>
              <w:rPr>
                <w:rFonts w:ascii="Calibri" w:hAnsi="Calibri" w:eastAsia="Calibri" w:cs="Calibri"/>
                <w:b/>
                <w:i w:val="0"/>
                <w:sz w:val="18"/>
                <w:lang w:val="en-US" w:bidi="fa-IR"/>
              </w:rPr>
              <w:t>Low (-0.5)</w:t>
            </w:r>
          </w:p>
        </w:tc>
        <w:tc>
          <w:tcPr>
            <w:tcW w:type="dxa" w:w="1417"/>
            <w:shd w:val="clear" w:color="auto" w:fill="F7F9FC"/>
          </w:tcPr>
          <w:p>
            <w:pPr>
              <w:spacing w:after="0"/>
            </w:pPr>
            <w:r>
              <w:rPr>
                <w:rFonts w:ascii="Calibri" w:hAnsi="Calibri" w:eastAsia="Calibri" w:cs="Calibri"/>
                <w:b w:val="0"/>
                <w:i w:val="0"/>
                <w:sz w:val="18"/>
                <w:lang w:val="en-US" w:bidi="fa-IR"/>
              </w:rPr>
              <w:t>-0.21%</w:t>
            </w:r>
          </w:p>
        </w:tc>
        <w:tc>
          <w:tcPr>
            <w:tcW w:type="dxa" w:w="2693"/>
            <w:shd w:val="clear" w:color="auto" w:fill="F7F9FC"/>
          </w:tcPr>
          <w:p>
            <w:pPr>
              <w:spacing w:after="0"/>
            </w:pPr>
            <w:r>
              <w:rPr>
                <w:rFonts w:ascii="Calibri" w:hAnsi="Calibri" w:eastAsia="Calibri" w:cs="Calibri"/>
                <w:b w:val="0"/>
                <w:i w:val="0"/>
                <w:sz w:val="18"/>
                <w:lang w:val="en-US" w:bidi="fa-IR"/>
              </w:rPr>
              <w:t>1.28 million dollars</w:t>
            </w:r>
          </w:p>
        </w:tc>
        <w:tc>
          <w:tcPr>
            <w:tcW w:type="dxa" w:w="2409"/>
            <w:shd w:val="clear" w:color="auto" w:fill="F7F9FC"/>
          </w:tcPr>
          <w:p>
            <w:pPr>
              <w:spacing w:after="0"/>
            </w:pPr>
            <w:r>
              <w:rPr>
                <w:rFonts w:ascii="Calibri" w:hAnsi="Calibri" w:eastAsia="Calibri" w:cs="Calibri"/>
                <w:b w:val="0"/>
                <w:i w:val="0"/>
                <w:sz w:val="18"/>
                <w:lang w:val="en-US" w:bidi="fa-IR"/>
              </w:rPr>
              <w:t>1.47 million dollars</w:t>
            </w:r>
          </w:p>
        </w:tc>
      </w:tr>
      <w:tr>
        <w:trPr>
          <w:cantSplit/>
        </w:trPr>
        <w:tc>
          <w:tcPr>
            <w:tcW w:type="dxa" w:w="3118"/>
          </w:tcPr>
          <w:p>
            <w:pPr>
              <w:spacing w:after="0"/>
            </w:pPr>
            <w:r>
              <w:rPr>
                <w:rFonts w:ascii="Calibri" w:hAnsi="Calibri" w:eastAsia="Calibri" w:cs="Calibri"/>
                <w:b/>
                <w:i w:val="0"/>
                <w:sz w:val="18"/>
                <w:lang w:val="en-US" w:bidi="fa-IR"/>
              </w:rPr>
              <w:t>Customers ignore price (0)</w:t>
            </w:r>
          </w:p>
        </w:tc>
        <w:tc>
          <w:tcPr>
            <w:tcW w:type="dxa" w:w="1417"/>
          </w:tcPr>
          <w:p>
            <w:pPr>
              <w:spacing w:after="0"/>
            </w:pPr>
            <w:r>
              <w:rPr>
                <w:rFonts w:ascii="Calibri" w:hAnsi="Calibri" w:eastAsia="Calibri" w:cs="Calibri"/>
                <w:b w:val="0"/>
                <w:i w:val="0"/>
                <w:sz w:val="18"/>
                <w:lang w:val="en-US" w:bidi="fa-IR"/>
              </w:rPr>
              <w:t>0%</w:t>
            </w:r>
          </w:p>
        </w:tc>
        <w:tc>
          <w:tcPr>
            <w:tcW w:type="dxa" w:w="2693"/>
          </w:tcPr>
          <w:p>
            <w:pPr>
              <w:spacing w:after="0"/>
            </w:pPr>
            <w:r>
              <w:rPr>
                <w:rFonts w:ascii="Calibri" w:hAnsi="Calibri" w:eastAsia="Calibri" w:cs="Calibri"/>
                <w:b w:val="0"/>
                <w:i w:val="0"/>
                <w:sz w:val="18"/>
                <w:lang w:val="en-US" w:bidi="fa-IR"/>
              </w:rPr>
              <w:t>1.30 million dollars</w:t>
            </w:r>
          </w:p>
        </w:tc>
        <w:tc>
          <w:tcPr>
            <w:tcW w:type="dxa" w:w="2409"/>
          </w:tcPr>
          <w:p>
            <w:pPr>
              <w:spacing w:after="0"/>
            </w:pPr>
            <w:r>
              <w:rPr>
                <w:rFonts w:ascii="Calibri" w:hAnsi="Calibri" w:eastAsia="Calibri" w:cs="Calibri"/>
                <w:b w:val="0"/>
                <w:i w:val="0"/>
                <w:sz w:val="18"/>
                <w:lang w:val="en-US" w:bidi="fa-IR"/>
              </w:rPr>
              <w:t>1.51 million dollars</w:t>
            </w:r>
          </w:p>
        </w:tc>
      </w:tr>
    </w:tbl>
    <w:p>
      <w:pPr>
        <w:spacing w:after="40"/>
      </w:pP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Where the gain comes from (planning case): scarcity pricing 1.13 million dollars and the credit-risk rule 0.14 million dollars. No markdown is applied.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plan has 780 prices: 78 percent scarce (average +4.9 percent, maximum +10 percent), 5 percent balanced, 17 percent surplus (held).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Robustness: all 16 parameter variations stay positive (0.64 to 1.6 million dollars). The largest setting risk is the number of units accepted to lose: at 0 percent the gain halves. If true demand is only 60 percent of the estimate, the planning-case gain is still 0.94 million dollars (50 percent: 0.82 million).</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Credit: Beverages and Cocoa (rating D) gets no discounts and a 2.5 percent risk premium; shortening its terms by 15 days frees about 361 thousand dollars of cash.</w:t>
      </w:r>
    </w:p>
    <w:p>
      <w:pPr>
        <w:keepNext/>
        <w:spacing w:after="40"/>
        <w:jc w:val="center"/>
      </w:pPr>
      <w:r>
        <w:drawing>
          <wp:inline xmlns:a="http://schemas.openxmlformats.org/drawingml/2006/main" xmlns:pic="http://schemas.openxmlformats.org/drawingml/2006/picture">
            <wp:extent cx="5486400" cy="1965960"/>
            <wp:docPr id="14" name="Picture 14"/>
            <wp:cNvGraphicFramePr>
              <a:graphicFrameLocks noChangeAspect="1"/>
            </wp:cNvGraphicFramePr>
            <a:graphic>
              <a:graphicData uri="http://schemas.openxmlformats.org/drawingml/2006/picture">
                <pic:pic>
                  <pic:nvPicPr>
                    <pic:cNvPr id="0" name="fig4_money_impact_v1.1.png"/>
                    <pic:cNvPicPr/>
                  </pic:nvPicPr>
                  <pic:blipFill>
                    <a:blip r:embed="rId22"/>
                    <a:stretch>
                      <a:fillRect/>
                    </a:stretch>
                  </pic:blipFill>
                  <pic:spPr>
                    <a:xfrm>
                      <a:off x="0" y="0"/>
                      <a:ext cx="5486400" cy="1965960"/>
                    </a:xfrm>
                    <a:prstGeom prst="rect"/>
                  </pic:spPr>
                </pic:pic>
              </a:graphicData>
            </a:graphic>
          </wp:inline>
        </w:drawing>
      </w:r>
    </w:p>
    <w:p>
      <w:pPr>
        <w:spacing w:after="200"/>
        <w:jc w:val="center"/>
      </w:pPr>
      <w:r>
        <w:rPr>
          <w:rFonts w:ascii="Calibri" w:hAnsi="Calibri" w:eastAsia="Calibri" w:cs="Calibri"/>
          <w:b w:val="0"/>
          <w:i/>
          <w:color w:val="5B6B80"/>
          <w:sz w:val="18"/>
          <w:lang w:val="en-US" w:bidi="fa-IR"/>
        </w:rPr>
        <w:t>Figure 14. Profit gain of the engine against holding today's price.</w:t>
      </w:r>
    </w:p>
    <w:p>
      <w:pPr>
        <w:pStyle w:val="Heading2"/>
      </w:pPr>
      <w:r>
        <w:rPr>
          <w:rFonts w:ascii="Calibri" w:hAnsi="Calibri" w:eastAsia="Calibri" w:cs="Calibri"/>
          <w:b/>
          <w:i w:val="0"/>
          <w:color w:val="2A78D6"/>
          <w:sz w:val="28"/>
          <w:lang w:val="en-US" w:bidi="fa-IR"/>
        </w:rPr>
        <w:t>7.10 Pilots before roll-out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Pilot A (8 weeks): 6 scarce products at +3 percent and +5 percent against matched control products. Question: do they still sell out? Success: units within 1 percent of the control and stock still sells out.</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Pilot B (8 weeks): high-stock products with price +3 percent or -3 percent in random weeks (weekly demand noise about 8 percent). Output: the real price sensitivity, to replace the planning assumption.</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Data to request next: customer invoices and payment history (to replace the credit scenario) and competitor price observations (to replace the 13-week average proxy).</w:t>
      </w:r>
    </w:p>
    <w:p>
      <w:pPr>
        <w:pStyle w:val="Heading2"/>
      </w:pPr>
      <w:r>
        <w:rPr>
          <w:rFonts w:ascii="Calibri" w:hAnsi="Calibri" w:eastAsia="Calibri" w:cs="Calibri"/>
          <w:b/>
          <w:i w:val="0"/>
          <w:color w:val="2A78D6"/>
          <w:sz w:val="28"/>
          <w:lang w:val="en-US" w:bidi="fa-IR"/>
        </w:rPr>
        <w:t>7.11 Assumptions and limits of Part 4</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Price sensitivity is not identifiable (effect -0.017, 95 percent interval -0.056 to +0.021); the planning value -1 and the protection value -2 are assumptions, and results are shown from 0 to -3.</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No competitor prices: the 13-week average price with a band of -8 percent and +10 percent is the proxy.</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Credit ratings come from scenario inputs. Holding cost 12 percent a year and funding cost 8 percent a year are assumptions.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The engine works per product-week; customer- or channel-level pricing would need customer data.</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Future stock is simulated from each product's own history; the money impact depends on the reconstructed demand (tested down to 50 percent).</w:t>
      </w:r>
    </w:p>
    <w:p>
      <w:pPr>
        <w:pStyle w:val="Heading1"/>
      </w:pPr>
      <w:r>
        <w:rPr>
          <w:rFonts w:ascii="Calibri" w:hAnsi="Calibri" w:eastAsia="Calibri" w:cs="Calibri"/>
          <w:b/>
          <w:i w:val="0"/>
          <w:color w:val="12263F"/>
          <w:sz w:val="36"/>
          <w:lang w:val="en-US" w:bidi="fa-IR"/>
        </w:rPr>
        <w:t>8. Assumptions register, limits and reproducibility</w:t>
      </w:r>
    </w:p>
    <w:p>
      <w:pPr>
        <w:pStyle w:val="Heading2"/>
      </w:pPr>
      <w:r>
        <w:rPr>
          <w:rFonts w:ascii="Calibri" w:hAnsi="Calibri" w:eastAsia="Calibri" w:cs="Calibri"/>
          <w:b/>
          <w:i w:val="0"/>
          <w:color w:val="2A78D6"/>
          <w:sz w:val="28"/>
          <w:lang w:val="en-US" w:bidi="fa-IR"/>
        </w:rPr>
        <w:t>8.1 Assumptions register</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308"/>
        <w:gridCol w:w="3020"/>
        <w:gridCol w:w="3308"/>
      </w:tblGrid>
      <w:tr>
        <w:trPr>
          <w:tblHeader/>
        </w:trPr>
        <w:tc>
          <w:tcPr>
            <w:tcW w:type="dxa" w:w="3308"/>
            <w:shd w:val="clear" w:color="auto" w:fill="12263F"/>
          </w:tcPr>
          <w:p>
            <w:pPr>
              <w:spacing w:after="0"/>
            </w:pPr>
            <w:r>
              <w:rPr>
                <w:rFonts w:ascii="Calibri" w:hAnsi="Calibri" w:eastAsia="Calibri" w:cs="Calibri"/>
                <w:b/>
                <w:i w:val="0"/>
                <w:color w:val="FFFFFF"/>
                <w:sz w:val="19"/>
                <w:lang w:val="en-US" w:bidi="fa-IR"/>
              </w:rPr>
              <w:t>Assumption</w:t>
            </w:r>
          </w:p>
        </w:tc>
        <w:tc>
          <w:tcPr>
            <w:tcW w:type="dxa" w:w="3021"/>
            <w:shd w:val="clear" w:color="auto" w:fill="12263F"/>
          </w:tcPr>
          <w:p>
            <w:pPr>
              <w:spacing w:after="0"/>
            </w:pPr>
            <w:r>
              <w:rPr>
                <w:rFonts w:ascii="Calibri" w:hAnsi="Calibri" w:eastAsia="Calibri" w:cs="Calibri"/>
                <w:b/>
                <w:i w:val="0"/>
                <w:color w:val="FFFFFF"/>
                <w:sz w:val="19"/>
                <w:lang w:val="en-US" w:bidi="fa-IR"/>
              </w:rPr>
              <w:t>Why it was made</w:t>
            </w:r>
          </w:p>
        </w:tc>
        <w:tc>
          <w:tcPr>
            <w:tcW w:type="dxa" w:w="3308"/>
            <w:shd w:val="clear" w:color="auto" w:fill="12263F"/>
          </w:tcPr>
          <w:p>
            <w:pPr>
              <w:spacing w:after="0"/>
            </w:pPr>
            <w:r>
              <w:rPr>
                <w:rFonts w:ascii="Calibri" w:hAnsi="Calibri" w:eastAsia="Calibri" w:cs="Calibri"/>
                <w:b/>
                <w:i w:val="0"/>
                <w:color w:val="FFFFFF"/>
                <w:sz w:val="19"/>
                <w:lang w:val="en-US" w:bidi="fa-IR"/>
              </w:rPr>
              <w:t>How it is checked or replaced</w:t>
            </w:r>
          </w:p>
        </w:tc>
      </w:tr>
      <w:tr>
        <w:trPr>
          <w:cantSplit/>
        </w:trPr>
        <w:tc>
          <w:tcPr>
            <w:tcW w:type="dxa" w:w="3308"/>
          </w:tcPr>
          <w:p>
            <w:pPr>
              <w:spacing w:after="0"/>
            </w:pPr>
            <w:r>
              <w:rPr>
                <w:rFonts w:ascii="Calibri" w:hAnsi="Calibri" w:eastAsia="Calibri" w:cs="Calibri"/>
                <w:b/>
                <w:i w:val="0"/>
                <w:sz w:val="19"/>
                <w:lang w:val="en-US" w:bidi="fa-IR"/>
              </w:rPr>
              <w:t>Synthetic calendar from 6 January 2020</w:t>
            </w:r>
          </w:p>
        </w:tc>
        <w:tc>
          <w:tcPr>
            <w:tcW w:type="dxa" w:w="3021"/>
          </w:tcPr>
          <w:p>
            <w:pPr>
              <w:spacing w:after="0"/>
            </w:pPr>
            <w:r>
              <w:rPr>
                <w:rFonts w:ascii="Calibri" w:hAnsi="Calibri" w:eastAsia="Calibri" w:cs="Calibri"/>
                <w:b w:val="0"/>
                <w:i w:val="0"/>
                <w:sz w:val="19"/>
                <w:lang w:val="en-US" w:bidi="fa-IR"/>
              </w:rPr>
              <w:t>The file has week numbers only</w:t>
            </w:r>
          </w:p>
        </w:tc>
        <w:tc>
          <w:tcPr>
            <w:tcW w:type="dxa" w:w="3308"/>
          </w:tcPr>
          <w:p>
            <w:pPr>
              <w:spacing w:after="0"/>
            </w:pPr>
            <w:r>
              <w:rPr>
                <w:rFonts w:ascii="Calibri" w:hAnsi="Calibri" w:eastAsia="Calibri" w:cs="Calibri"/>
                <w:b w:val="0"/>
                <w:i w:val="0"/>
                <w:sz w:val="19"/>
                <w:lang w:val="en-US" w:bidi="fa-IR"/>
              </w:rPr>
              <w:t>Real dates replace it; no result depends on the start date</w:t>
            </w:r>
          </w:p>
        </w:tc>
      </w:tr>
      <w:tr>
        <w:trPr>
          <w:cantSplit/>
        </w:trPr>
        <w:tc>
          <w:tcPr>
            <w:tcW w:type="dxa" w:w="3308"/>
            <w:shd w:val="clear" w:color="auto" w:fill="F7F9FC"/>
          </w:tcPr>
          <w:p>
            <w:pPr>
              <w:spacing w:after="0"/>
            </w:pPr>
            <w:r>
              <w:rPr>
                <w:rFonts w:ascii="Calibri" w:hAnsi="Calibri" w:eastAsia="Calibri" w:cs="Calibri"/>
                <w:b/>
                <w:i w:val="0"/>
                <w:sz w:val="19"/>
                <w:lang w:val="en-US" w:bidi="fa-IR"/>
              </w:rPr>
              <w:t>Sales = min(demand, stock available)</w:t>
            </w:r>
          </w:p>
        </w:tc>
        <w:tc>
          <w:tcPr>
            <w:tcW w:type="dxa" w:w="3021"/>
            <w:shd w:val="clear" w:color="auto" w:fill="F7F9FC"/>
          </w:tcPr>
          <w:p>
            <w:pPr>
              <w:spacing w:after="0"/>
            </w:pPr>
            <w:r>
              <w:rPr>
                <w:rFonts w:ascii="Calibri" w:hAnsi="Calibri" w:eastAsia="Calibri" w:cs="Calibri"/>
                <w:b w:val="0"/>
                <w:i w:val="0"/>
                <w:sz w:val="19"/>
                <w:lang w:val="en-US" w:bidi="fa-IR"/>
              </w:rPr>
              <w:t>Stock-outs give zero sales; pile-ups sit at the stock caps</w:t>
            </w:r>
          </w:p>
        </w:tc>
        <w:tc>
          <w:tcPr>
            <w:tcW w:type="dxa" w:w="3308"/>
            <w:shd w:val="clear" w:color="auto" w:fill="F7F9FC"/>
          </w:tcPr>
          <w:p>
            <w:pPr>
              <w:spacing w:after="0"/>
            </w:pPr>
            <w:r>
              <w:rPr>
                <w:rFonts w:ascii="Calibri" w:hAnsi="Calibri" w:eastAsia="Calibri" w:cs="Calibri"/>
                <w:b w:val="0"/>
                <w:i w:val="0"/>
                <w:sz w:val="19"/>
                <w:lang w:val="en-US" w:bidi="fa-IR"/>
              </w:rPr>
              <w:t>Verified: zero violations in the database</w:t>
            </w:r>
          </w:p>
        </w:tc>
      </w:tr>
      <w:tr>
        <w:trPr>
          <w:cantSplit/>
        </w:trPr>
        <w:tc>
          <w:tcPr>
            <w:tcW w:type="dxa" w:w="3308"/>
          </w:tcPr>
          <w:p>
            <w:pPr>
              <w:spacing w:after="0"/>
            </w:pPr>
            <w:r>
              <w:rPr>
                <w:rFonts w:ascii="Calibri" w:hAnsi="Calibri" w:eastAsia="Calibri" w:cs="Calibri"/>
                <w:b/>
                <w:i w:val="0"/>
                <w:sz w:val="19"/>
                <w:lang w:val="en-US" w:bidi="fa-IR"/>
              </w:rPr>
              <w:t>The legacy forecast is a usable demand signal</w:t>
            </w:r>
          </w:p>
        </w:tc>
        <w:tc>
          <w:tcPr>
            <w:tcW w:type="dxa" w:w="3021"/>
          </w:tcPr>
          <w:p>
            <w:pPr>
              <w:spacing w:after="0"/>
            </w:pPr>
            <w:r>
              <w:rPr>
                <w:rFonts w:ascii="Calibri" w:hAnsi="Calibri" w:eastAsia="Calibri" w:cs="Calibri"/>
                <w:b w:val="0"/>
                <w:i w:val="0"/>
                <w:sz w:val="19"/>
                <w:lang w:val="en-US" w:bidi="fa-IR"/>
              </w:rPr>
              <w:t>Unbiased (-0.4%) where the truth is known</w:t>
            </w:r>
          </w:p>
        </w:tc>
        <w:tc>
          <w:tcPr>
            <w:tcW w:type="dxa" w:w="3308"/>
          </w:tcPr>
          <w:p>
            <w:pPr>
              <w:spacing w:after="0"/>
            </w:pPr>
            <w:r>
              <w:rPr>
                <w:rFonts w:ascii="Calibri" w:hAnsi="Calibri" w:eastAsia="Calibri" w:cs="Calibri"/>
                <w:b w:val="0"/>
                <w:i w:val="0"/>
                <w:sz w:val="19"/>
                <w:lang w:val="en-US" w:bidi="fa-IR"/>
              </w:rPr>
              <w:t>Blend weight learned out-of-fold; accuracy also reported on unconstrained weeks</w:t>
            </w:r>
          </w:p>
        </w:tc>
      </w:tr>
      <w:tr>
        <w:trPr>
          <w:cantSplit/>
        </w:trPr>
        <w:tc>
          <w:tcPr>
            <w:tcW w:type="dxa" w:w="3308"/>
            <w:shd w:val="clear" w:color="auto" w:fill="F7F9FC"/>
          </w:tcPr>
          <w:p>
            <w:pPr>
              <w:spacing w:after="0"/>
            </w:pPr>
            <w:r>
              <w:rPr>
                <w:rFonts w:ascii="Calibri" w:hAnsi="Calibri" w:eastAsia="Calibri" w:cs="Calibri"/>
                <w:b/>
                <w:i w:val="0"/>
                <w:sz w:val="19"/>
                <w:lang w:val="en-US" w:bidi="fa-IR"/>
              </w:rPr>
              <w:t>Future stock follows each product's history</w:t>
            </w:r>
          </w:p>
        </w:tc>
        <w:tc>
          <w:tcPr>
            <w:tcW w:type="dxa" w:w="3021"/>
            <w:shd w:val="clear" w:color="auto" w:fill="F7F9FC"/>
          </w:tcPr>
          <w:p>
            <w:pPr>
              <w:spacing w:after="0"/>
            </w:pPr>
            <w:r>
              <w:rPr>
                <w:rFonts w:ascii="Calibri" w:hAnsi="Calibri" w:eastAsia="Calibri" w:cs="Calibri"/>
                <w:b w:val="0"/>
                <w:i w:val="0"/>
                <w:sz w:val="19"/>
                <w:lang w:val="en-US" w:bidi="fa-IR"/>
              </w:rPr>
              <w:t>Future purchasing is unknown</w:t>
            </w:r>
          </w:p>
        </w:tc>
        <w:tc>
          <w:tcPr>
            <w:tcW w:type="dxa" w:w="3308"/>
            <w:shd w:val="clear" w:color="auto" w:fill="F7F9FC"/>
          </w:tcPr>
          <w:p>
            <w:pPr>
              <w:spacing w:after="0"/>
            </w:pPr>
            <w:r>
              <w:rPr>
                <w:rFonts w:ascii="Calibri" w:hAnsi="Calibri" w:eastAsia="Calibri" w:cs="Calibri"/>
                <w:b w:val="0"/>
                <w:i w:val="0"/>
                <w:sz w:val="19"/>
                <w:lang w:val="en-US" w:bidi="fa-IR"/>
              </w:rPr>
              <w:t>Dashboard shows the stock-limited and the unconstrained view</w:t>
            </w:r>
          </w:p>
        </w:tc>
      </w:tr>
      <w:tr>
        <w:trPr>
          <w:cantSplit/>
        </w:trPr>
        <w:tc>
          <w:tcPr>
            <w:tcW w:type="dxa" w:w="3308"/>
          </w:tcPr>
          <w:p>
            <w:pPr>
              <w:spacing w:after="0"/>
            </w:pPr>
            <w:r>
              <w:rPr>
                <w:rFonts w:ascii="Calibri" w:hAnsi="Calibri" w:eastAsia="Calibri" w:cs="Calibri"/>
                <w:b/>
                <w:i w:val="0"/>
                <w:sz w:val="19"/>
                <w:lang w:val="en-US" w:bidi="fa-IR"/>
              </w:rPr>
              <w:t>Credit terms, delays and default rates</w:t>
            </w:r>
          </w:p>
        </w:tc>
        <w:tc>
          <w:tcPr>
            <w:tcW w:type="dxa" w:w="3021"/>
          </w:tcPr>
          <w:p>
            <w:pPr>
              <w:spacing w:after="0"/>
            </w:pPr>
            <w:r>
              <w:rPr>
                <w:rFonts w:ascii="Calibri" w:hAnsi="Calibri" w:eastAsia="Calibri" w:cs="Calibri"/>
                <w:b w:val="0"/>
                <w:i w:val="0"/>
                <w:sz w:val="19"/>
                <w:lang w:val="en-US" w:bidi="fa-IR"/>
              </w:rPr>
              <w:t>No customer or invoice data</w:t>
            </w:r>
          </w:p>
        </w:tc>
        <w:tc>
          <w:tcPr>
            <w:tcW w:type="dxa" w:w="3308"/>
          </w:tcPr>
          <w:p>
            <w:pPr>
              <w:spacing w:after="0"/>
            </w:pPr>
            <w:r>
              <w:rPr>
                <w:rFonts w:ascii="Calibri" w:hAnsi="Calibri" w:eastAsia="Calibri" w:cs="Calibri"/>
                <w:b w:val="0"/>
                <w:i w:val="0"/>
                <w:sz w:val="19"/>
                <w:lang w:val="en-US" w:bidi="fa-IR"/>
              </w:rPr>
              <w:t>Editable in the dashboard; replace with payment history</w:t>
            </w:r>
          </w:p>
        </w:tc>
      </w:tr>
      <w:tr>
        <w:trPr>
          <w:cantSplit/>
        </w:trPr>
        <w:tc>
          <w:tcPr>
            <w:tcW w:type="dxa" w:w="3308"/>
            <w:shd w:val="clear" w:color="auto" w:fill="F7F9FC"/>
          </w:tcPr>
          <w:p>
            <w:pPr>
              <w:spacing w:after="0"/>
            </w:pPr>
            <w:r>
              <w:rPr>
                <w:rFonts w:ascii="Calibri" w:hAnsi="Calibri" w:eastAsia="Calibri" w:cs="Calibri"/>
                <w:b/>
                <w:i w:val="0"/>
                <w:sz w:val="19"/>
                <w:lang w:val="en-US" w:bidi="fa-IR"/>
              </w:rPr>
              <w:t>Price sensitivity -1 (plan) and -2 (stress)</w:t>
            </w:r>
          </w:p>
        </w:tc>
        <w:tc>
          <w:tcPr>
            <w:tcW w:type="dxa" w:w="3021"/>
            <w:shd w:val="clear" w:color="auto" w:fill="F7F9FC"/>
          </w:tcPr>
          <w:p>
            <w:pPr>
              <w:spacing w:after="0"/>
            </w:pPr>
            <w:r>
              <w:rPr>
                <w:rFonts w:ascii="Calibri" w:hAnsi="Calibri" w:eastAsia="Calibri" w:cs="Calibri"/>
                <w:b w:val="0"/>
                <w:i w:val="0"/>
                <w:sz w:val="19"/>
                <w:lang w:val="en-US" w:bidi="fa-IR"/>
              </w:rPr>
              <w:t>Price barely varies (4%), so the data cannot measure it</w:t>
            </w:r>
          </w:p>
        </w:tc>
        <w:tc>
          <w:tcPr>
            <w:tcW w:type="dxa" w:w="3308"/>
            <w:shd w:val="clear" w:color="auto" w:fill="F7F9FC"/>
          </w:tcPr>
          <w:p>
            <w:pPr>
              <w:spacing w:after="0"/>
            </w:pPr>
            <w:r>
              <w:rPr>
                <w:rFonts w:ascii="Calibri" w:hAnsi="Calibri" w:eastAsia="Calibri" w:cs="Calibri"/>
                <w:b w:val="0"/>
                <w:i w:val="0"/>
                <w:sz w:val="19"/>
                <w:lang w:val="en-US" w:bidi="fa-IR"/>
              </w:rPr>
              <w:t>Results shown from 0 to -3; Pilot B measures it</w:t>
            </w:r>
          </w:p>
        </w:tc>
      </w:tr>
      <w:tr>
        <w:trPr>
          <w:cantSplit/>
        </w:trPr>
        <w:tc>
          <w:tcPr>
            <w:tcW w:type="dxa" w:w="3308"/>
          </w:tcPr>
          <w:p>
            <w:pPr>
              <w:spacing w:after="0"/>
            </w:pPr>
            <w:r>
              <w:rPr>
                <w:rFonts w:ascii="Calibri" w:hAnsi="Calibri" w:eastAsia="Calibri" w:cs="Calibri"/>
                <w:b/>
                <w:i w:val="0"/>
                <w:sz w:val="19"/>
                <w:lang w:val="en-US" w:bidi="fa-IR"/>
              </w:rPr>
              <w:t>Competitor band -8% / +10%; holding cost 12%; funding cost 8%</w:t>
            </w:r>
          </w:p>
        </w:tc>
        <w:tc>
          <w:tcPr>
            <w:tcW w:type="dxa" w:w="3021"/>
          </w:tcPr>
          <w:p>
            <w:pPr>
              <w:spacing w:after="0"/>
            </w:pPr>
            <w:r>
              <w:rPr>
                <w:rFonts w:ascii="Calibri" w:hAnsi="Calibri" w:eastAsia="Calibri" w:cs="Calibri"/>
                <w:b w:val="0"/>
                <w:i w:val="0"/>
                <w:sz w:val="19"/>
                <w:lang w:val="en-US" w:bidi="fa-IR"/>
              </w:rPr>
              <w:t>No competitor data; standard cost-of-capital levels</w:t>
            </w:r>
          </w:p>
        </w:tc>
        <w:tc>
          <w:tcPr>
            <w:tcW w:type="dxa" w:w="3308"/>
          </w:tcPr>
          <w:p>
            <w:pPr>
              <w:spacing w:after="0"/>
            </w:pPr>
            <w:r>
              <w:rPr>
                <w:rFonts w:ascii="Calibri" w:hAnsi="Calibri" w:eastAsia="Calibri" w:cs="Calibri"/>
                <w:b w:val="0"/>
                <w:i w:val="0"/>
                <w:sz w:val="19"/>
                <w:lang w:val="en-US" w:bidi="fa-IR"/>
              </w:rPr>
              <w:t>Adjustable parameters; replace with observations</w:t>
            </w:r>
          </w:p>
        </w:tc>
      </w:tr>
      <w:tr>
        <w:trPr>
          <w:cantSplit/>
        </w:trPr>
        <w:tc>
          <w:tcPr>
            <w:tcW w:type="dxa" w:w="3308"/>
            <w:shd w:val="clear" w:color="auto" w:fill="F7F9FC"/>
          </w:tcPr>
          <w:p>
            <w:pPr>
              <w:spacing w:after="0"/>
            </w:pPr>
            <w:r>
              <w:rPr>
                <w:rFonts w:ascii="Calibri" w:hAnsi="Calibri" w:eastAsia="Calibri" w:cs="Calibri"/>
                <w:b/>
                <w:i w:val="0"/>
                <w:sz w:val="19"/>
                <w:lang w:val="en-US" w:bidi="fa-IR"/>
              </w:rPr>
              <w:t>Product categories derived from names</w:t>
            </w:r>
          </w:p>
        </w:tc>
        <w:tc>
          <w:tcPr>
            <w:tcW w:type="dxa" w:w="3021"/>
            <w:shd w:val="clear" w:color="auto" w:fill="F7F9FC"/>
          </w:tcPr>
          <w:p>
            <w:pPr>
              <w:spacing w:after="0"/>
            </w:pPr>
            <w:r>
              <w:rPr>
                <w:rFonts w:ascii="Calibri" w:hAnsi="Calibri" w:eastAsia="Calibri" w:cs="Calibri"/>
                <w:b w:val="0"/>
                <w:i w:val="0"/>
                <w:sz w:val="19"/>
                <w:lang w:val="en-US" w:bidi="fa-IR"/>
              </w:rPr>
              <w:t>No category column in the file</w:t>
            </w:r>
          </w:p>
        </w:tc>
        <w:tc>
          <w:tcPr>
            <w:tcW w:type="dxa" w:w="3308"/>
            <w:shd w:val="clear" w:color="auto" w:fill="F7F9FC"/>
          </w:tcPr>
          <w:p>
            <w:pPr>
              <w:spacing w:after="0"/>
            </w:pPr>
            <w:r>
              <w:rPr>
                <w:rFonts w:ascii="Calibri" w:hAnsi="Calibri" w:eastAsia="Calibri" w:cs="Calibri"/>
                <w:b w:val="0"/>
                <w:i w:val="0"/>
                <w:sz w:val="19"/>
                <w:lang w:val="en-US" w:bidi="fa-IR"/>
              </w:rPr>
              <w:t>Replace with the company's own classification</w:t>
            </w:r>
          </w:p>
        </w:tc>
      </w:tr>
    </w:tbl>
    <w:p>
      <w:pPr>
        <w:spacing w:after="40"/>
      </w:pPr>
    </w:p>
    <w:p>
      <w:pPr>
        <w:pStyle w:val="Heading2"/>
      </w:pPr>
      <w:r>
        <w:rPr>
          <w:rFonts w:ascii="Calibri" w:hAnsi="Calibri" w:eastAsia="Calibri" w:cs="Calibri"/>
          <w:b/>
          <w:i w:val="0"/>
          <w:color w:val="2A78D6"/>
          <w:sz w:val="28"/>
          <w:lang w:val="en-US" w:bidi="fa-IR"/>
        </w:rPr>
        <w:t>8.2 Main limitations</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Demand in capped weeks is reconstructed, not observed.</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Credit and competitor information do not exist in the data; those parts rest on labelled assumptions until real data and pilot results arrive.</w:t>
      </w:r>
    </w:p>
    <w:p>
      <w:pPr>
        <w:spacing w:after="60"/>
        <w:ind w:left="510" w:hanging="340"/>
      </w:pPr>
      <w:r>
        <w:rPr>
          <w:rFonts w:ascii="Calibri" w:hAnsi="Calibri" w:eastAsia="Calibri" w:cs="Calibri"/>
          <w:b/>
          <w:i w:val="0"/>
          <w:color w:val="2A78D6"/>
          <w:lang w:val="en-US" w:bidi="fa-IR"/>
        </w:rPr>
        <w:t xml:space="preserve">•  </w:t>
      </w:r>
      <w:r>
        <w:rPr>
          <w:rFonts w:ascii="Calibri" w:hAnsi="Calibri" w:eastAsia="Calibri" w:cs="Calibri"/>
          <w:b w:val="0"/>
          <w:i w:val="0"/>
          <w:lang w:val="en-US" w:bidi="fa-IR"/>
        </w:rPr>
        <w:t>Pricing recommendations should be piloted before company-wide roll-out.</w:t>
      </w:r>
    </w:p>
    <w:p>
      <w:pPr>
        <w:pStyle w:val="Heading2"/>
      </w:pPr>
      <w:r>
        <w:rPr>
          <w:rFonts w:ascii="Calibri" w:hAnsi="Calibri" w:eastAsia="Calibri" w:cs="Calibri"/>
          <w:b/>
          <w:i w:val="0"/>
          <w:color w:val="2A78D6"/>
          <w:sz w:val="28"/>
          <w:lang w:val="en-US" w:bidi="fa-IR"/>
        </w:rPr>
        <w:t>8.3 Repository, outputs and how to reproduce</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3308"/>
        <w:gridCol w:w="6329"/>
      </w:tblGrid>
      <w:tr>
        <w:trPr>
          <w:tblHeader/>
        </w:trPr>
        <w:tc>
          <w:tcPr>
            <w:tcW w:type="dxa" w:w="3308"/>
            <w:shd w:val="clear" w:color="auto" w:fill="12263F"/>
          </w:tcPr>
          <w:p>
            <w:pPr>
              <w:spacing w:after="0"/>
            </w:pPr>
            <w:r>
              <w:rPr>
                <w:rFonts w:ascii="Calibri" w:hAnsi="Calibri" w:eastAsia="Calibri" w:cs="Calibri"/>
                <w:b/>
                <w:i w:val="0"/>
                <w:color w:val="FFFFFF"/>
                <w:sz w:val="19"/>
                <w:lang w:val="en-US" w:bidi="fa-IR"/>
              </w:rPr>
              <w:t>Notebook (latest version)</w:t>
            </w:r>
          </w:p>
        </w:tc>
        <w:tc>
          <w:tcPr>
            <w:tcW w:type="dxa" w:w="6329"/>
            <w:shd w:val="clear" w:color="auto" w:fill="12263F"/>
          </w:tcPr>
          <w:p>
            <w:pPr>
              <w:spacing w:after="0"/>
            </w:pPr>
            <w:r>
              <w:rPr>
                <w:rFonts w:ascii="Calibri" w:hAnsi="Calibri" w:eastAsia="Calibri" w:cs="Calibri"/>
                <w:b/>
                <w:i w:val="0"/>
                <w:color w:val="FFFFFF"/>
                <w:sz w:val="19"/>
                <w:lang w:val="en-US" w:bidi="fa-IR"/>
              </w:rPr>
              <w:t>Main outputs</w:t>
            </w:r>
          </w:p>
        </w:tc>
      </w:tr>
      <w:tr>
        <w:trPr>
          <w:cantSplit/>
        </w:trPr>
        <w:tc>
          <w:tcPr>
            <w:tcW w:type="dxa" w:w="3308"/>
          </w:tcPr>
          <w:p>
            <w:pPr>
              <w:spacing w:after="0"/>
            </w:pPr>
            <w:r>
              <w:rPr>
                <w:rFonts w:ascii="Calibri" w:hAnsi="Calibri" w:eastAsia="Calibri" w:cs="Calibri"/>
                <w:b/>
                <w:i w:val="0"/>
                <w:sz w:val="19"/>
                <w:lang w:val="en-US" w:bidi="fa-IR"/>
              </w:rPr>
              <w:t>part1_eda_v1.3</w:t>
            </w:r>
          </w:p>
        </w:tc>
        <w:tc>
          <w:tcPr>
            <w:tcW w:type="dxa" w:w="6329"/>
          </w:tcPr>
          <w:p>
            <w:pPr>
              <w:spacing w:after="0"/>
            </w:pPr>
            <w:r>
              <w:rPr>
                <w:rFonts w:ascii="Calibri" w:hAnsi="Calibri" w:eastAsia="Calibri" w:cs="Calibri"/>
                <w:b w:val="0"/>
                <w:i w:val="0"/>
                <w:sz w:val="19"/>
                <w:lang w:val="en-US" w:bidi="fa-IR"/>
              </w:rPr>
              <w:t>Read-only exploratory analysis; 8-sheet workbook</w:t>
            </w:r>
          </w:p>
        </w:tc>
      </w:tr>
      <w:tr>
        <w:trPr>
          <w:cantSplit/>
        </w:trPr>
        <w:tc>
          <w:tcPr>
            <w:tcW w:type="dxa" w:w="3308"/>
            <w:shd w:val="clear" w:color="auto" w:fill="F7F9FC"/>
          </w:tcPr>
          <w:p>
            <w:pPr>
              <w:spacing w:after="0"/>
            </w:pPr>
            <w:r>
              <w:rPr>
                <w:rFonts w:ascii="Calibri" w:hAnsi="Calibri" w:eastAsia="Calibri" w:cs="Calibri"/>
                <w:b/>
                <w:i w:val="0"/>
                <w:sz w:val="19"/>
                <w:lang w:val="en-US" w:bidi="fa-IR"/>
              </w:rPr>
              <w:t>part1_etl_pipeline_v1.2</w:t>
            </w:r>
          </w:p>
        </w:tc>
        <w:tc>
          <w:tcPr>
            <w:tcW w:type="dxa" w:w="6329"/>
            <w:shd w:val="clear" w:color="auto" w:fill="F7F9FC"/>
          </w:tcPr>
          <w:p>
            <w:pPr>
              <w:spacing w:after="0"/>
            </w:pPr>
            <w:r>
              <w:rPr>
                <w:rFonts w:ascii="Calibri" w:hAnsi="Calibri" w:eastAsia="Calibri" w:cs="Calibri"/>
                <w:b w:val="0"/>
                <w:i w:val="0"/>
                <w:sz w:val="19"/>
                <w:lang w:val="en-US" w:bidi="fa-IR"/>
              </w:rPr>
              <w:t>SQLite star schema, SQL schema, data-quality scorecard, 15 exception tests; 8-sheet workbook</w:t>
            </w:r>
          </w:p>
        </w:tc>
      </w:tr>
      <w:tr>
        <w:trPr>
          <w:cantSplit/>
        </w:trPr>
        <w:tc>
          <w:tcPr>
            <w:tcW w:type="dxa" w:w="3308"/>
          </w:tcPr>
          <w:p>
            <w:pPr>
              <w:spacing w:after="0"/>
            </w:pPr>
            <w:r>
              <w:rPr>
                <w:rFonts w:ascii="Calibri" w:hAnsi="Calibri" w:eastAsia="Calibri" w:cs="Calibri"/>
                <w:b/>
                <w:i w:val="0"/>
                <w:sz w:val="19"/>
                <w:lang w:val="en-US" w:bidi="fa-IR"/>
              </w:rPr>
              <w:t>part2_preprocessing_v1.1</w:t>
            </w:r>
          </w:p>
        </w:tc>
        <w:tc>
          <w:tcPr>
            <w:tcW w:type="dxa" w:w="6329"/>
          </w:tcPr>
          <w:p>
            <w:pPr>
              <w:spacing w:after="0"/>
            </w:pPr>
            <w:r>
              <w:rPr>
                <w:rFonts w:ascii="Calibri" w:hAnsi="Calibri" w:eastAsia="Calibri" w:cs="Calibri"/>
                <w:b w:val="0"/>
                <w:i w:val="0"/>
                <w:sz w:val="19"/>
                <w:lang w:val="en-US" w:bidi="fa-IR"/>
              </w:rPr>
              <w:t>Stock-censoring classification, reconstructed demand, forecast dataset; 8-sheet workbook</w:t>
            </w:r>
          </w:p>
        </w:tc>
      </w:tr>
      <w:tr>
        <w:trPr>
          <w:cantSplit/>
        </w:trPr>
        <w:tc>
          <w:tcPr>
            <w:tcW w:type="dxa" w:w="3308"/>
            <w:shd w:val="clear" w:color="auto" w:fill="F7F9FC"/>
          </w:tcPr>
          <w:p>
            <w:pPr>
              <w:spacing w:after="0"/>
            </w:pPr>
            <w:r>
              <w:rPr>
                <w:rFonts w:ascii="Calibri" w:hAnsi="Calibri" w:eastAsia="Calibri" w:cs="Calibri"/>
                <w:b/>
                <w:i w:val="0"/>
                <w:sz w:val="19"/>
                <w:lang w:val="en-US" w:bidi="fa-IR"/>
              </w:rPr>
              <w:t>part2_forecasting_v1.2</w:t>
            </w:r>
          </w:p>
        </w:tc>
        <w:tc>
          <w:tcPr>
            <w:tcW w:type="dxa" w:w="6329"/>
            <w:shd w:val="clear" w:color="auto" w:fill="F7F9FC"/>
          </w:tcPr>
          <w:p>
            <w:pPr>
              <w:spacing w:after="0"/>
            </w:pPr>
            <w:r>
              <w:rPr>
                <w:rFonts w:ascii="Calibri" w:hAnsi="Calibri" w:eastAsia="Calibri" w:cs="Calibri"/>
                <w:b w:val="0"/>
                <w:i w:val="0"/>
                <w:sz w:val="19"/>
                <w:lang w:val="en-US" w:bidi="fa-IR"/>
              </w:rPr>
              <w:t>13-model comparison, 26-week forecast with ranges, forecast database; 8-sheet workbook</w:t>
            </w:r>
          </w:p>
        </w:tc>
      </w:tr>
      <w:tr>
        <w:trPr>
          <w:cantSplit/>
        </w:trPr>
        <w:tc>
          <w:tcPr>
            <w:tcW w:type="dxa" w:w="3308"/>
          </w:tcPr>
          <w:p>
            <w:pPr>
              <w:spacing w:after="0"/>
            </w:pPr>
            <w:r>
              <w:rPr>
                <w:rFonts w:ascii="Calibri" w:hAnsi="Calibri" w:eastAsia="Calibri" w:cs="Calibri"/>
                <w:b/>
                <w:i w:val="0"/>
                <w:sz w:val="19"/>
                <w:lang w:val="en-US" w:bidi="fa-IR"/>
              </w:rPr>
              <w:t>part3_dashboard_v1.1</w:t>
            </w:r>
          </w:p>
        </w:tc>
        <w:tc>
          <w:tcPr>
            <w:tcW w:type="dxa" w:w="6329"/>
          </w:tcPr>
          <w:p>
            <w:pPr>
              <w:spacing w:after="0"/>
            </w:pPr>
            <w:r>
              <w:rPr>
                <w:rFonts w:ascii="Calibri" w:hAnsi="Calibri" w:eastAsia="Calibri" w:cs="Calibri"/>
                <w:b w:val="0"/>
                <w:i w:val="0"/>
                <w:sz w:val="19"/>
                <w:lang w:val="en-US" w:bidi="fa-IR"/>
              </w:rPr>
              <w:t>Streamlit application and data mart, 24 tests, screenshots; 8-sheet workbook</w:t>
            </w:r>
          </w:p>
        </w:tc>
      </w:tr>
      <w:tr>
        <w:trPr>
          <w:cantSplit/>
        </w:trPr>
        <w:tc>
          <w:tcPr>
            <w:tcW w:type="dxa" w:w="3308"/>
            <w:shd w:val="clear" w:color="auto" w:fill="F7F9FC"/>
          </w:tcPr>
          <w:p>
            <w:pPr>
              <w:spacing w:after="0"/>
            </w:pPr>
            <w:r>
              <w:rPr>
                <w:rFonts w:ascii="Calibri" w:hAnsi="Calibri" w:eastAsia="Calibri" w:cs="Calibri"/>
                <w:b/>
                <w:i w:val="0"/>
                <w:sz w:val="19"/>
                <w:lang w:val="en-US" w:bidi="fa-IR"/>
              </w:rPr>
              <w:t>part4_pricing_v1.1</w:t>
            </w:r>
          </w:p>
        </w:tc>
        <w:tc>
          <w:tcPr>
            <w:tcW w:type="dxa" w:w="6329"/>
            <w:shd w:val="clear" w:color="auto" w:fill="F7F9FC"/>
          </w:tcPr>
          <w:p>
            <w:pPr>
              <w:spacing w:after="0"/>
            </w:pPr>
            <w:r>
              <w:rPr>
                <w:rFonts w:ascii="Calibri" w:hAnsi="Calibri" w:eastAsia="Calibri" w:cs="Calibri"/>
                <w:b w:val="0"/>
                <w:i w:val="0"/>
                <w:sz w:val="19"/>
                <w:lang w:val="en-US" w:bidi="fa-IR"/>
              </w:rPr>
              <w:t>Price plan, rulebook (also as a Word file), impact, sensitivity, 19 checks; 8-sheet workbook</w:t>
            </w:r>
          </w:p>
        </w:tc>
      </w:tr>
    </w:tbl>
    <w:p>
      <w:pPr>
        <w:spacing w:after="40"/>
      </w:pPr>
    </w:p>
    <w:p>
      <w:r>
        <w:rPr>
          <w:rFonts w:ascii="Calibri" w:hAnsi="Calibri" w:eastAsia="Calibri" w:cs="Calibri"/>
          <w:b w:val="0"/>
          <w:i w:val="0"/>
          <w:lang w:val="en-US" w:bidi="fa-IR"/>
        </w:rPr>
        <w:t>To reproduce: create a Python environment, install requirements.txt, place Sample_Data.xlsx in the dataset folder (it is not committed), and run the notebooks in the order given in Section 3.3. Each notebook creates an output folder with the same name. Earlier versions of the notebooks are kept in the history folder for reference and are not meant to be re-run.</w:t>
      </w:r>
    </w:p>
    <w:p>
      <w:pPr>
        <w:pStyle w:val="Heading2"/>
      </w:pPr>
      <w:r>
        <w:rPr>
          <w:rFonts w:ascii="Calibri" w:hAnsi="Calibri" w:eastAsia="Calibri" w:cs="Calibri"/>
          <w:b/>
          <w:i w:val="0"/>
          <w:color w:val="2A78D6"/>
          <w:sz w:val="28"/>
          <w:lang w:val="en-US" w:bidi="fa-IR"/>
        </w:rPr>
        <w:t>8.4 Glossary</w:t>
      </w:r>
    </w:p>
    <w:tbl>
      <w:tblPr>
        <w:tblW w:type="dxa" w:w="9637"/>
        <w:jc w:val="center"/>
        <w:tblLayout w:type="fixed"/>
        <w:tblLook w:firstColumn="1" w:firstRow="1" w:lastColumn="0" w:lastRow="0" w:noHBand="0" w:noVBand="1" w:val="04A0"/>
        <w:tblBorders>
          <w:top w:val="single" w:sz="4" w:space="0" w:color="D9E1EC"/>
          <w:left w:val="single" w:sz="4" w:space="0" w:color="D9E1EC"/>
          <w:bottom w:val="single" w:sz="4" w:space="0" w:color="D9E1EC"/>
          <w:right w:val="single" w:sz="4" w:space="0" w:color="D9E1EC"/>
          <w:insideH w:val="single" w:sz="4" w:space="0" w:color="D9E1EC"/>
          <w:insideV w:val="single" w:sz="4" w:space="0" w:color="D9E1EC"/>
        </w:tblBorders>
        <w:tblCellMar>
          <w:top w:w="60" w:type="dxa"/>
          <w:left w:w="90" w:type="dxa"/>
          <w:bottom w:w="60" w:type="dxa"/>
          <w:right w:w="90" w:type="dxa"/>
        </w:tblCellMar>
        <w:tblLayout w:type="fixed"/>
      </w:tblPr>
      <w:tblGrid>
        <w:gridCol w:w="2876"/>
        <w:gridCol w:w="6760"/>
      </w:tblGrid>
      <w:tr>
        <w:trPr>
          <w:tblHeader/>
        </w:trPr>
        <w:tc>
          <w:tcPr>
            <w:tcW w:type="dxa" w:w="2877"/>
            <w:shd w:val="clear" w:color="auto" w:fill="12263F"/>
          </w:tcPr>
          <w:p>
            <w:pPr>
              <w:spacing w:after="0"/>
            </w:pPr>
            <w:r>
              <w:rPr>
                <w:rFonts w:ascii="Calibri" w:hAnsi="Calibri" w:eastAsia="Calibri" w:cs="Calibri"/>
                <w:b/>
                <w:i w:val="0"/>
                <w:color w:val="FFFFFF"/>
                <w:sz w:val="19"/>
                <w:lang w:val="en-US" w:bidi="fa-IR"/>
              </w:rPr>
              <w:t>Term</w:t>
            </w:r>
          </w:p>
        </w:tc>
        <w:tc>
          <w:tcPr>
            <w:tcW w:type="dxa" w:w="6761"/>
            <w:shd w:val="clear" w:color="auto" w:fill="12263F"/>
          </w:tcPr>
          <w:p>
            <w:pPr>
              <w:spacing w:after="0"/>
            </w:pPr>
            <w:r>
              <w:rPr>
                <w:rFonts w:ascii="Calibri" w:hAnsi="Calibri" w:eastAsia="Calibri" w:cs="Calibri"/>
                <w:b/>
                <w:i w:val="0"/>
                <w:color w:val="FFFFFF"/>
                <w:sz w:val="19"/>
                <w:lang w:val="en-US" w:bidi="fa-IR"/>
              </w:rPr>
              <w:t>Meaning</w:t>
            </w:r>
          </w:p>
        </w:tc>
      </w:tr>
      <w:tr>
        <w:trPr>
          <w:cantSplit/>
        </w:trPr>
        <w:tc>
          <w:tcPr>
            <w:tcW w:type="dxa" w:w="2877"/>
          </w:tcPr>
          <w:p>
            <w:pPr>
              <w:spacing w:after="0"/>
            </w:pPr>
            <w:r>
              <w:rPr>
                <w:rFonts w:ascii="Calibri" w:hAnsi="Calibri" w:eastAsia="Calibri" w:cs="Calibri"/>
                <w:b/>
                <w:i w:val="0"/>
                <w:sz w:val="19"/>
                <w:lang w:val="en-US" w:bidi="fa-IR"/>
              </w:rPr>
              <w:t>Demand</w:t>
            </w:r>
          </w:p>
        </w:tc>
        <w:tc>
          <w:tcPr>
            <w:tcW w:type="dxa" w:w="6761"/>
          </w:tcPr>
          <w:p>
            <w:pPr>
              <w:spacing w:after="0"/>
            </w:pPr>
            <w:r>
              <w:rPr>
                <w:rFonts w:ascii="Calibri" w:hAnsi="Calibri" w:eastAsia="Calibri" w:cs="Calibri"/>
                <w:b w:val="0"/>
                <w:i w:val="0"/>
                <w:sz w:val="19"/>
                <w:lang w:val="en-US" w:bidi="fa-IR"/>
              </w:rPr>
              <w:t>How many units customers wanted in a week, including what could not be sold because stock ran out (column demand_est).</w:t>
            </w:r>
          </w:p>
        </w:tc>
      </w:tr>
      <w:tr>
        <w:trPr>
          <w:cantSplit/>
        </w:trPr>
        <w:tc>
          <w:tcPr>
            <w:tcW w:type="dxa" w:w="2877"/>
            <w:shd w:val="clear" w:color="auto" w:fill="F7F9FC"/>
          </w:tcPr>
          <w:p>
            <w:pPr>
              <w:spacing w:after="0"/>
            </w:pPr>
            <w:r>
              <w:rPr>
                <w:rFonts w:ascii="Calibri" w:hAnsi="Calibri" w:eastAsia="Calibri" w:cs="Calibri"/>
                <w:b/>
                <w:i w:val="0"/>
                <w:sz w:val="19"/>
                <w:lang w:val="en-US" w:bidi="fa-IR"/>
              </w:rPr>
              <w:t>Censored (capped) week</w:t>
            </w:r>
          </w:p>
        </w:tc>
        <w:tc>
          <w:tcPr>
            <w:tcW w:type="dxa" w:w="6761"/>
            <w:shd w:val="clear" w:color="auto" w:fill="F7F9FC"/>
          </w:tcPr>
          <w:p>
            <w:pPr>
              <w:spacing w:after="0"/>
            </w:pPr>
            <w:r>
              <w:rPr>
                <w:rFonts w:ascii="Calibri" w:hAnsi="Calibri" w:eastAsia="Calibri" w:cs="Calibri"/>
                <w:b w:val="0"/>
                <w:i w:val="0"/>
                <w:sz w:val="19"/>
                <w:lang w:val="en-US" w:bidi="fa-IR"/>
              </w:rPr>
              <w:t>A week where sales hit the stock level, or stock was zero, so true demand is hidden.</w:t>
            </w:r>
          </w:p>
        </w:tc>
      </w:tr>
      <w:tr>
        <w:trPr>
          <w:cantSplit/>
        </w:trPr>
        <w:tc>
          <w:tcPr>
            <w:tcW w:type="dxa" w:w="2877"/>
          </w:tcPr>
          <w:p>
            <w:pPr>
              <w:spacing w:after="0"/>
            </w:pPr>
            <w:r>
              <w:rPr>
                <w:rFonts w:ascii="Calibri" w:hAnsi="Calibri" w:eastAsia="Calibri" w:cs="Calibri"/>
                <w:b/>
                <w:i w:val="0"/>
                <w:sz w:val="19"/>
                <w:lang w:val="en-US" w:bidi="fa-IR"/>
              </w:rPr>
              <w:t>Unconstrained week / truth cell</w:t>
            </w:r>
          </w:p>
        </w:tc>
        <w:tc>
          <w:tcPr>
            <w:tcW w:type="dxa" w:w="6761"/>
          </w:tcPr>
          <w:p>
            <w:pPr>
              <w:spacing w:after="0"/>
            </w:pPr>
            <w:r>
              <w:rPr>
                <w:rFonts w:ascii="Calibri" w:hAnsi="Calibri" w:eastAsia="Calibri" w:cs="Calibri"/>
                <w:b w:val="0"/>
                <w:i w:val="0"/>
                <w:sz w:val="19"/>
                <w:lang w:val="en-US" w:bidi="fa-IR"/>
              </w:rPr>
              <w:t>A week where stock was enough, so sales equal demand.</w:t>
            </w:r>
          </w:p>
        </w:tc>
      </w:tr>
      <w:tr>
        <w:trPr>
          <w:cantSplit/>
        </w:trPr>
        <w:tc>
          <w:tcPr>
            <w:tcW w:type="dxa" w:w="2877"/>
            <w:shd w:val="clear" w:color="auto" w:fill="F7F9FC"/>
          </w:tcPr>
          <w:p>
            <w:pPr>
              <w:spacing w:after="0"/>
            </w:pPr>
            <w:r>
              <w:rPr>
                <w:rFonts w:ascii="Calibri" w:hAnsi="Calibri" w:eastAsia="Calibri" w:cs="Calibri"/>
                <w:b/>
                <w:i w:val="0"/>
                <w:sz w:val="19"/>
                <w:lang w:val="en-US" w:bidi="fa-IR"/>
              </w:rPr>
              <w:t>Legacy forecast</w:t>
            </w:r>
          </w:p>
        </w:tc>
        <w:tc>
          <w:tcPr>
            <w:tcW w:type="dxa" w:w="6761"/>
            <w:shd w:val="clear" w:color="auto" w:fill="F7F9FC"/>
          </w:tcPr>
          <w:p>
            <w:pPr>
              <w:spacing w:after="0"/>
            </w:pPr>
            <w:r>
              <w:rPr>
                <w:rFonts w:ascii="Calibri" w:hAnsi="Calibri" w:eastAsia="Calibri" w:cs="Calibri"/>
                <w:b w:val="0"/>
                <w:i w:val="0"/>
                <w:sz w:val="19"/>
                <w:lang w:val="en-US" w:bidi="fa-IR"/>
              </w:rPr>
              <w:t>The company's existing forecast in the file (Demand_Forecast).</w:t>
            </w:r>
          </w:p>
        </w:tc>
      </w:tr>
      <w:tr>
        <w:trPr>
          <w:cantSplit/>
        </w:trPr>
        <w:tc>
          <w:tcPr>
            <w:tcW w:type="dxa" w:w="2877"/>
          </w:tcPr>
          <w:p>
            <w:pPr>
              <w:spacing w:after="0"/>
            </w:pPr>
            <w:r>
              <w:rPr>
                <w:rFonts w:ascii="Calibri" w:hAnsi="Calibri" w:eastAsia="Calibri" w:cs="Calibri"/>
                <w:b/>
                <w:i w:val="0"/>
                <w:sz w:val="19"/>
                <w:lang w:val="en-US" w:bidi="fa-IR"/>
              </w:rPr>
              <w:t>Seasonal factor</w:t>
            </w:r>
          </w:p>
        </w:tc>
        <w:tc>
          <w:tcPr>
            <w:tcW w:type="dxa" w:w="6761"/>
          </w:tcPr>
          <w:p>
            <w:pPr>
              <w:spacing w:after="0"/>
            </w:pPr>
            <w:r>
              <w:rPr>
                <w:rFonts w:ascii="Calibri" w:hAnsi="Calibri" w:eastAsia="Calibri" w:cs="Calibri"/>
                <w:b w:val="0"/>
                <w:i w:val="0"/>
                <w:sz w:val="19"/>
                <w:lang w:val="en-US" w:bidi="fa-IR"/>
              </w:rPr>
              <w:t>How busy a week of the year usually is compared with a normal week (1.00 = normal).</w:t>
            </w:r>
          </w:p>
        </w:tc>
      </w:tr>
      <w:tr>
        <w:trPr>
          <w:cantSplit/>
        </w:trPr>
        <w:tc>
          <w:tcPr>
            <w:tcW w:type="dxa" w:w="2877"/>
            <w:shd w:val="clear" w:color="auto" w:fill="F7F9FC"/>
          </w:tcPr>
          <w:p>
            <w:pPr>
              <w:spacing w:after="0"/>
            </w:pPr>
            <w:r>
              <w:rPr>
                <w:rFonts w:ascii="Calibri" w:hAnsi="Calibri" w:eastAsia="Calibri" w:cs="Calibri"/>
                <w:b/>
                <w:i w:val="0"/>
                <w:sz w:val="19"/>
                <w:lang w:val="en-US" w:bidi="fa-IR"/>
              </w:rPr>
              <w:t>WAPE</w:t>
            </w:r>
          </w:p>
        </w:tc>
        <w:tc>
          <w:tcPr>
            <w:tcW w:type="dxa" w:w="6761"/>
            <w:shd w:val="clear" w:color="auto" w:fill="F7F9FC"/>
          </w:tcPr>
          <w:p>
            <w:pPr>
              <w:spacing w:after="0"/>
            </w:pPr>
            <w:r>
              <w:rPr>
                <w:rFonts w:ascii="Calibri" w:hAnsi="Calibri" w:eastAsia="Calibri" w:cs="Calibri"/>
                <w:b w:val="0"/>
                <w:i w:val="0"/>
                <w:sz w:val="19"/>
                <w:lang w:val="en-US" w:bidi="fa-IR"/>
              </w:rPr>
              <w:t>Weighted absolute percentage error: total absolute error divided by total demand.</w:t>
            </w:r>
          </w:p>
        </w:tc>
      </w:tr>
      <w:tr>
        <w:trPr>
          <w:cantSplit/>
        </w:trPr>
        <w:tc>
          <w:tcPr>
            <w:tcW w:type="dxa" w:w="2877"/>
          </w:tcPr>
          <w:p>
            <w:pPr>
              <w:spacing w:after="0"/>
            </w:pPr>
            <w:r>
              <w:rPr>
                <w:rFonts w:ascii="Calibri" w:hAnsi="Calibri" w:eastAsia="Calibri" w:cs="Calibri"/>
                <w:b/>
                <w:i w:val="0"/>
                <w:sz w:val="19"/>
                <w:lang w:val="en-US" w:bidi="fa-IR"/>
              </w:rPr>
              <w:t>Backtest / rolling origin</w:t>
            </w:r>
          </w:p>
        </w:tc>
        <w:tc>
          <w:tcPr>
            <w:tcW w:type="dxa" w:w="6761"/>
          </w:tcPr>
          <w:p>
            <w:pPr>
              <w:spacing w:after="0"/>
            </w:pPr>
            <w:r>
              <w:rPr>
                <w:rFonts w:ascii="Calibri" w:hAnsi="Calibri" w:eastAsia="Calibri" w:cs="Calibri"/>
                <w:b w:val="0"/>
                <w:i w:val="0"/>
                <w:sz w:val="19"/>
                <w:lang w:val="en-US" w:bidi="fa-IR"/>
              </w:rPr>
              <w:t>Pretend it is an earlier date, forecast the following 26 weeks with only the data up to then, and compare with what really happened.</w:t>
            </w:r>
          </w:p>
        </w:tc>
      </w:tr>
      <w:tr>
        <w:trPr>
          <w:cantSplit/>
        </w:trPr>
        <w:tc>
          <w:tcPr>
            <w:tcW w:type="dxa" w:w="2877"/>
            <w:shd w:val="clear" w:color="auto" w:fill="F7F9FC"/>
          </w:tcPr>
          <w:p>
            <w:pPr>
              <w:spacing w:after="0"/>
            </w:pPr>
            <w:r>
              <w:rPr>
                <w:rFonts w:ascii="Calibri" w:hAnsi="Calibri" w:eastAsia="Calibri" w:cs="Calibri"/>
                <w:b/>
                <w:i w:val="0"/>
                <w:sz w:val="19"/>
                <w:lang w:val="en-US" w:bidi="fa-IR"/>
              </w:rPr>
              <w:t>Free parameter / tuning</w:t>
            </w:r>
          </w:p>
        </w:tc>
        <w:tc>
          <w:tcPr>
            <w:tcW w:type="dxa" w:w="6761"/>
            <w:shd w:val="clear" w:color="auto" w:fill="F7F9FC"/>
          </w:tcPr>
          <w:p>
            <w:pPr>
              <w:spacing w:after="0"/>
            </w:pPr>
            <w:r>
              <w:rPr>
                <w:rFonts w:ascii="Calibri" w:hAnsi="Calibri" w:eastAsia="Calibri" w:cs="Calibri"/>
                <w:b w:val="0"/>
                <w:i w:val="0"/>
                <w:sz w:val="19"/>
                <w:lang w:val="en-US" w:bidi="fa-IR"/>
              </w:rPr>
              <w:t>A model setting that has to be chosen; tuning chooses it on validation data, never on the test weeks.</w:t>
            </w:r>
          </w:p>
        </w:tc>
      </w:tr>
      <w:tr>
        <w:trPr>
          <w:cantSplit/>
        </w:trPr>
        <w:tc>
          <w:tcPr>
            <w:tcW w:type="dxa" w:w="2877"/>
          </w:tcPr>
          <w:p>
            <w:pPr>
              <w:spacing w:after="0"/>
            </w:pPr>
            <w:r>
              <w:rPr>
                <w:rFonts w:ascii="Calibri" w:hAnsi="Calibri" w:eastAsia="Calibri" w:cs="Calibri"/>
                <w:b/>
                <w:i w:val="0"/>
                <w:sz w:val="19"/>
                <w:lang w:val="en-US" w:bidi="fa-IR"/>
              </w:rPr>
              <w:t>P10 / P90</w:t>
            </w:r>
          </w:p>
        </w:tc>
        <w:tc>
          <w:tcPr>
            <w:tcW w:type="dxa" w:w="6761"/>
          </w:tcPr>
          <w:p>
            <w:pPr>
              <w:spacing w:after="0"/>
            </w:pPr>
            <w:r>
              <w:rPr>
                <w:rFonts w:ascii="Calibri" w:hAnsi="Calibri" w:eastAsia="Calibri" w:cs="Calibri"/>
                <w:b w:val="0"/>
                <w:i w:val="0"/>
                <w:sz w:val="19"/>
                <w:lang w:val="en-US" w:bidi="fa-IR"/>
              </w:rPr>
              <w:t>Low and high case: about 8 times out of 10 reality falls between them.</w:t>
            </w:r>
          </w:p>
        </w:tc>
      </w:tr>
      <w:tr>
        <w:trPr>
          <w:cantSplit/>
        </w:trPr>
        <w:tc>
          <w:tcPr>
            <w:tcW w:type="dxa" w:w="2877"/>
            <w:shd w:val="clear" w:color="auto" w:fill="F7F9FC"/>
          </w:tcPr>
          <w:p>
            <w:pPr>
              <w:spacing w:after="0"/>
            </w:pPr>
            <w:r>
              <w:rPr>
                <w:rFonts w:ascii="Calibri" w:hAnsi="Calibri" w:eastAsia="Calibri" w:cs="Calibri"/>
                <w:b/>
                <w:i w:val="0"/>
                <w:sz w:val="19"/>
                <w:lang w:val="en-US" w:bidi="fa-IR"/>
              </w:rPr>
              <w:t>Service level (fill rate)</w:t>
            </w:r>
          </w:p>
        </w:tc>
        <w:tc>
          <w:tcPr>
            <w:tcW w:type="dxa" w:w="6761"/>
            <w:shd w:val="clear" w:color="auto" w:fill="F7F9FC"/>
          </w:tcPr>
          <w:p>
            <w:pPr>
              <w:spacing w:after="0"/>
            </w:pPr>
            <w:r>
              <w:rPr>
                <w:rFonts w:ascii="Calibri" w:hAnsi="Calibri" w:eastAsia="Calibri" w:cs="Calibri"/>
                <w:b w:val="0"/>
                <w:i w:val="0"/>
                <w:sz w:val="19"/>
                <w:lang w:val="en-US" w:bidi="fa-IR"/>
              </w:rPr>
              <w:t>Units sold divided by demand.</w:t>
            </w:r>
          </w:p>
        </w:tc>
      </w:tr>
      <w:tr>
        <w:trPr>
          <w:cantSplit/>
        </w:trPr>
        <w:tc>
          <w:tcPr>
            <w:tcW w:type="dxa" w:w="2877"/>
          </w:tcPr>
          <w:p>
            <w:pPr>
              <w:spacing w:after="0"/>
            </w:pPr>
            <w:r>
              <w:rPr>
                <w:rFonts w:ascii="Calibri" w:hAnsi="Calibri" w:eastAsia="Calibri" w:cs="Calibri"/>
                <w:b/>
                <w:i w:val="0"/>
                <w:sz w:val="19"/>
                <w:lang w:val="en-US" w:bidi="fa-IR"/>
              </w:rPr>
              <w:t>DSO</w:t>
            </w:r>
          </w:p>
        </w:tc>
        <w:tc>
          <w:tcPr>
            <w:tcW w:type="dxa" w:w="6761"/>
          </w:tcPr>
          <w:p>
            <w:pPr>
              <w:spacing w:after="0"/>
            </w:pPr>
            <w:r>
              <w:rPr>
                <w:rFonts w:ascii="Calibri" w:hAnsi="Calibri" w:eastAsia="Calibri" w:cs="Calibri"/>
                <w:b w:val="0"/>
                <w:i w:val="0"/>
                <w:sz w:val="19"/>
                <w:lang w:val="en-US" w:bidi="fa-IR"/>
              </w:rPr>
              <w:t>Days sales outstanding: how long, on average, sales are unpaid.</w:t>
            </w:r>
          </w:p>
        </w:tc>
      </w:tr>
      <w:tr>
        <w:trPr>
          <w:cantSplit/>
        </w:trPr>
        <w:tc>
          <w:tcPr>
            <w:tcW w:type="dxa" w:w="2877"/>
            <w:shd w:val="clear" w:color="auto" w:fill="F7F9FC"/>
          </w:tcPr>
          <w:p>
            <w:pPr>
              <w:spacing w:after="0"/>
            </w:pPr>
            <w:r>
              <w:rPr>
                <w:rFonts w:ascii="Calibri" w:hAnsi="Calibri" w:eastAsia="Calibri" w:cs="Calibri"/>
                <w:b/>
                <w:i w:val="0"/>
                <w:sz w:val="19"/>
                <w:lang w:val="en-US" w:bidi="fa-IR"/>
              </w:rPr>
              <w:t>DSI / weeks of cover</w:t>
            </w:r>
          </w:p>
        </w:tc>
        <w:tc>
          <w:tcPr>
            <w:tcW w:type="dxa" w:w="6761"/>
            <w:shd w:val="clear" w:color="auto" w:fill="F7F9FC"/>
          </w:tcPr>
          <w:p>
            <w:pPr>
              <w:spacing w:after="0"/>
            </w:pPr>
            <w:r>
              <w:rPr>
                <w:rFonts w:ascii="Calibri" w:hAnsi="Calibri" w:eastAsia="Calibri" w:cs="Calibri"/>
                <w:b w:val="0"/>
                <w:i w:val="0"/>
                <w:sz w:val="19"/>
                <w:lang w:val="en-US" w:bidi="fa-IR"/>
              </w:rPr>
              <w:t>Days (weeks) of sales the stock on hand would last.</w:t>
            </w:r>
          </w:p>
        </w:tc>
      </w:tr>
      <w:tr>
        <w:trPr>
          <w:cantSplit/>
        </w:trPr>
        <w:tc>
          <w:tcPr>
            <w:tcW w:type="dxa" w:w="2877"/>
          </w:tcPr>
          <w:p>
            <w:pPr>
              <w:spacing w:after="0"/>
            </w:pPr>
            <w:r>
              <w:rPr>
                <w:rFonts w:ascii="Calibri" w:hAnsi="Calibri" w:eastAsia="Calibri" w:cs="Calibri"/>
                <w:b/>
                <w:i w:val="0"/>
                <w:sz w:val="19"/>
                <w:lang w:val="en-US" w:bidi="fa-IR"/>
              </w:rPr>
              <w:t>Price sensitivity (elasticity)</w:t>
            </w:r>
          </w:p>
        </w:tc>
        <w:tc>
          <w:tcPr>
            <w:tcW w:type="dxa" w:w="6761"/>
          </w:tcPr>
          <w:p>
            <w:pPr>
              <w:spacing w:after="0"/>
            </w:pPr>
            <w:r>
              <w:rPr>
                <w:rFonts w:ascii="Calibri" w:hAnsi="Calibri" w:eastAsia="Calibri" w:cs="Calibri"/>
                <w:b w:val="0"/>
                <w:i w:val="0"/>
                <w:sz w:val="19"/>
                <w:lang w:val="en-US" w:bidi="fa-IR"/>
              </w:rPr>
              <w:t>How much demand falls when price rises; -1 means a 1 percent price rise lowers demand by 1 percent.</w:t>
            </w:r>
          </w:p>
        </w:tc>
      </w:tr>
      <w:tr>
        <w:trPr>
          <w:cantSplit/>
        </w:trPr>
        <w:tc>
          <w:tcPr>
            <w:tcW w:type="dxa" w:w="2877"/>
            <w:shd w:val="clear" w:color="auto" w:fill="F7F9FC"/>
          </w:tcPr>
          <w:p>
            <w:pPr>
              <w:spacing w:after="0"/>
            </w:pPr>
            <w:r>
              <w:rPr>
                <w:rFonts w:ascii="Calibri" w:hAnsi="Calibri" w:eastAsia="Calibri" w:cs="Calibri"/>
                <w:b/>
                <w:i w:val="0"/>
                <w:sz w:val="19"/>
                <w:lang w:val="en-US" w:bidi="fa-IR"/>
              </w:rPr>
              <w:t>Scarce / balanced / surplus</w:t>
            </w:r>
          </w:p>
        </w:tc>
        <w:tc>
          <w:tcPr>
            <w:tcW w:type="dxa" w:w="6761"/>
            <w:shd w:val="clear" w:color="auto" w:fill="F7F9FC"/>
          </w:tcPr>
          <w:p>
            <w:pPr>
              <w:spacing w:after="0"/>
            </w:pPr>
            <w:r>
              <w:rPr>
                <w:rFonts w:ascii="Calibri" w:hAnsi="Calibri" w:eastAsia="Calibri" w:cs="Calibri"/>
                <w:b w:val="0"/>
                <w:i w:val="0"/>
                <w:sz w:val="19"/>
                <w:lang w:val="en-US" w:bidi="fa-IR"/>
              </w:rPr>
              <w:t>A product-week where stock is below demand / covers demand / exceeds 26 weeks of demand.</w:t>
            </w:r>
          </w:p>
        </w:tc>
      </w:tr>
      <w:tr>
        <w:trPr>
          <w:cantSplit/>
        </w:trPr>
        <w:tc>
          <w:tcPr>
            <w:tcW w:type="dxa" w:w="2877"/>
          </w:tcPr>
          <w:p>
            <w:pPr>
              <w:spacing w:after="0"/>
            </w:pPr>
            <w:r>
              <w:rPr>
                <w:rFonts w:ascii="Calibri" w:hAnsi="Calibri" w:eastAsia="Calibri" w:cs="Calibri"/>
                <w:b/>
                <w:i w:val="0"/>
                <w:sz w:val="19"/>
                <w:lang w:val="en-US" w:bidi="fa-IR"/>
              </w:rPr>
              <w:t>Guardrail</w:t>
            </w:r>
          </w:p>
        </w:tc>
        <w:tc>
          <w:tcPr>
            <w:tcW w:type="dxa" w:w="6761"/>
          </w:tcPr>
          <w:p>
            <w:pPr>
              <w:spacing w:after="0"/>
            </w:pPr>
            <w:r>
              <w:rPr>
                <w:rFonts w:ascii="Calibri" w:hAnsi="Calibri" w:eastAsia="Calibri" w:cs="Calibri"/>
                <w:b w:val="0"/>
                <w:i w:val="0"/>
                <w:sz w:val="19"/>
                <w:lang w:val="en-US" w:bidi="fa-IR"/>
              </w:rPr>
              <w:t>A hard limit that no recommended price may cross.</w:t>
            </w:r>
          </w:p>
        </w:tc>
      </w:tr>
      <w:tr>
        <w:trPr>
          <w:cantSplit/>
        </w:trPr>
        <w:tc>
          <w:tcPr>
            <w:tcW w:type="dxa" w:w="2877"/>
            <w:shd w:val="clear" w:color="auto" w:fill="F7F9FC"/>
          </w:tcPr>
          <w:p>
            <w:pPr>
              <w:spacing w:after="0"/>
            </w:pPr>
            <w:r>
              <w:rPr>
                <w:rFonts w:ascii="Calibri" w:hAnsi="Calibri" w:eastAsia="Calibri" w:cs="Calibri"/>
                <w:b/>
                <w:i w:val="0"/>
                <w:sz w:val="19"/>
                <w:lang w:val="en-US" w:bidi="fa-IR"/>
              </w:rPr>
              <w:t>Star schema</w:t>
            </w:r>
          </w:p>
        </w:tc>
        <w:tc>
          <w:tcPr>
            <w:tcW w:type="dxa" w:w="6761"/>
            <w:shd w:val="clear" w:color="auto" w:fill="F7F9FC"/>
          </w:tcPr>
          <w:p>
            <w:pPr>
              <w:spacing w:after="0"/>
            </w:pPr>
            <w:r>
              <w:rPr>
                <w:rFonts w:ascii="Calibri" w:hAnsi="Calibri" w:eastAsia="Calibri" w:cs="Calibri"/>
                <w:b w:val="0"/>
                <w:i w:val="0"/>
                <w:sz w:val="19"/>
                <w:lang w:val="en-US" w:bidi="fa-IR"/>
              </w:rPr>
              <w:t>A database design with one central fact table of measurements and surrounding dimension tables.</w:t>
            </w:r>
          </w:p>
        </w:tc>
      </w:tr>
      <w:tr>
        <w:trPr>
          <w:cantSplit/>
        </w:trPr>
        <w:tc>
          <w:tcPr>
            <w:tcW w:type="dxa" w:w="2877"/>
          </w:tcPr>
          <w:p>
            <w:pPr>
              <w:spacing w:after="0"/>
            </w:pPr>
            <w:r>
              <w:rPr>
                <w:rFonts w:ascii="Calibri" w:hAnsi="Calibri" w:eastAsia="Calibri" w:cs="Calibri"/>
                <w:b/>
                <w:i w:val="0"/>
                <w:sz w:val="19"/>
                <w:lang w:val="en-US" w:bidi="fa-IR"/>
              </w:rPr>
              <w:t>ETL</w:t>
            </w:r>
          </w:p>
        </w:tc>
        <w:tc>
          <w:tcPr>
            <w:tcW w:type="dxa" w:w="6761"/>
          </w:tcPr>
          <w:p>
            <w:pPr>
              <w:spacing w:after="0"/>
            </w:pPr>
            <w:r>
              <w:rPr>
                <w:rFonts w:ascii="Calibri" w:hAnsi="Calibri" w:eastAsia="Calibri" w:cs="Calibri"/>
                <w:b w:val="0"/>
                <w:i w:val="0"/>
                <w:sz w:val="19"/>
                <w:lang w:val="en-US" w:bidi="fa-IR"/>
              </w:rPr>
              <w:t>Extract, transform, load: the process that reads, cleans and stores data.</w:t>
            </w:r>
          </w:p>
        </w:tc>
      </w:tr>
    </w:tbl>
    <w:p>
      <w:pPr>
        <w:spacing w:after="40"/>
      </w:pPr>
    </w:p>
    <w:sectPr w:rsidR="00FC693F" w:rsidRPr="0006063C" w:rsidSect="00034616">
      <w:footerReference w:type="default" r:id="rId23"/>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Calibri"/>
        <w:b w:val="0"/>
        <w:i w:val="0"/>
        <w:color w:val="5B6B80"/>
        <w:sz w:val="17"/>
        <w:lang w:val="en-US" w:bidi="fa-IR"/>
      </w:rPr>
      <w:t xml:space="preserve">Armani Middle East Trading  |  Page </w:t>
    </w:r>
    <w:r>
      <w:rPr>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s="Calibri" w:eastAsia="Calibri"/>
      <w:b w:val="0"/>
      <w:i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cs="Calibri" w:eastAsia="Calibri"/>
      <w:b/>
      <w:bCs/>
      <w:i w:val="0"/>
      <w:color w:val="12263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cs="Calibri" w:eastAsia="Calibri"/>
      <w:b/>
      <w:bCs/>
      <w:i w:val="0"/>
      <w:color w:val="2A78D6"/>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cs="Calibri" w:eastAsia="Calibri"/>
      <w:b/>
      <w:bCs/>
      <w:i w:val="0"/>
      <w:color w:val="1226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Armani Middle East Trading - Data Science Technical Assessment</dc:title>
  <dc:subject/>
  <dc:creator>Hamidreza Nademi</dc:creator>
  <cp:keywords/>
  <dc:description>generated by python-docx</dc:description>
  <cp:lastModifiedBy/>
  <cp:revision>1</cp:revision>
  <dcterms:created xsi:type="dcterms:W3CDTF">2013-12-23T23:15:00Z</dcterms:created>
  <dcterms:modified xsi:type="dcterms:W3CDTF">2013-12-23T23:15:00Z</dcterms:modified>
  <cp:category/>
</cp:coreProperties>
</file>