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95959"/>
          <w:sz w:val="22"/>
        </w:rPr>
        <w:t>Armani Middle East Trading</w:t>
      </w:r>
    </w:p>
    <w:p>
      <w:pPr>
        <w:spacing w:after="40"/>
      </w:pPr>
      <w:r>
        <w:rPr>
          <w:b/>
          <w:i w:val="0"/>
          <w:color w:val="1F4E79"/>
          <w:sz w:val="40"/>
        </w:rPr>
        <w:t>Dynamic Pricing Framework – Rules and Algorithmic Logic</w:t>
      </w:r>
    </w:p>
    <w:p>
      <w:pPr>
        <w:spacing w:after="200"/>
      </w:pPr>
      <w:r>
        <w:rPr>
          <w:b w:val="0"/>
          <w:i/>
          <w:sz w:val="20"/>
        </w:rPr>
        <w:t>Technical Assessment · Part 4 · version 1.1</w:t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The price follows scarcity and season. We charge a little more when we expect to be unable to serve all the demand, we hold the price when stock covers demand, and we consider a discount only when stock is far above demand and the discount pays for itself. Every price is then checked against hard limits: a cost floor, a competitive band, a maximum weekly change and credit-risk rules.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State of a product-week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engine does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Scarce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part of the expected demand cannot be served (stock runs out)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raise the price, more when scarcity is larger and in peak season, but only as far as the same units would still sell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stock covers demand, no excess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the reference price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Surplus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more than 26 weeks of stock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for itself; otherwise hold and fix purchasing</w:t>
            </w:r>
          </w:p>
        </w:tc>
      </w:tr>
    </w:tbl>
    <w:p>
      <w:pPr>
        <w:spacing w:after="40"/>
      </w:pPr>
    </w:p>
    <w:p>
      <w:r>
        <w:rPr>
          <w:b/>
        </w:rPr>
        <w:t xml:space="preserve">Result for the next 26 weeks (30 products × 26 weeks = 780 prices): </w:t>
      </w:r>
      <w:r>
        <w:rPr>
          <w:b w:val="0"/>
        </w:rPr>
        <w:t>78% of product-weeks are scarce (average price change +4.9%), 5% balanced and 17% surplus. Expected profit after credit losses rises by $1.3M (+17.0%) in the planning case, and by between $1.2M and $1.3M across all customer reactions tested.</w:t>
      </w:r>
    </w:p>
    <w:p>
      <w:pPr>
        <w:pStyle w:val="Heading1"/>
      </w:pPr>
      <w:r>
        <w:t>2. Inputs and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09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Reference price: average selling price of the last 13 weeks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D (P10 / P90)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weekly demand with a low and a high case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2 forecast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Stock available to sell; future stock is unknown, so the product's own last 104 weeks of stock levels are used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Parts 1–2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g (service gap)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Share of expected demand we cannot serve:  g = 1 − E[min(D, S)] / E[D]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 by simulation (1,000 draws)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Season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peak if the seasonal index ≥ 1.10, off-peak if ≤ 0.90, otherwise normal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 seasonal curve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Cover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weeks of stock = typical stock ÷ weekly demand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ε (price sensitivity)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% change in demand for a +1% price change; unknown – planning case −1, stress case −2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assumption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Rating A–E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credit-risk class of the product category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3 assumptions</w:t>
            </w:r>
          </w:p>
        </w:tc>
      </w:tr>
    </w:tbl>
    <w:p>
      <w:pPr>
        <w:spacing w:after="40"/>
      </w:pPr>
    </w:p>
    <w:p>
      <w:pPr>
        <w:pStyle w:val="Heading1"/>
      </w:pPr>
      <w:r>
        <w:t>3. The rules</w:t>
      </w:r>
    </w:p>
    <w:p>
      <w:pPr>
        <w:pStyle w:val="Heading2"/>
      </w:pPr>
      <w:r>
        <w:t>Rule 1 – Scarcity premium (demand-based adjustment)</w:t>
      </w:r>
    </w:p>
    <w:p>
      <w:r>
        <w:rPr>
          <w:b w:val="0"/>
          <w:i w:val="0"/>
        </w:rPr>
        <w:t>The larger the share of demand we cannot serve, the larger the price rise, because customers who are turned away are not lost by a price rise. In peak season the full premium is used, in normal season 75% and in off-peak season 50%.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w = min(1, g / 0.30)  if g &gt; 5%,  else 0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u = 8% × w × m(season),    m = 1.00 (peak), 0.75 (normal), 0.50 (off-peak)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arcity_rule_v1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 – Price rise recommended as a function of the share of demand that cannot be served.</w:t>
      </w:r>
    </w:p>
    <w:p>
      <w:pPr>
        <w:pStyle w:val="Heading2"/>
      </w:pPr>
      <w:r>
        <w:t>Rule 2 – Sell-out protection</w:t>
      </w:r>
    </w:p>
    <w:p>
      <w:r>
        <w:rPr>
          <w:b w:val="0"/>
          <w:i w:val="0"/>
        </w:rPr>
        <w:t>A rise is allowed only as far as we would still sell (almost) the same units, even if customers were twice as price-sensitive as assumed. This makes the scarcity premium independent of the price sensitivity, which cannot be measured from the data.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choose the largest M ≤ 1 + u such that  E[min(D · M^(−2), S)]  ≥  99% × E[min(D, S)]</w:t>
      </w:r>
    </w:p>
    <w:p>
      <w:pPr>
        <w:pStyle w:val="Heading2"/>
      </w:pPr>
      <w:r>
        <w:t>Rule 3 – Surplus and clearance (inventory sensitivity)</w:t>
      </w:r>
    </w:p>
    <w:p>
      <w:r>
        <w:rPr>
          <w:b w:val="0"/>
          <w:i w:val="0"/>
        </w:rPr>
        <w:t>A markdown is considered only for products with more than 26 weeks of stock and no scarcity. It is deeper with more excess stock (up to −10% at 104 weeks or more) and only in quiet weeks. It is applied only if it pays for itself, including the holding cost saved on the extra units sold.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d = 10% × min(1, ln(cover / 26) / ln(104 / 26)) × lull(season),    lull = 1 (off-peak), 0.5 (normal), 0 (peak)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apply the markdown only if  Profit(P0 · (1 − d); ε = −1)  &gt;  Profit(P0; ε = −1)</w:t>
      </w:r>
    </w:p>
    <w:p>
      <w:pPr>
        <w:pStyle w:val="Heading2"/>
      </w:pPr>
      <w:r>
        <w:t>Rule 4 – Credit-risk rule</w:t>
      </w:r>
    </w:p>
    <w:p>
      <w:r>
        <w:rPr>
          <w:b w:val="0"/>
          <w:i w:val="0"/>
        </w:rPr>
        <w:t>Ratings A and B: no change. Rating C: markdown capped at 5%. Ratings D and E: no markdowns, a risk premium on the price and a recommended shortening of payment terms by 15 days.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premium = share on credit × default rate + (DSO / 365) × 8% funding cost;      target price × (1 + premium)</w:t>
      </w:r>
    </w:p>
    <w:p>
      <w:pPr>
        <w:pStyle w:val="Heading2"/>
      </w:pPr>
      <w:r>
        <w:t>Rule 5 – Guardrails (competitive and profitability limits)</w:t>
      </w:r>
    </w:p>
    <w:p>
      <w:pPr>
        <w:pStyle w:val="ListBullet"/>
        <w:spacing w:after="40"/>
      </w:pPr>
      <w:r>
        <w:rPr>
          <w:b/>
        </w:rPr>
        <w:t>Cost floor:</w:t>
      </w:r>
      <w:r>
        <w:t xml:space="preserve"> price ≥ COGS × (1 + 5% minimum markup + 12% × 4/52 carrying cost) ÷ (1 − expected credit loss rate).</w:t>
      </w:r>
    </w:p>
    <w:p>
      <w:pPr>
        <w:pStyle w:val="ListBullet"/>
        <w:spacing w:after="40"/>
      </w:pPr>
      <w:r>
        <w:rPr>
          <w:b/>
        </w:rPr>
        <w:t>Competitive band:</w:t>
      </w:r>
      <w:r>
        <w:t xml:space="preserve"> 0.92 × P0 ≤ price ≤ 1.10 × P0. No competitor prices are available, so the 13-week average price stands in for the market.</w:t>
      </w:r>
    </w:p>
    <w:p>
      <w:pPr>
        <w:pStyle w:val="ListBullet"/>
        <w:spacing w:after="40"/>
      </w:pPr>
      <w:r>
        <w:rPr>
          <w:b/>
        </w:rPr>
        <w:t>Stability:</w:t>
      </w:r>
      <w:r>
        <w:t xml:space="preserve"> the price changes by at most ±3% from one week to the next.</w:t>
      </w:r>
    </w:p>
    <w:p>
      <w:pPr>
        <w:pStyle w:val="Heading2"/>
      </w:pPr>
      <w:r>
        <w:t>Rule 6 – Final price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target = P0 × (1 + u_protected) × (1 + premium) × (1 − d)   →   raise to cost floor   →   keep inside band   →   limit weekly step</w:t>
      </w:r>
    </w:p>
    <w:p>
      <w:pPr>
        <w:pStyle w:val="Heading1"/>
      </w:pPr>
      <w:r>
        <w:t>4. Behaviour by product type and season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 season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Low-stock product (sells out)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full premium, up to +8%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75% of the premium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50% of the premium</w:t>
            </w:r>
          </w:p>
        </w:tc>
      </w:tr>
      <w:tr>
        <w:tc>
          <w:tcPr>
            <w:tcW w:type="dxa" w:w="260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High-stock product (&gt; 26 weeks)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hold P0 (no markdown in peaks)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(half strength)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candidate, up to −10%, only if it pays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</w:rPr>
        <w:t>What the rules actually did when replayed on the last 52 weeks (average price change vs reference price):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Product type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Normal-stock products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+2.8%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+1.4%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High-stock products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</w:tr>
    </w:tbl>
    <w:p>
      <w:pPr>
        <w:spacing w:after="40"/>
      </w:pPr>
    </w:p>
    <w:p>
      <w:pPr>
        <w:pStyle w:val="Heading1"/>
      </w:pPr>
      <w:r>
        <w:t>5. Worked example</w:t>
      </w:r>
    </w:p>
    <w:p>
      <w:pPr>
        <w:spacing w:after="60"/>
      </w:pPr>
      <w:r>
        <w:rPr>
          <w:b/>
          <w:i w:val="0"/>
        </w:rPr>
        <w:t>Barley, week of 2024-12-30 (normal season, credit rating C).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Numbers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Reference price and unit cost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$7.447 and $5.877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demand (low – high case)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2,899 units (2,675 – 3,119)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Units we expect to sell given the product's stock history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1,391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Service gap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1 − 1,391 / 2,900 = 52%  →  Scarce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1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8% × 1.00 × 0.75 = 6.0%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2 sell-out protection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allowed premium 4.5% (units stay at 99.0% even at ε = −2)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4 credit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rating C: 0.0%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5 guardrails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floor $6.27; band $6.85 – $8.19; step limit ±3% of the previous price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Recommended price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$7.670 (+3.0%) in week 1, reaching the target in the following weeks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_paths_v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2 – Price paths of three products against the competitive band and the cost floor.</w:t>
      </w:r>
    </w:p>
    <w:p>
      <w:pPr>
        <w:pStyle w:val="Heading1"/>
      </w:pPr>
      <w:r>
        <w:t>6. Parameters</w:t>
      </w:r>
    </w:p>
    <w:p>
      <w:pPr>
        <w:spacing w:after="60"/>
      </w:pPr>
      <w:r>
        <w:rPr>
          <w:b w:val="0"/>
          <w:i w:val="0"/>
        </w:rPr>
        <w:t>All tunable values are defined in one place in the notebook. Type: policy = management choice, assumption = not measurable from the data, data-derived = read from the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U_MAX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scarcity premium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GAP_MIN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Unserved-demand share below which stock is not a constraint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G_FULL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0.3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Unserved-demand share at which the premium is maximal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SEASON_MULT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peak 1.00 / normal 0.75 / off-peak 0.50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premium used in peak / normal / off-peak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PEAK_IDX / OFFPEAK_IDX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1.1 / 0.9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Seasonal-curve levels that define peak and off-peak weeks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data-derived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EPS_PLAN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-1.0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Planning price sensitivity (-1 = demand falls 1% when price rises 1%)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EPS_STRESS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-2.0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Stress price sensitivity used by the sell-out protection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VOL_TOL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0.01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Units we accept to lose because of a scarcity premium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D_MAX / COVER_MAX / COVER_FULL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 / 26 / 104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markdown; weeks of cover where markdowns start / are deepest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LULL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off-peak 1.0 / normal 0.5 / peak 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markdown used in off-peak / normal / 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MD_CAP_C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Markdown cap for rating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TERMS_CUT_DAYS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Recommended payment-terms cut for rating D/E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FUND_RATE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money tied up in unpaid invoices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MIN_MARKUP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Minimum markup on cost in the price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CARRY_ANNUAL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holding stock, as share of cost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CARRY_FLOOR_WEEKS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Weeks of carrying cost included in the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BAND_UP / BAND_DOWN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+0.1 / -0.08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Competitive band around the reference price (no competitor data: proxy)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STEP_MAX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0.03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Largest price change from one week to the next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SIM_N / SEED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1000 / 42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Simulation draws per product-week; random seed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technical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and expected impact</w:t>
      </w:r>
    </w:p>
    <w:p>
      <w:pPr>
        <w:pStyle w:val="Heading2"/>
      </w:pPr>
      <w:r>
        <w:t>Price sensitivity cannot be estimated from the data</w:t>
      </w:r>
    </w:p>
    <w:p>
      <w:r>
        <w:rPr>
          <w:b w:val="0"/>
          <w:i w:val="0"/>
        </w:rPr>
        <w:t>Within a product the price varies by only 4.0%. The estimated price effect is -0.017 with a 95% range of -0.056 to +0.021, which includes zero and cannot distinguish a low from a high sensitivity. The engine is therefore built not to depend on it (Rule 2), and the money impact is shown for several customer reactions.</w:t>
      </w:r>
    </w:p>
    <w:p>
      <w:pPr>
        <w:pStyle w:val="Heading2"/>
      </w:pPr>
      <w:r>
        <w:t>Expected money impact (profit after expected credit losses, versus holding today's price)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Customer reaction (ε)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Revenue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Profit gain, 26 weeks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0  (customers ignore price)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+0.00%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$1.3M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(+17.5%)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-0.5  (low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-0.21%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$1.3M  (+17.2%)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-1  (planning case)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-0.44%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$1.1M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(+17.0%)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-2  (high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-0.95%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$936K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  (+16.3%)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-3  (very high sensitivity)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-1.60%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$676K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$1.2M  (+15.5%)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Replay of the last 52 weeks with only the information available at the time: $1.4M in the planning case (+10.6%). If the true demand were only 60% of the estimate, the planning-case gain would still be $939K; at 50% it would be $818K.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ney_impact_v1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3 – Change in profit for the next 26 weeks and for the replay of the last 52 weeks.</w:t>
      </w:r>
    </w:p>
    <w:p>
      <w:pPr>
        <w:pStyle w:val="Heading2"/>
      </w:pPr>
      <w:r>
        <w:t>Where price is not the lever</w:t>
      </w:r>
    </w:p>
    <w:p>
      <w:pPr>
        <w:pStyle w:val="ListBullet"/>
        <w:spacing w:after="40"/>
      </w:pPr>
      <w:r>
        <w:rPr>
          <w:b/>
        </w:rPr>
        <w:t>Over-stock:</w:t>
      </w:r>
      <w:r>
        <w:t xml:space="preserve"> 5 products hold more than 26 weeks of stock ($10.8M tied up, about $1.3M a year to carry). Selling the excess within a year by price alone would need cuts of 17–49% even for very price-sensitive customers, so purchasing must stop instead.</w:t>
      </w:r>
    </w:p>
    <w:p>
      <w:pPr>
        <w:pStyle w:val="ListBullet"/>
        <w:spacing w:after="40"/>
      </w:pPr>
      <w:r>
        <w:rPr>
          <w:b/>
        </w:rPr>
        <w:t>Credit:</w:t>
      </w:r>
      <w:r>
        <w:t xml:space="preserve"> Beverages &amp; Cocoa (rating D/E, assumption-based): no discounts, 2.5% risk premium, and shorter terms would free about $361K of cash.</w:t>
      </w:r>
    </w:p>
    <w:p>
      <w:pPr>
        <w:pStyle w:val="ListBullet"/>
        <w:spacing w:after="40"/>
      </w:pPr>
      <w:r>
        <w:rPr>
          <w:b/>
        </w:rPr>
        <w:t>Markdowns:</w:t>
      </w:r>
      <w:r>
        <w:t xml:space="preserve"> 200 candidate markdowns were rejected because they would not pay for themselves; they would pay only if customers were about 3.8 times price-sensitive.</w:t>
      </w:r>
    </w:p>
    <w:p>
      <w:pPr>
        <w:pStyle w:val="Heading1"/>
      </w:pPr>
      <w:r>
        <w:t>8. Verification</w:t>
      </w:r>
    </w:p>
    <w:p>
      <w:r>
        <w:rPr>
          <w:b w:val="0"/>
          <w:i w:val="0"/>
        </w:rPr>
        <w:t>19 of 19 automatic checks pass on both the 26-week plan and the 52-week replay: competitive band, cost floor, weekly step, credit rules, no markdown in peak weeks, hand-calculated rule arithmetic, monotonic premium, deterministic results, no look-ahead in the replay, and reconciliation with the Part 2 forecast.</w:t>
      </w:r>
    </w:p>
    <w:p>
      <w:pPr>
        <w:pStyle w:val="Heading1"/>
      </w:pPr>
      <w:r>
        <w:t>9. Assumptions and limits</w:t>
      </w:r>
    </w:p>
    <w:p>
      <w:pPr>
        <w:pStyle w:val="ListBullet"/>
        <w:spacing w:after="40"/>
      </w:pPr>
      <w:r>
        <w:rPr>
          <w:b/>
        </w:rPr>
        <w:t xml:space="preserve">Price sensitivity: </w:t>
      </w:r>
      <w:r>
        <w:t>unknown; planning case −1, stress case −2, results shown from 0 to −3.</w:t>
      </w:r>
    </w:p>
    <w:p>
      <w:pPr>
        <w:pStyle w:val="ListBullet"/>
        <w:spacing w:after="40"/>
      </w:pPr>
      <w:r>
        <w:rPr>
          <w:b/>
        </w:rPr>
        <w:t xml:space="preserve">Competitors: </w:t>
      </w:r>
      <w:r>
        <w:t>no competitor prices; the 13-week average price and the band are a proxy.</w:t>
      </w:r>
    </w:p>
    <w:p>
      <w:pPr>
        <w:pStyle w:val="ListBullet"/>
        <w:spacing w:after="40"/>
      </w:pPr>
      <w:r>
        <w:rPr>
          <w:b/>
        </w:rPr>
        <w:t xml:space="preserve">Credit: </w:t>
      </w:r>
      <w:r>
        <w:t>ratings, DSO and default rates come from assumptions (no customer data).</w:t>
      </w:r>
    </w:p>
    <w:p>
      <w:pPr>
        <w:pStyle w:val="ListBullet"/>
        <w:spacing w:after="40"/>
      </w:pPr>
      <w:r>
        <w:rPr>
          <w:b/>
        </w:rPr>
        <w:t xml:space="preserve">Future stock: </w:t>
      </w:r>
      <w:r>
        <w:t>simulated from each product's own last 104 weeks of stock.</w:t>
      </w:r>
    </w:p>
    <w:p>
      <w:pPr>
        <w:pStyle w:val="ListBullet"/>
        <w:spacing w:after="40"/>
      </w:pPr>
      <w:r>
        <w:rPr>
          <w:b/>
        </w:rPr>
        <w:t xml:space="preserve">Demand: </w:t>
      </w:r>
      <w:r>
        <w:t>reconstructed in stock-limited weeks, so the replay is an estimate.</w:t>
      </w:r>
    </w:p>
    <w:p>
      <w:pPr>
        <w:pStyle w:val="ListBullet"/>
        <w:spacing w:after="40"/>
      </w:pPr>
      <w:r>
        <w:rPr>
          <w:b/>
        </w:rPr>
        <w:t xml:space="preserve">Costs: </w:t>
      </w:r>
      <w:r>
        <w:t>unit cost held at its last-13-week average; holding cost 12% and funding cost 8% a year.</w:t>
      </w:r>
    </w:p>
    <w:p>
      <w:pPr>
        <w:pStyle w:val="ListBullet"/>
        <w:spacing w:after="40"/>
      </w:pPr>
      <w:r>
        <w:rPr>
          <w:b/>
        </w:rPr>
        <w:t xml:space="preserve">Scope: </w:t>
      </w:r>
      <w:r>
        <w:t>prices per product-week; customer- or channel-specific pricing needs customer data.</w:t>
      </w:r>
    </w:p>
    <w:p>
      <w:pPr>
        <w:pStyle w:val="Heading1"/>
      </w:pPr>
      <w:r>
        <w:t>10. Recommended next step</w:t>
      </w:r>
    </w:p>
    <w:p>
      <w:r>
        <w:rPr>
          <w:b w:val="0"/>
          <w:i w:val="0"/>
        </w:rPr>
        <w:t>Run a pilot before a full roll-out. Pilot A (scarce products, +3% / +5% against matched controls) checks that stock still sells out. Pilot B (high-stock products, price ±3% in random weeks) measures real price sensitivity. Then update the planning and stress sensitivity (ε) and re-run the notebook.</w:t>
      </w:r>
    </w:p>
    <w:sectPr w:rsidR="00FC693F" w:rsidRPr="0006063C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Dynamic pricing framework ·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