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0315454">
      <w:pPr>
        <w:pBdr/>
        <w:spacing/>
        <w:ind/>
        <w:jc w:val="both"/>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rPr>
        <mc:AlternateContent>
          <mc:Choice Requires="wpg">
            <w:drawing>
              <wp:inline xmlns:wp="http://schemas.openxmlformats.org/drawingml/2006/wordprocessingDrawing" distT="0" distB="0" distL="0" distR="0">
                <wp:extent cx="5884383" cy="307301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81087" name=""/>
                        <pic:cNvPicPr>
                          <a:picLocks noChangeAspect="1"/>
                        </pic:cNvPicPr>
                        <pic:nvPr/>
                      </pic:nvPicPr>
                      <pic:blipFill rotWithShape="1">
                        <a:blip r:embed="rId10"/>
                        <a:stretch/>
                      </pic:blipFill>
                      <pic:spPr bwMode="auto">
                        <a:xfrm flipH="0" flipV="0">
                          <a:off x="0" y="0"/>
                          <a:ext cx="5884382" cy="30730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3.34pt;height:241.97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14:paraId="6CCCDFDB">
      <w:pPr>
        <w:pBdr/>
        <w:spacing/>
        <w:ind/>
        <w:jc w:val="both"/>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14:paraId="3E30FA90">
      <w:pPr>
        <w:pBdr/>
        <w:spacing/>
        <w:ind/>
        <w:jc w:val="both"/>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t xml:space="preserve">These are the standard treatment protocols for diseases resulting from this type of metabolic disorder.</w:t>
      </w:r>
      <w:r>
        <w:rPr>
          <w:rFonts w:ascii="Times New Roman" w:hAnsi="Times New Roman" w:eastAsia="Times New Roman" w:cs="Times New Roman"/>
          <w:sz w:val="22"/>
          <w:szCs w:val="22"/>
        </w:rPr>
      </w:r>
    </w:p>
    <w:p w14:paraId="7961641C">
      <w:pPr>
        <w:pBdr/>
        <w:spacing/>
        <w:ind/>
        <w:jc w:val="both"/>
        <w:rPr>
          <w:rFonts w:ascii="Times New Roman" w:hAnsi="Times New Roman" w:cs="Times New Roman"/>
          <w:sz w:val="22"/>
          <w:szCs w:val="22"/>
        </w:rPr>
      </w:pPr>
      <w:r>
        <w:rPr>
          <w:rFonts w:ascii="Times New Roman" w:hAnsi="Times New Roman" w:eastAsia="Times New Roman" w:cs="Times New Roman"/>
          <w:sz w:val="22"/>
          <w:szCs w:val="22"/>
          <w:highlight w:val="none"/>
        </w:rPr>
        <w:t xml:space="preserve">We, the aragorn1 team, focused on two key aspects of this treatment strategy. First, what molecules could act as </w:t>
      </w:r>
      <w:r>
        <w:rPr>
          <w:rFonts w:ascii="Times New Roman" w:hAnsi="Times New Roman" w:eastAsia="Times New Roman" w:cs="Times New Roman"/>
          <w:sz w:val="22"/>
          <w:szCs w:val="22"/>
          <w:highlight w:val="yellow"/>
        </w:rPr>
        <w:t xml:space="preserve">pharmacological chaperones</w:t>
      </w:r>
      <w:r>
        <w:rPr>
          <w:rFonts w:ascii="Times New Roman" w:hAnsi="Times New Roman" w:eastAsia="Times New Roman" w:cs="Times New Roman"/>
          <w:sz w:val="22"/>
          <w:szCs w:val="22"/>
          <w:highlight w:val="none"/>
        </w:rPr>
        <w:t xml:space="preserve"> to enhance the activator function of the BUB1B protein?</w:t>
      </w:r>
      <w:r>
        <w:rPr>
          <w:rFonts w:ascii="Times New Roman" w:hAnsi="Times New Roman" w:eastAsia="Times New Roman" w:cs="Times New Roman"/>
          <w:sz w:val="22"/>
          <w:szCs w:val="22"/>
        </w:rPr>
      </w:r>
    </w:p>
    <w:p w14:paraId="7E9C8D73">
      <w:pPr>
        <w:pBdr/>
        <w:spacing/>
        <w:ind/>
        <w:jc w:val="both"/>
        <w:rPr>
          <w:rFonts w:ascii="Times New Roman" w:hAnsi="Times New Roman" w:cs="Times New Roman"/>
          <w:sz w:val="22"/>
          <w:szCs w:val="22"/>
        </w:rPr>
      </w:pPr>
      <w:r>
        <w:rPr>
          <w:rFonts w:ascii="Times New Roman" w:hAnsi="Times New Roman" w:eastAsia="Times New Roman" w:cs="Times New Roman"/>
          <w:sz w:val="22"/>
          <w:szCs w:val="22"/>
          <w:highlight w:val="none"/>
        </w:rPr>
        <w:t xml:space="preserve">Second, what molecules can inhibit the proteins or substrates whose activity increases in the context of BUB1B dysfunction? In other words, what can be used as a </w:t>
      </w:r>
      <w:r>
        <w:rPr>
          <w:rFonts w:ascii="Times New Roman" w:hAnsi="Times New Roman" w:eastAsia="Times New Roman" w:cs="Times New Roman"/>
          <w:sz w:val="22"/>
          <w:szCs w:val="22"/>
          <w:highlight w:val="yellow"/>
        </w:rPr>
        <w:t xml:space="preserve">substrate reduction therapy</w:t>
      </w:r>
      <w:r>
        <w:rPr>
          <w:rFonts w:ascii="Times New Roman" w:hAnsi="Times New Roman" w:eastAsia="Times New Roman" w:cs="Times New Roman"/>
          <w:sz w:val="22"/>
          <w:szCs w:val="22"/>
          <w:highlight w:val="none"/>
        </w:rPr>
        <w:t xml:space="preserve">?</w:t>
      </w:r>
      <w:r>
        <w:rPr>
          <w:rFonts w:ascii="Times New Roman" w:hAnsi="Times New Roman" w:eastAsia="Times New Roman" w:cs="Times New Roman"/>
          <w:sz w:val="22"/>
          <w:szCs w:val="22"/>
        </w:rPr>
      </w:r>
    </w:p>
    <w:p w14:paraId="4E8F7292">
      <w:pPr>
        <w:pBdr/>
        <w:spacing/>
        <w:ind/>
        <w:jc w:val="both"/>
        <w:rPr>
          <w:rFonts w:ascii="Times New Roman" w:hAnsi="Times New Roman" w:cs="Times New Roman"/>
          <w:sz w:val="22"/>
          <w:szCs w:val="22"/>
        </w:rPr>
      </w:pPr>
      <w:r>
        <w:rPr>
          <w:rFonts w:ascii="Times New Roman" w:hAnsi="Times New Roman" w:eastAsia="Times New Roman" w:cs="Times New Roman"/>
          <w:sz w:val="22"/>
          <w:szCs w:val="22"/>
          <w:highlight w:val="none"/>
        </w:rPr>
        <w:t xml:space="preserve">In this disease, other treatment protocols, such as organ transplantation, enzyme replacement therapy, biotherapy, or dialysis, are ineffective.</w:t>
      </w:r>
      <w:r>
        <w:rPr>
          <w:rFonts w:ascii="Times New Roman" w:hAnsi="Times New Roman" w:eastAsia="Times New Roman" w:cs="Times New Roman"/>
          <w:sz w:val="22"/>
          <w:szCs w:val="22"/>
        </w:rPr>
      </w:r>
    </w:p>
    <w:p w14:paraId="2B8E5737">
      <w:pPr>
        <w:pBdr/>
        <w:spacing/>
        <w:ind/>
        <w:jc w:val="both"/>
        <w:rPr>
          <w:rFonts w:ascii="Times New Roman" w:hAnsi="Times New Roman" w:cs="Times New Roman"/>
          <w:sz w:val="22"/>
          <w:szCs w:val="22"/>
        </w:rPr>
      </w:pPr>
      <w:r>
        <w:rPr>
          <w:rFonts w:ascii="Times New Roman" w:hAnsi="Times New Roman" w:eastAsia="Times New Roman" w:cs="Times New Roman"/>
          <w:sz w:val="22"/>
          <w:szCs w:val="22"/>
          <w:highlight w:val="yellow"/>
        </w:rPr>
        <w:t xml:space="preserve">Gene therapy</w:t>
      </w:r>
      <w:r>
        <w:rPr>
          <w:rFonts w:ascii="Times New Roman" w:hAnsi="Times New Roman" w:eastAsia="Times New Roman" w:cs="Times New Roman"/>
          <w:sz w:val="22"/>
          <w:szCs w:val="22"/>
          <w:highlight w:val="none"/>
        </w:rPr>
        <w:t xml:space="preserve"> may also be recommended.</w:t>
      </w:r>
      <w:r>
        <w:rPr>
          <w:rFonts w:ascii="Times New Roman" w:hAnsi="Times New Roman" w:eastAsia="Times New Roman" w:cs="Times New Roman"/>
          <w:sz w:val="22"/>
          <w:szCs w:val="22"/>
        </w:rPr>
      </w:r>
    </w:p>
    <w:p w14:paraId="5A405C14">
      <w:pPr>
        <w:pBdr/>
        <w:spacing/>
        <w:ind/>
        <w:jc w:val="both"/>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rPr>
        <mc:AlternateContent>
          <mc:Choice Requires="wpg">
            <w:drawing>
              <wp:inline xmlns:wp="http://schemas.openxmlformats.org/drawingml/2006/wordprocessingDrawing" distT="0" distB="0" distL="0" distR="0">
                <wp:extent cx="5760720" cy="458914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57418" name=""/>
                        <pic:cNvPicPr>
                          <a:picLocks noChangeAspect="1"/>
                        </pic:cNvPicPr>
                        <pic:nvPr/>
                      </pic:nvPicPr>
                      <pic:blipFill rotWithShape="1">
                        <a:blip r:embed="rId11"/>
                        <a:stretch/>
                      </pic:blipFill>
                      <pic:spPr bwMode="auto">
                        <a:xfrm>
                          <a:off x="0" y="0"/>
                          <a:ext cx="5760719" cy="45891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3.60pt;height:361.35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rPr>
      </w:r>
    </w:p>
    <w:p w14:paraId="4DBAEA5B">
      <w:pPr>
        <w:pBdr/>
        <w:spacing/>
        <w:ind/>
        <w:jc w:val="both"/>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14:paraId="00987C20">
      <w:pPr>
        <w:pBdr/>
        <w:spacing/>
        <w:ind/>
        <w:jc w:val="both"/>
        <w:rPr>
          <w:rFonts w:ascii="Times New Roman" w:hAnsi="Times New Roman" w:cs="Times New Roman"/>
          <w:sz w:val="22"/>
          <w:szCs w:val="22"/>
        </w:rPr>
      </w:pPr>
      <w:r>
        <w:rPr>
          <w:rFonts w:ascii="Times New Roman" w:hAnsi="Times New Roman" w:eastAsia="Times New Roman" w:cs="Times New Roman"/>
          <w:sz w:val="22"/>
          <w:szCs w:val="22"/>
          <w:highlight w:val="none"/>
        </w:rPr>
        <w:t xml:space="preserve">The BUB1B gene encodes the BubR1 protein, which is marked in red in the M phase of the cell cycle. The primary role of this protein in the cell cycle is to act as the main effector of the spindle assembly checkpoint mechanism and to halt the cell’s transiti</w:t>
      </w:r>
      <w:r>
        <w:rPr>
          <w:rFonts w:ascii="Times New Roman" w:hAnsi="Times New Roman" w:eastAsia="Times New Roman" w:cs="Times New Roman"/>
          <w:sz w:val="22"/>
          <w:szCs w:val="22"/>
          <w:highlight w:val="none"/>
        </w:rPr>
        <w:t xml:space="preserve">on from metaphase to anaphase until all chromosomes are properly attached to the microtubules.</w:t>
      </w:r>
      <w:r>
        <w:rPr>
          <w:rFonts w:ascii="Times New Roman" w:hAnsi="Times New Roman" w:eastAsia="Times New Roman" w:cs="Times New Roman"/>
          <w:sz w:val="22"/>
          <w:szCs w:val="22"/>
        </w:rPr>
      </w:r>
    </w:p>
    <w:p w14:paraId="4DF8D946">
      <w:pPr>
        <w:pBdr/>
        <w:spacing/>
        <w:ind/>
        <w:jc w:val="both"/>
        <w:rPr>
          <w:rFonts w:ascii="Times New Roman" w:hAnsi="Times New Roman" w:cs="Times New Roman"/>
          <w:sz w:val="22"/>
          <w:szCs w:val="22"/>
        </w:rPr>
      </w:pPr>
      <w:r>
        <w:rPr>
          <w:rFonts w:ascii="Times New Roman" w:hAnsi="Times New Roman" w:eastAsia="Times New Roman" w:cs="Times New Roman"/>
          <w:sz w:val="22"/>
          <w:szCs w:val="22"/>
          <w:highlight w:val="none"/>
        </w:rPr>
        <w:t xml:space="preserve">The Bub1-Bub3 complex forms a complex, and Bub1 acts as a molecular scaffold, pulling the BubR1-Bub3 complex toward the kinetochore. </w:t>
      </w:r>
      <w:r>
        <w:rPr>
          <w:rFonts w:ascii="Times New Roman" w:hAnsi="Times New Roman" w:eastAsia="Times New Roman" w:cs="Times New Roman"/>
          <w:sz w:val="22"/>
          <w:szCs w:val="22"/>
        </w:rP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BubR1, Bub3, Mad2 in its active, closed form, and Cdc20 assemble at the kinetochore to form the Mitotic Checkpoint Complex, which can spread throughout the cytoplasm.</w:t>
      </w:r>
      <w:r>
        <w:rPr>
          <w:rFonts w:ascii="Times New Roman" w:hAnsi="Times New Roman" w:eastAsia="Times New Roman" w:cs="Times New Roman"/>
          <w:sz w:val="22"/>
          <w:szCs w:val="22"/>
        </w:rPr>
      </w:r>
      <w:r>
        <w:rPr>
          <w:rFonts w:ascii="Times New Roman" w:hAnsi="Times New Roman" w:cs="Times New Roman"/>
          <w:sz w:val="22"/>
          <w:szCs w:val="22"/>
          <w:highlight w:val="none"/>
        </w:rPr>
      </w:r>
    </w:p>
    <w:p w14:paraId="789E8C38">
      <w:pPr>
        <w:pBdr/>
        <w:spacing/>
        <w:ind/>
        <w:jc w:val="both"/>
        <w:rPr>
          <w:rFonts w:ascii="Times New Roman" w:hAnsi="Times New Roman" w:cs="Times New Roman"/>
          <w:sz w:val="22"/>
          <w:szCs w:val="22"/>
        </w:rPr>
      </w:pPr>
      <w:r>
        <w:rPr>
          <w:rFonts w:ascii="Times New Roman" w:hAnsi="Times New Roman" w:eastAsia="Times New Roman" w:cs="Times New Roman"/>
          <w:sz w:val="22"/>
          <w:szCs w:val="22"/>
          <w:highlight w:val="none"/>
        </w:rPr>
        <w:t xml:space="preserve">Mutations in the BUB1B gene disrupt this checkpoint mechanism. APC/C-Cdc20 becomes activated prematurely, cohesin is cleaved early, and premature chromatid separation leads to aneuploidy in daughter cells. Particularly in neural progenitor cells, shor</w:t>
      </w:r>
      <w:r>
        <w:rPr>
          <w:rFonts w:ascii="Times New Roman" w:hAnsi="Times New Roman" w:eastAsia="Times New Roman" w:cs="Times New Roman"/>
          <w:sz w:val="22"/>
          <w:szCs w:val="22"/>
          <w:highlight w:val="none"/>
        </w:rPr>
        <w:t xml:space="preserve">tened mitosis and intense cell death result in severe microcephaly, developmental delay, epileptic seizures, and a high risk of cancer (Wilms tumor, rhabdomyosarcoma, leukemia).</w:t>
      </w:r>
      <w:r>
        <w:rPr>
          <w:rFonts w:ascii="Times New Roman" w:hAnsi="Times New Roman" w:eastAsia="Times New Roman" w:cs="Times New Roman"/>
          <w:sz w:val="22"/>
          <w:szCs w:val="22"/>
        </w:rPr>
      </w:r>
    </w:p>
    <w:p w14:paraId="7C962A7C">
      <w:pPr>
        <w:pBdr/>
        <w:spacing/>
        <w:ind/>
        <w:jc w:val="both"/>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14:paraId="1271E881">
      <w:pPr>
        <w:pBdr/>
        <w:spacing/>
        <w:ind/>
        <w:jc w:val="both"/>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14:paraId="51F5557E">
      <w:pPr>
        <w:pBdr/>
        <w:spacing/>
        <w:ind/>
        <w:jc w:val="both"/>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14:paraId="65A9104C">
      <w:pPr>
        <w:pBdr/>
        <w:spacing/>
        <w:ind/>
        <w:jc w:val="both"/>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14:paraId="2E20EFC9">
      <w:pPr>
        <w:pBdr/>
        <w:spacing/>
        <w:ind/>
        <w:jc w:val="both"/>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rPr>
        <mc:AlternateContent>
          <mc:Choice Requires="wpg">
            <w:drawing>
              <wp:inline xmlns:wp="http://schemas.openxmlformats.org/drawingml/2006/wordprocessingDrawing" distT="0" distB="0" distL="0" distR="0">
                <wp:extent cx="5311480" cy="333067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54049" name=""/>
                        <pic:cNvPicPr>
                          <a:picLocks noChangeAspect="1"/>
                        </pic:cNvPicPr>
                        <pic:nvPr/>
                      </pic:nvPicPr>
                      <pic:blipFill rotWithShape="1">
                        <a:blip r:embed="rId12"/>
                        <a:stretch/>
                      </pic:blipFill>
                      <pic:spPr bwMode="auto">
                        <a:xfrm flipH="0" flipV="0">
                          <a:off x="0" y="0"/>
                          <a:ext cx="5311479" cy="3330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18.23pt;height:262.26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14:paraId="17E48FD4">
      <w:pPr>
        <w:pBdr>
          <w:top w:val="none" w:color="000000" w:sz="4" w:space="0"/>
          <w:left w:val="none" w:color="000000" w:sz="4" w:space="0"/>
          <w:bottom w:val="none" w:color="000000" w:sz="4" w:space="0"/>
          <w:right w:val="none" w:color="000000" w:sz="4" w:space="0"/>
        </w:pBdr>
        <w:spacing w:before="0" w:line="276" w:lineRule="auto"/>
        <w:ind w:right="0" w:firstLine="0" w:left="0"/>
        <w:jc w:val="both"/>
        <w:rPr>
          <w:rFonts w:ascii="Times New Roman" w:hAnsi="Times New Roman" w:cs="Times New Roman"/>
          <w:b w:val="0"/>
          <w:bCs w:val="0"/>
          <w:sz w:val="22"/>
          <w:szCs w:val="22"/>
        </w:rPr>
      </w:pPr>
      <w:r>
        <w:rPr>
          <w:rFonts w:ascii="Times New Roman" w:hAnsi="Times New Roman" w:eastAsia="Times New Roman" w:cs="Times New Roman"/>
          <w:b w:val="0"/>
          <w:bCs w:val="0"/>
          <w:color w:val="000000"/>
          <w:sz w:val="22"/>
          <w:szCs w:val="22"/>
        </w:rPr>
        <w:t xml:space="preserve">In the absence of BubR1, Cdc20 is released and prematurely activates APC/C, leading to both the degradation of Cyclin B during interphase and early exit from mitosis. If we use </w:t>
      </w:r>
      <w:r>
        <w:rPr>
          <w:rFonts w:ascii="Times New Roman" w:hAnsi="Times New Roman" w:eastAsia="Times New Roman" w:cs="Times New Roman"/>
          <w:b/>
          <w:bCs/>
          <w:color w:val="000000"/>
          <w:sz w:val="22"/>
          <w:szCs w:val="22"/>
        </w:rPr>
        <w:t xml:space="preserve">Cdc20 inhibitors</w:t>
      </w:r>
      <w:r>
        <w:rPr>
          <w:rFonts w:ascii="Times New Roman" w:hAnsi="Times New Roman" w:eastAsia="Times New Roman" w:cs="Times New Roman"/>
          <w:b w:val="0"/>
          <w:bCs w:val="0"/>
          <w:color w:val="000000"/>
          <w:sz w:val="22"/>
          <w:szCs w:val="22"/>
        </w:rPr>
        <w:t xml:space="preserve">, we can reduce the clinical progression of the disease.</w:t>
      </w:r>
      <w:r>
        <w:rPr>
          <w:rFonts w:ascii="Times New Roman" w:hAnsi="Times New Roman" w:eastAsia="Times New Roman" w:cs="Times New Roman"/>
          <w:b w:val="0"/>
          <w:bCs w:val="0"/>
          <w:sz w:val="22"/>
          <w:szCs w:val="22"/>
        </w:rPr>
      </w:r>
    </w:p>
    <w:p w14:paraId="53E9EC9F">
      <w:pPr>
        <w:pBdr>
          <w:top w:val="none" w:color="000000" w:sz="4" w:space="0"/>
          <w:left w:val="none" w:color="000000" w:sz="4" w:space="0"/>
          <w:bottom w:val="none" w:color="000000" w:sz="4" w:space="0"/>
          <w:right w:val="none" w:color="000000" w:sz="4" w:space="0"/>
        </w:pBdr>
        <w:spacing w:before="0" w:line="276" w:lineRule="auto"/>
        <w:ind w:right="0" w:firstLine="0" w:left="0"/>
        <w:jc w:val="both"/>
        <w:rPr>
          <w:rFonts w:ascii="Times New Roman" w:hAnsi="Times New Roman" w:cs="Times New Roman"/>
          <w:b w:val="0"/>
          <w:bCs w:val="0"/>
          <w:sz w:val="22"/>
          <w:szCs w:val="22"/>
        </w:rPr>
      </w:pPr>
      <w:r>
        <w:rPr>
          <w:rFonts w:ascii="Times New Roman" w:hAnsi="Times New Roman" w:eastAsia="Times New Roman" w:cs="Times New Roman"/>
          <w:b/>
          <w:bCs/>
          <w:color w:val="000000"/>
          <w:sz w:val="22"/>
          <w:szCs w:val="22"/>
        </w:rPr>
        <w:t xml:space="preserve">Apcin (APC Inhibitor)</w:t>
      </w:r>
      <w:r>
        <w:rPr>
          <w:rFonts w:ascii="Times New Roman" w:hAnsi="Times New Roman" w:eastAsia="Times New Roman" w:cs="Times New Roman"/>
          <w:b w:val="0"/>
          <w:bCs w:val="0"/>
          <w:color w:val="000000"/>
          <w:sz w:val="22"/>
          <w:szCs w:val="22"/>
        </w:rPr>
        <w:t xml:space="preserve"> competitively binds to the D-box (degradation box) binding pocket on the WD40 domain of Cdc20 and inhibits its ubiquitination.</w:t>
      </w:r>
      <w:r>
        <w:rPr>
          <w:rFonts w:ascii="Times New Roman" w:hAnsi="Times New Roman" w:eastAsia="Times New Roman" w:cs="Times New Roman"/>
          <w:b w:val="0"/>
          <w:bCs w:val="0"/>
          <w:sz w:val="22"/>
          <w:szCs w:val="22"/>
        </w:rPr>
      </w:r>
    </w:p>
    <w:p w14:paraId="4B2762AC">
      <w:pPr>
        <w:pBdr>
          <w:top w:val="none" w:color="000000" w:sz="4" w:space="0"/>
          <w:left w:val="none" w:color="000000" w:sz="4" w:space="0"/>
          <w:bottom w:val="none" w:color="000000" w:sz="4" w:space="0"/>
          <w:right w:val="none" w:color="000000" w:sz="4" w:space="0"/>
        </w:pBdr>
        <w:spacing w:before="0" w:line="276" w:lineRule="auto"/>
        <w:ind w:right="0" w:firstLine="0" w:left="0"/>
        <w:jc w:val="both"/>
        <w:rPr>
          <w:rFonts w:ascii="Times New Roman" w:hAnsi="Times New Roman" w:cs="Times New Roman"/>
          <w:b w:val="0"/>
          <w:bCs w:val="0"/>
          <w:sz w:val="22"/>
          <w:szCs w:val="22"/>
        </w:rPr>
      </w:pPr>
      <w:r>
        <w:rPr>
          <w:rFonts w:ascii="Times New Roman" w:hAnsi="Times New Roman" w:eastAsia="Times New Roman" w:cs="Times New Roman"/>
          <w:b/>
          <w:bCs/>
          <w:color w:val="000000"/>
          <w:sz w:val="22"/>
          <w:szCs w:val="22"/>
        </w:rPr>
        <w:t xml:space="preserve">T</w:t>
      </w:r>
      <w:r>
        <w:rPr>
          <w:rFonts w:ascii="Times New Roman" w:hAnsi="Times New Roman" w:eastAsia="Times New Roman" w:cs="Times New Roman"/>
          <w:b/>
          <w:bCs/>
          <w:color w:val="000000"/>
          <w:sz w:val="22"/>
          <w:szCs w:val="22"/>
        </w:rPr>
        <w:t xml:space="preserve">AME and proTAME (Tosyl-L-arginine methyl ester)</w:t>
      </w:r>
      <w:r>
        <w:rPr>
          <w:rFonts w:ascii="Times New Roman" w:hAnsi="Times New Roman" w:eastAsia="Times New Roman" w:cs="Times New Roman"/>
          <w:b w:val="0"/>
          <w:bCs w:val="0"/>
          <w:color w:val="000000"/>
          <w:sz w:val="22"/>
          <w:szCs w:val="22"/>
        </w:rPr>
        <w:t xml:space="preserve">, proTAME, a prodrug form capable of crossing the cell membrane, is converted to the active form TAME inside the cell. Acting as an IR-motif mimetic, it disrupts Cdc20’s binding to the APC/C complex and inhibi</w:t>
      </w:r>
      <w:r>
        <w:rPr>
          <w:rFonts w:ascii="Times New Roman" w:hAnsi="Times New Roman" w:eastAsia="Times New Roman" w:cs="Times New Roman"/>
          <w:b w:val="0"/>
          <w:bCs w:val="0"/>
          <w:color w:val="000000"/>
          <w:sz w:val="22"/>
          <w:szCs w:val="22"/>
        </w:rPr>
        <w:t xml:space="preserve">ts the transition from metaphase to anaphase.</w:t>
      </w:r>
      <w:r>
        <w:rPr>
          <w:rFonts w:ascii="Times New Roman" w:hAnsi="Times New Roman" w:eastAsia="Times New Roman" w:cs="Times New Roman"/>
          <w:b w:val="0"/>
          <w:bCs w:val="0"/>
          <w:color w:val="000000"/>
          <w:sz w:val="22"/>
          <w:szCs w:val="22"/>
        </w:rPr>
      </w:r>
      <w:r>
        <w:rPr>
          <w:rFonts w:ascii="Times New Roman" w:hAnsi="Times New Roman" w:eastAsia="Times New Roman" w:cs="Times New Roman"/>
          <w:b w:val="0"/>
          <w:bCs w:val="0"/>
          <w:sz w:val="22"/>
          <w:szCs w:val="22"/>
        </w:rPr>
      </w:r>
    </w:p>
    <w:p w14:paraId="0887F135">
      <w:pPr>
        <w:pBdr/>
        <w:spacing/>
        <w:ind/>
        <w:jc w:val="both"/>
        <w:rPr>
          <w:rFonts w:ascii="Times New Roman" w:hAnsi="Times New Roman" w:cs="Times New Roman"/>
          <w:sz w:val="22"/>
          <w:szCs w:val="22"/>
        </w:rPr>
      </w:pPr>
      <w:r>
        <w:rPr>
          <w:rFonts w:ascii="Times New Roman" w:hAnsi="Times New Roman" w:eastAsia="Times New Roman" w:cs="Times New Roman"/>
          <w:b/>
          <w:bCs/>
          <w:sz w:val="22"/>
          <w:szCs w:val="22"/>
          <w:highlight w:val="none"/>
        </w:rPr>
        <w:t xml:space="preserve">CP5V (PROTAC)</w:t>
      </w:r>
      <w:r>
        <w:rPr>
          <w:rFonts w:ascii="Times New Roman" w:hAnsi="Times New Roman" w:eastAsia="Times New Roman" w:cs="Times New Roman"/>
          <w:sz w:val="22"/>
          <w:szCs w:val="22"/>
          <w:highlight w:val="none"/>
        </w:rPr>
        <w:t xml:space="preserve"> is an Apcin-based Proteolysis Targeting Chimera (Apcin-A-PEG5-VHL Ligand 1) molecule; it binds to Cdc20 and selectively directs it toward intracellular degradation.</w:t>
      </w:r>
      <w:r>
        <w:rPr>
          <w:rFonts w:ascii="Times New Roman" w:hAnsi="Times New Roman" w:eastAsia="Times New Roman" w:cs="Times New Roman"/>
          <w:sz w:val="22"/>
          <w:szCs w:val="22"/>
        </w:rPr>
      </w:r>
    </w:p>
    <w:p w14:paraId="7999DA98">
      <w:pPr>
        <w:pBdr/>
        <w:spacing/>
        <w:ind/>
        <w:jc w:val="both"/>
        <w:rPr>
          <w:rFonts w:ascii="Times New Roman" w:hAnsi="Times New Roman" w:cs="Times New Roman"/>
          <w:sz w:val="22"/>
          <w:szCs w:val="22"/>
        </w:rPr>
      </w:pPr>
      <w:r>
        <w:rPr>
          <w:rFonts w:ascii="Times New Roman" w:hAnsi="Times New Roman" w:eastAsia="Times New Roman" w:cs="Times New Roman"/>
          <w:sz w:val="22"/>
          <w:szCs w:val="22"/>
          <w:highlight w:val="none"/>
        </w:rPr>
        <w:t xml:space="preserve">Natural Bioactive Inhibitors include Withaferin A (delays mitotic exit by increasing Cdc20 degradation), Genistein, Rottlerin, and Curcumin (inhibits CDC20 expression).</w:t>
      </w:r>
      <w:r>
        <w:rPr>
          <w:rFonts w:ascii="Times New Roman" w:hAnsi="Times New Roman" w:eastAsia="Times New Roman" w:cs="Times New Roman"/>
          <w:sz w:val="22"/>
          <w:szCs w:val="22"/>
        </w:rPr>
      </w:r>
    </w:p>
    <w:p w14:paraId="3B4A7994">
      <w:pPr>
        <w:pBdr/>
        <w:spacing/>
        <w:ind/>
        <w:jc w:val="both"/>
        <w:rPr>
          <w:rFonts w:ascii="Times New Roman" w:hAnsi="Times New Roman" w:cs="Times New Roman"/>
          <w:sz w:val="22"/>
          <w:szCs w:val="22"/>
        </w:rPr>
      </w:pPr>
      <w:r>
        <w:rPr>
          <w:rFonts w:ascii="Times New Roman" w:hAnsi="Times New Roman" w:eastAsia="Times New Roman" w:cs="Times New Roman"/>
          <w:b/>
          <w:bCs/>
          <w:sz w:val="22"/>
          <w:szCs w:val="22"/>
          <w:highlight w:val="none"/>
        </w:rPr>
        <w:t xml:space="preserve">Labetalol</w:t>
      </w:r>
      <w:r>
        <w:rPr>
          <w:rFonts w:ascii="Times New Roman" w:hAnsi="Times New Roman" w:eastAsia="Times New Roman" w:cs="Times New Roman"/>
          <w:sz w:val="22"/>
          <w:szCs w:val="22"/>
          <w:highlight w:val="none"/>
        </w:rPr>
        <w:t xml:space="preserve"> is a potent drug repurposing candidate; structure-based virtual screening of FDA-approved drug libraries against the CDC20 protein, as well as molecular docking, binding free energy, and molecular dynamics (MD) simulations, have demonstrated that </w:t>
      </w:r>
      <w:r>
        <w:rPr>
          <w:rFonts w:ascii="Times New Roman" w:hAnsi="Times New Roman" w:eastAsia="Times New Roman" w:cs="Times New Roman"/>
          <w:sz w:val="22"/>
          <w:szCs w:val="22"/>
          <w:highlight w:val="none"/>
        </w:rPr>
        <w:t xml:space="preserve">it binds with high affinity to the active pocket of CDC20 and functionally inhibits it.</w:t>
      </w:r>
      <w:r>
        <w:rPr>
          <w:rFonts w:ascii="Times New Roman" w:hAnsi="Times New Roman" w:eastAsia="Times New Roman" w:cs="Times New Roman"/>
          <w:sz w:val="22"/>
          <w:szCs w:val="22"/>
        </w:rPr>
      </w:r>
    </w:p>
    <w:p w14:paraId="4E3E92F4">
      <w:pPr>
        <w:pBdr/>
        <w:spacing/>
        <w:ind/>
        <w:jc w:val="both"/>
        <w:rPr>
          <w:rFonts w:ascii="Times New Roman" w:hAnsi="Times New Roman" w:cs="Times New Roman"/>
          <w:sz w:val="22"/>
          <w:szCs w:val="22"/>
          <w:highlight w:val="none"/>
        </w:rPr>
      </w:pPr>
      <w:r>
        <w:rPr>
          <w:rFonts w:ascii="Times New Roman" w:hAnsi="Times New Roman" w:eastAsia="Times New Roman" w:cs="Times New Roman"/>
          <w:b/>
          <w:bCs/>
          <w:sz w:val="22"/>
          <w:szCs w:val="22"/>
          <w:highlight w:val="none"/>
        </w:rPr>
        <w:t xml:space="preserve">Nebivolol</w:t>
      </w:r>
      <w:r>
        <w:rPr>
          <w:rFonts w:ascii="Times New Roman" w:hAnsi="Times New Roman" w:eastAsia="Times New Roman" w:cs="Times New Roman"/>
          <w:sz w:val="22"/>
          <w:szCs w:val="22"/>
          <w:highlight w:val="none"/>
        </w:rPr>
        <w:t xml:space="preserve"> has been identified as one of the candidates that suppresses the hyperactive cell cycle/CDC20 network in integrated transcriptomic and in silico drug repositioning analyses.</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14:paraId="1F63FE30">
      <w:pPr>
        <w:pBdr/>
        <w:spacing/>
        <w:ind/>
        <w:jc w:val="both"/>
        <w:rPr>
          <w:rFonts w:ascii="Times New Roman" w:hAnsi="Times New Roman" w:cs="Times New Roman"/>
          <w:sz w:val="22"/>
          <w:szCs w:val="22"/>
        </w:rPr>
      </w:pPr>
      <w:r>
        <w:rPr>
          <w:rFonts w:ascii="Times New Roman" w:hAnsi="Times New Roman" w:eastAsia="Times New Roman" w:cs="Times New Roman"/>
          <w:b/>
          <w:bCs/>
          <w:sz w:val="22"/>
          <w:szCs w:val="22"/>
          <w:highlight w:val="none"/>
        </w:rPr>
        <w:t xml:space="preserve">Lidocaine</w:t>
      </w:r>
      <w:r>
        <w:rPr>
          <w:rFonts w:ascii="Times New Roman" w:hAnsi="Times New Roman" w:eastAsia="Times New Roman" w:cs="Times New Roman"/>
          <w:sz w:val="22"/>
          <w:szCs w:val="22"/>
          <w:highlight w:val="none"/>
        </w:rPr>
        <w:t xml:space="preserve">, Recent pharmacological studies have demonstrated that lidocaine competitively binds to the active site of Cdc20 and inhibits Cdc20-mediated early mitotic transition (exit from the G2/M phase) by downregulating CDC20 gene expression.</w:t>
      </w:r>
      <w:r>
        <w:rPr>
          <w:rFonts w:ascii="Times New Roman" w:hAnsi="Times New Roman" w:eastAsia="Times New Roman" w:cs="Times New Roman"/>
          <w:sz w:val="22"/>
          <w:szCs w:val="22"/>
        </w:rPr>
      </w:r>
    </w:p>
    <w:p w14:paraId="1D28DA6E">
      <w:pPr>
        <w:pBdr/>
        <w:spacing/>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rPr>
      </w:r>
    </w:p>
    <w:p w14:paraId="29C0E5FD">
      <w:pPr>
        <w:pBdr/>
        <w:spacing/>
        <w:ind/>
        <w:jc w:val="both"/>
        <w:rPr>
          <w:rFonts w:ascii="Times New Roman" w:hAnsi="Times New Roman" w:eastAsia="Times New Roman" w:cs="Times New Roman"/>
          <w:highlight w:val="none"/>
        </w:rPr>
      </w:pPr>
      <w:r>
        <w:rPr>
          <w:rFonts w:ascii="Times New Roman" w:hAnsi="Times New Roman" w:eastAsia="Times New Roman" w:cs="Times New Roman"/>
          <w:b/>
          <w:bCs/>
          <w:highlight w:val="none"/>
        </w:rPr>
        <w:t xml:space="preserve">Niacin</w:t>
      </w:r>
      <w:r>
        <w:rPr>
          <w:rFonts w:ascii="Times New Roman" w:hAnsi="Times New Roman" w:eastAsia="Times New Roman" w:cs="Times New Roman"/>
          <w:highlight w:val="none"/>
        </w:rPr>
        <w:t xml:space="preserve">, when the BubR1 protein is acetylated at position K668, it undergoes proteasomal degradation. The NAD+-dependent SIRT2 deacetylase enzyme protects BubR1 from degradation by deacetylating it and extends its half-life. It is one of the safest pediatric</w:t>
      </w:r>
      <w:r>
        <w:rPr>
          <w:rFonts w:ascii="Times New Roman" w:hAnsi="Times New Roman" w:eastAsia="Times New Roman" w:cs="Times New Roman"/>
          <w:highlight w:val="none"/>
        </w:rPr>
        <w:t xml:space="preserve"> approaches to strengthen the natural brake on APC/C-Cdc20 by increasing the amount of BubR1 remaining in the patient.</w:t>
      </w:r>
      <w:r>
        <w:rPr>
          <w:rFonts w:ascii="Times New Roman" w:hAnsi="Times New Roman" w:eastAsia="Times New Roman" w:cs="Times New Roman"/>
          <w:highlight w:val="none"/>
        </w:rPr>
      </w:r>
      <w:r>
        <w:rPr>
          <w:rFonts w:ascii="Times New Roman" w:hAnsi="Times New Roman" w:cs="Times New Roman"/>
          <w:highlight w:val="none"/>
        </w:rPr>
      </w:r>
    </w:p>
    <w:p w14:paraId="7FF73F4D">
      <w:pPr>
        <w:pBdr/>
        <w:spacing/>
        <w:ind/>
        <w:jc w:val="both"/>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14:paraId="11FA82DF">
      <w:pPr>
        <w:pBdr/>
        <w:spacing/>
        <w:ind/>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t xml:space="preserve">References</w:t>
      </w:r>
      <w:r>
        <w:rPr>
          <w:rFonts w:ascii="Times New Roman" w:hAnsi="Times New Roman" w:eastAsia="Times New Roman" w:cs="Times New Roman"/>
          <w:b/>
          <w:bCs/>
          <w:sz w:val="22"/>
          <w:szCs w:val="22"/>
          <w:highlight w:val="none"/>
        </w:rPr>
      </w:r>
    </w:p>
    <w:p w14:paraId="01B5B645">
      <w:pPr>
        <w:pBdr/>
        <w:spacing/>
        <w:ind/>
        <w:jc w:val="both"/>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t xml:space="preserve">-</w:t>
      </w:r>
      <w:r>
        <w:rPr>
          <w:rFonts w:ascii="Times New Roman" w:hAnsi="Times New Roman" w:eastAsia="Times New Roman" w:cs="Times New Roman"/>
          <w:color w:val="212121"/>
          <w:sz w:val="22"/>
          <w:szCs w:val="22"/>
          <w:highlight w:val="white"/>
        </w:rPr>
        <w:t xml:space="preserve">Dou Z, Prifti DK, Gui P, Liu X, Elowe S, Yao X. Recent Progress on the Localization of the Spindle Assembly Checkpoint Machinery to Kinetochores. </w:t>
      </w:r>
      <w:r>
        <w:rPr>
          <w:rFonts w:ascii="Times New Roman" w:hAnsi="Times New Roman" w:eastAsia="Times New Roman" w:cs="Times New Roman"/>
          <w:i/>
          <w:color w:val="212121"/>
          <w:sz w:val="22"/>
          <w:szCs w:val="22"/>
          <w:highlight w:val="white"/>
        </w:rPr>
        <w:t xml:space="preserve">Cells</w:t>
      </w:r>
      <w:r>
        <w:rPr>
          <w:rFonts w:ascii="Times New Roman" w:hAnsi="Times New Roman" w:eastAsia="Times New Roman" w:cs="Times New Roman"/>
          <w:color w:val="212121"/>
          <w:sz w:val="22"/>
          <w:szCs w:val="22"/>
          <w:highlight w:val="white"/>
        </w:rPr>
        <w:t xml:space="preserve">. 2019;8(3):278. Published 2019 Mar 23. doi:10.3390/cells8030278</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14:paraId="55F5AD83">
      <w:pPr>
        <w:pBdr/>
        <w:spacing/>
        <w:ind/>
        <w:jc w:val="both"/>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t xml:space="preserve">-</w:t>
      </w:r>
      <w:r>
        <w:rPr>
          <w:rFonts w:ascii="Times New Roman" w:hAnsi="Times New Roman" w:eastAsia="Times New Roman" w:cs="Times New Roman"/>
          <w:color w:val="212121"/>
          <w:sz w:val="22"/>
          <w:szCs w:val="22"/>
          <w:highlight w:val="white"/>
        </w:rPr>
        <w:t xml:space="preserve">Pavone P, Pappalardo XG, Mustafa N, et al. Pathogenic correlation between mosaic variegated aneuploidy 1 (MVA1) and a novel BUB1B variant: a reappraisal of a severe syndrome. </w:t>
      </w:r>
      <w:r>
        <w:rPr>
          <w:rFonts w:ascii="Times New Roman" w:hAnsi="Times New Roman" w:eastAsia="Times New Roman" w:cs="Times New Roman"/>
          <w:i/>
          <w:color w:val="212121"/>
          <w:sz w:val="22"/>
          <w:szCs w:val="22"/>
          <w:highlight w:val="white"/>
        </w:rPr>
        <w:t xml:space="preserve">Neurol Sci</w:t>
      </w:r>
      <w:r>
        <w:rPr>
          <w:rFonts w:ascii="Times New Roman" w:hAnsi="Times New Roman" w:eastAsia="Times New Roman" w:cs="Times New Roman"/>
          <w:color w:val="212121"/>
          <w:sz w:val="22"/>
          <w:szCs w:val="22"/>
          <w:highlight w:val="white"/>
        </w:rPr>
        <w:t xml:space="preserve">. 2022;43(11):6529-6538. doi:10.1007/s10072-022-06247-w</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14:paraId="7247B008">
      <w:pPr>
        <w:pBdr/>
        <w:spacing/>
        <w:ind/>
        <w:jc w:val="both"/>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t xml:space="preserve">-</w:t>
      </w:r>
      <w:r>
        <w:rPr>
          <w:rFonts w:ascii="Times New Roman" w:hAnsi="Times New Roman" w:eastAsia="Times New Roman" w:cs="Times New Roman"/>
          <w:color w:val="212121"/>
          <w:sz w:val="22"/>
          <w:szCs w:val="22"/>
          <w:highlight w:val="white"/>
        </w:rPr>
        <w:t xml:space="preserve">Zheng S, Raz L, Zhou L, et al. High CDC20 levels increase sensitivity of cancer cells to MPS1 inhibitors. </w:t>
      </w:r>
      <w:r>
        <w:rPr>
          <w:rFonts w:ascii="Times New Roman" w:hAnsi="Times New Roman" w:eastAsia="Times New Roman" w:cs="Times New Roman"/>
          <w:i/>
          <w:color w:val="212121"/>
          <w:sz w:val="22"/>
          <w:szCs w:val="22"/>
          <w:highlight w:val="white"/>
        </w:rPr>
        <w:t xml:space="preserve">EMBO Rep</w:t>
      </w:r>
      <w:r>
        <w:rPr>
          <w:rFonts w:ascii="Times New Roman" w:hAnsi="Times New Roman" w:eastAsia="Times New Roman" w:cs="Times New Roman"/>
          <w:color w:val="212121"/>
          <w:sz w:val="22"/>
          <w:szCs w:val="22"/>
          <w:highlight w:val="white"/>
        </w:rPr>
        <w:t xml:space="preserve">. 2025;26(4):1036-1061. doi:10.1038/s44319-024-00363-8</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14:paraId="4ABFDE6F">
      <w:pPr>
        <w:pBdr/>
        <w:spacing/>
        <w:ind/>
        <w:jc w:val="both"/>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t xml:space="preserve">-</w:t>
      </w:r>
      <w:r>
        <w:rPr>
          <w:rFonts w:ascii="Times New Roman" w:hAnsi="Times New Roman" w:eastAsia="Times New Roman" w:cs="Times New Roman"/>
          <w:color w:val="212121"/>
          <w:sz w:val="22"/>
          <w:szCs w:val="22"/>
          <w:highlight w:val="white"/>
        </w:rPr>
        <w:t xml:space="preserve">Bhuniya R, Yuan X, Bai L, et al. Design, Synthesis, and Biological Evaluation of Apcin-Based CDC20 Inhibitors. </w:t>
      </w:r>
      <w:r>
        <w:rPr>
          <w:rFonts w:ascii="Times New Roman" w:hAnsi="Times New Roman" w:eastAsia="Times New Roman" w:cs="Times New Roman"/>
          <w:i/>
          <w:color w:val="212121"/>
          <w:sz w:val="22"/>
          <w:szCs w:val="22"/>
          <w:highlight w:val="white"/>
        </w:rPr>
        <w:t xml:space="preserve">ACS Med Chem Lett</w:t>
      </w:r>
      <w:r>
        <w:rPr>
          <w:rFonts w:ascii="Times New Roman" w:hAnsi="Times New Roman" w:eastAsia="Times New Roman" w:cs="Times New Roman"/>
          <w:color w:val="212121"/>
          <w:sz w:val="22"/>
          <w:szCs w:val="22"/>
          <w:highlight w:val="white"/>
        </w:rPr>
        <w:t xml:space="preserve">. 2022;13(2):188-195. Published 2022 Jan 18. doi:10.1021/acsmedchemlett.1c00544</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A57694"/>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1A474897"/>
    <w:lvl w:ilvl="0">
      <w:isLgl w:val="false"/>
      <w:lvlJc w:val="left"/>
      <w:lvlText w:val="%1."/>
      <w:numFmt w:val="decimal"/>
      <w:pPr>
        <w:pBdr/>
        <w:spacing/>
        <w:ind w:hanging="360" w:left="720"/>
      </w:pPr>
      <w:rPr>
        <w:rFonts w:hint="default"/>
        <w:color w:val="auto"/>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515F791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648224DF"/>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446208C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tr-T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Light"/>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1"/>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2"/>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3"/>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4"/>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5"/>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w:basedOn w:val="89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w:basedOn w:val="89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1"/>
    <w:basedOn w:val="89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2"/>
    <w:basedOn w:val="89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3"/>
    <w:basedOn w:val="89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4"/>
    <w:basedOn w:val="89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5"/>
    <w:basedOn w:val="89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6"/>
    <w:basedOn w:val="89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1"/>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2"/>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3"/>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4"/>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5"/>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6"/>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1">
    <w:name w:val="Grid Table 6 Colorful - Accent 1"/>
    <w:basedOn w:val="89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2">
    <w:name w:val="Grid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3">
    <w:name w:val="Grid Table 6 Colorful - Accent 3"/>
    <w:basedOn w:val="89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4">
    <w:name w:val="Grid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5">
    <w:name w:val="Grid Table 6 Colorful - Accent 5"/>
    <w:basedOn w:val="89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6 Colorful - Accent 6"/>
    <w:basedOn w:val="89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7 Colorful"/>
    <w:basedOn w:val="89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1"/>
    <w:basedOn w:val="89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5"/>
    <w:basedOn w:val="89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6"/>
    <w:basedOn w:val="89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1"/>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2"/>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3"/>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4"/>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5"/>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6"/>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w:basedOn w:val="89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1"/>
    <w:basedOn w:val="89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2"/>
    <w:basedOn w:val="89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3"/>
    <w:basedOn w:val="89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4"/>
    <w:basedOn w:val="89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5"/>
    <w:basedOn w:val="89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6"/>
    <w:basedOn w:val="89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1"/>
    <w:basedOn w:val="89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3"/>
    <w:basedOn w:val="89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5"/>
    <w:basedOn w:val="89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6"/>
    <w:basedOn w:val="89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1"/>
    <w:basedOn w:val="89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2"/>
    <w:basedOn w:val="89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3"/>
    <w:basedOn w:val="89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4"/>
    <w:basedOn w:val="89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5"/>
    <w:basedOn w:val="89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6"/>
    <w:basedOn w:val="89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5 Dark"/>
    <w:basedOn w:val="89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1"/>
    <w:basedOn w:val="89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2"/>
    <w:basedOn w:val="89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3"/>
    <w:basedOn w:val="89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4"/>
    <w:basedOn w:val="89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5"/>
    <w:basedOn w:val="89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6"/>
    <w:basedOn w:val="89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1"/>
    <w:basedOn w:val="89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3"/>
    <w:basedOn w:val="89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5"/>
    <w:basedOn w:val="89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6"/>
    <w:basedOn w:val="89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7 Colorful"/>
    <w:basedOn w:val="89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7">
    <w:name w:val="List Table 7 Colorful - Accent 1"/>
    <w:basedOn w:val="89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8">
    <w:name w:val="List Table 7 Colorful - Accent 2"/>
    <w:basedOn w:val="89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9">
    <w:name w:val="List Table 7 Colorful - Accent 3"/>
    <w:basedOn w:val="89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0">
    <w:name w:val="List Table 7 Colorful - Accent 4"/>
    <w:basedOn w:val="89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1">
    <w:name w:val="List Table 7 Colorful - Accent 5"/>
    <w:basedOn w:val="89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2">
    <w:name w:val="List Table 7 Colorful - Accent 6"/>
    <w:basedOn w:val="89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3">
    <w:name w:val="Lined - Accent"/>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1"/>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2"/>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3"/>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4"/>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5"/>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6"/>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w:basedOn w:val="89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1"/>
    <w:basedOn w:val="89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2"/>
    <w:basedOn w:val="89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3"/>
    <w:basedOn w:val="89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4"/>
    <w:basedOn w:val="89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5"/>
    <w:basedOn w:val="89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6"/>
    <w:basedOn w:val="89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w:basedOn w:val="89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4">
    <w:name w:val="Heading 1"/>
    <w:basedOn w:val="892"/>
    <w:next w:val="892"/>
    <w:link w:val="84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5">
    <w:name w:val="Heading 2"/>
    <w:basedOn w:val="892"/>
    <w:next w:val="892"/>
    <w:link w:val="84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6">
    <w:name w:val="Heading 3"/>
    <w:basedOn w:val="892"/>
    <w:next w:val="892"/>
    <w:link w:val="84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7">
    <w:name w:val="Heading 4"/>
    <w:basedOn w:val="892"/>
    <w:next w:val="892"/>
    <w:link w:val="84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8">
    <w:name w:val="Heading 5"/>
    <w:basedOn w:val="892"/>
    <w:next w:val="892"/>
    <w:link w:val="84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9">
    <w:name w:val="Heading 6"/>
    <w:basedOn w:val="892"/>
    <w:next w:val="892"/>
    <w:link w:val="84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0">
    <w:name w:val="Heading 7"/>
    <w:basedOn w:val="892"/>
    <w:next w:val="892"/>
    <w:link w:val="84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1">
    <w:name w:val="Heading 8"/>
    <w:basedOn w:val="892"/>
    <w:next w:val="892"/>
    <w:link w:val="85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2">
    <w:name w:val="Heading 9"/>
    <w:basedOn w:val="892"/>
    <w:next w:val="892"/>
    <w:link w:val="85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3">
    <w:name w:val="Heading 1 Char"/>
    <w:basedOn w:val="893"/>
    <w:link w:val="834"/>
    <w:uiPriority w:val="9"/>
    <w:pPr>
      <w:pBdr/>
      <w:spacing/>
      <w:ind/>
    </w:pPr>
    <w:rPr>
      <w:rFonts w:ascii="Arial" w:hAnsi="Arial" w:eastAsia="Arial" w:cs="Arial"/>
      <w:color w:val="0f4761" w:themeColor="accent1" w:themeShade="BF"/>
      <w:sz w:val="40"/>
      <w:szCs w:val="40"/>
    </w:rPr>
  </w:style>
  <w:style w:type="character" w:styleId="844">
    <w:name w:val="Heading 2 Char"/>
    <w:basedOn w:val="893"/>
    <w:link w:val="835"/>
    <w:uiPriority w:val="9"/>
    <w:pPr>
      <w:pBdr/>
      <w:spacing/>
      <w:ind/>
    </w:pPr>
    <w:rPr>
      <w:rFonts w:ascii="Arial" w:hAnsi="Arial" w:eastAsia="Arial" w:cs="Arial"/>
      <w:color w:val="0f4761" w:themeColor="accent1" w:themeShade="BF"/>
      <w:sz w:val="32"/>
      <w:szCs w:val="32"/>
    </w:rPr>
  </w:style>
  <w:style w:type="character" w:styleId="845">
    <w:name w:val="Heading 3 Char"/>
    <w:basedOn w:val="893"/>
    <w:link w:val="836"/>
    <w:uiPriority w:val="9"/>
    <w:pPr>
      <w:pBdr/>
      <w:spacing/>
      <w:ind/>
    </w:pPr>
    <w:rPr>
      <w:rFonts w:ascii="Arial" w:hAnsi="Arial" w:eastAsia="Arial" w:cs="Arial"/>
      <w:color w:val="0f4761" w:themeColor="accent1" w:themeShade="BF"/>
      <w:sz w:val="28"/>
      <w:szCs w:val="28"/>
    </w:rPr>
  </w:style>
  <w:style w:type="character" w:styleId="846">
    <w:name w:val="Heading 4 Char"/>
    <w:basedOn w:val="893"/>
    <w:link w:val="837"/>
    <w:uiPriority w:val="9"/>
    <w:pPr>
      <w:pBdr/>
      <w:spacing/>
      <w:ind/>
    </w:pPr>
    <w:rPr>
      <w:rFonts w:ascii="Arial" w:hAnsi="Arial" w:eastAsia="Arial" w:cs="Arial"/>
      <w:i/>
      <w:iCs/>
      <w:color w:val="0f4761" w:themeColor="accent1" w:themeShade="BF"/>
    </w:rPr>
  </w:style>
  <w:style w:type="character" w:styleId="847">
    <w:name w:val="Heading 5 Char"/>
    <w:basedOn w:val="893"/>
    <w:link w:val="838"/>
    <w:uiPriority w:val="9"/>
    <w:pPr>
      <w:pBdr/>
      <w:spacing/>
      <w:ind/>
    </w:pPr>
    <w:rPr>
      <w:rFonts w:ascii="Arial" w:hAnsi="Arial" w:eastAsia="Arial" w:cs="Arial"/>
      <w:color w:val="0f4761" w:themeColor="accent1" w:themeShade="BF"/>
    </w:rPr>
  </w:style>
  <w:style w:type="character" w:styleId="848">
    <w:name w:val="Heading 6 Char"/>
    <w:basedOn w:val="893"/>
    <w:link w:val="839"/>
    <w:uiPriority w:val="9"/>
    <w:pPr>
      <w:pBdr/>
      <w:spacing/>
      <w:ind/>
    </w:pPr>
    <w:rPr>
      <w:rFonts w:ascii="Arial" w:hAnsi="Arial" w:eastAsia="Arial" w:cs="Arial"/>
      <w:i/>
      <w:iCs/>
      <w:color w:val="595959" w:themeColor="text1" w:themeTint="A6"/>
    </w:rPr>
  </w:style>
  <w:style w:type="character" w:styleId="849">
    <w:name w:val="Heading 7 Char"/>
    <w:basedOn w:val="893"/>
    <w:link w:val="840"/>
    <w:uiPriority w:val="9"/>
    <w:pPr>
      <w:pBdr/>
      <w:spacing/>
      <w:ind/>
    </w:pPr>
    <w:rPr>
      <w:rFonts w:ascii="Arial" w:hAnsi="Arial" w:eastAsia="Arial" w:cs="Arial"/>
      <w:color w:val="595959" w:themeColor="text1" w:themeTint="A6"/>
    </w:rPr>
  </w:style>
  <w:style w:type="character" w:styleId="850">
    <w:name w:val="Heading 8 Char"/>
    <w:basedOn w:val="893"/>
    <w:link w:val="841"/>
    <w:uiPriority w:val="9"/>
    <w:pPr>
      <w:pBdr/>
      <w:spacing/>
      <w:ind/>
    </w:pPr>
    <w:rPr>
      <w:rFonts w:ascii="Arial" w:hAnsi="Arial" w:eastAsia="Arial" w:cs="Arial"/>
      <w:i/>
      <w:iCs/>
      <w:color w:val="272727" w:themeColor="text1" w:themeTint="D8"/>
    </w:rPr>
  </w:style>
  <w:style w:type="character" w:styleId="851">
    <w:name w:val="Heading 9 Char"/>
    <w:basedOn w:val="893"/>
    <w:link w:val="842"/>
    <w:uiPriority w:val="9"/>
    <w:pPr>
      <w:pBdr/>
      <w:spacing/>
      <w:ind/>
    </w:pPr>
    <w:rPr>
      <w:rFonts w:ascii="Arial" w:hAnsi="Arial" w:eastAsia="Arial" w:cs="Arial"/>
      <w:i/>
      <w:iCs/>
      <w:color w:val="272727" w:themeColor="text1" w:themeTint="D8"/>
    </w:rPr>
  </w:style>
  <w:style w:type="paragraph" w:styleId="852">
    <w:name w:val="Title"/>
    <w:basedOn w:val="892"/>
    <w:next w:val="892"/>
    <w:link w:val="853"/>
    <w:uiPriority w:val="10"/>
    <w:qFormat/>
    <w:pPr>
      <w:pBdr/>
      <w:spacing w:after="80" w:line="240" w:lineRule="auto"/>
      <w:ind/>
      <w:contextualSpacing w:val="true"/>
    </w:pPr>
    <w:rPr>
      <w:rFonts w:ascii="Arial" w:hAnsi="Arial" w:eastAsia="Arial" w:cs="Arial"/>
      <w:spacing w:val="-10"/>
      <w:sz w:val="56"/>
      <w:szCs w:val="56"/>
    </w:rPr>
  </w:style>
  <w:style w:type="character" w:styleId="853">
    <w:name w:val="Title Char"/>
    <w:basedOn w:val="893"/>
    <w:link w:val="852"/>
    <w:uiPriority w:val="10"/>
    <w:pPr>
      <w:pBdr/>
      <w:spacing/>
      <w:ind/>
    </w:pPr>
    <w:rPr>
      <w:rFonts w:ascii="Arial" w:hAnsi="Arial" w:eastAsia="Arial" w:cs="Arial"/>
      <w:spacing w:val="-10"/>
      <w:sz w:val="56"/>
      <w:szCs w:val="56"/>
    </w:rPr>
  </w:style>
  <w:style w:type="paragraph" w:styleId="854">
    <w:name w:val="Subtitle"/>
    <w:basedOn w:val="892"/>
    <w:next w:val="892"/>
    <w:link w:val="855"/>
    <w:uiPriority w:val="11"/>
    <w:qFormat/>
    <w:pPr>
      <w:numPr>
        <w:ilvl w:val="1"/>
      </w:numPr>
      <w:pBdr/>
      <w:spacing/>
      <w:ind/>
    </w:pPr>
    <w:rPr>
      <w:color w:val="595959" w:themeColor="text1" w:themeTint="A6"/>
      <w:spacing w:val="15"/>
      <w:sz w:val="28"/>
      <w:szCs w:val="28"/>
    </w:rPr>
  </w:style>
  <w:style w:type="character" w:styleId="855">
    <w:name w:val="Subtitle Char"/>
    <w:basedOn w:val="893"/>
    <w:link w:val="854"/>
    <w:uiPriority w:val="11"/>
    <w:pPr>
      <w:pBdr/>
      <w:spacing/>
      <w:ind/>
    </w:pPr>
    <w:rPr>
      <w:color w:val="595959" w:themeColor="text1" w:themeTint="A6"/>
      <w:spacing w:val="15"/>
      <w:sz w:val="28"/>
      <w:szCs w:val="28"/>
    </w:rPr>
  </w:style>
  <w:style w:type="paragraph" w:styleId="856">
    <w:name w:val="Quote"/>
    <w:basedOn w:val="892"/>
    <w:next w:val="892"/>
    <w:link w:val="857"/>
    <w:uiPriority w:val="29"/>
    <w:qFormat/>
    <w:pPr>
      <w:pBdr/>
      <w:spacing w:before="160"/>
      <w:ind/>
      <w:jc w:val="center"/>
    </w:pPr>
    <w:rPr>
      <w:i/>
      <w:iCs/>
      <w:color w:val="404040" w:themeColor="text1" w:themeTint="BF"/>
    </w:rPr>
  </w:style>
  <w:style w:type="character" w:styleId="857">
    <w:name w:val="Quote Char"/>
    <w:basedOn w:val="893"/>
    <w:link w:val="856"/>
    <w:uiPriority w:val="29"/>
    <w:pPr>
      <w:pBdr/>
      <w:spacing/>
      <w:ind/>
    </w:pPr>
    <w:rPr>
      <w:i/>
      <w:iCs/>
      <w:color w:val="404040" w:themeColor="text1" w:themeTint="BF"/>
    </w:rPr>
  </w:style>
  <w:style w:type="character" w:styleId="858">
    <w:name w:val="Intense Emphasis"/>
    <w:basedOn w:val="893"/>
    <w:uiPriority w:val="21"/>
    <w:qFormat/>
    <w:pPr>
      <w:pBdr/>
      <w:spacing/>
      <w:ind/>
    </w:pPr>
    <w:rPr>
      <w:i/>
      <w:iCs/>
      <w:color w:val="0f4761" w:themeColor="accent1" w:themeShade="BF"/>
    </w:rPr>
  </w:style>
  <w:style w:type="paragraph" w:styleId="859">
    <w:name w:val="Intense Quote"/>
    <w:basedOn w:val="892"/>
    <w:next w:val="892"/>
    <w:link w:val="86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0">
    <w:name w:val="Intense Quote Char"/>
    <w:basedOn w:val="893"/>
    <w:link w:val="859"/>
    <w:uiPriority w:val="30"/>
    <w:pPr>
      <w:pBdr/>
      <w:spacing/>
      <w:ind/>
    </w:pPr>
    <w:rPr>
      <w:i/>
      <w:iCs/>
      <w:color w:val="0f4761" w:themeColor="accent1" w:themeShade="BF"/>
    </w:rPr>
  </w:style>
  <w:style w:type="character" w:styleId="861">
    <w:name w:val="Intense Reference"/>
    <w:basedOn w:val="893"/>
    <w:uiPriority w:val="32"/>
    <w:qFormat/>
    <w:pPr>
      <w:pBdr/>
      <w:spacing/>
      <w:ind/>
    </w:pPr>
    <w:rPr>
      <w:b/>
      <w:bCs/>
      <w:smallCaps/>
      <w:color w:val="0f4761" w:themeColor="accent1" w:themeShade="BF"/>
      <w:spacing w:val="5"/>
    </w:rPr>
  </w:style>
  <w:style w:type="paragraph" w:styleId="862">
    <w:name w:val="No Spacing"/>
    <w:basedOn w:val="892"/>
    <w:uiPriority w:val="1"/>
    <w:qFormat/>
    <w:pPr>
      <w:pBdr/>
      <w:spacing w:after="0" w:line="240" w:lineRule="auto"/>
      <w:ind/>
    </w:pPr>
  </w:style>
  <w:style w:type="character" w:styleId="863">
    <w:name w:val="Subtle Emphasis"/>
    <w:basedOn w:val="893"/>
    <w:uiPriority w:val="19"/>
    <w:qFormat/>
    <w:pPr>
      <w:pBdr/>
      <w:spacing/>
      <w:ind/>
    </w:pPr>
    <w:rPr>
      <w:i/>
      <w:iCs/>
      <w:color w:val="404040" w:themeColor="text1" w:themeTint="BF"/>
    </w:rPr>
  </w:style>
  <w:style w:type="character" w:styleId="864">
    <w:name w:val="Emphasis"/>
    <w:basedOn w:val="893"/>
    <w:uiPriority w:val="20"/>
    <w:qFormat/>
    <w:pPr>
      <w:pBdr/>
      <w:spacing/>
      <w:ind/>
    </w:pPr>
    <w:rPr>
      <w:i/>
      <w:iCs/>
    </w:rPr>
  </w:style>
  <w:style w:type="character" w:styleId="865">
    <w:name w:val="Strong"/>
    <w:basedOn w:val="893"/>
    <w:uiPriority w:val="22"/>
    <w:qFormat/>
    <w:pPr>
      <w:pBdr/>
      <w:spacing/>
      <w:ind/>
    </w:pPr>
    <w:rPr>
      <w:b/>
      <w:bCs/>
    </w:rPr>
  </w:style>
  <w:style w:type="character" w:styleId="866">
    <w:name w:val="Subtle Reference"/>
    <w:basedOn w:val="893"/>
    <w:uiPriority w:val="31"/>
    <w:qFormat/>
    <w:pPr>
      <w:pBdr/>
      <w:spacing/>
      <w:ind/>
    </w:pPr>
    <w:rPr>
      <w:smallCaps/>
      <w:color w:val="5a5a5a" w:themeColor="text1" w:themeTint="A5"/>
    </w:rPr>
  </w:style>
  <w:style w:type="character" w:styleId="867">
    <w:name w:val="Book Title"/>
    <w:basedOn w:val="893"/>
    <w:uiPriority w:val="33"/>
    <w:qFormat/>
    <w:pPr>
      <w:pBdr/>
      <w:spacing/>
      <w:ind/>
    </w:pPr>
    <w:rPr>
      <w:b/>
      <w:bCs/>
      <w:i/>
      <w:iCs/>
      <w:spacing w:val="5"/>
    </w:rPr>
  </w:style>
  <w:style w:type="paragraph" w:styleId="868">
    <w:name w:val="Header"/>
    <w:basedOn w:val="892"/>
    <w:link w:val="869"/>
    <w:uiPriority w:val="99"/>
    <w:unhideWhenUsed/>
    <w:pPr>
      <w:pBdr/>
      <w:tabs>
        <w:tab w:val="center" w:leader="none" w:pos="4844"/>
        <w:tab w:val="right" w:leader="none" w:pos="9689"/>
      </w:tabs>
      <w:spacing w:after="0" w:line="240" w:lineRule="auto"/>
      <w:ind/>
    </w:pPr>
  </w:style>
  <w:style w:type="character" w:styleId="869">
    <w:name w:val="Header Char"/>
    <w:basedOn w:val="893"/>
    <w:link w:val="868"/>
    <w:uiPriority w:val="99"/>
    <w:pPr>
      <w:pBdr/>
      <w:spacing/>
      <w:ind/>
    </w:pPr>
  </w:style>
  <w:style w:type="paragraph" w:styleId="870">
    <w:name w:val="Footer"/>
    <w:basedOn w:val="892"/>
    <w:link w:val="871"/>
    <w:uiPriority w:val="99"/>
    <w:unhideWhenUsed/>
    <w:pPr>
      <w:pBdr/>
      <w:tabs>
        <w:tab w:val="center" w:leader="none" w:pos="4844"/>
        <w:tab w:val="right" w:leader="none" w:pos="9689"/>
      </w:tabs>
      <w:spacing w:after="0" w:line="240" w:lineRule="auto"/>
      <w:ind/>
    </w:pPr>
  </w:style>
  <w:style w:type="character" w:styleId="871">
    <w:name w:val="Footer Char"/>
    <w:basedOn w:val="893"/>
    <w:link w:val="870"/>
    <w:uiPriority w:val="99"/>
    <w:pPr>
      <w:pBdr/>
      <w:spacing/>
      <w:ind/>
    </w:pPr>
  </w:style>
  <w:style w:type="paragraph" w:styleId="872">
    <w:name w:val="Caption"/>
    <w:basedOn w:val="892"/>
    <w:next w:val="892"/>
    <w:uiPriority w:val="35"/>
    <w:unhideWhenUsed/>
    <w:qFormat/>
    <w:pPr>
      <w:pBdr/>
      <w:spacing w:after="200" w:line="240" w:lineRule="auto"/>
      <w:ind/>
    </w:pPr>
    <w:rPr>
      <w:i/>
      <w:iCs/>
      <w:color w:val="0e2841" w:themeColor="text2"/>
      <w:sz w:val="18"/>
      <w:szCs w:val="18"/>
    </w:rPr>
  </w:style>
  <w:style w:type="paragraph" w:styleId="873">
    <w:name w:val="footnote text"/>
    <w:basedOn w:val="892"/>
    <w:link w:val="874"/>
    <w:uiPriority w:val="99"/>
    <w:semiHidden/>
    <w:unhideWhenUsed/>
    <w:pPr>
      <w:pBdr/>
      <w:spacing w:after="0" w:line="240" w:lineRule="auto"/>
      <w:ind/>
    </w:pPr>
    <w:rPr>
      <w:sz w:val="20"/>
      <w:szCs w:val="20"/>
    </w:rPr>
  </w:style>
  <w:style w:type="character" w:styleId="874">
    <w:name w:val="Footnote Text Char"/>
    <w:basedOn w:val="893"/>
    <w:link w:val="873"/>
    <w:uiPriority w:val="99"/>
    <w:semiHidden/>
    <w:pPr>
      <w:pBdr/>
      <w:spacing/>
      <w:ind/>
    </w:pPr>
    <w:rPr>
      <w:sz w:val="20"/>
      <w:szCs w:val="20"/>
    </w:rPr>
  </w:style>
  <w:style w:type="character" w:styleId="875">
    <w:name w:val="footnote reference"/>
    <w:basedOn w:val="893"/>
    <w:uiPriority w:val="99"/>
    <w:semiHidden/>
    <w:unhideWhenUsed/>
    <w:pPr>
      <w:pBdr/>
      <w:spacing/>
      <w:ind/>
    </w:pPr>
    <w:rPr>
      <w:vertAlign w:val="superscript"/>
    </w:rPr>
  </w:style>
  <w:style w:type="paragraph" w:styleId="876">
    <w:name w:val="endnote text"/>
    <w:basedOn w:val="892"/>
    <w:link w:val="877"/>
    <w:uiPriority w:val="99"/>
    <w:semiHidden/>
    <w:unhideWhenUsed/>
    <w:pPr>
      <w:pBdr/>
      <w:spacing w:after="0" w:line="240" w:lineRule="auto"/>
      <w:ind/>
    </w:pPr>
    <w:rPr>
      <w:sz w:val="20"/>
      <w:szCs w:val="20"/>
    </w:rPr>
  </w:style>
  <w:style w:type="character" w:styleId="877">
    <w:name w:val="Endnote Text Char"/>
    <w:basedOn w:val="893"/>
    <w:link w:val="876"/>
    <w:uiPriority w:val="99"/>
    <w:semiHidden/>
    <w:pPr>
      <w:pBdr/>
      <w:spacing/>
      <w:ind/>
    </w:pPr>
    <w:rPr>
      <w:sz w:val="20"/>
      <w:szCs w:val="20"/>
    </w:rPr>
  </w:style>
  <w:style w:type="character" w:styleId="878">
    <w:name w:val="endnote reference"/>
    <w:basedOn w:val="893"/>
    <w:uiPriority w:val="99"/>
    <w:semiHidden/>
    <w:unhideWhenUsed/>
    <w:pPr>
      <w:pBdr/>
      <w:spacing/>
      <w:ind/>
    </w:pPr>
    <w:rPr>
      <w:vertAlign w:val="superscript"/>
    </w:rPr>
  </w:style>
  <w:style w:type="character" w:styleId="879">
    <w:name w:val="FollowedHyperlink"/>
    <w:basedOn w:val="893"/>
    <w:uiPriority w:val="99"/>
    <w:semiHidden/>
    <w:unhideWhenUsed/>
    <w:pPr>
      <w:pBdr/>
      <w:spacing/>
      <w:ind/>
    </w:pPr>
    <w:rPr>
      <w:color w:val="954f72" w:themeColor="followedHyperlink"/>
      <w:u w:val="single"/>
    </w:rPr>
  </w:style>
  <w:style w:type="paragraph" w:styleId="880">
    <w:name w:val="toc 1"/>
    <w:basedOn w:val="892"/>
    <w:next w:val="892"/>
    <w:uiPriority w:val="39"/>
    <w:unhideWhenUsed/>
    <w:pPr>
      <w:pBdr/>
      <w:spacing w:after="100"/>
      <w:ind/>
    </w:pPr>
  </w:style>
  <w:style w:type="paragraph" w:styleId="881">
    <w:name w:val="toc 2"/>
    <w:basedOn w:val="892"/>
    <w:next w:val="892"/>
    <w:uiPriority w:val="39"/>
    <w:unhideWhenUsed/>
    <w:pPr>
      <w:pBdr/>
      <w:spacing w:after="100"/>
      <w:ind w:left="220"/>
    </w:pPr>
  </w:style>
  <w:style w:type="paragraph" w:styleId="882">
    <w:name w:val="toc 3"/>
    <w:basedOn w:val="892"/>
    <w:next w:val="892"/>
    <w:uiPriority w:val="39"/>
    <w:unhideWhenUsed/>
    <w:pPr>
      <w:pBdr/>
      <w:spacing w:after="100"/>
      <w:ind w:left="440"/>
    </w:pPr>
  </w:style>
  <w:style w:type="paragraph" w:styleId="883">
    <w:name w:val="toc 4"/>
    <w:basedOn w:val="892"/>
    <w:next w:val="892"/>
    <w:uiPriority w:val="39"/>
    <w:unhideWhenUsed/>
    <w:pPr>
      <w:pBdr/>
      <w:spacing w:after="100"/>
      <w:ind w:left="660"/>
    </w:pPr>
  </w:style>
  <w:style w:type="paragraph" w:styleId="884">
    <w:name w:val="toc 5"/>
    <w:basedOn w:val="892"/>
    <w:next w:val="892"/>
    <w:uiPriority w:val="39"/>
    <w:unhideWhenUsed/>
    <w:pPr>
      <w:pBdr/>
      <w:spacing w:after="100"/>
      <w:ind w:left="880"/>
    </w:pPr>
  </w:style>
  <w:style w:type="paragraph" w:styleId="885">
    <w:name w:val="toc 6"/>
    <w:basedOn w:val="892"/>
    <w:next w:val="892"/>
    <w:uiPriority w:val="39"/>
    <w:unhideWhenUsed/>
    <w:pPr>
      <w:pBdr/>
      <w:spacing w:after="100"/>
      <w:ind w:left="1100"/>
    </w:pPr>
  </w:style>
  <w:style w:type="paragraph" w:styleId="886">
    <w:name w:val="toc 7"/>
    <w:basedOn w:val="892"/>
    <w:next w:val="892"/>
    <w:uiPriority w:val="39"/>
    <w:unhideWhenUsed/>
    <w:pPr>
      <w:pBdr/>
      <w:spacing w:after="100"/>
      <w:ind w:left="1320"/>
    </w:pPr>
  </w:style>
  <w:style w:type="paragraph" w:styleId="887">
    <w:name w:val="toc 8"/>
    <w:basedOn w:val="892"/>
    <w:next w:val="892"/>
    <w:uiPriority w:val="39"/>
    <w:unhideWhenUsed/>
    <w:pPr>
      <w:pBdr/>
      <w:spacing w:after="100"/>
      <w:ind w:left="1540"/>
    </w:pPr>
  </w:style>
  <w:style w:type="paragraph" w:styleId="888">
    <w:name w:val="toc 9"/>
    <w:basedOn w:val="892"/>
    <w:next w:val="892"/>
    <w:uiPriority w:val="39"/>
    <w:unhideWhenUsed/>
    <w:pPr>
      <w:pBdr/>
      <w:spacing w:after="100"/>
      <w:ind w:left="1760"/>
    </w:pPr>
  </w:style>
  <w:style w:type="character" w:styleId="889">
    <w:name w:val="Placeholder Text"/>
    <w:basedOn w:val="893"/>
    <w:uiPriority w:val="99"/>
    <w:semiHidden/>
    <w:pPr>
      <w:pBdr/>
      <w:spacing/>
      <w:ind/>
    </w:pPr>
    <w:rPr>
      <w:color w:val="666666"/>
    </w:rPr>
  </w:style>
  <w:style w:type="paragraph" w:styleId="890">
    <w:name w:val="TOC Heading"/>
    <w:uiPriority w:val="39"/>
    <w:unhideWhenUsed/>
    <w:pPr>
      <w:pBdr/>
      <w:spacing/>
      <w:ind/>
    </w:pPr>
  </w:style>
  <w:style w:type="paragraph" w:styleId="891">
    <w:name w:val="table of figures"/>
    <w:basedOn w:val="892"/>
    <w:next w:val="892"/>
    <w:uiPriority w:val="99"/>
    <w:unhideWhenUsed/>
    <w:pPr>
      <w:pBdr/>
      <w:spacing w:after="0" w:afterAutospacing="0"/>
      <w:ind/>
    </w:pPr>
  </w:style>
  <w:style w:type="paragraph" w:styleId="892" w:default="1">
    <w:name w:val="Normal"/>
    <w:qFormat/>
    <w:pPr>
      <w:pBdr/>
      <w:spacing/>
      <w:ind/>
    </w:pPr>
  </w:style>
  <w:style w:type="character" w:styleId="893" w:default="1">
    <w:name w:val="Default Paragraph Font"/>
    <w:uiPriority w:val="1"/>
    <w:unhideWhenUsed/>
    <w:pPr>
      <w:pBdr/>
      <w:spacing/>
      <w:ind/>
    </w:pPr>
  </w:style>
  <w:style w:type="table" w:styleId="89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5" w:default="1">
    <w:name w:val="No List"/>
    <w:uiPriority w:val="99"/>
    <w:semiHidden/>
    <w:unhideWhenUsed/>
    <w:pPr>
      <w:pBdr/>
      <w:spacing/>
      <w:ind/>
    </w:pPr>
  </w:style>
  <w:style w:type="paragraph" w:styleId="896">
    <w:name w:val="List Paragraph"/>
    <w:basedOn w:val="892"/>
    <w:uiPriority w:val="34"/>
    <w:qFormat/>
    <w:pPr>
      <w:pBdr/>
      <w:spacing/>
      <w:ind w:left="720"/>
      <w:contextualSpacing w:val="true"/>
    </w:pPr>
  </w:style>
  <w:style w:type="character" w:styleId="897">
    <w:name w:val="Hyperlink"/>
    <w:basedOn w:val="893"/>
    <w:uiPriority w:val="99"/>
    <w:unhideWhenUsed/>
    <w:pPr>
      <w:pBdr/>
      <w:spacing/>
      <w:ind/>
    </w:pPr>
    <w:rPr>
      <w:color w:val="0563c1" w:themeColor="hyperlink"/>
      <w:u w:val="single"/>
    </w:rPr>
  </w:style>
  <w:style w:type="table" w:styleId="898">
    <w:name w:val="Table Grid"/>
    <w:basedOn w:val="894"/>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C9752F-08D3-41B4-A0DE-5F2F2C0B6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harun bayrak</dc:creator>
  <cp:keywords/>
  <dc:description/>
  <cp:revision>99</cp:revision>
  <dcterms:created xsi:type="dcterms:W3CDTF">2023-10-04T19:57:00Z</dcterms:created>
  <dcterms:modified xsi:type="dcterms:W3CDTF">2026-10-24T23:27:20Z</dcterms:modified>
</cp:coreProperties>
</file>