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r w:rsidRPr="00101B8F">
        <w:rPr>
          <w:color w:val="000000" w:themeColor="text1"/>
        </w:rPr>
        <w:t>校所別：國立</w:t>
      </w:r>
      <w:r w:rsidR="003121BC" w:rsidRPr="00101B8F">
        <w:rPr>
          <w:color w:val="000000" w:themeColor="text1"/>
        </w:rPr>
        <w:t>臺</w:t>
      </w:r>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）。此外，分析顯示中位評分一致性略有下降，因為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r w:rsidR="00857C16" w:rsidRPr="00857C16">
        <w:rPr>
          <w:rFonts w:hint="eastAsia"/>
          <w:kern w:val="0"/>
        </w:rPr>
        <w:t>Physionet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的單獨實現導致中值</w:t>
      </w:r>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意義：為了更準確地模擬睡眠期間的生理變異而構建的算法可以幫助推進自動化睡眠評估，用於睡眠醫學中的實際和一般用途。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r w:rsidR="004A1410">
        <w:rPr>
          <w:color w:val="000000" w:themeColor="text1"/>
        </w:rPr>
        <w:t>Ching-Ho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Physionet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r w:rsidR="004E1088" w:rsidRPr="00101B8F">
        <w:rPr>
          <w:b/>
          <w:kern w:val="0"/>
          <w:sz w:val="40"/>
          <w:szCs w:val="40"/>
        </w:rPr>
        <w:lastRenderedPageBreak/>
        <w:t>誌謝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研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r w:rsidR="00F30E8A" w:rsidRPr="00101B8F">
        <w:rPr>
          <w:color w:val="000000"/>
          <w:kern w:val="0"/>
        </w:rPr>
        <w:tab/>
      </w:r>
      <w:r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r w:rsidRPr="00101B8F">
        <w:rPr>
          <w:color w:val="000000"/>
          <w:kern w:val="0"/>
        </w:rPr>
        <w:t>誌謝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r w:rsidRPr="002B1398">
        <w:rPr>
          <w:rFonts w:hint="eastAsia"/>
          <w:color w:val="000000"/>
          <w:kern w:val="0"/>
        </w:rPr>
        <w:t>Hypnogram</w:t>
      </w:r>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全夜腦電多重分解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每晚和每個時期的睡眠分期比較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r>
        <w:rPr>
          <w:rFonts w:hint="eastAsia"/>
          <w:color w:val="000000"/>
          <w:kern w:val="0"/>
        </w:rPr>
        <w:t>研讀心得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r w:rsidR="004223F2" w:rsidRPr="004223F2">
        <w:rPr>
          <w:rFonts w:hint="eastAsia"/>
          <w:color w:val="000000"/>
          <w:kern w:val="0"/>
        </w:rPr>
        <w:t>頻譜圖</w:t>
      </w:r>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對於每個真實睡眠階段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對於每個真實睡眠階段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r w:rsidR="00270E91" w:rsidRPr="0014655E">
        <w:rPr>
          <w:rFonts w:hint="eastAsia"/>
        </w:rPr>
        <w:t>似然表面</w:t>
      </w:r>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r w:rsidR="00270E91" w:rsidRPr="00270E91">
        <w:rPr>
          <w:rFonts w:hint="eastAsia"/>
        </w:rPr>
        <w:t>兩個似然模型的每晚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的睡眠評分與算法評分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隨著智慧工廠的蓬勃發展，工業技術也產生了更進一步的革新，在此概念下生產模式也逐漸向智慧工廠的概念邁進，式也逐漸向智慧工廠的概念邁進，並使傳統單一生產模式轉變為多產線協同生產、客製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r w:rsidR="002B22C9">
        <w:rPr>
          <w:rFonts w:hint="eastAsia"/>
        </w:rPr>
        <w:t>J</w:t>
      </w:r>
      <w:r w:rsidR="002B22C9">
        <w:t>son</w:t>
      </w:r>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r w:rsidRPr="00AD328B">
        <w:rPr>
          <w:rFonts w:hint="eastAsia"/>
        </w:rPr>
        <w:t>DispatcherServlet</w:t>
      </w:r>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r w:rsidR="00CC52DA" w:rsidRPr="00CC52DA">
        <w:rPr>
          <w:rFonts w:hint="eastAsia"/>
        </w:rPr>
        <w:t>HanderMapping</w:t>
      </w:r>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(ViewResolver)</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w:t>
      </w:r>
      <w:r w:rsidR="00142281">
        <w:rPr>
          <w:rFonts w:hint="eastAsia"/>
        </w:rPr>
        <w:t>，當使用手機瀏覽傳統網頁時，會因為螢幕尺寸過小而造成排版亂掉或是文字或圖片過小，還需要特別放大及拖拉網頁才可以正常瀏覽網頁，使得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讓使用者可以一目瞭然的看到網頁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rFonts w:hint="eastAsia"/>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時會依據瀏覽器的大小調整頁面使得頁面始終保持滿版置中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Android WebView</w:t>
      </w:r>
    </w:p>
    <w:p w:rsidR="006B5BCB" w:rsidRDefault="006B5BCB" w:rsidP="006B5BCB">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A</w:t>
      </w:r>
      <w:r>
        <w:rPr>
          <w:rFonts w:ascii="Times New Roman" w:eastAsia="標楷體" w:hAnsi="Times New Roman" w:cs="Times New Roman"/>
          <w:b/>
          <w:sz w:val="32"/>
          <w:szCs w:val="32"/>
        </w:rPr>
        <w:t>rduino</w:t>
      </w:r>
    </w:p>
    <w:p w:rsidR="006B5BCB" w:rsidRPr="006B5BCB" w:rsidRDefault="006B5BCB" w:rsidP="006B5BCB">
      <w:pPr>
        <w:pStyle w:val="Default"/>
        <w:adjustRightInd/>
        <w:jc w:val="both"/>
        <w:rPr>
          <w:rFonts w:ascii="Times New Roman" w:eastAsia="標楷體" w:hAnsi="Times New Roman" w:cs="Times New Roman" w:hint="eastAsia"/>
          <w:b/>
          <w:sz w:val="32"/>
          <w:szCs w:val="32"/>
        </w:rPr>
      </w:pPr>
      <w:r w:rsidRPr="00270988">
        <w:t xml:space="preserve">　　</w:t>
      </w:r>
      <w:bookmarkStart w:id="16" w:name="_GoBack"/>
      <w:bookmarkEnd w:id="16"/>
    </w:p>
    <w:p w:rsidR="00270988" w:rsidRPr="00F85AD5" w:rsidRDefault="00270988" w:rsidP="00270988">
      <w:pPr>
        <w:pStyle w:val="Default"/>
        <w:adjustRightInd/>
        <w:jc w:val="both"/>
        <w:rPr>
          <w:rFonts w:ascii="Times New Roman" w:eastAsia="標楷體" w:hAnsi="Times New Roman" w:cs="Times New Roman"/>
          <w:b/>
          <w:sz w:val="32"/>
          <w:szCs w:val="32"/>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Kryger </w:t>
      </w:r>
      <w:r w:rsidRPr="001776A9">
        <w:rPr>
          <w:i/>
        </w:rPr>
        <w:t>et al</w:t>
      </w:r>
      <w:r w:rsidRPr="00DA28AC">
        <w:t xml:space="preserve">., </w:t>
      </w:r>
      <w:r w:rsidRPr="001776A9">
        <w:rPr>
          <w:i/>
        </w:rPr>
        <w:t>Principles and Practice of Sleep Medicine</w:t>
      </w:r>
      <w:r w:rsidR="001776A9">
        <w:t>, Philadelphia, PA, USA</w:t>
      </w:r>
      <w:r w:rsidR="001776A9">
        <w:rPr>
          <w:rFonts w:hint="eastAsia"/>
        </w:rPr>
        <w:t xml:space="preserve"> </w:t>
      </w:r>
      <w:r w:rsidR="001776A9">
        <w:t>:</w:t>
      </w:r>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A. Rechtschaffen</w:t>
      </w:r>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U. G. P. Office, Washington, DC, USA:Public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Darien, IL, USA:Amer. Acad. Sleep Med., 2007.</w:t>
      </w:r>
    </w:p>
    <w:p w:rsidR="005C7988" w:rsidRDefault="005C7988" w:rsidP="005C7988">
      <w:pPr>
        <w:pStyle w:val="a7"/>
        <w:numPr>
          <w:ilvl w:val="0"/>
          <w:numId w:val="4"/>
        </w:numPr>
        <w:ind w:leftChars="0"/>
        <w:jc w:val="both"/>
      </w:pPr>
      <w:r w:rsidRPr="005C7988">
        <w:t xml:space="preserve">C. Iber </w:t>
      </w:r>
      <w:r w:rsidRPr="005C7988">
        <w:rPr>
          <w:i/>
        </w:rPr>
        <w:t>et al</w:t>
      </w:r>
      <w:r w:rsidRPr="005C7988">
        <w:t xml:space="preserve">., </w:t>
      </w:r>
      <w:r w:rsidRPr="005C7988">
        <w:rPr>
          <w:i/>
        </w:rPr>
        <w:t>The AASM Manual Scoring Sleep Associated Events: Rules Terminology Technical Specification</w:t>
      </w:r>
      <w:r w:rsidRPr="005C7988">
        <w:t>., Darien, IL, USA:Amer.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r w:rsidRPr="005C7988">
        <w:t xml:space="preserve">Interobserver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Virkkala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r>
        <w:t>O</w:t>
      </w:r>
      <w:r w:rsidRPr="005C7988">
        <w:t>culography</w:t>
      </w:r>
      <w:r>
        <w:t>”</w:t>
      </w:r>
      <w:r w:rsidRPr="005C7988">
        <w:t xml:space="preserve">, </w:t>
      </w:r>
      <w:r w:rsidRPr="005C7988">
        <w:rPr>
          <w:i/>
        </w:rPr>
        <w:t>J. Neurosci.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J. Neurosci. Methods</w:t>
      </w:r>
      <w:r w:rsidRPr="005C7988">
        <w:t>, vol. 205, no. 1, pp. 169-176, 2012.</w:t>
      </w:r>
    </w:p>
    <w:p w:rsidR="00081CC6" w:rsidRDefault="00081CC6" w:rsidP="00081CC6">
      <w:pPr>
        <w:pStyle w:val="a7"/>
        <w:numPr>
          <w:ilvl w:val="0"/>
          <w:numId w:val="4"/>
        </w:numPr>
        <w:ind w:leftChars="0"/>
        <w:jc w:val="both"/>
      </w:pPr>
      <w:r w:rsidRPr="00081CC6">
        <w:t xml:space="preserve">C. Stepnowsky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r>
        <w:t>E</w:t>
      </w:r>
      <w:r w:rsidRPr="00081CC6">
        <w:t xml:space="preserve">lectroocular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7EF" w:rsidRDefault="007B57EF" w:rsidP="00246FCB">
      <w:pPr>
        <w:spacing w:line="240" w:lineRule="auto"/>
      </w:pPr>
      <w:r>
        <w:separator/>
      </w:r>
    </w:p>
  </w:endnote>
  <w:endnote w:type="continuationSeparator" w:id="0">
    <w:p w:rsidR="007B57EF" w:rsidRDefault="007B57EF"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7B57EF">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EE78B5" w:rsidRPr="00EE78B5">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7B57EF">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EE78B5" w:rsidRPr="00EE78B5">
          <w:rPr>
            <w:noProof/>
            <w:lang w:val="zh-TW"/>
          </w:rPr>
          <w:t>4</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7EF" w:rsidRDefault="007B57EF" w:rsidP="00246FCB">
      <w:pPr>
        <w:spacing w:line="240" w:lineRule="auto"/>
      </w:pPr>
      <w:r>
        <w:separator/>
      </w:r>
    </w:p>
  </w:footnote>
  <w:footnote w:type="continuationSeparator" w:id="0">
    <w:p w:rsidR="007B57EF" w:rsidRDefault="007B57EF"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7B57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7B57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7B57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2"/>
  </w:num>
  <w:num w:numId="3">
    <w:abstractNumId w:val="10"/>
  </w:num>
  <w:num w:numId="4">
    <w:abstractNumId w:val="1"/>
  </w:num>
  <w:num w:numId="5">
    <w:abstractNumId w:val="17"/>
  </w:num>
  <w:num w:numId="6">
    <w:abstractNumId w:val="21"/>
  </w:num>
  <w:num w:numId="7">
    <w:abstractNumId w:val="11"/>
  </w:num>
  <w:num w:numId="8">
    <w:abstractNumId w:val="14"/>
  </w:num>
  <w:num w:numId="9">
    <w:abstractNumId w:val="8"/>
  </w:num>
  <w:num w:numId="10">
    <w:abstractNumId w:val="20"/>
  </w:num>
  <w:num w:numId="11">
    <w:abstractNumId w:val="16"/>
  </w:num>
  <w:num w:numId="12">
    <w:abstractNumId w:val="18"/>
  </w:num>
  <w:num w:numId="13">
    <w:abstractNumId w:val="6"/>
  </w:num>
  <w:num w:numId="14">
    <w:abstractNumId w:val="15"/>
  </w:num>
  <w:num w:numId="15">
    <w:abstractNumId w:val="5"/>
  </w:num>
  <w:num w:numId="16">
    <w:abstractNumId w:val="2"/>
  </w:num>
  <w:num w:numId="17">
    <w:abstractNumId w:val="23"/>
  </w:num>
  <w:num w:numId="18">
    <w:abstractNumId w:val="9"/>
  </w:num>
  <w:num w:numId="19">
    <w:abstractNumId w:val="12"/>
  </w:num>
  <w:num w:numId="20">
    <w:abstractNumId w:val="4"/>
  </w:num>
  <w:num w:numId="21">
    <w:abstractNumId w:val="13"/>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3E0"/>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DE37C2"/>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E763-7303-4174-B3C9-0B141084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17</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21</cp:revision>
  <cp:lastPrinted>2016-05-19T06:18:00Z</cp:lastPrinted>
  <dcterms:created xsi:type="dcterms:W3CDTF">2020-06-26T06:29:00Z</dcterms:created>
  <dcterms:modified xsi:type="dcterms:W3CDTF">2020-06-30T09:51:00Z</dcterms:modified>
</cp:coreProperties>
</file>