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B353" w14:textId="174C7E2A" w:rsidR="009D7A33" w:rsidRDefault="00DE20EF" w:rsidP="009D7A33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E7C6A5D" w14:textId="66C02FD8" w:rsidR="009D7A33" w:rsidRDefault="009D7A33" w:rsidP="009D7A33">
      <w:r>
        <w:rPr>
          <w:rFonts w:hint="eastAsia"/>
        </w:rPr>
        <w:t>自動顯示原</w:t>
      </w:r>
      <w:r w:rsidR="00DE20EF">
        <w:rPr>
          <w:rFonts w:hint="eastAsia"/>
        </w:rPr>
        <w:t>值，接不可修改</w:t>
      </w:r>
    </w:p>
    <w:p w14:paraId="2895B826" w14:textId="339F59FC" w:rsidR="00224BCF" w:rsidRPr="00661448" w:rsidRDefault="00DE20EF" w:rsidP="00DE20EF">
      <w:pPr>
        <w:pStyle w:val="a9"/>
        <w:widowControl/>
        <w:ind w:leftChars="0"/>
        <w:rPr>
          <w:rFonts w:hint="eastAsia"/>
        </w:rPr>
      </w:pPr>
      <w:r w:rsidRPr="00DE20EF">
        <w:drawing>
          <wp:inline distT="0" distB="0" distL="0" distR="0" wp14:anchorId="034BE487" wp14:editId="5EF1DB8E">
            <wp:extent cx="5274310" cy="18408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BCF" w:rsidRPr="0066144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71AF6BA" w:rsidR="00522355" w:rsidRPr="00DE20EF" w:rsidRDefault="00DE20EF" w:rsidP="00DE20EF">
    <w:pPr>
      <w:pStyle w:val="a6"/>
    </w:pPr>
    <w:r w:rsidRPr="00DE20EF">
      <w:rPr>
        <w:rFonts w:ascii="標楷體" w:eastAsia="標楷體" w:hAnsi="標楷體" w:hint="eastAsia"/>
      </w:rPr>
      <w:t>L8310(49)債務清償方案法院認可資料_查詢.docx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61FC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40D48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57BC5"/>
    <w:rsid w:val="00661448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9D7A33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E20EF"/>
    <w:rsid w:val="00E01F39"/>
    <w:rsid w:val="00E56C4E"/>
    <w:rsid w:val="00E56ECF"/>
    <w:rsid w:val="00E60F98"/>
    <w:rsid w:val="00EB3065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47</cp:revision>
  <dcterms:created xsi:type="dcterms:W3CDTF">2021-09-03T06:07:00Z</dcterms:created>
  <dcterms:modified xsi:type="dcterms:W3CDTF">2022-02-18T16:37:00Z</dcterms:modified>
</cp:coreProperties>
</file>